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KR" w:hAnsi="Noto Sans KR" w:eastAsia="Noto Sans KR"/>
          <w:b/>
          <w:color w:val="187A7A"/>
          <w:sz w:val="26"/>
        </w:rPr>
        <w:t>SOODAL LIFE</w:t>
      </w:r>
    </w:p>
    <w:p>
      <w:pPr>
        <w:spacing w:before="240"/>
        <w:jc w:val="center"/>
      </w:pPr>
      <w:r>
        <w:rPr>
          <w:rFonts w:ascii="Noto Sans KR" w:hAnsi="Noto Sans KR" w:eastAsia="Noto Sans KR"/>
          <w:b/>
          <w:color w:val="153B4C"/>
          <w:sz w:val="52"/>
        </w:rPr>
        <w:t>수달 라이프 주요 내용 통합정리서</w:t>
      </w:r>
    </w:p>
    <w:p>
      <w:pPr>
        <w:spacing w:before="160"/>
        <w:jc w:val="center"/>
      </w:pPr>
      <w:r>
        <w:rPr>
          <w:rFonts w:ascii="Noto Sans KR" w:hAnsi="Noto Sans KR" w:eastAsia="Noto Sans KR"/>
          <w:b w:val="0"/>
          <w:color w:val="5C6C72"/>
          <w:sz w:val="26"/>
        </w:rPr>
        <w:t>서비스·운영·가격·신뢰·결제·개발 기준</w:t>
      </w:r>
    </w:p>
    <w:p>
      <w:pPr>
        <w:spacing w:before="1300"/>
        <w:jc w:val="center"/>
      </w:pPr>
      <w:r>
        <w:rPr>
          <w:rFonts w:ascii="Noto Sans KR" w:hAnsi="Noto Sans KR" w:eastAsia="Noto Sans KR"/>
          <w:b/>
          <w:color w:val="187A7A"/>
          <w:sz w:val="20"/>
        </w:rPr>
        <w:t>확정사항 기준본  |  v1.2</w:t>
      </w:r>
    </w:p>
    <w:p>
      <w:pPr>
        <w:spacing w:before="2200"/>
        <w:jc w:val="center"/>
      </w:pPr>
      <w:r>
        <w:t>2026. 8. 9.</w:t>
      </w:r>
    </w:p>
    <w:p>
      <w:pPr>
        <w:jc w:val="center"/>
      </w:pPr>
      <w:r>
        <w:rPr>
          <w:rFonts w:ascii="Noto Sans KR" w:hAnsi="Noto Sans KR" w:eastAsia="Noto Sans KR"/>
          <w:b w:val="0"/>
          <w:color w:val="5C6C72"/>
          <w:sz w:val="18"/>
        </w:rPr>
        <w:t>작성 기준: 현재까지 협의·확정된 수달 라이프 운영 및 개발 원칙</w:t>
      </w:r>
    </w:p>
    <w:p>
      <w:r>
        <w:br w:type="page"/>
      </w:r>
    </w:p>
    <w:p>
      <w:pPr>
        <w:pStyle w:val="Heading1"/>
        <w:keepNext/>
      </w:pPr>
      <w:r>
        <w:t>문서 개요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 w:line="283" w:lineRule="auto"/>
            </w:pPr>
            <w:r>
              <w:rPr>
                <w:rFonts w:ascii="Noto Sans KR" w:hAnsi="Noto Sans KR" w:eastAsia="Noto Sans KR"/>
                <w:b/>
                <w:color w:val="187A7A"/>
                <w:sz w:val="20"/>
              </w:rPr>
              <w:t>문서 목적  지금까지 확정된 수달 라이프의 사업·서비스·운영·개발 원칙을 하나의 기준으로 정리한다. 상세 구현은 개발 통합상세설계서 v1.2, 서비스 분류와 수수료는 카테고리 관리대장, 표준가격 값은 전국 평균 표준요금표와 연계한다.</w:t>
            </w:r>
            <w:r>
              <w:rPr>
                <w:rFonts w:ascii="Noto Sans KR" w:hAnsi="Noto Sans KR" w:eastAsia="Noto Sans KR"/>
                <w:b w:val="0"/>
                <w:color w:val="153B4C"/>
                <w:sz w:val="19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플랫폼 성격</w:t>
            </w:r>
          </w:p>
        </w:tc>
        <w:tc>
          <w:tcPr>
            <w:tcW w:type="dxa" w:w="7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생활 수리·생활관리·긴급출동·정기구독·인테리어 수요자와 전문 공급자를 연결하는 중개형 O2O 플랫폼</w:t>
            </w:r>
          </w:p>
        </w:tc>
      </w:tr>
      <w:tr>
        <w:tc>
          <w:tcPr>
            <w:tcW w:type="dxa" w:w="1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핵심 사용자</w:t>
            </w:r>
          </w:p>
        </w:tc>
        <w:tc>
          <w:tcPr>
            <w:tcW w:type="dxa" w:w="7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수요자, 공급자, 본사 관리자</w:t>
            </w:r>
          </w:p>
        </w:tc>
      </w:tr>
      <w:tr>
        <w:tc>
          <w:tcPr>
            <w:tcW w:type="dxa" w:w="1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기본 구축방향</w:t>
            </w:r>
          </w:p>
        </w:tc>
        <w:tc>
          <w:tcPr>
            <w:tcW w:type="dxa" w:w="7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반응형 웹앱을 먼저 구축·안정화한 후 모바일 앱으로 확장</w:t>
            </w:r>
          </w:p>
        </w:tc>
      </w:tr>
      <w:tr>
        <w:tc>
          <w:tcPr>
            <w:tcW w:type="dxa" w:w="1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핵심 차별점</w:t>
            </w:r>
          </w:p>
        </w:tc>
        <w:tc>
          <w:tcPr>
            <w:tcW w:type="dxa" w:w="7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전국 기초자치단체 단위 출장지역, 카테고리 기반 자동 알림, 수달신뢰점수 중심 비교·정렬, 이력형 가격정책</w:t>
            </w:r>
          </w:p>
        </w:tc>
      </w:tr>
      <w:tr>
        <w:tc>
          <w:tcPr>
            <w:tcW w:type="dxa" w:w="1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수익구조</w:t>
            </w:r>
          </w:p>
        </w:tc>
        <w:tc>
          <w:tcPr>
            <w:tcW w:type="dxa" w:w="7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견적 채택 수수료, 정기구독 플랫폼 수수료, 카테고리별 운영 정책에 따른 부가수익</w:t>
            </w:r>
          </w:p>
        </w:tc>
      </w:tr>
      <w:tr>
        <w:tc>
          <w:tcPr>
            <w:tcW w:type="dxa" w:w="1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문서 적용원칙</w:t>
            </w:r>
          </w:p>
        </w:tc>
        <w:tc>
          <w:tcPr>
            <w:tcW w:type="dxa" w:w="7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거래 시점의 가격·수수료·신뢰점수·계약조건은 스냅샷으로 보존하며 후속 정책변경을 소급하지 않음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핵심 확정사항 한눈에 보기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본사가 전체 서비스 카테고리와 정기구독 허용 카테고리를 등록·관리한다.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공급자는 카테고리별 출장 가능지역을 전국 시·군·구 단위로 복수 선택한다.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수요자가 요청을 공개하면 카테고리와 서비스 지역이 일치하는 승인 공급자에게 알림톡을 자동 발송한다.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공급자 관련 모든 화면에는 수달등급(수달신뢰점수)를 항상 표시하며, 기본 목록 정렬은 높은 순이다.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정기구독은 수요자 모집 등록 → 공급자 지원 → 수요자 비교·채택 → 본사 수납 → 방문 상호인증 → 월말 정산 구조이다.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표준금액은 강제 고정가가 아니라 조건을 조합해 계산하는 본사 권장가격이며 이력형 정책으로 관리한다.</w:t>
      </w:r>
    </w:p>
    <w:p>
      <w:r>
        <w:br w:type="page"/>
      </w:r>
    </w:p>
    <w:p>
      <w:pPr>
        <w:pStyle w:val="ListBullet"/>
      </w:pPr>
      <w:r>
        <w:t>완료된 수리·생활서비스는 수요자와 공급자 양측의 이력으로 자동 축적하며, 필요 시 시설·제품 단위 이력카드와 연결해 작업내용·금액·사진·보증·A/S 이력을 연속 관리한다.</w:t>
      </w:r>
    </w:p>
    <w:p>
      <w:pPr>
        <w:pStyle w:val="Heading1"/>
        <w:keepNext/>
      </w:pPr>
      <w:r>
        <w:t>1. 플랫폼 비전과 사업 기준</w:t>
      </w:r>
    </w:p>
    <w:p>
      <w:pPr>
        <w:spacing w:after="120" w:line="293" w:lineRule="auto"/>
      </w:pPr>
      <w:r>
        <w:rPr>
          <w:rFonts w:ascii="Noto Sans KR" w:hAnsi="Noto Sans KR" w:eastAsia="Noto Sans KR"/>
          <w:b w:val="0"/>
          <w:sz w:val="19"/>
        </w:rPr>
        <w:t>수달 라이프는 생활 속 수리와 관리서비스를 필요로 하는 수요자와, 지역에서 실제 서비스를 제공할 수 있는 공급자를 연결한다. 단순 최저가 중개가 아니라 공급자의 신뢰도, 서비스 이력, 자격·보험, 수행능력과 가격조건을 함께 비교하도록 설계한다.</w:t>
      </w:r>
    </w:p>
    <w:p>
      <w:pPr>
        <w:pStyle w:val="Heading2"/>
        <w:keepNext/>
      </w:pPr>
      <w:r>
        <w:t>1.1 서비스 범위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서비스 축</w:t>
            </w:r>
          </w:p>
        </w:tc>
        <w:tc>
          <w:tcPr>
            <w:tcW w:type="dxa" w:w="47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대표 내용</w:t>
            </w:r>
          </w:p>
        </w:tc>
        <w:tc>
          <w:tcPr>
            <w:tcW w:type="dxa" w:w="28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거래 형태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일반수리·생활서비스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설비, 전기, 가전, 주거수리, 청소, 세탁 등</w:t>
            </w:r>
          </w:p>
        </w:tc>
        <w:tc>
          <w:tcPr>
            <w:tcW w:type="dxa" w:w="28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요청 등록 → 견적 → 채택 → 방문수행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긴급출동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누수, 막힘, 전기 이상 등 신속한 현장대응</w:t>
            </w:r>
          </w:p>
        </w:tc>
        <w:tc>
          <w:tcPr>
            <w:tcW w:type="dxa" w:w="28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우선 알림 → ETA·출동비 제안 → 채택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정기구독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주기적 청소·세탁·시설관리 등</w:t>
            </w:r>
          </w:p>
        </w:tc>
        <w:tc>
          <w:tcPr>
            <w:tcW w:type="dxa" w:w="28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수요자 모집 → 공급자 지원 → 채택 → 반복수행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인테리어·프로젝트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부분공사·종합공사·현장견적형 서비스</w:t>
            </w:r>
          </w:p>
        </w:tc>
        <w:tc>
          <w:tcPr>
            <w:tcW w:type="dxa" w:w="28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요청 → 상담/현장확인 → 비교견적 → 계약·단계수행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현재 확인된 사업 기반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기준 내용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서비스명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수달 라이프 / 수리의 달인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운영 대표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윤종열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플랫폼 성격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생활 수리 전반의 수요자와 수리 전문가를 연결하는 중개형 O2O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기존 전문가 기반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2025. 10. 21. 기준 달인(전문가) 가입자 4,202명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기존 유료 기반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2025. 10. 21. 기준 유료 구독자 73명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운영비 참고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2025. 10. 21. 기준 월 광고비 30만 원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 w:line="283" w:lineRule="auto"/>
            </w:pPr>
            <w:r>
              <w:rPr>
                <w:rFonts w:ascii="Noto Sans KR" w:hAnsi="Noto Sans KR" w:eastAsia="Noto Sans KR"/>
                <w:b/>
                <w:color w:val="187A7A"/>
                <w:sz w:val="20"/>
              </w:rPr>
              <w:t xml:space="preserve">기준일 주의  </w:t>
            </w:r>
            <w:r>
              <w:rPr>
                <w:rFonts w:ascii="Noto Sans KR" w:hAnsi="Noto Sans KR" w:eastAsia="Noto Sans KR"/>
                <w:b w:val="0"/>
                <w:color w:val="153B4C"/>
                <w:sz w:val="19"/>
              </w:rPr>
              <w:t>가입자·유료 구독자·광고비는 당시 확인 수치이며, 대외 문서나 투자자료에 사용할 때는 최신 운영 DB 및 회계자료로 갱신한다.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사용자와 본사의 역할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50"/>
        <w:gridCol w:w="4400"/>
        <w:gridCol w:w="3510"/>
      </w:tblGrid>
      <w:tr>
        <w:trPr>
          <w:tblHeader w:val="true"/>
        </w:trPr>
        <w:tc>
          <w:tcPr>
            <w:tcW w:type="dxa" w:w="145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주체</w:t>
            </w:r>
          </w:p>
        </w:tc>
        <w:tc>
          <w:tcPr>
            <w:tcW w:type="dxa" w:w="44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핵심 역할</w:t>
            </w:r>
          </w:p>
        </w:tc>
        <w:tc>
          <w:tcPr>
            <w:tcW w:type="dxa" w:w="351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주요 권한</w:t>
            </w:r>
          </w:p>
        </w:tc>
      </w:tr>
      <w:tr>
        <w:tc>
          <w:tcPr>
            <w:tcW w:type="dxa" w:w="14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수요자</w:t>
            </w:r>
          </w:p>
        </w:tc>
        <w:tc>
          <w:tcPr>
            <w:tcW w:type="dxa" w:w="4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서비스 요청·희망조건 등록, 견적/지원자 비교, 공급자 채택, 완료확인, 후기·분쟁 신청, 본인 수리·서비스 이력 및 시설·제품 이력카드 조회·관리</w:t>
            </w:r>
          </w:p>
        </w:tc>
        <w:tc>
          <w:tcPr>
            <w:tcW w:type="dxa" w:w="3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본인 요청·계약·결제·완료·후기·A/S·수리이력 관리</w:t>
            </w:r>
          </w:p>
        </w:tc>
      </w:tr>
      <w:tr>
        <w:tc>
          <w:tcPr>
            <w:tcW w:type="dxa" w:w="14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공급자</w:t>
            </w:r>
          </w:p>
        </w:tc>
        <w:tc>
          <w:tcPr>
            <w:tcW w:type="dxa" w:w="4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r>
              <w:t>카테고리·출장지역·가용시간 등록, 견적/지원, 방문수행, 완료증빙, 정산확인, 본인 작업·수리 이력 및 A/S 이력 조회</w:t>
            </w:r>
          </w:p>
        </w:tc>
        <w:tc>
          <w:tcPr>
            <w:tcW w:type="dxa" w:w="3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r>
              <w:t>조건이 맞는 요청 열람·지원, 본인 거래·작업이력·정산 관리</w:t>
            </w:r>
          </w:p>
        </w:tc>
      </w:tr>
      <w:tr>
        <w:tc>
          <w:tcPr>
            <w:tcW w:type="dxa" w:w="14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본사 관리자</w:t>
            </w:r>
          </w:p>
        </w:tc>
        <w:tc>
          <w:tcPr>
            <w:tcW w:type="dxa" w:w="4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카테고리·가격·수수료·알림·회원·신뢰도·분쟁·결제·정산·통계·수리이력 운영관리</w:t>
            </w:r>
          </w:p>
        </w:tc>
        <w:tc>
          <w:tcPr>
            <w:tcW w:type="dxa" w:w="3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정책 승인, 예외처리, 감사, 정산승인·지급, 이력 정정·연결 관리</w:t>
            </w:r>
          </w:p>
        </w:tc>
      </w:tr>
      <w:tr>
        <w:tc>
          <w:tcPr>
            <w:tcW w:type="dxa" w:w="14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시스템</w:t>
            </w:r>
          </w:p>
        </w:tc>
        <w:tc>
          <w:tcPr>
            <w:tcW w:type="dxa" w:w="4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매칭, 정렬, 알림톡, 가격계산, 상태전이, 상호인증, 배치정산, 감사로그</w:t>
            </w:r>
          </w:p>
        </w:tc>
        <w:tc>
          <w:tcPr>
            <w:tcW w:type="dxa" w:w="3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정책에 따른 자동처리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개인정보 공개 원칙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공급자 채택 전에는 수요자의 상세주소, 연락처, 정확한 동·호수 등 식별정보를 공개하지 않는다.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채택 후 실제 업무 수행에 필요한 범위에서만 당사자에게 공개한다.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상세주소, 계좌, 인증정보는 암호화하며 관리자 열람도 업무권한과 감사사유를 요구한다.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사진의 위치정보 등 불필요한 메타데이터는 제거하거나 노출을 제한한다.</w:t>
      </w:r>
    </w:p>
    <w:p>
      <w:r>
        <w:br w:type="page"/>
      </w:r>
    </w:p>
    <w:p>
      <w:pPr>
        <w:pStyle w:val="Heading1"/>
        <w:keepNext/>
      </w:pPr>
      <w:r>
        <w:t>3. 카테고리와 출장 가능지역</w:t>
      </w:r>
    </w:p>
    <w:p>
      <w:pPr>
        <w:pStyle w:val="Heading2"/>
        <w:keepNext/>
      </w:pPr>
      <w:r>
        <w:t>3.1 카테고리 체계</w:t>
      </w:r>
    </w:p>
    <w:p>
      <w:pPr>
        <w:spacing w:after="120" w:line="293" w:lineRule="auto"/>
      </w:pPr>
      <w:r>
        <w:rPr>
          <w:rFonts w:ascii="Noto Sans KR" w:hAnsi="Noto Sans KR" w:eastAsia="Noto Sans KR"/>
          <w:b w:val="0"/>
          <w:sz w:val="19"/>
        </w:rPr>
        <w:t>본사는 대분류 → 중분류 → 하위 서비스 구조를 관리한다. 현재 관리대장 기준으로 6개 대분류, 82개 중분류, 677개 하위 서비스와 837개 동적 요청필드가 구성되어 있다. 카테고리별로 견적수수료, 긴급출동·정기구독 허용, 자격·안전, 완료증빙, A/S 등 운영필드를 함께 관리한다.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관리영역</w:t>
            </w:r>
          </w:p>
        </w:tc>
        <w:tc>
          <w:tcPr>
            <w:tcW w:type="dxa" w:w="74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주요 필드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기본정보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카테고리 코드, 상·하위 관계, 명칭, 설명, 노출순서, 사용상태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요청입력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필수 질문, 입력형식, 단위, 사진/동영상, 주소·일정, 동적 검증규칙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운영정책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긴급출동 허용, 정기구독 허용, 견적 유효시간, 취소·A/S·완료인증 기준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가격정책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가격유형, 기본금액, 최소·최대 권장금액, 단위, 할증·옵션, VAT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수수료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견적 채택 수수료, 최소·최대 수수료, 정기구독 정률/정액 수수료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공급자 요건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필요 자격·면허·보험·안전등급·증빙 유효기간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전국 출장지역 공통규칙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확정 기준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선택단위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전국 시·도 → 시·군·구 기초자치단체 단위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선택방식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공급자가 카테고리별로 복수 선택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적용범위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정기구독뿐 아니라 일반수리·긴급출동·인테리어 등 시스템 전체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매칭조건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활성 카테고리 + 공급자 승인 + 해당 시·군·구 + 미제재 + 알림수신 가능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행정구역 변경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폐지코드는 신규선택을 막고 과거 계약의 당시 코드·명칭은 보존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지역정보 공개</w:t>
            </w:r>
          </w:p>
        </w:tc>
        <w:tc>
          <w:tcPr>
            <w:tcW w:type="dxa" w:w="7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채택 전에는 기초자치단체 수준만 노출하고 상세주소는 비공개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전체 서비스 업무 흐름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 w:line="283" w:lineRule="auto"/>
            </w:pPr>
            <w:r>
              <w:rPr>
                <w:rFonts w:ascii="Noto Sans KR" w:hAnsi="Noto Sans KR" w:eastAsia="Noto Sans KR"/>
                <w:b/>
                <w:color w:val="187A7A"/>
                <w:sz w:val="20"/>
              </w:rPr>
              <w:t>공통 핵심 흐름  요청 등록 → 대상 공급자 추출 → 알림톡 → 공급자 견적/지원 → 수달신뢰점수순 비교 → 수요자 채택 → 계약·수행 → 상호완료 → 수수료·정산 → 후기·신뢰점수 반영</w:t>
            </w:r>
            <w:r>
              <w:rPr>
                <w:rFonts w:ascii="Noto Sans KR" w:hAnsi="Noto Sans KR" w:eastAsia="Noto Sans KR"/>
                <w:b w:val="0"/>
                <w:color w:val="153B4C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일반수리·생활서비스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84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처리 내용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1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수요자가 하위 카테고리, 내용, 사진, 서비스 지역, 희망일, 예산을 등록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2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시스템이 동적 필드와 가격정책을 검증하고 예상비용 스냅샷 생성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3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카테고리와 시·군·구가 일치하는 공급자에게 알림톡·웹알림 발송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4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공급자가 가격, 작업범위, 가능일, 예상시간, A/S 조건을 포함한 견적 제출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5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수요자가 수달신뢰점수 높은 순의 견적을 비교하고 공급자 채택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6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거래 생성 후 연락처·상세주소 공개, 방문·작업 수행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7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공급자 완료증빙과 수요자 완료확인 후 후기·신뢰점수·수수료 처리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긴급출동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84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처리 내용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1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수요자가 증상·위험유형·지역·연락가능번호를 긴급 요청으로 등록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2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가스·화재·감전 등은 공공 긴급기관 안내를 우선 표시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3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긴급 가능·현재 가용·지역·카테고리가 맞는 공급자에게 높은 우선순위로 알림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4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공급자가 도착예정시간(ETA), 출동비, 예상 작업범위를 제안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5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수요자가 수달신뢰점수순 비교 후 채택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6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도착인증, 응급조치, 완료증빙·확인 처리</w:t>
            </w:r>
          </w:p>
        </w:tc>
      </w:tr>
      <w:tr>
        <w:tc>
          <w:tcPr>
            <w:tcW w:type="dxa" w:w="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7</w:t>
            </w:r>
          </w:p>
        </w:tc>
        <w:tc>
          <w:tcPr>
            <w:tcW w:type="dxa" w:w="84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1차 미응답 시 정책에 따라 인접 권역 또는 추가 공급자로 단계 확대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인테리어·프로젝트</w:t>
      </w:r>
    </w:p>
    <w:p>
      <w:pPr>
        <w:spacing w:after="120" w:line="293" w:lineRule="auto"/>
      </w:pPr>
      <w:r>
        <w:rPr>
          <w:rFonts w:ascii="Noto Sans KR" w:hAnsi="Noto Sans KR" w:eastAsia="Noto Sans KR"/>
          <w:b w:val="0"/>
          <w:sz w:val="19"/>
        </w:rPr>
        <w:t>현장확인이 필요한 협의견적형 서비스로 운영한다. 요청서에는 공사범위, 면적, 현장조건, 예산, 희망기간, 도면·사진을 포함하며 상담·현장방문·비교견적·계약·공정단계·검수·A/S 이력을 관리한다. 공급자 정보와 견적 목록에는 동일하게 수달등급를 상시 표시하고 기본 정렬을 적용한다.</w:t>
      </w:r>
    </w:p>
    <w:p>
      <w:r>
        <w:br w:type="page"/>
      </w:r>
    </w:p>
    <w:p>
      <w:pPr>
        <w:pStyle w:val="Heading2"/>
      </w:pPr>
      <w:r>
        <w:t>4.4 수리·서비스 이력 관리</w:t>
      </w:r>
    </w:p>
    <w:p>
      <w:r>
        <w:t>완료된 거래는 단순 종료 건으로 보관하지 않고 수요자와 공급자 양측의 장기 서비스 이력으로 축적한다. 수요자는 본인·가정·사업장의 시설 또는 제품별로 과거 수리, 교체, 청소, 점검, A/S 내용을 조회하고, 공급자는 본인이 수행한 작업과 보증·A/S 이력을 조회한다. 이력은 원 거래·견적·완료증빙과 연결되며 임의로 과거 사실을 덮어쓰지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7777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7777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관리 범위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7777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핵심 기준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수요자 수리·서비스 이력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완료된 거래를 날짜·카테고리·시설/제품·공급자·금액·상태별로 조회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견적서, 작업 전/후 사진, 실제금액, 후기, 보증기간, A/S 연결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공급자 작업·수리 이력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본인이 수행한 거래를 고객 비식별 범위에서 조회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작업내용, 실제금액, 작업사진, 완료상태, 후기, A/S 처리이력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시설·제품 이력카드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에어컨·보일러·배관·전기·가전·공간 등 관리대상을 등록하거나 거래 완료 시 연결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설치/모델 정보, 수리·교체·점검 이력, 누적비용, 다음 점검 권장일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A/S 이력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원 거래의 보증조건과 연결해 접수·방문·조치·완료를 누적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보증 내/외 구분, 증상, 조치, 사진, 재발 여부, 분쟁 연결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AI 활용 확장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누적 이력을 바탕으로 반복고장·교체 필요성·예방점검 후보를 안내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sz w:val="18"/>
              </w:rPr>
              <w:t>AI는 권고·요약만 수행하고 최종 판단은 사용자/공급자/관리자가 수행</w:t>
            </w:r>
          </w:p>
        </w:tc>
      </w:tr>
    </w:tbl>
    <w:p>
      <w:pPr>
        <w:pStyle w:val="ListBullet"/>
      </w:pPr>
      <w:r>
        <w:t>수리·서비스 이력은 원 거래의 거래번호를 기준으로 연결하고, 작업완료 이후 수정이 필요한 경우에는 변경이력과 사유를 보존한다. 시설·제품 연결은 선택적으로 시작하되, 향후 예방관리·재수리·교체추천 AI의 기준 데이터로 활용할 수 있도록 확장 가능하게 설계한다.</w:t>
      </w:r>
    </w:p>
    <w:p>
      <w:pPr>
        <w:pStyle w:val="Heading1"/>
        <w:keepNext/>
      </w:pPr>
      <w:r>
        <w:t>5. 정기구독 확정 운영모델</w:t>
      </w:r>
    </w:p>
    <w:p>
      <w:pPr>
        <w:spacing w:after="120" w:line="293" w:lineRule="auto"/>
      </w:pPr>
      <w:r>
        <w:rPr>
          <w:rFonts w:ascii="Noto Sans KR" w:hAnsi="Noto Sans KR" w:eastAsia="Noto Sans KR"/>
          <w:b w:val="0"/>
          <w:sz w:val="19"/>
        </w:rPr>
        <w:t>정기구독은 본사가 허용 카테고리를 등록하고, 수요자가 실제 필요한 서비스와 비용·일정을 모집글 형태로 제시하며, 조건이 맞는 공급자가 지원하고 수요자가 최종 채택하는 구조이다.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0"/>
        <w:gridCol w:w="1200"/>
        <w:gridCol w:w="7510"/>
      </w:tblGrid>
      <w:tr>
        <w:trPr>
          <w:tblHeader w:val="true"/>
        </w:trPr>
        <w:tc>
          <w:tcPr>
            <w:tcW w:type="dxa" w:w="65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12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주체</w:t>
            </w:r>
          </w:p>
        </w:tc>
        <w:tc>
          <w:tcPr>
            <w:tcW w:type="dxa" w:w="751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핵심 처리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1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본사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정기구독 허용 카테고리, 동적 입력필드, 수수료, 완료·취소정책 등록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2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수요자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카테고리, 제시 비용, 작업내용·규모(예: 31평 주방 청소·세탁), 지역, 주기, 요일, 시간, 시작일 등록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3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시스템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카테고리 + 시·군·구 + 공급자 가용요일·시간이 맞는 공급자에게 알림톡 발송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4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공급자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제공범위, 제안가격, 가능시간, 추가조건을 포함하여 지원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5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수요자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수달등급, 경력, 자격, 평점, 완료율, 후기, 지원조건을 비교하고 채택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6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본사/수요자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계약 생성, 결제수단 등록, 구독료 본사 수납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7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공급자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약정 일시에 방문하고 GPS·QR 또는 인증번호로 방문 인증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8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쌍방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공급자는 사진·체크리스트로 완료 인증, 수요자도 완료 여부 확인</w:t>
            </w:r>
          </w:p>
        </w:tc>
      </w:tr>
      <w:tr>
        <w:tc>
          <w:tcPr>
            <w:tcW w:type="dxa" w:w="65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9</w:t>
            </w:r>
          </w:p>
        </w:tc>
        <w:tc>
          <w:tcPr>
            <w:tcW w:type="dxa" w:w="1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본사</w:t>
            </w:r>
          </w:p>
        </w:tc>
        <w:tc>
          <w:tcPr>
            <w:tcW w:type="dxa" w:w="751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상호 인증된 회차만 월말 정산에 포함하고 수수료 공제 후 공급자 인증계좌 지급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정기구독 금전흐름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 w:line="283" w:lineRule="auto"/>
            </w:pPr>
            <w:r>
              <w:rPr>
                <w:rFonts w:ascii="Noto Sans KR" w:hAnsi="Noto Sans KR" w:eastAsia="Noto Sans KR"/>
                <w:b/>
                <w:color w:val="187A7A"/>
                <w:sz w:val="20"/>
              </w:rPr>
              <w:t xml:space="preserve">확정 금전흐름  </w:t>
            </w:r>
            <w:r>
              <w:rPr>
                <w:rFonts w:ascii="Noto Sans KR" w:hAnsi="Noto Sans KR" w:eastAsia="Noto Sans KR"/>
                <w:b w:val="0"/>
                <w:color w:val="153B4C"/>
                <w:sz w:val="19"/>
              </w:rPr>
              <w:t>본사 구독료 수납 → 방문 상호 인증 → 월말 카테고리별 수수료 공제 → 관리자 승인 → 공급자 정산</w:t>
            </w:r>
          </w:p>
        </w:tc>
      </w:tr>
    </w:tbl>
    <w:p>
      <w:pPr>
        <w:spacing w:after="20"/>
      </w:pP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취소·미방문·보완·분쟁·환불 회차는 정산을 자동 보류한다.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중복결제·중복수수료·중복지급은 멱등키와 원장 제약으로 차단한다.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일회성 서비스는 기존 원칙대로 수요자가 공급자에게 직접 결제하는 구조를 유지하되, 카테고리별 정책으로 결제모듈을 확장할 수 있게 설계한다.</w:t>
      </w:r>
    </w:p>
    <w:p>
      <w:r>
        <w:br w:type="page"/>
      </w:r>
    </w:p>
    <w:p>
      <w:pPr>
        <w:pStyle w:val="Heading1"/>
        <w:keepNext/>
      </w:pPr>
      <w:r>
        <w:t>6. 수달등급 및 수달신뢰점수</w:t>
      </w:r>
    </w:p>
    <w:p>
      <w:r>
        <w:t>수달등급은 공급자의 인증정보, 견적 응답률, 방문 약속 준수율, 서비스 완료율, 고객평가, 분쟁 및 제재 이력 등을 종합한 수달신뢰점수(0~100점)를 기준으로 산정하는 수달 라이프의 독자적인 공급자 신뢰등급이다. 고객 화면에는 등급·신뢰점수·완료 건수·평점·약속 준수율 등 주요 실적을 함께 표시한다.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376"/>
        <w:gridCol w:w="5544"/>
      </w:tblGrid>
      <w:tr>
        <w:tc>
          <w:tcPr>
            <w:tcW w:type="dxa" w:w="3389"/>
            <w:shd w:fill="0F76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수달등급</w:t>
            </w:r>
          </w:p>
        </w:tc>
        <w:tc>
          <w:tcPr>
            <w:tcW w:type="dxa" w:w="3389"/>
            <w:shd w:fill="0F76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수달신뢰점수 기준</w:t>
            </w:r>
          </w:p>
        </w:tc>
        <w:tc>
          <w:tcPr>
            <w:tcW w:type="dxa" w:w="3389"/>
            <w:shd w:fill="0F76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의미·운영 기준</w:t>
            </w:r>
          </w:p>
        </w:tc>
      </w:tr>
      <w:tr>
        <w:tc>
          <w:tcPr>
            <w:tcW w:type="dxa" w:w="3389"/>
            <w:vAlign w:val="center"/>
            <w:shd w:fill="EAF7F4"/>
          </w:tcPr>
          <w:p>
            <w:pPr>
              <w:jc w:val="center"/>
            </w:pPr>
            <w:r>
              <w:rPr>
                <w:sz w:val="17"/>
              </w:rPr>
              <w:t>새싹수달</w:t>
            </w:r>
          </w:p>
        </w:tc>
        <w:tc>
          <w:tcPr>
            <w:tcW w:type="dxa" w:w="3389"/>
            <w:vAlign w:val="center"/>
            <w:shd w:fill="EAF7F4"/>
          </w:tcPr>
          <w:p>
            <w:pPr>
              <w:jc w:val="center"/>
            </w:pPr>
            <w:r>
              <w:rPr>
                <w:sz w:val="17"/>
              </w:rPr>
              <w:t>0~59점 또는 평가자료 부족</w:t>
            </w:r>
          </w:p>
        </w:tc>
        <w:tc>
          <w:tcPr>
            <w:tcW w:type="dxa" w:w="3389"/>
            <w:vAlign w:val="center"/>
            <w:shd w:fill="EAF7F4"/>
          </w:tcPr>
          <w:p>
            <w:pPr>
              <w:jc w:val="left"/>
            </w:pPr>
            <w:r>
              <w:rPr>
                <w:sz w:val="17"/>
              </w:rPr>
              <w:t>신규 가입·활동 초기 단계. 산정 전에는 “신규·평가중”으로 표시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>
              <w:rPr>
                <w:sz w:val="17"/>
              </w:rPr>
              <w:t>안심수달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>
              <w:rPr>
                <w:sz w:val="17"/>
              </w:rPr>
              <w:t>60~69점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>
              <w:rPr>
                <w:sz w:val="17"/>
              </w:rPr>
              <w:t>기본 인증을 완료하고 일정 수준의 정상 거래를 수행</w:t>
            </w:r>
          </w:p>
        </w:tc>
      </w:tr>
      <w:tr>
        <w:tc>
          <w:tcPr>
            <w:tcW w:type="dxa" w:w="3389"/>
            <w:vAlign w:val="center"/>
            <w:shd w:fill="EAF7F4"/>
          </w:tcPr>
          <w:p>
            <w:pPr>
              <w:jc w:val="center"/>
            </w:pPr>
            <w:r>
              <w:rPr>
                <w:sz w:val="17"/>
              </w:rPr>
              <w:t>믿음수달</w:t>
            </w:r>
          </w:p>
        </w:tc>
        <w:tc>
          <w:tcPr>
            <w:tcW w:type="dxa" w:w="3389"/>
            <w:vAlign w:val="center"/>
            <w:shd w:fill="EAF7F4"/>
          </w:tcPr>
          <w:p>
            <w:pPr>
              <w:jc w:val="center"/>
            </w:pPr>
            <w:r>
              <w:rPr>
                <w:sz w:val="17"/>
              </w:rPr>
              <w:t>70~79점</w:t>
            </w:r>
          </w:p>
        </w:tc>
        <w:tc>
          <w:tcPr>
            <w:tcW w:type="dxa" w:w="3389"/>
            <w:vAlign w:val="center"/>
            <w:shd w:fill="EAF7F4"/>
          </w:tcPr>
          <w:p>
            <w:pPr>
              <w:jc w:val="left"/>
            </w:pPr>
            <w:r>
              <w:rPr>
                <w:sz w:val="17"/>
              </w:rPr>
              <w:t>서비스 이행과 고객평가가 안정적인 공급자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>
              <w:rPr>
                <w:sz w:val="17"/>
              </w:rPr>
              <w:t>우수수달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>
              <w:rPr>
                <w:sz w:val="17"/>
              </w:rPr>
              <w:t>80~89점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>
              <w:rPr>
                <w:sz w:val="17"/>
              </w:rPr>
              <w:t>완료율·방문 준수율·고객만족도가 매우 우수</w:t>
            </w:r>
          </w:p>
        </w:tc>
      </w:tr>
      <w:tr>
        <w:tc>
          <w:tcPr>
            <w:tcW w:type="dxa" w:w="3389"/>
            <w:vAlign w:val="center"/>
            <w:shd w:fill="EAF7F4"/>
          </w:tcPr>
          <w:p>
            <w:pPr>
              <w:jc w:val="center"/>
            </w:pPr>
            <w:r>
              <w:rPr>
                <w:sz w:val="17"/>
              </w:rPr>
              <w:t>명예수달</w:t>
            </w:r>
          </w:p>
        </w:tc>
        <w:tc>
          <w:tcPr>
            <w:tcW w:type="dxa" w:w="3389"/>
            <w:vAlign w:val="center"/>
            <w:shd w:fill="EAF7F4"/>
          </w:tcPr>
          <w:p>
            <w:pPr>
              <w:jc w:val="center"/>
            </w:pPr>
            <w:r>
              <w:rPr>
                <w:sz w:val="17"/>
              </w:rPr>
              <w:t>90~100점</w:t>
            </w:r>
          </w:p>
        </w:tc>
        <w:tc>
          <w:tcPr>
            <w:tcW w:type="dxa" w:w="3389"/>
            <w:vAlign w:val="center"/>
            <w:shd w:fill="EAF7F4"/>
          </w:tcPr>
          <w:p>
            <w:pPr>
              <w:jc w:val="left"/>
            </w:pPr>
            <w:r>
              <w:rPr>
                <w:sz w:val="17"/>
              </w:rPr>
              <w:t>장기간 우수한 활동과 신뢰를 유지한 최상위 공급자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 w:line="283" w:lineRule="auto"/>
            </w:pPr>
            <w:r>
              <w:rPr>
                <w:rFonts w:ascii="Noto Sans KR" w:hAnsi="Noto Sans KR" w:eastAsia="Noto Sans KR"/>
                <w:b/>
                <w:color w:val="187A7A"/>
                <w:sz w:val="20"/>
              </w:rPr>
              <w:t>표시 원칙  공급자 정보가 카드형·목록형·표형·상세형 중 어떤 방식으로 노출되더라도 수달등급는 선택적으로 숨길 수 없는 필수 공통항목이다.</w:t>
            </w:r>
            <w:r>
              <w:rPr>
                <w:rFonts w:ascii="Noto Sans KR" w:hAnsi="Noto Sans KR" w:eastAsia="Noto Sans KR"/>
                <w:b w:val="0"/>
                <w:color w:val="153B4C"/>
                <w:sz w:val="19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적용 화면</w:t>
            </w:r>
          </w:p>
        </w:tc>
        <w:tc>
          <w:tcPr>
            <w:tcW w:type="dxa" w:w="69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표시·정렬 기준</w:t>
            </w:r>
          </w:p>
        </w:tc>
      </w:tr>
      <w:tr>
        <w:tc>
          <w:tcPr>
            <w:tcW w:type="dxa" w:w="2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공급자 검색·추천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수달등급 상시 표시, 높은 순 기본정렬</w:t>
            </w:r>
          </w:p>
        </w:tc>
      </w:tr>
      <w:tr>
        <w:tc>
          <w:tcPr>
            <w:tcW w:type="dxa" w:w="2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견적서 목록·비교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공급자명 옆 배지 표시, 높은 순 기본정렬</w:t>
            </w:r>
          </w:p>
        </w:tc>
      </w:tr>
      <w:tr>
        <w:tc>
          <w:tcPr>
            <w:tcW w:type="dxa" w:w="2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정기구독 지원자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지원조건과 함께 상시 표시, 높은 순 기본정렬</w:t>
            </w:r>
          </w:p>
        </w:tc>
      </w:tr>
      <w:tr>
        <w:tc>
          <w:tcPr>
            <w:tcW w:type="dxa" w:w="2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프로필 상세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현재 등급과 신뢰점수, 주요 인증·경력·평점·후기와 함께 표시</w:t>
            </w:r>
          </w:p>
        </w:tc>
      </w:tr>
      <w:tr>
        <w:tc>
          <w:tcPr>
            <w:tcW w:type="dxa" w:w="2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채택·계약 확인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채택 당시 수달등급를 거래 스냅샷으로 보존</w:t>
            </w:r>
          </w:p>
        </w:tc>
      </w:tr>
      <w:tr>
        <w:tc>
          <w:tcPr>
            <w:tcW w:type="dxa" w:w="2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방문일정·완료·후기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담당 공급자 정보에 계속 표시</w:t>
            </w:r>
          </w:p>
        </w:tc>
      </w:tr>
      <w:tr>
        <w:tc>
          <w:tcPr>
            <w:tcW w:type="dxa" w:w="2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신규 공급자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빈칸이나 0점 대신 “신규·평가중” 표시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기본 정렬과 동점처리</w:t>
      </w:r>
    </w:p>
    <w:p>
      <w:pPr>
        <w:spacing w:after="120" w:line="293" w:lineRule="auto"/>
      </w:pPr>
      <w:r>
        <w:rPr>
          <w:rFonts w:ascii="Noto Sans KR" w:hAnsi="Noto Sans KR" w:eastAsia="Noto Sans KR"/>
          <w:b w:val="0"/>
          <w:sz w:val="19"/>
        </w:rPr>
        <w:t>공급자 관련 수요자 화면의 기본 정렬은 수달신뢰점수 내림차순이다. 동일 점수일 때는 완료율 → 평점 → 응답속도 → 거리 → 최근 활동 순으로 정한다. 가격순·평점순 등은 보조 정렬로 제공할 수 있으나 기본값은 수달신뢰점수 높은 순이다.</w:t>
      </w:r>
    </w:p>
    <w:p>
      <w:pPr>
        <w:pStyle w:val="Heading2"/>
        <w:keepNext/>
      </w:pPr>
      <w:r>
        <w:t>6.2 운영상 예외</w:t>
      </w:r>
    </w:p>
    <w:p>
      <w:pPr>
        <w:spacing w:after="120" w:line="293" w:lineRule="auto"/>
      </w:pPr>
      <w:r>
        <w:rPr>
          <w:rFonts w:ascii="Noto Sans KR" w:hAnsi="Noto Sans KR" w:eastAsia="Noto Sans KR"/>
          <w:b w:val="0"/>
          <w:sz w:val="19"/>
        </w:rPr>
        <w:t>관리자 장애·분쟁·회계·정산 큐처럼 업무누락 방지를 위해 기한이나 긴급도가 우선인 목록은 정렬 예외로 한다. 다만 공급자 정보 열에는 수달등급과 수달신뢰점수를 그대로 표시한다.</w:t>
      </w:r>
    </w:p>
    <w:p>
      <w:r>
        <w:br w:type="page"/>
      </w:r>
    </w:p>
    <w:p>
      <w:pPr>
        <w:pStyle w:val="Heading1"/>
        <w:keepNext/>
      </w:pPr>
      <w:r>
        <w:t>7. 표준금액과 가격정책</w:t>
      </w:r>
    </w:p>
    <w:p>
      <w:pPr>
        <w:spacing w:after="120" w:line="293" w:lineRule="auto"/>
      </w:pPr>
      <w:r>
        <w:rPr>
          <w:rFonts w:ascii="Noto Sans KR" w:hAnsi="Noto Sans KR" w:eastAsia="Noto Sans KR"/>
          <w:b w:val="0"/>
          <w:sz w:val="19"/>
        </w:rPr>
        <w:t>표준금액은 공급자가 반드시 따라야 하는 고정가격이 아니라 수요자의 예상비용 안내, 공급자 견적 참고, 비정상 견적 탐지, 견적수수료·구독료 산정에 사용하는 본사 권장 기준이다. 화면에서는 “예상비용” 또는 “권장가격”으로 표현한다.</w:t>
      </w:r>
    </w:p>
    <w:p>
      <w:pPr>
        <w:pStyle w:val="Heading2"/>
        <w:keepNext/>
      </w:pPr>
      <w:r>
        <w:t>7.1 가격유형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25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적용 예</w:t>
            </w:r>
          </w:p>
        </w:tc>
        <w:tc>
          <w:tcPr>
            <w:tcW w:type="dxa" w:w="50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관리방식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고정형</w:t>
            </w:r>
          </w:p>
        </w:tc>
        <w:tc>
          <w:tcPr>
            <w:tcW w:type="dxa" w:w="2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필터교체·방문점검</w:t>
            </w:r>
          </w:p>
        </w:tc>
        <w:tc>
          <w:tcPr>
            <w:tcW w:type="dxa" w:w="5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명확한 기본범위와 고정 권장가격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범위형</w:t>
            </w:r>
          </w:p>
        </w:tc>
        <w:tc>
          <w:tcPr>
            <w:tcW w:type="dxa" w:w="2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수리·청소</w:t>
            </w:r>
          </w:p>
        </w:tc>
        <w:tc>
          <w:tcPr>
            <w:tcW w:type="dxa" w:w="5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최소금액·최대 권장금액과 변동요인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단가형</w:t>
            </w:r>
          </w:p>
        </w:tc>
        <w:tc>
          <w:tcPr>
            <w:tcW w:type="dxa" w:w="2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평당·시간당·개당·미터당</w:t>
            </w:r>
          </w:p>
        </w:tc>
        <w:tc>
          <w:tcPr>
            <w:tcW w:type="dxa" w:w="5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기본수량, 단가, 초과단가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협의견적형</w:t>
            </w:r>
          </w:p>
        </w:tc>
        <w:tc>
          <w:tcPr>
            <w:tcW w:type="dxa" w:w="2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대형수리·인테리어</w:t>
            </w:r>
          </w:p>
        </w:tc>
        <w:tc>
          <w:tcPr>
            <w:tcW w:type="dxa" w:w="5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현장확인 조건과 중분류 수수료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정기구독형</w:t>
            </w:r>
          </w:p>
        </w:tc>
        <w:tc>
          <w:tcPr>
            <w:tcW w:type="dxa" w:w="2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청소·세탁·시설관리</w:t>
            </w:r>
          </w:p>
        </w:tc>
        <w:tc>
          <w:tcPr>
            <w:tcW w:type="dxa" w:w="5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월 구독료, 회차금액, 추가작업비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긴급출동형</w:t>
            </w:r>
          </w:p>
        </w:tc>
        <w:tc>
          <w:tcPr>
            <w:tcW w:type="dxa" w:w="2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누수·막힘·전기출동</w:t>
            </w:r>
          </w:p>
        </w:tc>
        <w:tc>
          <w:tcPr>
            <w:tcW w:type="dxa" w:w="5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기본출동비 + 긴급·야간·휴일 할증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공통 산식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 w:line="283" w:lineRule="auto"/>
            </w:pPr>
            <w:r>
              <w:rPr>
                <w:rFonts w:ascii="Noto Sans KR" w:hAnsi="Noto Sans KR" w:eastAsia="Noto Sans KR"/>
                <w:b/>
                <w:color w:val="187A7A"/>
                <w:sz w:val="20"/>
              </w:rPr>
              <w:t xml:space="preserve">예상금액  </w:t>
            </w:r>
            <w:r>
              <w:rPr>
                <w:rFonts w:ascii="Noto Sans KR" w:hAnsi="Noto Sans KR" w:eastAsia="Noto Sans KR"/>
                <w:b w:val="0"/>
                <w:color w:val="153B4C"/>
                <w:sz w:val="19"/>
              </w:rPr>
              <w:t>기본금액 + 단위수량 금액 + 면적·시간 초과금액 + 난이도 + 선택옵션 + 지역·긴급·야간·휴일 할증 - 정기구독 할인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필수 관리필드</w:t>
            </w:r>
          </w:p>
        </w:tc>
        <w:tc>
          <w:tcPr>
            <w:tcW w:type="dxa" w:w="71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예시·설명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기본정책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가격유형, 기본금액, 최소금액, 최대 권장금액, 과금단위, 기본 작업범위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작업조건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기본인원, 기본시간, 초과시간 단가, 면적·수량·거리 단가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할증·옵션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긴급·야간·휴일·지역 할증률, 선택서비스 금액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포함기준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출장비, 자재비, VAT 포함 여부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시행이력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적용 시작일·종료일, 상태, 승인자, 변경사유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이력과 스냅샷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가격을 수정할 때 기존 정책을 덮어쓰지 않고 새 적용 시작일을 가진 정책을 생성한다.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요청 공개 시 당시 입력값과 계산산식을 PriceSnapshot으로 저장한다.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채택·계약 시 표준금액, 공급자 견적, 수수료, 세금, A/S 조건을 거래 스냅샷으로 고정한다.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정책 변경으로 이미 생성된 요청·견적·계약·정산금액을 소급 변경하지 않는다.</w:t>
      </w:r>
    </w:p>
    <w:p>
      <w:r>
        <w:br w:type="page"/>
      </w:r>
    </w:p>
    <w:p>
      <w:pPr>
        <w:pStyle w:val="Heading1"/>
        <w:keepNext/>
      </w:pPr>
      <w:r>
        <w:t>8. 수수료·결제·정산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7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산정기준</w:t>
            </w:r>
          </w:p>
        </w:tc>
        <w:tc>
          <w:tcPr>
            <w:tcW w:type="dxa" w:w="27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처리시점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일회성 견적 채택 수수료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세부 카테고리별 정액 또는 표준금액×요율, 최소·최대 한도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수요자 채택 시 1회 차감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협의견적 수수료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표준금액이 없는 서비스의 중분류별 정액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채택 시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정기구독 플랫폼 수수료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회차 공급가×정률 또는 회차별 정액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월말 정산 시 공제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PG·결제비용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실제 계약한 PG 요율 또는 본사 정책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결제·정산 정책에 따라 반영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환불·분쟁 조정</w:t>
            </w:r>
          </w:p>
        </w:tc>
        <w:tc>
          <w:tcPr>
            <w:tcW w:type="dxa" w:w="4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귀책, 취소시점, 수행여부, 증빙에 따른 조정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정산 보류 후 관리자 승인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견적수수료 원칙</w:t>
      </w:r>
    </w:p>
    <w:p>
      <w:pPr>
        <w:spacing w:after="120" w:line="293" w:lineRule="auto"/>
      </w:pPr>
      <w:r>
        <w:rPr>
          <w:rFonts w:ascii="Noto Sans KR" w:hAnsi="Noto Sans KR" w:eastAsia="Noto Sans KR"/>
          <w:b w:val="0"/>
          <w:sz w:val="19"/>
        </w:rPr>
        <w:t>견적 작성화면에는 예상 수수료를 사전에 고지한다. 실제 차감은 수요자가 해당 견적을 채택할 때 이루어지도록 구분하며, 동일 요청의 중복 채택이나 재시도로 두 번 차감되지 않도록 한다.</w:t>
      </w:r>
    </w:p>
    <w:p>
      <w:pPr>
        <w:pStyle w:val="Heading2"/>
        <w:keepNext/>
      </w:pPr>
      <w:r>
        <w:t>8.2 정산 원칙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상호 완료 인증된 방문 회차만 정산 대상이다.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월 정산금 = 완료 회차 총액 - 플랫폼 수수료 - 환불·공제·보상 - 세금·결제비용(정책에 따라).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정산 계산자, 검토자, 승인자, 지급담당자를 가능한 범위에서 분리한다.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정산서와 지급에는 고유키를 부여하고 모든 조정은 역분개 방식으로 이력을 남긴다.</w:t>
      </w:r>
    </w:p>
    <w:p>
      <w:r>
        <w:br w:type="page"/>
      </w:r>
    </w:p>
    <w:p>
      <w:pPr>
        <w:pStyle w:val="Heading1"/>
        <w:keepNext/>
      </w:pPr>
      <w:r>
        <w:t>9. 알림톡과 매칭 규칙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트리거</w:t>
            </w:r>
          </w:p>
        </w:tc>
        <w:tc>
          <w:tcPr>
            <w:tcW w:type="dxa" w:w="38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대상 공급자</w:t>
            </w:r>
          </w:p>
        </w:tc>
        <w:tc>
          <w:tcPr>
            <w:tcW w:type="dxa" w:w="36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알림 핵심내용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일반 요청 공개</w:t>
            </w:r>
          </w:p>
        </w:tc>
        <w:tc>
          <w:tcPr>
            <w:tcW w:type="dxa" w:w="3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승인·활성 공급자 중 카테고리와 시·군·구 일치</w:t>
            </w:r>
          </w:p>
        </w:tc>
        <w:tc>
          <w:tcPr>
            <w:tcW w:type="dxa" w:w="3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카테고리, 지역, 희망일, 예산범위, 견적마감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긴급 요청 공개</w:t>
            </w:r>
          </w:p>
        </w:tc>
        <w:tc>
          <w:tcPr>
            <w:tcW w:type="dxa" w:w="3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위 조건 + 긴급출동 가능 + 현재 가용</w:t>
            </w:r>
          </w:p>
        </w:tc>
        <w:tc>
          <w:tcPr>
            <w:tcW w:type="dxa" w:w="3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긴급표시, 증상, 지역, 짧은 응답기한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정기구독 모집</w:t>
            </w:r>
          </w:p>
        </w:tc>
        <w:tc>
          <w:tcPr>
            <w:tcW w:type="dxa" w:w="3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구독 카테고리 + 지역 + 요일·시간 일치</w:t>
            </w:r>
          </w:p>
        </w:tc>
        <w:tc>
          <w:tcPr>
            <w:tcW w:type="dxa" w:w="3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서비스 내용·규모, 비용, 주기, 요일·시간, 지원마감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견적·지원 도착</w:t>
            </w:r>
          </w:p>
        </w:tc>
        <w:tc>
          <w:tcPr>
            <w:tcW w:type="dxa" w:w="3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해당 수요자</w:t>
            </w:r>
          </w:p>
        </w:tc>
        <w:tc>
          <w:tcPr>
            <w:tcW w:type="dxa" w:w="3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공급자, 수달등급, 견적/제안금액, 가능일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방문 예정</w:t>
            </w:r>
          </w:p>
        </w:tc>
        <w:tc>
          <w:tcPr>
            <w:tcW w:type="dxa" w:w="3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계약 당사자</w:t>
            </w:r>
          </w:p>
        </w:tc>
        <w:tc>
          <w:tcPr>
            <w:tcW w:type="dxa" w:w="3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방문일시, 인증방법, 변경마감</w:t>
            </w:r>
          </w:p>
        </w:tc>
      </w:tr>
      <w:tr>
        <w:tc>
          <w:tcPr>
            <w:tcW w:type="dxa" w:w="19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정산 지급</w:t>
            </w:r>
          </w:p>
        </w:tc>
        <w:tc>
          <w:tcPr>
            <w:tcW w:type="dxa" w:w="3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공급자</w:t>
            </w:r>
          </w:p>
        </w:tc>
        <w:tc>
          <w:tcPr>
            <w:tcW w:type="dxa" w:w="3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정산월, 총액, 수수료, 조정, 실지급액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발송 안정성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이벤트·수신자·채널·템플릿 조합으로 중복발송을 방지한다.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실패 시 제한 횟수 재시도하고 웹알림 또는 정책상 대체채널을 사용한다.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요청 마감·채택·지원자 충족 후에는 신규 모집 알림을 중단한다.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발송대상, 성공·실패, 재시도, 수신거부, 템플릿 버전을 모두 이력으로 남긴다.</w:t>
      </w:r>
    </w:p>
    <w:p>
      <w:r>
        <w:br w:type="page"/>
      </w:r>
    </w:p>
    <w:p>
      <w:pPr>
        <w:pStyle w:val="Heading1"/>
        <w:keepNext/>
      </w:pPr>
      <w:r>
        <w:t>10. 시스템·DB·보안 구축 기준</w:t>
      </w:r>
    </w:p>
    <w:p>
      <w:pPr>
        <w:pStyle w:val="Heading2"/>
        <w:keepNext/>
      </w:pPr>
      <w:r>
        <w:t>10.1 시스템 구조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70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수요자 반응형 웹앱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요청, 비교, 채택, 결제, 일정, 완료, 후기·분쟁, 수리·서비스 이력, 시설·제품 이력카드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공급자 반응형 웹앱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r>
              <w:t>프로필, 카테고리·출장지역, 견적·지원, 방문·완료, 작업·수리 이력, A/S, 정산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본사 관리자 웹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정책, 회원, 검수, 가격·수수료, 신뢰도, 알림, CS, 결제·정산, 수리이력 운영, 통계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공통 API·업무엔진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권한, 매칭, 가격계산, 상태전이, 알림이벤트, 결제·정산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공통 운영 DB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회원·카테고리·지역·요청·견적·거래·구독·정산·신뢰·감사 통합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외부연동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본인인증, 알림톡/SMS, 지도·주소, PG·정기결제, 은행지급, 파일저장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핵심 DB 도메인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도메인</w:t>
            </w:r>
          </w:p>
        </w:tc>
        <w:tc>
          <w:tcPr>
            <w:tcW w:type="dxa" w:w="71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대표 테이블·데이터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회원·권한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UserAccount, CustomerProfile, ProviderProfile, 자격·보험·계좌, 동의이력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카테고리·지역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ServiceCategory, 동적필드, CategoryPolicy, AdministrativeArea, CoverageArea, Availability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가격·수수료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StandardPricePolicy, PriceComponent, SurchargePolicy, FeePolicy, Price/Fee Snapshot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요청·매칭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ServiceRequest, RequestAnswer/Media, DispatchCandidate, NotificationLog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견적·거래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Quote/QuoteItem, Acceptance, Deal, Visit, CompletionEvidence, Review, Dispute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정기구독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SubscriptionRequest/Application/Contract, RecurrenceRule, Payment, VisitSchedule</w:t>
            </w:r>
          </w:p>
        </w:tc>
      </w:tr>
      <w:tr>
        <w:tc>
          <w:tcPr>
            <w:tcW w:type="dxa" w:w="2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정산·신뢰</w:t>
            </w:r>
          </w:p>
        </w:tc>
        <w:tc>
          <w:tcPr>
            <w:tcW w:type="dxa" w:w="7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SettlementItem, MonthlySettlement, Payout, CreditCurrent/History/Event, AuditLog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수리·서비스 이력</w:t>
            </w:r>
          </w:p>
        </w:tc>
        <w:tc>
          <w:tcPr>
            <w:tcW w:type="dxa" w:w="7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ServiceAsset, ServiceHistoryEntry, ServiceHistoryItem, TransactionAssetLink, Warranty/AfterServiceHistory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데이터·보안 원칙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최소권한, 역할분리, 관리자 중요행위 재인증과 감사로그를 적용한다.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상세주소·계좌·인증값 등 민감정보는 암호화하고 로그에는 원문을 남기지 않는다.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결제·채택·수수료·정산·지급은 멱등성을 보장하고 원장 합계가 대사되어야 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거래·정산·감사데이터는 임의 물리삭제하지 않고 보존기간 후 비식별·파기한다.</w:t>
      </w:r>
    </w:p>
    <w:p>
      <w:pPr>
        <w:pStyle w:val="ListBullet"/>
        <w:spacing w:after="60" w:line="278" w:lineRule="auto"/>
      </w:pPr>
      <w:r>
        <w:rPr>
          <w:rFonts w:ascii="Noto Sans KR" w:hAnsi="Noto Sans KR" w:eastAsia="Noto Sans KR"/>
          <w:b w:val="0"/>
          <w:sz w:val="18"/>
        </w:rPr>
        <w:t>클라우드사, PG사, 알림 사업자, 세율·요율은 계약에 따라 변경 가능한 환경·정책값으로 관리한다.</w:t>
      </w:r>
    </w:p>
    <w:p>
      <w:r>
        <w:br w:type="page"/>
      </w:r>
    </w:p>
    <w:p>
      <w:pPr>
        <w:pStyle w:val="Heading1"/>
        <w:keepNext/>
      </w:pPr>
      <w:r>
        <w:t>11. 운영 예외와 분쟁 처리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00"/>
        <w:gridCol w:w="3400"/>
        <w:gridCol w:w="3960"/>
      </w:tblGrid>
      <w:tr>
        <w:trPr>
          <w:tblHeader w:val="true"/>
        </w:trPr>
        <w:tc>
          <w:tcPr>
            <w:tcW w:type="dxa" w:w="20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34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자동처리</w:t>
            </w:r>
          </w:p>
        </w:tc>
        <w:tc>
          <w:tcPr>
            <w:tcW w:type="dxa" w:w="39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관리자 판단·금전처리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공급자 미방문</w:t>
            </w:r>
          </w:p>
        </w:tc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방문인증 부재와 예약시간 경과 감지, 정산 제외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대체공급자 모집, 환불, 신뢰점수 사건 반영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수요자 노쇼</w:t>
            </w:r>
          </w:p>
        </w:tc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공급자 도착인증·대기시간 확인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취소규정에 따른 출장비·공제 조정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완료 보완요청</w:t>
            </w:r>
          </w:p>
        </w:tc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정산 자동보류, 보완기한 생성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재방문·보상·완료 여부 판단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분쟁</w:t>
            </w:r>
          </w:p>
        </w:tc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관련 결제·정산·지급 보류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계약·견적·사진·인증·채팅 증빙으로 귀책 판단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알림 실패</w:t>
            </w:r>
          </w:p>
        </w:tc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재시도와 대체채널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번호·템플릿·사업자 장애 확인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중복 결제·지급</w:t>
            </w:r>
          </w:p>
        </w:tc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고유키로 차단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대사 후 취소·역분개</w:t>
            </w:r>
          </w:p>
        </w:tc>
      </w:tr>
      <w:tr>
        <w:tc>
          <w:tcPr>
            <w:tcW w:type="dxa" w:w="2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가격분쟁</w:t>
            </w:r>
          </w:p>
        </w:tc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거래 스냅샷과 변경이력 잠금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당시 조건 기준으로 환불·추가결제·조정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12. 개발 우선순위와 연계 산출물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5000"/>
        <w:gridCol w:w="2760"/>
      </w:tblGrid>
      <w:tr>
        <w:trPr>
          <w:tblHeader w:val="true"/>
        </w:trPr>
        <w:tc>
          <w:tcPr>
            <w:tcW w:type="dxa" w:w="16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50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핵심 구축범위</w:t>
            </w:r>
          </w:p>
        </w:tc>
        <w:tc>
          <w:tcPr>
            <w:tcW w:type="dxa" w:w="27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1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1. 기준정보</w:t>
            </w:r>
          </w:p>
        </w:tc>
        <w:tc>
          <w:tcPr>
            <w:tcW w:type="dxa" w:w="5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회원·권한, 카테고리, 행정구역, 공급자 출장지역·가용시간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관리자 등록과 공급자 설정 검증</w:t>
            </w:r>
          </w:p>
        </w:tc>
      </w:tr>
      <w:tr>
        <w:tc>
          <w:tcPr>
            <w:tcW w:type="dxa" w:w="1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2. 핵심거래</w:t>
            </w:r>
          </w:p>
        </w:tc>
        <w:tc>
          <w:tcPr>
            <w:tcW w:type="dxa" w:w="5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일반요청, 매칭, 알림톡, 견적, 수달신뢰점수순 비교·채택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정상·예외 E2E 통과</w:t>
            </w:r>
          </w:p>
        </w:tc>
      </w:tr>
      <w:tr>
        <w:tc>
          <w:tcPr>
            <w:tcW w:type="dxa" w:w="1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3. 수행관리</w:t>
            </w:r>
          </w:p>
        </w:tc>
        <w:tc>
          <w:tcPr>
            <w:tcW w:type="dxa" w:w="5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방문, 완료증빙, 상호확인, 후기, 수리·서비스 이력, 시설·제품 이력카드, 분쟁·A/S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상태·증빙·이력연결·보류 정합성</w:t>
            </w:r>
          </w:p>
        </w:tc>
      </w:tr>
      <w:tr>
        <w:tc>
          <w:tcPr>
            <w:tcW w:type="dxa" w:w="1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4. 정기구독</w:t>
            </w:r>
          </w:p>
        </w:tc>
        <w:tc>
          <w:tcPr>
            <w:tcW w:type="dxa" w:w="5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모집·지원·채택·본사수납·회차·월말정산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미방문·분쟁 포함 정산 대사</w:t>
            </w:r>
          </w:p>
        </w:tc>
      </w:tr>
      <w:tr>
        <w:tc>
          <w:tcPr>
            <w:tcW w:type="dxa" w:w="1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5. 고도화</w:t>
            </w:r>
          </w:p>
        </w:tc>
        <w:tc>
          <w:tcPr>
            <w:tcW w:type="dxa" w:w="50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인테리어 프로젝트, AI 추천가격·이상탐지·상담, 모바일 앱</w:t>
            </w:r>
          </w:p>
        </w:tc>
        <w:tc>
          <w:tcPr>
            <w:tcW w:type="dxa" w:w="2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운영데이터 기반 검증 후 확대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함께 관리할 기준 문서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60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용도</w:t>
            </w:r>
          </w:p>
        </w:tc>
      </w:tr>
      <w:tr>
        <w:tc>
          <w:tcPr>
            <w:tcW w:type="dxa" w:w="3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수달 라이프 전체 시스템 개발 통합상세설계서 v1.2</w:t>
            </w:r>
          </w:p>
        </w:tc>
        <w:tc>
          <w:tcPr>
            <w:tcW w:type="dxa" w:w="6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전체 플로우, 화면, DB, API, 상태, 보안, 테스트의 개발 착수 기준</w:t>
            </w:r>
          </w:p>
        </w:tc>
      </w:tr>
      <w:tr>
        <w:tc>
          <w:tcPr>
            <w:tcW w:type="dxa" w:w="3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수달라이프 전체 서비스 카테고리 및 수수료 관리대장 v1.1</w:t>
            </w:r>
          </w:p>
        </w:tc>
        <w:tc>
          <w:tcPr>
            <w:tcW w:type="dxa" w:w="6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6개 대분류·82개 중분류·677개 하위 서비스, 837개 입력필드, 수수료·자격·정책 관리</w:t>
            </w:r>
          </w:p>
        </w:tc>
      </w:tr>
      <w:tr>
        <w:tc>
          <w:tcPr>
            <w:tcW w:type="dxa" w:w="3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수달라이프 전국평균 표준요금표 2026-08</w:t>
            </w:r>
          </w:p>
        </w:tc>
        <w:tc>
          <w:tcPr>
            <w:tcW w:type="dxa" w:w="6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하위 서비스별 전국 평균 권장가격과 가격 입력·검토 기준</w:t>
            </w:r>
          </w:p>
        </w:tc>
      </w:tr>
      <w:tr>
        <w:tc>
          <w:tcPr>
            <w:tcW w:type="dxa" w:w="3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6"/>
              </w:rPr>
              <w:t>본 통합정리서</w:t>
            </w:r>
          </w:p>
        </w:tc>
        <w:tc>
          <w:tcPr>
            <w:tcW w:type="dxa" w:w="6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6"/>
              </w:rPr>
              <w:t>사업·운영·개발의 핵심 확정사항을 빠르게 확인하는 상위 기준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최종 적용 우선순위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 w:line="283" w:lineRule="auto"/>
            </w:pPr>
            <w:r>
              <w:rPr>
                <w:rFonts w:ascii="Noto Sans KR" w:hAnsi="Noto Sans KR" w:eastAsia="Noto Sans KR"/>
                <w:b/>
                <w:color w:val="187A7A"/>
                <w:sz w:val="20"/>
              </w:rPr>
              <w:t xml:space="preserve">정책 충돌 시  </w:t>
            </w:r>
            <w:r>
              <w:rPr>
                <w:rFonts w:ascii="Noto Sans KR" w:hAnsi="Noto Sans KR" w:eastAsia="Noto Sans KR"/>
                <w:b w:val="0"/>
                <w:color w:val="153B4C"/>
                <w:sz w:val="19"/>
              </w:rPr>
              <w:t>운영자가 승인·발행한 최신 이력형 정책이 신규 거래의 실행값이다. 그러나 이미 생성된 요청·견적·계약·정산은 생성 당시 저장된 스냅샷이 우선하며 과거 거래를 변경하지 않는다.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부록. 확정사항 체크리스트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0"/>
        <w:gridCol w:w="8560"/>
      </w:tblGrid>
      <w:tr>
        <w:trPr>
          <w:tblHeader w:val="true"/>
        </w:trPr>
        <w:tc>
          <w:tcPr>
            <w:tcW w:type="dxa" w:w="80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No.</w:t>
            </w:r>
          </w:p>
        </w:tc>
        <w:tc>
          <w:tcPr>
            <w:tcW w:type="dxa" w:w="8560"/>
            <w:shd w:fill="187A7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확정사항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1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본사 카테고리 등록·관리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2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공급자 카테고리별 전국 시·군·구 출장지역 선택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3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요청 공개 시 카테고리·지역 일치 공급자 알림톡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4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긴급출동 우선알림·짧은 응답기한·단계확대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5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공급자 정보의 수달등급 상시 표시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6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공급자·견적·지원자 목록 수달신뢰점수 높은 순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7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정기구독 수요자 모집·공급자 지원·수요자 채택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8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본사 구독료 수납·상호완료·월말 수수료 공제·공급자 지급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9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표준금액은 조건조합형 권장가격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10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가격·수수료·신뢰점수·계약조건 거래 스냅샷 보존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11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반응형 웹앱 우선, 안정화 후 모바일 앱 확장</w:t>
            </w:r>
          </w:p>
        </w:tc>
      </w:tr>
      <w:tr>
        <w:tc>
          <w:tcPr>
            <w:tcW w:type="dxa" w:w="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center"/>
            </w:pPr>
            <w:r>
              <w:rPr>
                <w:rFonts w:ascii="Noto Sans KR" w:hAnsi="Noto Sans KR" w:eastAsia="Noto Sans KR"/>
                <w:b/>
                <w:color w:val="153B4C"/>
                <w:sz w:val="17"/>
              </w:rPr>
              <w:t>12</w:t>
            </w:r>
          </w:p>
        </w:tc>
        <w:tc>
          <w:tcPr>
            <w:tcW w:type="dxa" w:w="8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AFA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>상세주소·연락처는 공급자 채택 전 비공개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8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수요자 마이페이지에 수리·서비스 이력과 시설·제품별 이력카드 제공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8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공급자 마이페이지에 본인 작업·수리 이력과 A/S 처리이력 제공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8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완료 거래·사진·실제금액·보증·A/S를 원 거래번호 기준으로 이력화하고 과거 사실 변경 시 변경이력 보존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b w:val="0"/>
        <w:color w:val="5C6C72"/>
        <w:sz w:val="16"/>
      </w:rPr>
      <w:t>수달 라이프 주요 내용 통합정리서 v1.2  |  2026. 8. 9.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53B4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87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53B4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수달 라이프 주요 내용 통합정리서 v1.2</dc:title>
  <dc:subject>수리·서비스 이력 관리 기능 통합 반영본</dc:subject>
  <dc:creator>윤종열 / 수달 라이프</dc:creator>
  <cp:keywords>수달 라이프, 수리의 달인, 정기구독, 수달온도, 표준금액, 출장지역, 알림톡</cp:keywords>
  <dc:description>수달등급 및 수달신뢰점수 체계 적용 개정본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