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60"/>
      </w:pPr>
      <w:r>
        <w:rPr>
          <w:rFonts w:ascii="Malgun Gothic" w:hAnsi="Malgun Gothic" w:eastAsia="Malgun Gothic"/>
          <w:b/>
          <w:color w:val="087F78"/>
          <w:sz w:val="20"/>
        </w:rPr>
        <w:t>SOODAL LIFE</w:t>
      </w:r>
    </w:p>
    <w:p>
      <w:pPr>
        <w:spacing w:after="140"/>
      </w:pPr>
      <w:r>
        <w:rPr>
          <w:rFonts w:ascii="Malgun Gothic" w:hAnsi="Malgun Gothic" w:eastAsia="Malgun Gothic"/>
          <w:b/>
          <w:color w:val="123D3A"/>
          <w:sz w:val="50"/>
        </w:rPr>
        <w:t>수달 라이프 고객 서비스 이용약관</w:t>
      </w:r>
    </w:p>
    <w:p>
      <w:pPr>
        <w:spacing w:after="320"/>
      </w:pPr>
      <w:r>
        <w:rPr>
          <w:rFonts w:ascii="Malgun Gothic" w:hAnsi="Malgun Gothic" w:eastAsia="Malgun Gothic"/>
          <w:color w:val="5F6B6A"/>
          <w:sz w:val="23"/>
        </w:rPr>
        <w:t>통신판매중개 서비스의 고객 이용조건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6F5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23D3A"/>
                <w:sz w:val="19"/>
              </w:rPr>
              <w:t>문서 상태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52321"/>
                <w:sz w:val="19"/>
              </w:rPr>
              <w:t>법률검토용 초안 - 게시 전 확정·검토 필요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6F5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23D3A"/>
                <w:sz w:val="19"/>
              </w:rPr>
              <w:t>운영 주체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52321"/>
                <w:sz w:val="19"/>
              </w:rPr>
              <w:t>(주)디에이치 / 대표자 하정숙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6F5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23D3A"/>
                <w:sz w:val="19"/>
              </w:rPr>
              <w:t>적용 대상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52321"/>
                <w:sz w:val="19"/>
              </w:rPr>
              <w:t>만 14세 이상의 고객 회원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6F5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23D3A"/>
                <w:sz w:val="19"/>
              </w:rPr>
              <w:t>시행 예정일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52321"/>
                <w:sz w:val="19"/>
              </w:rPr>
              <w:t>2026년 9월 1일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4CE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23D3A"/>
                <w:sz w:val="19"/>
              </w:rPr>
              <w:t xml:space="preserve">중요  </w:t>
            </w:r>
            <w:r>
              <w:rPr>
                <w:rFonts w:ascii="Malgun Gothic" w:hAnsi="Malgun Gothic" w:eastAsia="Malgun Gothic"/>
                <w:color w:val="152321"/>
                <w:sz w:val="19"/>
              </w:rPr>
              <w:t>본 초안은 서비스 구조와 2026년 8월 현재 확인한 법령·공식 지침을 반영한 내부 검토본입니다. 통신판매업 신고번호, 실제 수탁자, 수수료 정책 및 승인된 운영 절차를 확정한 뒤 법률전문가의 최종 검토를 거쳐 게시해야 합니다.</w:t>
            </w:r>
          </w:p>
        </w:tc>
      </w:tr>
    </w:tbl>
    <w:p>
      <w:pPr>
        <w:spacing w:after="20"/>
      </w:pPr>
    </w:p>
    <w:p>
      <w:pPr>
        <w:pStyle w:val="Heading2"/>
      </w:pPr>
      <w:r>
        <w:t>사업자 정보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6F5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23D3A"/>
                <w:sz w:val="18"/>
              </w:rPr>
              <w:t>항목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6F5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23D3A"/>
                <w:sz w:val="18"/>
              </w:rPr>
              <w:t>내용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52321"/>
                <w:sz w:val="17"/>
              </w:rPr>
              <w:t>상호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52321"/>
                <w:sz w:val="17"/>
              </w:rPr>
              <w:t>(주)디에이치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52321"/>
                <w:sz w:val="17"/>
              </w:rPr>
              <w:t>대표자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52321"/>
                <w:sz w:val="17"/>
              </w:rPr>
              <w:t>하정숙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52321"/>
                <w:sz w:val="17"/>
              </w:rPr>
              <w:t>사업자등록번호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52321"/>
                <w:sz w:val="17"/>
              </w:rPr>
              <w:t>896-81-02432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52321"/>
                <w:sz w:val="17"/>
              </w:rPr>
              <w:t>통신판매업 신고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52321"/>
                <w:sz w:val="17"/>
              </w:rPr>
              <w:t>[발급 후 기재] / 신고기관 [발급 후 기재]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52321"/>
                <w:sz w:val="17"/>
              </w:rPr>
              <w:t>주소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52321"/>
                <w:sz w:val="17"/>
              </w:rPr>
              <w:t>대구광역시 동구 효동로 72-1, 3층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52321"/>
                <w:sz w:val="17"/>
              </w:rPr>
              <w:t>고객센터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52321"/>
                <w:sz w:val="17"/>
              </w:rPr>
              <w:t>1670-5073 / customer@dh9.kr</w:t>
            </w:r>
          </w:p>
        </w:tc>
      </w:tr>
    </w:tbl>
    <w:p>
      <w:pPr>
        <w:spacing w:after="20"/>
      </w:pPr>
    </w:p>
    <w:p>
      <w:pPr>
        <w:pStyle w:val="Heading1"/>
      </w:pPr>
      <w:r>
        <w:t>제1조 (목적)</w:t>
      </w:r>
    </w:p>
    <w:p>
      <w:pPr>
        <w:keepLines/>
      </w:pPr>
      <w:r>
        <w:t>이 약관은 (주)디에이치(이하 ‘회사’)가 운영하는 수달 라이프 플랫폼에서 고객 회원이 전문가의 생활서비스를 탐색·요청·비교·선택하고 거래를 관리하는 데 필요한 권리, 의무 및 책임사항을 정함을 목적으로 합니다.</w:t>
      </w:r>
    </w:p>
    <w:p>
      <w:pPr>
        <w:pStyle w:val="Heading1"/>
      </w:pPr>
      <w:r>
        <w:t>제2조 (정의)</w:t>
      </w:r>
    </w:p>
    <w:p>
      <w:pPr>
        <w:keepLines/>
      </w:pPr>
      <w:r>
        <w:t>① ‘플랫폼’은 고객과 전문가가 서비스 요청, 견적, 선택, 일정, 채팅, 작업완료, 사후관리 및 분쟁처리를 수행할 수 있도록 회사가 제공하는 정보통신서비스를 말합니다.</w:t>
      </w:r>
    </w:p>
    <w:p>
      <w:pPr>
        <w:keepLines/>
      </w:pPr>
      <w:r>
        <w:t>② ‘고객’은 만 14세 이상으로서 이 약관에 동의하고 고객 계정을 이용하는 자를 말합니다.</w:t>
      </w:r>
    </w:p>
    <w:p>
      <w:pPr>
        <w:keepLines/>
      </w:pPr>
      <w:r>
        <w:t>③ ‘전문가’는 플랫폼을 통해 생활서비스를 제공하기 위해 등록하고 회사의 심사 또는 서비스별 승인을 받은 자를 말합니다.</w:t>
      </w:r>
    </w:p>
    <w:p>
      <w:pPr>
        <w:keepLines/>
      </w:pPr>
      <w:r>
        <w:t>④ ‘거래’는 고객이 전문가의 견적 또는 제안을 선택함으로써 고객과 전문가 사이에 성립하는 서비스 제공 계약을 말합니다.</w:t>
      </w:r>
    </w:p>
    <w:p>
      <w:pPr>
        <w:keepLines/>
      </w:pPr>
      <w:r>
        <w:t>⑤ ‘직접지급’은 서비스 대금을 고객이 전문가에게 직접 지급하는 방식을 말하며, 회사가 별도로 명시하지 않는 한 회사는 대금을 수령하거나 보관하지 않습니다.</w:t>
      </w:r>
    </w:p>
    <w:p>
      <w:pPr>
        <w:pStyle w:val="Heading1"/>
      </w:pPr>
      <w:r>
        <w:t>제3조 (회사의 지위와 중개 고지)</w:t>
      </w:r>
    </w:p>
    <w:p>
      <w:pPr>
        <w:keepLines/>
      </w:pPr>
      <w:r>
        <w:t>① 회사는 고객과 전문가 사이의 거래를 중개하는 통신판매중개자이며 원칙적으로 개별 서비스 거래의 당사자가 아닙니다.</w:t>
      </w:r>
    </w:p>
    <w:p>
      <w:pPr>
        <w:keepLines/>
      </w:pPr>
      <w:r>
        <w:t>② 서비스의 구체적 내용, 가격, 일정, 품질, 하자보수, 취소 및 환급 책임은 해당 거래조건과 관계 법령에 따라 고객과 전문가에게 귀속됩니다.</w:t>
      </w:r>
    </w:p>
    <w:p>
      <w:pPr>
        <w:keepLines/>
      </w:pPr>
      <w:r>
        <w:t>③ 회사는 중개자라는 이유만으로 회사의 고의·과실 또는 관계 법령에 따른 의무와 책임을 배제하지 않습니다.</w:t>
      </w:r>
    </w:p>
    <w:p>
      <w:pPr>
        <w:keepLines/>
      </w:pPr>
      <w:r>
        <w:t>④ 회사는 청약 또는 전문가 선택 전에 관계 법령에서 요구하는 범위의 전문가 신원·사업자 정보와 주요 거래조건을 고객이 확인할 수 있도록 제공합니다.</w:t>
      </w:r>
    </w:p>
    <w:p>
      <w:pPr>
        <w:pStyle w:val="Heading1"/>
      </w:pPr>
      <w:r>
        <w:t>제4조 (약관의 게시와 변경)</w:t>
      </w:r>
    </w:p>
    <w:p>
      <w:pPr>
        <w:keepLines/>
      </w:pPr>
      <w:r>
        <w:t>① 회사는 약관의 내용, 상호, 대표자, 주소, 고객센터, 사업자등록번호 및 통신판매업 신고정보를 회원이 쉽게 확인할 수 있도록 게시합니다.</w:t>
      </w:r>
    </w:p>
    <w:p>
      <w:pPr>
        <w:keepLines/>
      </w:pPr>
      <w:r>
        <w:t>② 회사가 약관을 변경하는 경우 시행일과 변경 사유를 원칙적으로 7일 전부터 알립니다. 회원에게 불리하거나 중요한 변경은 30일 전에 개별 통지하고 필요한 경우 다시 동의를 받습니다.</w:t>
      </w:r>
    </w:p>
    <w:p>
      <w:pPr>
        <w:keepLines/>
      </w:pPr>
      <w:r>
        <w:t>③ 법령상 허용되지 않는 방식으로 회원의 침묵만을 동의로 간주하지 않습니다.</w:t>
      </w:r>
    </w:p>
    <w:p>
      <w:pPr>
        <w:pStyle w:val="Heading1"/>
      </w:pPr>
      <w:r>
        <w:t>제5조 (회원가입과 계정)</w:t>
      </w:r>
    </w:p>
    <w:p>
      <w:pPr>
        <w:keepLines/>
      </w:pPr>
      <w:r>
        <w:t>① 고객 서비스는 만 14세 이상만 가입할 수 있습니다. 회원은 정확한 정보를 제공하고 변경사항을 최신 상태로 유지해야 합니다.</w:t>
      </w:r>
    </w:p>
    <w:p>
      <w:pPr>
        <w:keepLines/>
      </w:pPr>
      <w:r>
        <w:t>② 회원은 계정과 인증수단을 타인에게 양도·대여할 수 없으며 도용 또는 무단사용을 알게 된 경우 즉시 회사에 알려야 합니다.</w:t>
      </w:r>
    </w:p>
    <w:p>
      <w:pPr>
        <w:keepLines/>
      </w:pPr>
      <w:r>
        <w:t>③ 회사는 허위정보, 타인 명의 사용, 반복적 부정행위, 시스템 침해 또는 법령 위반이 확인된 경우 가입을 거절하거나 이용을 제한할 수 있습니다.</w:t>
      </w:r>
    </w:p>
    <w:p>
      <w:pPr>
        <w:pStyle w:val="Heading1"/>
      </w:pPr>
      <w:r>
        <w:t>제6조 (서비스 요청과 견적)</w:t>
      </w:r>
    </w:p>
    <w:p>
      <w:pPr>
        <w:keepLines/>
      </w:pPr>
      <w:r>
        <w:t>① 고객은 필요한 서비스, 시·군·구, 일정, 작업범위 및 기타 요청사항을 사실에 맞게 입력합니다.</w:t>
      </w:r>
    </w:p>
    <w:p>
      <w:pPr>
        <w:keepLines/>
      </w:pPr>
      <w:r>
        <w:t>② 채택 전 단계에서는 미선택 전문가에게 고객의 전화번호와 상세주소를 공개하지 않습니다. 전문가는 서비스, 지역, 승인 및 자격 조건을 충족하는 범위에서만 요청을 확인하거나 견적을 제출할 수 있습니다.</w:t>
      </w:r>
    </w:p>
    <w:p>
      <w:pPr>
        <w:keepLines/>
      </w:pPr>
      <w:r>
        <w:t>③ 전문가의 견적은 서비스 범위, 총액, 유효기간 및 추가조건을 포함할 수 있으며, 고객은 선택 전에 내용을 확인해야 합니다.</w:t>
      </w:r>
    </w:p>
    <w:p>
      <w:pPr>
        <w:keepLines/>
      </w:pPr>
      <w:r>
        <w:t>④ 견적 또는 제안의 선택으로 거래가 성립하며, 선택 이후의 변경은 당사자 합의 및 플랫폼의 변경 절차에 따릅니다.</w:t>
      </w:r>
    </w:p>
    <w:p>
      <w:pPr>
        <w:pStyle w:val="Heading1"/>
      </w:pPr>
      <w:r>
        <w:t>제7조 (가격과 직접지급)</w:t>
      </w:r>
    </w:p>
    <w:p>
      <w:pPr>
        <w:keepLines/>
      </w:pPr>
      <w:r>
        <w:t>① 고객은 선택한 전문가에게 서비스 대금을 직접 지급합니다. 회사가 PG 결제 또는 예치 서비스를 도입하는 경우 별도 고지와 필요한 동의를 거쳐 적용합니다.</w:t>
      </w:r>
    </w:p>
    <w:p>
      <w:pPr>
        <w:keepLines/>
      </w:pPr>
      <w:r>
        <w:t>② 플랫폼에 표시된 예상가격, 참고가격 또는 카탈로그 가격은 확정 거래가격이 아닐 수 있으며 최종 견적과 계약내용이 우선합니다.</w:t>
      </w:r>
    </w:p>
    <w:p>
      <w:pPr>
        <w:keepLines/>
      </w:pPr>
      <w:r>
        <w:t>③ 직접지급의 시기·방법·증빙 및 지급확인은 고객과 전문가가 합의하되, 분쟁 예방을 위해 플랫폼에 지급확인 기록을 남길 수 있습니다.</w:t>
      </w:r>
    </w:p>
    <w:p>
      <w:pPr>
        <w:keepLines/>
      </w:pPr>
      <w:r>
        <w:t>④ 회사는 고객으로부터 전문가 수수료를 대신 징수하지 않으며, 전문가에게 부과되는 플랫폼 수수료는 고객의 서비스 대금과 구분됩니다.</w:t>
      </w:r>
    </w:p>
    <w:p>
      <w:pPr>
        <w:pStyle w:val="Heading1"/>
      </w:pPr>
      <w:r>
        <w:t>제8조 (일정·수행·완료)</w:t>
      </w:r>
    </w:p>
    <w:p>
      <w:pPr>
        <w:keepLines/>
      </w:pPr>
      <w:r>
        <w:t>① 고객과 전문가는 플랫폼에서 일정 제안·확정·변경 기록을 확인해야 합니다.</w:t>
      </w:r>
    </w:p>
    <w:p>
      <w:pPr>
        <w:keepLines/>
      </w:pPr>
      <w:r>
        <w:t>② 고객은 전문가가 합의된 장소에 출입하고 서비스를 수행할 수 있도록 필요한 정보를 제공하고 안전한 작업환경을 마련해야 합니다.</w:t>
      </w:r>
    </w:p>
    <w:p>
      <w:pPr>
        <w:keepLines/>
      </w:pPr>
      <w:r>
        <w:t>③ 완료확인, 작업증빙, 검사, 하자 또는 사후관리 절차는 서비스 유형별 화면과 합의내용에 따릅니다. 완료확인이 권리포기나 발견하기 어려운 하자에 대한 이의제한을 의미하지는 않습니다.</w:t>
      </w:r>
    </w:p>
    <w:p>
      <w:pPr>
        <w:pStyle w:val="Heading1"/>
      </w:pPr>
      <w:r>
        <w:t>제9조 (취소·청약철회·환급)</w:t>
      </w:r>
    </w:p>
    <w:p>
      <w:pPr>
        <w:keepLines/>
      </w:pPr>
      <w:r>
        <w:t>① 취소, 청약철회, 환급 및 위약금은 관계 법령, 서비스 진행단계, 실제 발생비용 및 고객과 전문가가 사전에 확인한 거래조건에 따릅니다.</w:t>
      </w:r>
    </w:p>
    <w:p>
      <w:pPr>
        <w:keepLines/>
      </w:pPr>
      <w:r>
        <w:t>② 용역 제공이 개시된 경우에도 관계 법령상 인정되는 권리는 제한되지 않으며, 청약철회가 제한되는 사항은 계약 전에 명확히 고지되어야 합니다.</w:t>
      </w:r>
    </w:p>
    <w:p>
      <w:pPr>
        <w:keepLines/>
      </w:pPr>
      <w:r>
        <w:t>③ 전문가의 귀책으로 서비스를 제공하지 못하거나 계약내용과 현저히 다르게 이행한 경우 고객은 시정, 재이행, 감액, 해제·해지 또는 손해배상을 요구할 수 있습니다.</w:t>
      </w:r>
    </w:p>
    <w:p>
      <w:pPr>
        <w:keepLines/>
      </w:pPr>
      <w:r>
        <w:t>④ 직접지급된 금액의 반환은 원칙적으로 전문가가 처리하며 회사는 기록 제공, 연락 및 분쟁조정 절차를 지원합니다.</w:t>
      </w:r>
    </w:p>
    <w:p>
      <w:pPr>
        <w:pStyle w:val="Heading1"/>
      </w:pPr>
      <w:r>
        <w:t>제10조 (개인정보와 연락처 공개)</w:t>
      </w:r>
    </w:p>
    <w:p>
      <w:pPr>
        <w:keepLines/>
      </w:pPr>
      <w:r>
        <w:t>① 회사는 별도 개인정보처리방침에 따라 개인정보를 처리합니다.</w:t>
      </w:r>
    </w:p>
    <w:p>
      <w:pPr>
        <w:keepLines/>
      </w:pPr>
      <w:r>
        <w:t>② 고객의 전화번호와 상세주소는 고객이 전문가를 선택하거나 서비스 수행을 위해 담당 전문가가 배정된 경우 등 필요한 시점에 한해 해당 전문가에게 제공합니다. 회사는 필요한 경우 별도의 제3자 제공 동의를 받습니다.</w:t>
      </w:r>
    </w:p>
    <w:p>
      <w:pPr>
        <w:keepLines/>
      </w:pPr>
      <w:r>
        <w:t>③ 거래 종료, 전문가 교체 또는 접근권한 종료 후 전문가는 고객 개인정보를 신규 조회하거나 목적 외 이용해서는 안 됩니다.</w:t>
      </w:r>
    </w:p>
    <w:p>
      <w:pPr>
        <w:keepLines/>
      </w:pPr>
      <w:r>
        <w:t>④ 고객은 주민등록번호, 건강정보 등 불필요한 민감정보가 파일·채팅에 포함되지 않도록 주의해야 합니다. 파일 안전검사가 완료되지 않은 자료는 상대방에게 공개되지 않을 수 있습니다.</w:t>
      </w:r>
    </w:p>
    <w:p>
      <w:pPr>
        <w:pStyle w:val="Heading1"/>
      </w:pPr>
      <w:r>
        <w:t>제11조 (채팅·파일·콘텐츠)</w:t>
      </w:r>
    </w:p>
    <w:p>
      <w:pPr>
        <w:keepLines/>
      </w:pPr>
      <w:r>
        <w:t>① 채팅과 파일은 거래·상담·증빙 목적에 한해 사용해야 하며 불법정보, 악성코드, 타인의 권리를 침해하는 자료를 전송해서는 안 됩니다.</w:t>
      </w:r>
    </w:p>
    <w:p>
      <w:pPr>
        <w:keepLines/>
      </w:pPr>
      <w:r>
        <w:t>② 회사는 보안검사 또는 개인정보 점검이 완료되지 않은 파일을 비공개 처리할 수 있습니다. 외부 검사 서비스가 연동되지 않은 상태에서는 안전을 위해 공개가 제한될 수 있습니다.</w:t>
      </w:r>
    </w:p>
    <w:p>
      <w:pPr>
        <w:keepLines/>
      </w:pPr>
      <w:r>
        <w:t>③ 고객이 게시한 후기와 평가는 사실에 근거해야 하며 모욕, 허위사실, 개인정보 노출 또는 대가성 미표시 콘텐츠는 제한될 수 있습니다.</w:t>
      </w:r>
    </w:p>
    <w:p>
      <w:pPr>
        <w:keepLines/>
      </w:pPr>
      <w:r>
        <w:t>④ 고객은 서비스 운영·표시·분쟁처리에 필요한 범위에서 회사가 게시물을 저장·복제·표시하도록 허락하며, 이는 저작권을 회사에 양도한다는 의미가 아닙니다.</w:t>
      </w:r>
    </w:p>
    <w:p>
      <w:pPr>
        <w:pStyle w:val="Heading1"/>
      </w:pPr>
      <w:r>
        <w:t>제12조 (금지행위)</w:t>
      </w:r>
    </w:p>
    <w:p>
      <w:pPr>
        <w:keepLines/>
      </w:pPr>
      <w:r>
        <w:t>회원은 타인 사칭, 허위 요청, 반복적 노쇼, 부당한 외부거래 유도, 시스템 침해, 개인정보 수집·판매, 차별·괴롭힘, 불법 서비스 요청, 증빙 위변조 및 관계 법령 위반행위를 해서는 안 됩니다.</w:t>
      </w:r>
    </w:p>
    <w:p>
      <w:pPr>
        <w:pStyle w:val="Heading1"/>
      </w:pPr>
      <w:r>
        <w:t>제13조 (이용제한과 회원 간 차단)</w:t>
      </w:r>
    </w:p>
    <w:p>
      <w:pPr>
        <w:keepLines/>
      </w:pPr>
      <w:r>
        <w:t>① 회사는 위반의 정도와 긴급성을 고려하여 경고, 기능제한, 요청 차단, 계정 정지 또는 계약 해지 조치를 할 수 있으며 가능한 경우 사유와 이의절차를 안내합니다.</w:t>
      </w:r>
    </w:p>
    <w:p>
      <w:pPr>
        <w:keepLines/>
      </w:pPr>
      <w:r>
        <w:t>② 회원 간 차단은 새로운 매칭·견적·지원 등을 제한하지만 이미 진행 중인 거래의 이행·분쟁·법적 의무까지 임의로 소멸시키지 않습니다.</w:t>
      </w:r>
    </w:p>
    <w:p>
      <w:pPr>
        <w:pStyle w:val="Heading1"/>
      </w:pPr>
      <w:r>
        <w:t>제14조 (계정 탈퇴)</w:t>
      </w:r>
    </w:p>
    <w:p>
      <w:pPr>
        <w:keepLines/>
      </w:pPr>
      <w:r>
        <w:t>① 고객은 탈퇴를 요청할 수 있습니다. 다만 진행 중 거래, 미해결 분쟁, 환급·정산 또는 법정 보존의무가 있는 경우 필요한 절차가 끝날 때까지 탈퇴 완료 또는 일부 정보 삭제가 제한될 수 있습니다.</w:t>
      </w:r>
    </w:p>
    <w:p>
      <w:pPr>
        <w:keepLines/>
      </w:pPr>
      <w:r>
        <w:t>② 탈퇴 후에도 법령에 따라 보존하는 거래·분쟁 기록은 분리하여 보관하고 보존 목적 외로 이용하지 않습니다. 다른 역할을 함께 보유한 경우 고객 역할만 회수되고 별도 역할은 유지될 수 있습니다.</w:t>
      </w:r>
    </w:p>
    <w:p>
      <w:pPr>
        <w:pStyle w:val="Heading1"/>
      </w:pPr>
      <w:r>
        <w:t>제15조 (서비스의 변경·중단)</w:t>
      </w:r>
    </w:p>
    <w:p>
      <w:pPr>
        <w:keepLines/>
      </w:pPr>
      <w:r>
        <w:t>회사는 점검, 장애, 재난, 통신사업자 장애 또는 보안상 긴급조치가 필요한 경우 서비스를 제한할 수 있습니다. 예정된 중단은 사전에 알리고, 회사의 귀책으로 회원에게 손해가 발생한 경우 관계 법령에 따라 책임을 부담합니다.</w:t>
      </w:r>
    </w:p>
    <w:p>
      <w:pPr>
        <w:pStyle w:val="Heading1"/>
      </w:pPr>
      <w:r>
        <w:t>제16조 (분쟁처리와 책임)</w:t>
      </w:r>
    </w:p>
    <w:p>
      <w:pPr>
        <w:keepLines/>
      </w:pPr>
      <w:r>
        <w:t>① 고객은 고객센터 또는 플랫폼의 신고·분쟁 기능을 통해 이의를 제기할 수 있으며 회사는 사실확인, 기록보존, 상대방 의견수렴 및 조정절차를 지원합니다.</w:t>
      </w:r>
    </w:p>
    <w:p>
      <w:pPr>
        <w:keepLines/>
      </w:pPr>
      <w:r>
        <w:t>② 회사는 전문가의 행위에 대해 무조건적인 품질보증을 하지 않지만, 전문가 신원정보 제공, 중개시스템 운영 및 법령상 소비자보호 의무를 성실히 이행합니다.</w:t>
      </w:r>
    </w:p>
    <w:p>
      <w:pPr>
        <w:keepLines/>
      </w:pPr>
      <w:r>
        <w:t>③ 회원의 귀책으로 발생한 손해는 해당 회원이 부담하며, 회사의 고의·과실과 무관한 사유에 대한 책임을 부당하게 회사에 전가할 수 없습니다.</w:t>
      </w:r>
    </w:p>
    <w:p>
      <w:pPr>
        <w:pStyle w:val="Heading1"/>
      </w:pPr>
      <w:r>
        <w:t>제17조 (준거법과 관할)</w:t>
      </w:r>
    </w:p>
    <w:p>
      <w:pPr>
        <w:keepLines/>
      </w:pPr>
      <w:r>
        <w:t>이 약관과 플랫폼 이용에는 대한민국 법령이 적용됩니다. 분쟁이 원만히 해결되지 않는 경우 민사소송법 등 관계 법령이 정한 관할법원에 소를 제기할 수 있습니다.</w:t>
      </w:r>
    </w:p>
    <w:p>
      <w:pPr>
        <w:pStyle w:val="Heading1"/>
      </w:pPr>
      <w:r>
        <w:t>제18조 (시행일)</w:t>
      </w:r>
    </w:p>
    <w:p>
      <w:pPr>
        <w:keepLines/>
      </w:pPr>
      <w:r>
        <w:t>이 약관은 2026년 9월 1일부터 시행할 예정입니다.</w:t>
      </w:r>
    </w:p>
    <w:p>
      <w:pPr>
        <w:pStyle w:val="Heading2"/>
      </w:pPr>
      <w:r>
        <w:t>주요 조건 확인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6F5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23D3A"/>
                <w:sz w:val="19"/>
              </w:rPr>
              <w:t xml:space="preserve">가입·거래 화면에서 별도 강조  </w:t>
            </w:r>
            <w:r>
              <w:rPr>
                <w:rFonts w:ascii="Malgun Gothic" w:hAnsi="Malgun Gothic" w:eastAsia="Malgun Gothic"/>
                <w:color w:val="152321"/>
                <w:sz w:val="19"/>
              </w:rPr>
              <w:t>회사는 중개자이며 개별 거래 당사자는 고객과 전문가입니다. 고객은 전문가에게 직접 지급합니다. 전화번호와 상세주소는 선택·배정 전에는 공개되지 않습니다. 취소·환급 조건과 전문가 신원정보는 거래 전에 확인해야 합니다.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작성 기준 및 게시 전 검토사항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5F5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23D3A"/>
                <w:sz w:val="19"/>
              </w:rPr>
              <w:t xml:space="preserve">내부 검토용  </w:t>
            </w:r>
            <w:r>
              <w:rPr>
                <w:rFonts w:ascii="Malgun Gothic" w:hAnsi="Malgun Gothic" w:eastAsia="Malgun Gothic"/>
                <w:color w:val="152321"/>
                <w:sz w:val="19"/>
              </w:rPr>
              <w:t>이 절은 법률 검토를 돕기 위한 참고자료입니다. 최종 웹 게시본에서는 삭제하거나 별도 내부 검토 기록으로 보관하십시오.</w:t>
            </w:r>
          </w:p>
        </w:tc>
      </w:tr>
    </w:tbl>
    <w:p>
      <w:pPr>
        <w:spacing w:after="20"/>
      </w:pPr>
    </w:p>
    <w:p>
      <w:pPr>
        <w:pStyle w:val="Heading2"/>
      </w:pPr>
      <w:r>
        <w:t>주요 공식 기준</w:t>
      </w:r>
    </w:p>
    <w:p>
      <w:pPr>
        <w:ind w:left="259"/>
      </w:pPr>
      <w:r>
        <w:rPr>
          <w:rFonts w:ascii="Malgun Gothic" w:hAnsi="Malgun Gothic" w:eastAsia="Malgun Gothic"/>
          <w:b/>
          <w:color w:val="123D3A"/>
          <w:sz w:val="18"/>
        </w:rPr>
        <w:t xml:space="preserve">전자상거래 등에서의 소비자보호에 관한 법률: </w:t>
      </w:r>
      <w:r>
        <w:rPr>
          <w:rFonts w:ascii="Malgun Gothic" w:hAnsi="Malgun Gothic" w:eastAsia="Malgun Gothic"/>
          <w:color w:val="5F6B6A"/>
          <w:sz w:val="17"/>
        </w:rPr>
        <w:t>https://www.law.go.kr/법령/전자상거래등에서의소비자보호에관한법률</w:t>
      </w:r>
    </w:p>
    <w:p>
      <w:pPr>
        <w:ind w:left="259"/>
      </w:pPr>
      <w:r>
        <w:rPr>
          <w:rFonts w:ascii="Malgun Gothic" w:hAnsi="Malgun Gothic" w:eastAsia="Malgun Gothic"/>
          <w:b/>
          <w:color w:val="123D3A"/>
          <w:sz w:val="18"/>
        </w:rPr>
        <w:t xml:space="preserve">전자상거래법 시행령 제6조 거래기록 보존: </w:t>
      </w:r>
      <w:r>
        <w:rPr>
          <w:rFonts w:ascii="Malgun Gothic" w:hAnsi="Malgun Gothic" w:eastAsia="Malgun Gothic"/>
          <w:color w:val="5F6B6A"/>
          <w:sz w:val="17"/>
        </w:rPr>
        <w:t>https://www.law.go.kr/법령/전자상거래등에서의소비자보호에관한법률시행령</w:t>
      </w:r>
    </w:p>
    <w:p>
      <w:pPr>
        <w:ind w:left="259"/>
      </w:pPr>
      <w:r>
        <w:rPr>
          <w:rFonts w:ascii="Malgun Gothic" w:hAnsi="Malgun Gothic" w:eastAsia="Malgun Gothic"/>
          <w:b/>
          <w:color w:val="123D3A"/>
          <w:sz w:val="18"/>
        </w:rPr>
        <w:t xml:space="preserve">약관의 규제에 관한 법률: </w:t>
      </w:r>
      <w:r>
        <w:rPr>
          <w:rFonts w:ascii="Malgun Gothic" w:hAnsi="Malgun Gothic" w:eastAsia="Malgun Gothic"/>
          <w:color w:val="5F6B6A"/>
          <w:sz w:val="17"/>
        </w:rPr>
        <w:t>https://www.law.go.kr/법령/약관의규제에관한법률</w:t>
      </w:r>
    </w:p>
    <w:p>
      <w:pPr>
        <w:pStyle w:val="Heading2"/>
      </w:pPr>
      <w:r>
        <w:t>공통 발효 전 확인</w:t>
      </w:r>
    </w:p>
    <w:p>
      <w:pPr>
        <w:pStyle w:val="ListBullet"/>
        <w:ind w:left="547" w:hanging="259"/>
      </w:pPr>
      <w:r>
        <w:t>통신판매업 신고번호와 신고기관을 발급 내용 그대로 반영할 것</w:t>
      </w:r>
    </w:p>
    <w:p>
      <w:pPr>
        <w:pStyle w:val="ListBullet"/>
        <w:ind w:left="547" w:hanging="259"/>
      </w:pPr>
      <w:r>
        <w:t>실제 서버·호스팅·알림·파일검사 등 개인정보 처리 수탁자 목록을 계약서와 대조할 것</w:t>
      </w:r>
    </w:p>
    <w:p>
      <w:pPr>
        <w:pStyle w:val="ListBullet"/>
        <w:ind w:left="547" w:hanging="259"/>
      </w:pPr>
      <w:r>
        <w:t>서비스별 수수료, 취소·환불, 책임 및 분쟁 기준을 승인된 운영정책과 대조할 것</w:t>
      </w:r>
    </w:p>
    <w:p>
      <w:pPr>
        <w:pStyle w:val="ListBullet"/>
        <w:ind w:left="547" w:hanging="259"/>
      </w:pPr>
      <w:r>
        <w:t>개발용 약관에 대한 기존 동의를 운영 동의로 간주하지 말고 신규 버전으로 재동의 받을 것</w:t>
      </w:r>
    </w:p>
    <w:p>
      <w:pPr>
        <w:pStyle w:val="ListBullet"/>
        <w:ind w:left="547" w:hanging="259"/>
      </w:pPr>
      <w:r>
        <w:t>웹 Footer, 가입화면, 거래화면과 문서의 사업자·중개자 고지가 일치하는지 확인할 것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color w:val="5F6B6A"/>
        <w:sz w:val="18"/>
      </w:rPr>
      <w:t xml:space="preserve">페이지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b/>
        <w:color w:val="5F6B6A"/>
        <w:sz w:val="17"/>
      </w:rPr>
      <w:t>SOODAL LIFE  |  고객 이용약관  |  법률검토용 초안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Malgun Gothic" w:hAnsi="Malgun Gothic" w:eastAsia="Malgun Gothic"/>
      <w:color w:val="1523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23D3A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087F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23D3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