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78"/>
          <w:sz w:val="20"/>
        </w:rPr>
        <w:t>SOODAL LIFE</w:t>
      </w:r>
    </w:p>
    <w:p>
      <w:pPr>
        <w:spacing w:after="140"/>
      </w:pPr>
      <w:r>
        <w:rPr>
          <w:rFonts w:ascii="Malgun Gothic" w:hAnsi="Malgun Gothic" w:eastAsia="Malgun Gothic"/>
          <w:b/>
          <w:color w:val="123D3A"/>
          <w:sz w:val="50"/>
        </w:rPr>
        <w:t>수달 라이프 전문가 이용약관</w:t>
      </w:r>
    </w:p>
    <w:p>
      <w:pPr>
        <w:spacing w:after="320"/>
      </w:pPr>
      <w:r>
        <w:rPr>
          <w:rFonts w:ascii="Malgun Gothic" w:hAnsi="Malgun Gothic" w:eastAsia="Malgun Gothic"/>
          <w:color w:val="5F6B6A"/>
          <w:sz w:val="23"/>
        </w:rPr>
        <w:t>서비스별 승인·활동지역·직접지급 거래 및 플랫폼 수수료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문서 상태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법률검토용 초안 - 게시 전 확정·검토 필요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운영 주체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(주)디에이치 / 대표자 하정숙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적용 대상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개인·개인사업자·법인 등 전문가 회원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시행 예정일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2026년 9월 1일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중요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본 초안은 서비스 구조와 2026년 8월 현재 확인한 법령·공식 지침을 반영한 내부 검토본입니다. 통신판매업 신고번호, 실제 수탁자, 수수료 정책 및 승인된 운영 절차를 확정한 뒤 법률전문가의 최종 검토를 거쳐 게시해야 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사업자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항목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내용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상호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(주)디에이치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대표자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하정숙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사업자등록번호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896-81-02432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통신판매업 신고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[발급 후 기재] / 신고기관 [발급 후 기재]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주소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대구광역시 동구 효동로 72-1, 3층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고객센터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1670-5073 / customer@dh9.kr</w:t>
            </w:r>
          </w:p>
        </w:tc>
      </w:tr>
    </w:tbl>
    <w:p>
      <w:pPr>
        <w:spacing w:after="20"/>
      </w:pPr>
    </w:p>
    <w:p>
      <w:pPr>
        <w:pStyle w:val="Heading1"/>
      </w:pPr>
      <w:r>
        <w:t>제1조 (목적)</w:t>
      </w:r>
    </w:p>
    <w:p>
      <w:pPr>
        <w:keepLines/>
      </w:pPr>
      <w:r>
        <w:t>이 약관은 전문가가 수달 라이프 플랫폼을 통해 고객에게 생활서비스를 제공할 때 회사와 전문가 사이의 권리, 의무 및 책임사항을 정함을 목적으로 합니다.</w:t>
      </w:r>
    </w:p>
    <w:p>
      <w:pPr>
        <w:pStyle w:val="Heading1"/>
      </w:pPr>
      <w:r>
        <w:t>제2조 (전문가의 지위)</w:t>
      </w:r>
    </w:p>
    <w:p>
      <w:pPr>
        <w:keepLines/>
      </w:pPr>
      <w:r>
        <w:t>① 전문가는 자신의 책임과 계산으로 고객에게 서비스를 제공하는 독립된 거래당사자이며, 회사의 임직원·대리인·가맹점으로 간주되지 않습니다.</w:t>
      </w:r>
    </w:p>
    <w:p>
      <w:pPr>
        <w:keepLines/>
      </w:pPr>
      <w:r>
        <w:t>② 회사는 통신판매중개자로서 요청, 견적, 선택, 일정, 채팅, 완료, 사후관리, 수수료 및 분쟁처리를 위한 플랫폼을 제공합니다.</w:t>
      </w:r>
    </w:p>
    <w:p>
      <w:pPr>
        <w:keepLines/>
      </w:pPr>
      <w:r>
        <w:t>③ 전문가는 관계 법령상 필요한 사업자등록, 면허, 자격, 보험, 신고 및 안전조치를 스스로 갖추고 유지해야 합니다.</w:t>
      </w:r>
    </w:p>
    <w:p>
      <w:pPr>
        <w:pStyle w:val="Heading1"/>
      </w:pPr>
      <w:r>
        <w:t>제3조 (등록정보와 본인확인)</w:t>
      </w:r>
    </w:p>
    <w:p>
      <w:pPr>
        <w:keepLines/>
      </w:pPr>
      <w:r>
        <w:t>① 전문가는 상호, 대표자, 담당자, 연락처, 사업자등록정보, 사업장 주소, 업태·업종, 자격 및 증빙을 정확하게 제출하고 최신 상태로 유지해야 합니다.</w:t>
      </w:r>
    </w:p>
    <w:p>
      <w:pPr>
        <w:keepLines/>
      </w:pPr>
      <w:r>
        <w:t>② 허위·도용·위조 정보, 자격 상실 또는 중요 변경 미신고가 확인되면 회사는 심사 보류, 서비스 승인 취소 또는 이용제한 조치를 할 수 있습니다.</w:t>
      </w:r>
    </w:p>
    <w:p>
      <w:pPr>
        <w:keepLines/>
      </w:pPr>
      <w:r>
        <w:t>③ 외부 본인확인 서비스가 도입되기 전에는 해당 상태가 미연동으로 표시될 수 있으며 회사는 인증 성공을 가장하지 않습니다.</w:t>
      </w:r>
    </w:p>
    <w:p>
      <w:pPr>
        <w:pStyle w:val="Heading1"/>
      </w:pPr>
      <w:r>
        <w:t>제4조 (서비스·지역·승인)</w:t>
      </w:r>
    </w:p>
    <w:p>
      <w:pPr>
        <w:keepLines/>
      </w:pPr>
      <w:r>
        <w:t>① 전문가는 실제 제공 가능한 서비스와 시·군·구 활동지역을 서비스별로 선택합니다.</w:t>
      </w:r>
    </w:p>
    <w:p>
      <w:pPr>
        <w:keepLines/>
      </w:pPr>
      <w:r>
        <w:t>② 전문가 전체 승인과 서비스별 승인은 구분되며, 승인되지 않은 서비스 또는 지역의 신규 요청을 수신하거나 견적을 제출할 수 없습니다.</w:t>
      </w:r>
    </w:p>
    <w:p>
      <w:pPr>
        <w:keepLines/>
      </w:pPr>
      <w:r>
        <w:t>③ 자격·증빙의 만료, 행정처분, 활동지역 변경 또는 수행능력 변동이 있는 경우 즉시 갱신해야 합니다.</w:t>
      </w:r>
    </w:p>
    <w:p>
      <w:pPr>
        <w:pStyle w:val="Heading1"/>
      </w:pPr>
      <w:r>
        <w:t>제5조 (요청 수신과 견적)</w:t>
      </w:r>
    </w:p>
    <w:p>
      <w:pPr>
        <w:keepLines/>
      </w:pPr>
      <w:r>
        <w:t>① 전문가는 승인 서비스·활동지역·필수요건을 충족하는 요청만 확인할 수 있습니다.</w:t>
      </w:r>
    </w:p>
    <w:p>
      <w:pPr>
        <w:keepLines/>
      </w:pPr>
      <w:r>
        <w:t>② 견적에는 서비스 범위, 포함·제외 항목, 총액, 추가비용 발생조건, 유효기간, 일정 및 취소조건을 명확히 기재해야 합니다.</w:t>
      </w:r>
    </w:p>
    <w:p>
      <w:pPr>
        <w:keepLines/>
      </w:pPr>
      <w:r>
        <w:t>③ 허위 최저가, 선택 후 부당한 가격 인상, 담합, 대가성 후기 요구 또는 플랫폼 밖 결제를 강요하는 행위는 금지됩니다.</w:t>
      </w:r>
    </w:p>
    <w:p>
      <w:pPr>
        <w:keepLines/>
      </w:pPr>
      <w:r>
        <w:t>④ 고객이 견적을 선택하기 전에는 고객 전화번호와 상세주소를 조회하거나 우회적으로 수집할 수 없습니다.</w:t>
      </w:r>
    </w:p>
    <w:p>
      <w:pPr>
        <w:pStyle w:val="Heading1"/>
      </w:pPr>
      <w:r>
        <w:t>제6조 (거래 성립과 서비스 수행)</w:t>
      </w:r>
    </w:p>
    <w:p>
      <w:pPr>
        <w:keepLines/>
      </w:pPr>
      <w:r>
        <w:t>① 고객이 전문가의 견적 또는 제안을 선택하면 고객과 전문가 사이에 서비스 계약이 성립합니다.</w:t>
      </w:r>
    </w:p>
    <w:p>
      <w:pPr>
        <w:keepLines/>
      </w:pPr>
      <w:r>
        <w:t>② 전문가는 합의된 가격·범위·일정에 따라 전문적이고 안전하게 서비스를 수행하고 필요한 고지, 설명, 영수증 또는 거래증빙을 제공해야 합니다.</w:t>
      </w:r>
    </w:p>
    <w:p>
      <w:pPr>
        <w:keepLines/>
      </w:pPr>
      <w:r>
        <w:t>③ 제3자에게 재위탁하려면 관계 법령과 고객 동의 여부를 확인해야 하며, 전문가는 재위탁자의 행위에 대해 책임을 집니다.</w:t>
      </w:r>
    </w:p>
    <w:p>
      <w:pPr>
        <w:keepLines/>
      </w:pPr>
      <w:r>
        <w:t>④ 일정 변경, 추가 작업, 금액 변경 및 작업중단은 플랫폼에 기록하고 고객의 명시적 확인을 받아야 합니다.</w:t>
      </w:r>
    </w:p>
    <w:p>
      <w:pPr>
        <w:pStyle w:val="Heading1"/>
      </w:pPr>
      <w:r>
        <w:t>제7조 (직접지급)</w:t>
      </w:r>
    </w:p>
    <w:p>
      <w:pPr>
        <w:keepLines/>
      </w:pPr>
      <w:r>
        <w:t>① 고객은 전문가에게 서비스 대금을 직접 지급합니다. 전문가는 자신의 책임으로 적법한 지급수단, 영수증, 세금계산서 또는 현금영수증을 제공합니다.</w:t>
      </w:r>
    </w:p>
    <w:p>
      <w:pPr>
        <w:keepLines/>
      </w:pPr>
      <w:r>
        <w:t>② 회사는 별도 PG·예치 서비스가 도입되기 전까지 고객 대금을 수령·보관·송금하지 않습니다.</w:t>
      </w:r>
    </w:p>
    <w:p>
      <w:pPr>
        <w:keepLines/>
      </w:pPr>
      <w:r>
        <w:t>③ 전문가는 실제 지급 여부와 다른 확인을 등록하거나 이중청구해서는 안 됩니다.</w:t>
      </w:r>
    </w:p>
    <w:p>
      <w:pPr>
        <w:pStyle w:val="Heading1"/>
      </w:pPr>
      <w:r>
        <w:t>제8조 (플랫폼 수수료와 Wallet)</w:t>
      </w:r>
    </w:p>
    <w:p>
      <w:pPr>
        <w:keepLines/>
      </w:pPr>
      <w:r>
        <w:t>① 회사는 고객이 전문가를 선택하거나 별도로 고지한 수수료 발생사건이 성립한 경우 전문가 Wallet에서 서비스별 플랫폼 수수료를 차감할 수 있습니다.</w:t>
      </w:r>
    </w:p>
    <w:p>
      <w:pPr>
        <w:keepLines/>
      </w:pPr>
      <w:r>
        <w:t>② 수수료율, 산정기준, 세금, 발생시점 및 복원조건은 견적 또는 거래 전에 전문가 화면과 승인된 수수료 정책으로 명확히 고지합니다. 미확정 정책은 임의로 적용하지 않습니다.</w:t>
      </w:r>
    </w:p>
    <w:p>
      <w:pPr>
        <w:keepLines/>
      </w:pPr>
      <w:r>
        <w:t>③ 회사는 차감·충전·복원·환불 내역을 원장(Ledger)에 기록하고 전문가가 확인할 수 있도록 합니다.</w:t>
      </w:r>
    </w:p>
    <w:p>
      <w:pPr>
        <w:keepLines/>
      </w:pPr>
      <w:r>
        <w:t>④ 거래 취소, 중복차감, 전문가 귀책 여부 또는 분쟁결과에 따른 수수료 복원은 사전에 고지된 정책과 객관적 거래기록에 따릅니다.</w:t>
      </w:r>
    </w:p>
    <w:p>
      <w:pPr>
        <w:keepLines/>
      </w:pPr>
      <w:r>
        <w:t>⑤ Wallet 잔액은 고객 서비스 대금을 보관하는 예치금이 아니며, 별도 법적 성격과 환급절차는 운영정책 확정 후 명확히 고지합니다.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운영 전 필수 확정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서비스별 수수료율과 FEE-I1의 부과·복원·환급 기준이 확정되기 전에는 해당 정책을 실제 거래에 적용하지 마십시오.</w:t>
            </w:r>
          </w:p>
        </w:tc>
      </w:tr>
    </w:tbl>
    <w:p>
      <w:pPr>
        <w:spacing w:after="20"/>
      </w:pPr>
    </w:p>
    <w:p>
      <w:pPr>
        <w:pStyle w:val="Heading1"/>
      </w:pPr>
      <w:r>
        <w:t>제9조 (고객 개인정보 보호)</w:t>
      </w:r>
    </w:p>
    <w:p>
      <w:pPr>
        <w:keepLines/>
      </w:pPr>
      <w:r>
        <w:t>① 전문가는 선택·배정된 거래의 수행에 필요한 범위에서만 고객 이름, 연락처, 상세주소 등 개인정보를 이용합니다.</w:t>
      </w:r>
    </w:p>
    <w:p>
      <w:pPr>
        <w:keepLines/>
      </w:pPr>
      <w:r>
        <w:t>② 전문가는 고객 개인정보를 광고, 별도 영업, 제3자 제공, 명부 작성 또는 거래 외 연락에 이용할 수 없습니다.</w:t>
      </w:r>
    </w:p>
    <w:p>
      <w:pPr>
        <w:keepLines/>
      </w:pPr>
      <w:r>
        <w:t>③ 거래 종료·교체·권한 종료 후 신규 조회가 차단되며, 전문가는 별도로 저장한 개인정보를 법적 의무가 없는 한 지체 없이 삭제해야 합니다.</w:t>
      </w:r>
    </w:p>
    <w:p>
      <w:pPr>
        <w:keepLines/>
      </w:pPr>
      <w:r>
        <w:t>④ 개인정보 침해, 오발송, 분실 또는 무단접근을 알게 된 경우 즉시 회사에 알리고 조사·통지·복구에 협조해야 합니다.</w:t>
      </w:r>
    </w:p>
    <w:p>
      <w:pPr>
        <w:pStyle w:val="Heading1"/>
      </w:pPr>
      <w:r>
        <w:t>제10조 (채팅·파일·증빙)</w:t>
      </w:r>
    </w:p>
    <w:p>
      <w:pPr>
        <w:keepLines/>
      </w:pPr>
      <w:r>
        <w:t>① 전문가는 플랫폼 채팅과 파일을 거래 수행·상담·증빙 목적으로만 사용합니다.</w:t>
      </w:r>
    </w:p>
    <w:p>
      <w:pPr>
        <w:keepLines/>
      </w:pPr>
      <w:r>
        <w:t>② 악성코드·개인정보 검사가 완료되지 않은 파일은 고객에게 공개되지 않을 수 있으며, 검사 미연동 상태를 안전검사 완료로 표시해서는 안 됩니다.</w:t>
      </w:r>
    </w:p>
    <w:p>
      <w:pPr>
        <w:keepLines/>
      </w:pPr>
      <w:r>
        <w:t>③ 자격증, 사업자서류 및 작업증빙은 진실하고 유효해야 하며 문서번호 등 불필요한 개인정보는 가능한 범위에서 가림 처리합니다.</w:t>
      </w:r>
    </w:p>
    <w:p>
      <w:pPr>
        <w:pStyle w:val="Heading1"/>
      </w:pPr>
      <w:r>
        <w:t>제11조 (품질·안전·사후관리)</w:t>
      </w:r>
    </w:p>
    <w:p>
      <w:pPr>
        <w:keepLines/>
      </w:pPr>
      <w:r>
        <w:t>① 전문가는 작업 안전, 관계 법령, 제조사 지침, 시설관리 규칙 및 서비스별 품질기준을 준수합니다.</w:t>
      </w:r>
    </w:p>
    <w:p>
      <w:pPr>
        <w:keepLines/>
      </w:pPr>
      <w:r>
        <w:t>② 전문가는 하자, 미완료, 손상, 안전사고 또는 고객 불만에 성실히 대응하고 합의·법령·귀책에 따라 재이행, 보수, 감액 또는 배상조치를 합니다.</w:t>
      </w:r>
    </w:p>
    <w:p>
      <w:pPr>
        <w:keepLines/>
      </w:pPr>
      <w:r>
        <w:t>③ A/S, 분쟁, 검사, 작업일지 및 증빙은 플랫폼에 사실대로 기록합니다.</w:t>
      </w:r>
    </w:p>
    <w:p>
      <w:pPr>
        <w:pStyle w:val="Heading1"/>
      </w:pPr>
      <w:r>
        <w:t>제12조 (평가·Trust와 후기)</w:t>
      </w:r>
    </w:p>
    <w:p>
      <w:pPr>
        <w:keepLines/>
      </w:pPr>
      <w:r>
        <w:t>① 회사는 완료율, 취소, 분쟁, 제재, 후기 및 검증정보 등을 근거로 전문가 상태 또는 Trust 정보를 산정·표시할 수 있습니다.</w:t>
      </w:r>
    </w:p>
    <w:p>
      <w:pPr>
        <w:keepLines/>
      </w:pPr>
      <w:r>
        <w:t>② 자동 산정만으로 중대한 불이익을 확정하는 경우 회사는 근거 확인 및 이의제기 절차를 마련합니다.</w:t>
      </w:r>
    </w:p>
    <w:p>
      <w:pPr>
        <w:keepLines/>
      </w:pPr>
      <w:r>
        <w:t>③ 전문가는 허위 후기 작성, 고객에게 특정 평가 강요, 보상 대가 미표시 또는 부정한 평점 조작을 해서는 안 됩니다.</w:t>
      </w:r>
    </w:p>
    <w:p>
      <w:pPr>
        <w:pStyle w:val="Heading1"/>
      </w:pPr>
      <w:r>
        <w:t>제13조 (금지행위와 제재)</w:t>
      </w:r>
    </w:p>
    <w:p>
      <w:pPr>
        <w:keepLines/>
      </w:pPr>
      <w:r>
        <w:t>전문가는 무자격 서비스, 허위견적, 부당한 추가금, 차별·괴롭힘, 고객정보 오남용, 외부거래 강요, 증빙 위조, 시스템 침해, 반복적 노쇼 및 관계 법령 위반행위를 해서는 안 됩니다. 회사는 위반의 중대성과 긴급성에 따라 경고, 요청수신 제한, 서비스 승인 정지·취소, Wallet 제한, 계정 정지 또는 계약 해지 조치를 할 수 있으며 가능한 경우 사유와 이의절차를 제공합니다.</w:t>
      </w:r>
    </w:p>
    <w:p>
      <w:pPr>
        <w:pStyle w:val="Heading1"/>
      </w:pPr>
      <w:r>
        <w:t>제14조 (취소·분쟁·손해배상)</w:t>
      </w:r>
    </w:p>
    <w:p>
      <w:pPr>
        <w:keepLines/>
      </w:pPr>
      <w:r>
        <w:t>① 전문가는 서비스 제공 불가 사유가 발생하면 즉시 고객과 회사에 알리고 손해를 줄이기 위해 노력해야 합니다.</w:t>
      </w:r>
    </w:p>
    <w:p>
      <w:pPr>
        <w:keepLines/>
      </w:pPr>
      <w:r>
        <w:t>② 취소·환급·재이행·배상은 귀책, 진행단계, 실제 비용, 거래조건 및 관계 법령에 따릅니다.</w:t>
      </w:r>
    </w:p>
    <w:p>
      <w:pPr>
        <w:keepLines/>
      </w:pPr>
      <w:r>
        <w:t>③ 회사는 당사자 진술과 증빙을 수집하여 조정을 지원할 수 있으나 법원의 확정판결을 대신하지 않습니다.</w:t>
      </w:r>
    </w:p>
    <w:p>
      <w:pPr>
        <w:keepLines/>
      </w:pPr>
      <w:r>
        <w:t>④ 전문가의 고의·과실 또는 법령 위반으로 고객이나 회사에 손해가 발생한 경우 전문가는 그 손해를 배상할 책임이 있습니다.</w:t>
      </w:r>
    </w:p>
    <w:p>
      <w:pPr>
        <w:pStyle w:val="Heading1"/>
      </w:pPr>
      <w:r>
        <w:t>제15조 (활동 종료와 탈퇴)</w:t>
      </w:r>
    </w:p>
    <w:p>
      <w:pPr>
        <w:keepLines/>
      </w:pPr>
      <w:r>
        <w:t>① 전문가는 활동 종료를 신청할 수 있으나 진행 중 거래, A/S, 분쟁, Wallet 잔액, 환불·정산 및 법정 보존의무를 먼저 처리해야 합니다.</w:t>
      </w:r>
    </w:p>
    <w:p>
      <w:pPr>
        <w:keepLines/>
      </w:pPr>
      <w:r>
        <w:t>② 전문가 역할이 회수되더라도 고객 역할을 함께 보유한 경우 고객 역할은 별도로 유지될 수 있습니다.</w:t>
      </w:r>
    </w:p>
    <w:p>
      <w:pPr>
        <w:keepLines/>
      </w:pPr>
      <w:r>
        <w:t>③ 활동 종료 후 프로필은 비활성화되고 신규 요청 수신과 고객 개인정보 조회가 차단됩니다.</w:t>
      </w:r>
    </w:p>
    <w:p>
      <w:pPr>
        <w:pStyle w:val="Heading1"/>
      </w:pPr>
      <w:r>
        <w:t>제16조 (약관 변경·준거법·관할)</w:t>
      </w:r>
    </w:p>
    <w:p>
      <w:pPr>
        <w:keepLines/>
      </w:pPr>
      <w:r>
        <w:t>① 약관 변경과 고지는 관계 법령 및 중요한 불리한 변경에 대한 사전통지 원칙에 따릅니다.</w:t>
      </w:r>
    </w:p>
    <w:p>
      <w:pPr>
        <w:keepLines/>
      </w:pPr>
      <w:r>
        <w:t>② 이 약관에는 대한민국 법령이 적용되며 소송은 민사소송법 등 관계 법령이 정한 관할법원에 제기합니다.</w:t>
      </w:r>
    </w:p>
    <w:p>
      <w:pPr>
        <w:pStyle w:val="Heading1"/>
      </w:pPr>
      <w:r>
        <w:t>제17조 (시행일)</w:t>
      </w:r>
    </w:p>
    <w:p>
      <w:pPr>
        <w:keepLines/>
      </w:pPr>
      <w:r>
        <w:t>이 약관은 2026년 9월 1일부터 시행할 예정입니다.</w:t>
      </w:r>
    </w:p>
    <w:p>
      <w:r>
        <w:br w:type="page"/>
      </w:r>
    </w:p>
    <w:p>
      <w:pPr>
        <w:pStyle w:val="Heading1"/>
      </w:pPr>
      <w:r>
        <w:t>작성 기준 및 게시 전 검토사항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내부 검토용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이 절은 법률 검토를 돕기 위한 참고자료입니다. 최종 웹 게시본에서는 삭제하거나 별도 내부 검토 기록으로 보관하십시오.</w:t>
            </w:r>
          </w:p>
        </w:tc>
      </w:tr>
    </w:tbl>
    <w:p>
      <w:pPr>
        <w:spacing w:after="20"/>
      </w:pPr>
    </w:p>
    <w:p>
      <w:pPr>
        <w:pStyle w:val="Heading2"/>
      </w:pPr>
      <w:r>
        <w:t>주요 공식 기준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 등에서의 소비자보호에 관한 법률: </w:t>
      </w:r>
      <w:r>
        <w:rPr>
          <w:rFonts w:ascii="Malgun Gothic" w:hAnsi="Malgun Gothic" w:eastAsia="Malgun Gothic"/>
          <w:color w:val="5F6B6A"/>
          <w:sz w:val="17"/>
        </w:rPr>
        <w:t>https://www.law.go.kr/법령/전자상거래등에서의소비자보호에관한법률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시행령 제6조 거래기록 보존: </w:t>
      </w:r>
      <w:r>
        <w:rPr>
          <w:rFonts w:ascii="Malgun Gothic" w:hAnsi="Malgun Gothic" w:eastAsia="Malgun Gothic"/>
          <w:color w:val="5F6B6A"/>
          <w:sz w:val="17"/>
        </w:rPr>
        <w:t>https://www.law.go.kr/법령/전자상거래등에서의소비자보호에관한법률시행령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약관의 규제에 관한 법률: </w:t>
      </w:r>
      <w:r>
        <w:rPr>
          <w:rFonts w:ascii="Malgun Gothic" w:hAnsi="Malgun Gothic" w:eastAsia="Malgun Gothic"/>
          <w:color w:val="5F6B6A"/>
          <w:sz w:val="17"/>
        </w:rPr>
        <w:t>https://www.law.go.kr/법령/약관의규제에관한법률</w:t>
      </w:r>
    </w:p>
    <w:p>
      <w:pPr>
        <w:pStyle w:val="Heading2"/>
      </w:pPr>
      <w:r>
        <w:t>공통 발효 전 확인</w:t>
      </w:r>
    </w:p>
    <w:p>
      <w:pPr>
        <w:pStyle w:val="ListBullet"/>
        <w:ind w:left="547" w:hanging="259"/>
      </w:pPr>
      <w:r>
        <w:t>통신판매업 신고번호와 신고기관을 발급 내용 그대로 반영할 것</w:t>
      </w:r>
    </w:p>
    <w:p>
      <w:pPr>
        <w:pStyle w:val="ListBullet"/>
        <w:ind w:left="547" w:hanging="259"/>
      </w:pPr>
      <w:r>
        <w:t>실제 서버·호스팅·알림·파일검사 등 개인정보 처리 수탁자 목록을 계약서와 대조할 것</w:t>
      </w:r>
    </w:p>
    <w:p>
      <w:pPr>
        <w:pStyle w:val="ListBullet"/>
        <w:ind w:left="547" w:hanging="259"/>
      </w:pPr>
      <w:r>
        <w:t>서비스별 수수료, 취소·환불, 책임 및 분쟁 기준을 승인된 운영정책과 대조할 것</w:t>
      </w:r>
    </w:p>
    <w:p>
      <w:pPr>
        <w:pStyle w:val="ListBullet"/>
        <w:ind w:left="547" w:hanging="259"/>
      </w:pPr>
      <w:r>
        <w:t>개발용 약관에 대한 기존 동의를 운영 동의로 간주하지 말고 신규 버전으로 재동의 받을 것</w:t>
      </w:r>
    </w:p>
    <w:p>
      <w:pPr>
        <w:pStyle w:val="ListBullet"/>
        <w:ind w:left="547" w:hanging="259"/>
      </w:pPr>
      <w:r>
        <w:t>웹 Footer, 가입화면, 거래화면과 문서의 사업자·중개자 고지가 일치하는지 확인할 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6A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B6A"/>
        <w:sz w:val="17"/>
      </w:rPr>
      <w:t>SOODAL LIFE  |  전문가 이용약관  |  법률검토용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color w:val="15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