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60"/>
      </w:pPr>
      <w:r>
        <w:rPr>
          <w:rFonts w:ascii="Malgun Gothic" w:hAnsi="Malgun Gothic" w:eastAsia="Malgun Gothic"/>
          <w:b/>
          <w:color w:val="087F78"/>
          <w:sz w:val="20"/>
        </w:rPr>
        <w:t>SOODAL LIFE</w:t>
      </w:r>
    </w:p>
    <w:p>
      <w:pPr>
        <w:spacing w:after="140"/>
      </w:pPr>
      <w:r>
        <w:rPr>
          <w:rFonts w:ascii="Malgun Gothic" w:hAnsi="Malgun Gothic" w:eastAsia="Malgun Gothic"/>
          <w:b/>
          <w:color w:val="123D3A"/>
          <w:sz w:val="50"/>
        </w:rPr>
        <w:t>수달 라이프 선택적 마케팅 수신 동의</w:t>
      </w:r>
    </w:p>
    <w:p>
      <w:pPr>
        <w:spacing w:after="320"/>
      </w:pPr>
      <w:r>
        <w:rPr>
          <w:rFonts w:ascii="Malgun Gothic" w:hAnsi="Malgun Gothic" w:eastAsia="Malgun Gothic"/>
          <w:color w:val="5F6B6A"/>
          <w:sz w:val="23"/>
        </w:rPr>
        <w:t>혜택·이벤트·서비스 추천 정보 수신에 관한 선택 동의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6F5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23D3A"/>
                <w:sz w:val="19"/>
              </w:rPr>
              <w:t>문서 상태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52321"/>
                <w:sz w:val="19"/>
              </w:rPr>
              <w:t>법률검토용 초안 - 게시 전 확정·검토 필요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6F5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23D3A"/>
                <w:sz w:val="19"/>
              </w:rPr>
              <w:t>운영 주체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52321"/>
                <w:sz w:val="19"/>
              </w:rPr>
              <w:t>(주)디에이치 / 대표자 하정숙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6F5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23D3A"/>
                <w:sz w:val="19"/>
              </w:rPr>
              <w:t>적용 대상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52321"/>
                <w:sz w:val="19"/>
              </w:rPr>
              <w:t>마케팅 정보 수신을 선택하는 고객·전문가 회원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6F5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23D3A"/>
                <w:sz w:val="19"/>
              </w:rPr>
              <w:t>시행 예정일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52321"/>
                <w:sz w:val="19"/>
              </w:rPr>
              <w:t>2026년 9월 1일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4CE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23D3A"/>
                <w:sz w:val="19"/>
              </w:rPr>
              <w:t xml:space="preserve">중요  </w:t>
            </w:r>
            <w:r>
              <w:rPr>
                <w:rFonts w:ascii="Malgun Gothic" w:hAnsi="Malgun Gothic" w:eastAsia="Malgun Gothic"/>
                <w:color w:val="152321"/>
                <w:sz w:val="19"/>
              </w:rPr>
              <w:t>본 초안은 서비스 구조와 2026년 8월 현재 확인한 법령·공식 지침을 반영한 내부 검토본입니다. 통신판매업 신고번호, 실제 수탁자, 수수료 정책 및 승인된 운영 절차를 확정한 뒤 법률전문가의 최종 검토를 거쳐 게시해야 합니다.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6F5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23D3A"/>
                <w:sz w:val="19"/>
              </w:rPr>
              <w:t xml:space="preserve">선택 동의  </w:t>
            </w:r>
            <w:r>
              <w:rPr>
                <w:rFonts w:ascii="Malgun Gothic" w:hAnsi="Malgun Gothic" w:eastAsia="Malgun Gothic"/>
                <w:color w:val="152321"/>
                <w:sz w:val="19"/>
              </w:rPr>
              <w:t>동의하지 않아도 회원가입과 기본 서비스 이용에는 제한이 없습니다. 동의 후에도 언제든 철회할 수 있습니다.</w:t>
            </w:r>
          </w:p>
        </w:tc>
      </w:tr>
    </w:tbl>
    <w:p>
      <w:pPr>
        <w:spacing w:after="20"/>
      </w:pPr>
    </w:p>
    <w:p>
      <w:pPr>
        <w:pStyle w:val="Heading1"/>
      </w:pPr>
      <w:r>
        <w:t>1. 수집·이용 목적</w:t>
      </w:r>
    </w:p>
    <w:p>
      <w:r>
        <w:t>신규 서비스, 혜택, 이벤트, 프로모션, 쿠폰, 이용자 맞춤형 서비스 추천 및 설문 안내를 위해 개인정보를 이용합니다.</w:t>
      </w:r>
    </w:p>
    <w:p>
      <w:pPr>
        <w:pStyle w:val="Heading1"/>
      </w:pPr>
      <w:r>
        <w:t>2. 이용 항목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00"/>
        <w:gridCol w:w="7260"/>
      </w:tblGrid>
      <w:tr>
        <w:trPr>
          <w:tblHeader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6F5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23D3A"/>
                <w:sz w:val="18"/>
              </w:rPr>
              <w:t>필수 여부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6F5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23D3A"/>
                <w:sz w:val="18"/>
              </w:rPr>
              <w:t>항목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52321"/>
                <w:sz w:val="17"/>
              </w:rPr>
              <w:t>선택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52321"/>
                <w:sz w:val="17"/>
              </w:rPr>
              <w:t>이름 또는 표시명, 이메일 주소, 휴대전화번호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52321"/>
                <w:sz w:val="17"/>
              </w:rPr>
              <w:t>선택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52321"/>
                <w:sz w:val="17"/>
              </w:rPr>
              <w:t>회원 역할, 선택 서비스·관심지역, 서비스 이용·거래 이력에서 도출한 관심정보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52321"/>
                <w:sz w:val="17"/>
              </w:rPr>
              <w:t>기능 도입 시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52321"/>
                <w:sz w:val="17"/>
              </w:rPr>
              <w:t>Push 토큰, 채널별 수신설정 및 수신·거부 이력</w:t>
            </w:r>
          </w:p>
        </w:tc>
      </w:tr>
    </w:tbl>
    <w:p>
      <w:pPr>
        <w:spacing w:after="20"/>
      </w:pPr>
    </w:p>
    <w:p>
      <w:pPr>
        <w:pStyle w:val="Heading1"/>
      </w:pPr>
      <w:r>
        <w:t>3. 전송 채널</w:t>
      </w:r>
    </w:p>
    <w:p>
      <w:r>
        <w:t>이메일, SMS·문자, 알림톡, 앱·웹 Push 및 서비스 내 알림을 이용할 수 있습니다. 외부 채널이 실제 연동되기 전에는 해당 채널로 전송하지 않습니다.</w:t>
      </w:r>
    </w:p>
    <w:p>
      <w:pPr>
        <w:pStyle w:val="Heading1"/>
      </w:pPr>
      <w:r>
        <w:t>4. 보유·이용기간</w:t>
      </w:r>
    </w:p>
    <w:p>
      <w:r>
        <w:t>마케팅 동의 철회 또는 회원탈퇴 시까지 이용합니다. 다만 동의·철회 및 광고 전송 이력은 법령 준수와 분쟁 대응을 위해 필요한 기간 동안 별도로 보관할 수 있습니다.</w:t>
      </w:r>
    </w:p>
    <w:p>
      <w:pPr>
        <w:pStyle w:val="Heading1"/>
      </w:pPr>
      <w:r>
        <w:t>5. 동의 거부와 철회</w:t>
      </w:r>
    </w:p>
    <w:p>
      <w:r>
        <w:t>① 동의를 거부해도 회원가입, 요청, 견적, 거래 및 고객지원 등 기본 서비스는 이용할 수 있습니다.</w:t>
      </w:r>
    </w:p>
    <w:p>
      <w:r>
        <w:t>② 서비스의 알림 설정, 메시지 하단의 수신거부 방법 또는 고객센터를 통해 언제든 철회할 수 있습니다.</w:t>
      </w:r>
    </w:p>
    <w:p>
      <w:r>
        <w:t>③ 철회 요청은 지체 없이 반영하되 이미 발송을 위해 처리된 메시지는 일정 시간 동안 도달할 수 있습니다.</w:t>
      </w:r>
    </w:p>
    <w:p>
      <w:pPr>
        <w:pStyle w:val="Heading1"/>
      </w:pPr>
      <w:r>
        <w:t>6. 광고성 정보 전송 원칙</w:t>
      </w:r>
    </w:p>
    <w:p>
      <w:r>
        <w:t>① 광고성 정보에는 광고임을 알아볼 수 있는 표시, 발신자 정보 및 무료 수신거부 방법을 포함합니다.</w:t>
      </w:r>
    </w:p>
    <w:p>
      <w:r>
        <w:t>② 오후 9시부터 다음 날 오전 8시 사이에는 별도의 야간 광고 수신동의가 없는 한 광고성 정보를 전송하지 않습니다.</w:t>
      </w:r>
    </w:p>
    <w:p>
      <w:r>
        <w:t>③ 관계 법령이 요구하는 주기에 따라 수신동의 여부를 확인하고 그 결과를 알립니다.</w:t>
      </w:r>
    </w:p>
    <w:p>
      <w:pPr>
        <w:pStyle w:val="Heading1"/>
      </w:pPr>
      <w:r>
        <w:t>7. 동의 표시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6F5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23D3A"/>
                <w:sz w:val="18"/>
              </w:rPr>
              <w:t>선택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6F5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23D3A"/>
                <w:sz w:val="18"/>
              </w:rPr>
              <w:t>표시 문구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52321"/>
                <w:sz w:val="17"/>
              </w:rPr>
              <w:t>□ 동의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52321"/>
                <w:sz w:val="17"/>
              </w:rPr>
              <w:t>마케팅 목적 개인정보 수집·이용 및 광고성 정보 수신에 동의합니다.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52321"/>
                <w:sz w:val="17"/>
              </w:rPr>
              <w:t>□ 동의하지 않음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52321"/>
                <w:sz w:val="17"/>
              </w:rPr>
              <w:t>마케팅 정보를 받지 않으며 기본 서비스 이용에는 제한이 없습니다.</w:t>
            </w:r>
          </w:p>
        </w:tc>
      </w:tr>
    </w:tbl>
    <w:p>
      <w:pPr>
        <w:spacing w:after="20"/>
      </w:pPr>
    </w:p>
    <w:p>
      <w:pPr>
        <w:pStyle w:val="Heading1"/>
      </w:pPr>
      <w:r>
        <w:t>8. 시행일</w:t>
      </w:r>
    </w:p>
    <w:p>
      <w:r>
        <w:t>이 동의서는 2026년 9월 1일부터 적용할 예정입니다.</w:t>
      </w:r>
    </w:p>
    <w:p>
      <w:r>
        <w:br w:type="page"/>
      </w:r>
    </w:p>
    <w:p>
      <w:pPr>
        <w:pStyle w:val="Heading1"/>
      </w:pPr>
      <w:r>
        <w:t>작성 기준 및 게시 전 검토사항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5F5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23D3A"/>
                <w:sz w:val="19"/>
              </w:rPr>
              <w:t xml:space="preserve">내부 검토용  </w:t>
            </w:r>
            <w:r>
              <w:rPr>
                <w:rFonts w:ascii="Malgun Gothic" w:hAnsi="Malgun Gothic" w:eastAsia="Malgun Gothic"/>
                <w:color w:val="152321"/>
                <w:sz w:val="19"/>
              </w:rPr>
              <w:t>이 절은 법률 검토를 돕기 위한 참고자료입니다. 최종 웹 게시본에서는 삭제하거나 별도 내부 검토 기록으로 보관하십시오.</w:t>
            </w:r>
          </w:p>
        </w:tc>
      </w:tr>
    </w:tbl>
    <w:p>
      <w:pPr>
        <w:spacing w:after="20"/>
      </w:pPr>
    </w:p>
    <w:p>
      <w:pPr>
        <w:pStyle w:val="Heading2"/>
      </w:pPr>
      <w:r>
        <w:t>주요 공식 기준</w:t>
      </w:r>
    </w:p>
    <w:p>
      <w:pPr>
        <w:ind w:left="259"/>
      </w:pPr>
      <w:r>
        <w:rPr>
          <w:rFonts w:ascii="Malgun Gothic" w:hAnsi="Malgun Gothic" w:eastAsia="Malgun Gothic"/>
          <w:b/>
          <w:color w:val="123D3A"/>
          <w:sz w:val="18"/>
        </w:rPr>
        <w:t xml:space="preserve">정보통신망 이용촉진 및 정보보호 등에 관한 법률 제50조: </w:t>
      </w:r>
      <w:r>
        <w:rPr>
          <w:rFonts w:ascii="Malgun Gothic" w:hAnsi="Malgun Gothic" w:eastAsia="Malgun Gothic"/>
          <w:color w:val="5F6B6A"/>
          <w:sz w:val="17"/>
        </w:rPr>
        <w:t>https://www.law.go.kr/법령/정보통신망이용촉진및정보보호등에관한법률</w:t>
      </w:r>
    </w:p>
    <w:p>
      <w:pPr>
        <w:ind w:left="259"/>
      </w:pPr>
      <w:r>
        <w:rPr>
          <w:rFonts w:ascii="Malgun Gothic" w:hAnsi="Malgun Gothic" w:eastAsia="Malgun Gothic"/>
          <w:b/>
          <w:color w:val="123D3A"/>
          <w:sz w:val="18"/>
        </w:rPr>
        <w:t xml:space="preserve">개인정보 보호법: </w:t>
      </w:r>
      <w:r>
        <w:rPr>
          <w:rFonts w:ascii="Malgun Gothic" w:hAnsi="Malgun Gothic" w:eastAsia="Malgun Gothic"/>
          <w:color w:val="5F6B6A"/>
          <w:sz w:val="17"/>
        </w:rPr>
        <w:t>https://www.law.go.kr/법령/개인정보보호법</w:t>
      </w:r>
    </w:p>
    <w:p>
      <w:pPr>
        <w:pStyle w:val="Heading2"/>
      </w:pPr>
      <w:r>
        <w:t>공통 발효 전 확인</w:t>
      </w:r>
    </w:p>
    <w:p>
      <w:pPr>
        <w:pStyle w:val="ListBullet"/>
        <w:ind w:left="547" w:hanging="259"/>
      </w:pPr>
      <w:r>
        <w:t>통신판매업 신고번호와 신고기관을 발급 내용 그대로 반영할 것</w:t>
      </w:r>
    </w:p>
    <w:p>
      <w:pPr>
        <w:pStyle w:val="ListBullet"/>
        <w:ind w:left="547" w:hanging="259"/>
      </w:pPr>
      <w:r>
        <w:t>실제 서버·호스팅·알림·파일검사 등 개인정보 처리 수탁자 목록을 계약서와 대조할 것</w:t>
      </w:r>
    </w:p>
    <w:p>
      <w:pPr>
        <w:pStyle w:val="ListBullet"/>
        <w:ind w:left="547" w:hanging="259"/>
      </w:pPr>
      <w:r>
        <w:t>서비스별 수수료, 취소·환불, 책임 및 분쟁 기준을 승인된 운영정책과 대조할 것</w:t>
      </w:r>
    </w:p>
    <w:p>
      <w:pPr>
        <w:pStyle w:val="ListBullet"/>
        <w:ind w:left="547" w:hanging="259"/>
      </w:pPr>
      <w:r>
        <w:t>개발용 약관에 대한 기존 동의를 운영 동의로 간주하지 말고 신규 버전으로 재동의 받을 것</w:t>
      </w:r>
    </w:p>
    <w:p>
      <w:pPr>
        <w:pStyle w:val="ListBullet"/>
        <w:ind w:left="547" w:hanging="259"/>
      </w:pPr>
      <w:r>
        <w:t>웹 Footer, 가입화면, 거래화면과 문서의 사업자·중개자 고지가 일치하는지 확인할 것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algun Gothic" w:hAnsi="Malgun Gothic" w:eastAsia="Malgun Gothic"/>
        <w:color w:val="5F6B6A"/>
        <w:sz w:val="18"/>
      </w:rPr>
      <w:t xml:space="preserve">페이지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 w:eastAsia="Malgun Gothic"/>
        <w:b/>
        <w:color w:val="5F6B6A"/>
        <w:sz w:val="17"/>
      </w:rPr>
      <w:t>SOODAL LIFE  |  마케팅 수신 동의  |  법률검토용 초안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Malgun Gothic" w:hAnsi="Malgun Gothic" w:eastAsia="Malgun Gothic"/>
      <w:color w:val="1523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23D3A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087F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23D3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