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78"/>
          <w:sz w:val="20"/>
        </w:rPr>
        <w:t>SOODAL LIFE</w:t>
      </w:r>
    </w:p>
    <w:p>
      <w:pPr>
        <w:spacing w:after="140"/>
      </w:pPr>
      <w:r>
        <w:rPr>
          <w:rFonts w:ascii="Malgun Gothic" w:hAnsi="Malgun Gothic" w:eastAsia="Malgun Gothic"/>
          <w:b/>
          <w:color w:val="123D3A"/>
          <w:sz w:val="48"/>
        </w:rPr>
        <w:t>수달 라이프 취소·환불 및</w:t>
        <w:br/>
        <w:t>전문가 수수료 정책</w:t>
      </w:r>
    </w:p>
    <w:p>
      <w:pPr>
        <w:spacing w:after="320"/>
      </w:pPr>
      <w:r>
        <w:rPr>
          <w:rFonts w:ascii="Malgun Gothic" w:hAnsi="Malgun Gothic" w:eastAsia="Malgun Gothic"/>
          <w:color w:val="5F6B6A"/>
          <w:sz w:val="23"/>
        </w:rPr>
        <w:t>고객 취소·환불, 전문가 수수료 차감 및 복원에 관한 운영 기준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구분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내용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문서 버전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v1.0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시행일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2026년 9월 1일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운영 주체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(주)디에이치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적용 대상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수달 라이프 고객·전문가 및 중개 거래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적용 원칙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개별 업종에 관계 법령 또는 소비자분쟁해결기준이 별도로 적용되거나 본 정책보다 고객에게 유리한 경우에는 해당 기준을 우선합니다.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기본 원칙</w:t>
      </w:r>
    </w:p>
    <w:p>
      <w:pPr>
        <w:pStyle w:val="ListNumber"/>
        <w:keepLines/>
      </w:pPr>
      <w:r>
        <w:t>수달 라이프는 고객과 전문가를 연결하는 통신판매중개자입니다.</w:t>
      </w:r>
    </w:p>
    <w:p>
      <w:pPr>
        <w:pStyle w:val="ListNumber"/>
        <w:keepLines/>
      </w:pPr>
      <w:r>
        <w:t>서비스 계약의 당사자는 고객과 전문가이며 서비스 대금은 고객이 전문가에게 직접 지급합니다.</w:t>
      </w:r>
    </w:p>
    <w:p>
      <w:pPr>
        <w:pStyle w:val="ListNumber"/>
        <w:keepLines/>
      </w:pPr>
      <w:r>
        <w:t>수달 라이프는 고객의 서비스 대금을 수령·보관하거나 임의로 환불하지 않습니다.</w:t>
      </w:r>
    </w:p>
    <w:p>
      <w:pPr>
        <w:pStyle w:val="ListNumber"/>
        <w:keepLines/>
      </w:pPr>
      <w:r>
        <w:t>전문가는 취소·환불 사유가 확정되면 고객에게 직접 환불하고, 수달 라이프는 취소 기록·증빙·분쟁조정 절차를 제공합니다.</w:t>
      </w:r>
    </w:p>
    <w:p>
      <w:pPr>
        <w:pStyle w:val="ListNumber"/>
        <w:keepLines/>
      </w:pPr>
      <w:r>
        <w:t>개별 업종에 법령 또는 소비자분쟁해결기준이 별도로 적용되는 경우 해당 기준을 우선합니다.</w:t>
      </w:r>
    </w:p>
    <w:p>
      <w:pPr>
        <w:pStyle w:val="Heading1"/>
      </w:pPr>
      <w:r>
        <w:t>2. 법정 청약철회</w:t>
      </w:r>
    </w:p>
    <w:p>
      <w:r>
        <w:t>고객이 계약내용을 확인할 수 있는 전자문서를 받은 날부터 7일 이내이고 서비스가 시작되지 않았다면 취소수수료 없이 계약을 철회할 수 있습니다.</w:t>
      </w:r>
    </w:p>
    <w:p>
      <w:r>
        <w:t>전문가는 받은 대금 전액을 취소 확정일부터 3영업일 이내에 환불해야 합니다.</w:t>
      </w:r>
    </w:p>
    <w:p>
      <w:r>
        <w:t>다만 고객의 명시적인 요청으로 서비스가 이미 시작된 경우에는 완료된 부분과 회수할 수 없는 실제 비용을 제외한 나머지 금액을 환불합니다.</w:t>
      </w:r>
    </w:p>
    <w:p>
      <w:pPr>
        <w:pStyle w:val="Heading1"/>
      </w:pPr>
      <w:r>
        <w:t>3. 일반 서비스 취소 기준</w:t>
      </w:r>
    </w:p>
    <w:p>
      <w:r>
        <w:t>다음 기준은 법정 청약철회 기간이 지났거나 청약철회 제한사유가 발생한 계약에 적용합니다.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취소 시점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고객 부담액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전문가 선택 전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없음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서비스 시작 24시간 전까지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없음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시작 3시간 전부터 24시간 전까지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약정 서비스 금액의 10%와 전문가의 입증된 실제 손실 중 적은 금액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시작 3시간 미만 또는 고객 부재·노쇼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약정 서비스 금액의 20%와 전문가의 입증된 실제 손실 중 적은 금액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서비스 시작 후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완료된 작업대금과 사전 승인된 회수 불가능 비용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전문가 귀책 취소·미방문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고객 부담 없음, 지급액 전액 환불</w:t>
            </w:r>
          </w:p>
        </w:tc>
      </w:tr>
    </w:tbl>
    <w:p>
      <w:pPr>
        <w:spacing w:after="20"/>
      </w:pPr>
    </w:p>
    <w:p>
      <w:r>
        <w:t>전문가는 출장·재료구매·인력배치 등의 실제 손실을 사진, 영수증, 일정기록 등으로 입증해야 합니다. 입증되지 않은 비용은 고객에게 청구할 수 없습니다.</w:t>
      </w:r>
    </w:p>
    <w:p>
      <w:pPr>
        <w:pStyle w:val="Heading1"/>
      </w:pPr>
      <w:r>
        <w:t>4. 긴급출동</w:t>
      </w:r>
    </w:p>
    <w:p>
      <w:pPr>
        <w:pStyle w:val="ListNumber"/>
        <w:keepLines/>
      </w:pPr>
      <w:r>
        <w:t>전문가가 출동을 시작하기 전에는 취소수수료가 없습니다.</w:t>
      </w:r>
    </w:p>
    <w:p>
      <w:pPr>
        <w:pStyle w:val="ListNumber"/>
        <w:keepLines/>
      </w:pPr>
      <w:r>
        <w:t>출동 시작 후 고객이 취소하면 실제 발생한 출동비를 청구할 수 있습니다.</w:t>
      </w:r>
    </w:p>
    <w:p>
      <w:pPr>
        <w:pStyle w:val="ListNumber"/>
        <w:keepLines/>
      </w:pPr>
      <w:r>
        <w:t>출동비는 고객에게 사전 표시된 금액과 전체 예상금액의 20% 중 적은 금액을 한도로 합니다.</w:t>
      </w:r>
    </w:p>
    <w:p>
      <w:pPr>
        <w:pStyle w:val="ListNumber"/>
        <w:keepLines/>
      </w:pPr>
      <w:r>
        <w:t>전문가가 출동하지 않거나 도착 예정시간을 현저히 초과한 경우 고객 부담 없이 취소할 수 있습니다.</w:t>
      </w:r>
    </w:p>
    <w:p>
      <w:pPr>
        <w:pStyle w:val="Heading1"/>
      </w:pPr>
      <w:r>
        <w:t>5. 수달 케어</w:t>
      </w:r>
    </w:p>
    <w:p>
      <w:pPr>
        <w:pStyle w:val="ListNumber"/>
        <w:keepLines/>
      </w:pPr>
      <w:r>
        <w:t>아직 제공되지 않은 향후 회차는 24시간 전까지 무료로 취소할 수 있습니다.</w:t>
      </w:r>
    </w:p>
    <w:p>
      <w:pPr>
        <w:pStyle w:val="ListNumber"/>
        <w:keepLines/>
      </w:pPr>
      <w:r>
        <w:t>3시간 이상 24시간 미만은 해당 회차 금액의 10%, 3시간 미만 또는 노쇼는 20%를 한도로 합니다.</w:t>
      </w:r>
    </w:p>
    <w:p>
      <w:pPr>
        <w:pStyle w:val="ListNumber"/>
        <w:keepLines/>
      </w:pPr>
      <w:r>
        <w:t>완료되지 않은 회차의 서비스 대금과 플랫폼 수수료는 부과하지 않습니다.</w:t>
      </w:r>
    </w:p>
    <w:p>
      <w:pPr>
        <w:pStyle w:val="ListNumber"/>
        <w:keepLines/>
      </w:pPr>
      <w:r>
        <w:t>정기계약은 언제든 해지할 수 있으며 해지 이후 제공되지 않은 회차에는 위약금을 부과하지 않습니다.</w:t>
      </w:r>
    </w:p>
    <w:p>
      <w:pPr>
        <w:pStyle w:val="ListNumber"/>
        <w:keepLines/>
      </w:pPr>
      <w:r>
        <w:t>이미 완료된 회차와 사전 승인된 실제 비용만 정산합니다.</w:t>
      </w:r>
    </w:p>
    <w:p>
      <w:pPr>
        <w:pStyle w:val="Heading1"/>
      </w:pPr>
      <w:r>
        <w:t>6. 인테리어</w:t>
      </w:r>
    </w:p>
    <w:p>
      <w:pPr>
        <w:pStyle w:val="ListNumber"/>
        <w:keepLines/>
      </w:pPr>
      <w:r>
        <w:t>현장실측 전에 취소하면 고객에게 실측비를 청구하지 않습니다.</w:t>
      </w:r>
    </w:p>
    <w:p>
      <w:pPr>
        <w:pStyle w:val="ListNumber"/>
        <w:keepLines/>
      </w:pPr>
      <w:r>
        <w:t>실측이 완료된 후에는 고객에게 사전 고지하고 동의받은 실측비만 청구할 수 있습니다.</w:t>
      </w:r>
    </w:p>
    <w:p>
      <w:pPr>
        <w:pStyle w:val="ListNumber"/>
        <w:keepLines/>
      </w:pPr>
      <w:r>
        <w:t>자재 주문 이후 취소하는 경우 전문가는 반환·재판매가 불가능한 실제 자재비에서 공급처 환불액을 공제한 금액만 청구할 수 있습니다.</w:t>
      </w:r>
    </w:p>
    <w:p>
      <w:pPr>
        <w:pStyle w:val="ListNumber"/>
        <w:keepLines/>
      </w:pPr>
      <w:r>
        <w:t>공정 시작 후에는 완료된 공정률, 실제 투입 자재 및 철거·원상회복 비용을 기준으로 정산합니다.</w:t>
      </w:r>
    </w:p>
    <w:p>
      <w:pPr>
        <w:pStyle w:val="ListNumber"/>
        <w:keepLines/>
      </w:pPr>
      <w:r>
        <w:t>공정률은 계약서·사진·검사기록으로 확인하며 일방적인 비율 산정은 인정하지 않습니다.</w:t>
      </w:r>
    </w:p>
    <w:p>
      <w:pPr>
        <w:pStyle w:val="Heading1"/>
      </w:pPr>
      <w:r>
        <w:t>7. 전문가 수수료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부가가치세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이 정책에서 정한 모든 전문가 수수료에는 부가가치세가 포함됩니다.</w:t>
            </w:r>
          </w:p>
        </w:tc>
      </w:tr>
    </w:tbl>
    <w:p>
      <w:pPr>
        <w:spacing w:after="20"/>
      </w:pPr>
    </w:p>
    <w:p>
      <w:pPr>
        <w:pStyle w:val="Heading2"/>
      </w:pPr>
      <w:r>
        <w:t>7.1 일회성·긴급 서비스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고객이 선택한 견적금액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6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23D3A"/>
                <w:sz w:val="18"/>
              </w:rPr>
              <w:t>전문가 수수료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50,000원 이상 100,000원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100,000원 이상 200,000원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3,000원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200,000원 이상 500,000원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500,000원 이상 1,000,000원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10,000원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1,000,000원 이상 3,000,000원 미만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20,000원</w:t>
            </w:r>
          </w:p>
        </w:tc>
      </w:tr>
      <w:tr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3,000,000원 이상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algun Gothic" w:hAnsi="Malgun Gothic" w:eastAsia="Malgun Gothic"/>
                <w:color w:val="152321"/>
                <w:sz w:val="17"/>
              </w:rPr>
              <w:t>30,000원</w:t>
            </w:r>
          </w:p>
        </w:tc>
      </w:tr>
    </w:tbl>
    <w:p>
      <w:pPr>
        <w:spacing w:after="20"/>
      </w:pPr>
    </w:p>
    <w:p>
      <w:r>
        <w:t>견적을 제출할 때는 차감하지 않고 고객이 해당 전문가를 선택한 시점에 전문가 지갑에서 한 번만 차감합니다.</w:t>
      </w:r>
    </w:p>
    <w:p>
      <w:pPr>
        <w:pStyle w:val="Heading2"/>
      </w:pPr>
      <w:r>
        <w:t>7.2 수달 케어</w:t>
      </w:r>
    </w:p>
    <w:p>
      <w:r>
        <w:t>상호 완료가 확인된 회차마다 5,000원과 해당 회차 약정금액의 10% 중 적은 금액을 전문가 지갑에서 차감합니다.</w:t>
      </w:r>
    </w:p>
    <w:p>
      <w:r>
        <w:t>선택·지원 단계와 미방문·취소·분쟁 중인 회차에는 수수료를 부과하지 않습니다.</w:t>
      </w:r>
    </w:p>
    <w:p>
      <w:pPr>
        <w:pStyle w:val="Heading2"/>
      </w:pPr>
      <w:r>
        <w:t>7.3 인테리어 FEE-I1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POLICY_PENDING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인테리어 실측 수수료 FEE-I1은 별도 승인 전까지 정책대기 상태로 유지합니다.</w:t>
            </w:r>
          </w:p>
        </w:tc>
      </w:tr>
    </w:tbl>
    <w:p>
      <w:pPr>
        <w:spacing w:after="20"/>
      </w:pPr>
    </w:p>
    <w:p>
      <w:r>
        <w:t>승인 전에는 전문가 지갑에서 실측 수수료를 차감하지 않으며, 화면에도 확정 수수료로 표시하지 않습니다.</w:t>
      </w:r>
    </w:p>
    <w:p>
      <w:pPr>
        <w:pStyle w:val="Heading1"/>
      </w:pPr>
      <w:r>
        <w:t>8. 전문가 수수료 복원</w:t>
      </w:r>
    </w:p>
    <w:p>
      <w:pPr>
        <w:pStyle w:val="Heading2"/>
      </w:pPr>
      <w:r>
        <w:t>8.1 전액 복원</w:t>
      </w:r>
    </w:p>
    <w:p>
      <w:pPr>
        <w:pStyle w:val="ListBullet"/>
        <w:keepLines/>
      </w:pPr>
      <w:r>
        <w:t>허위·중복 요청 또는 존재하지 않는 고객 요청</w:t>
      </w:r>
    </w:p>
    <w:p>
      <w:pPr>
        <w:pStyle w:val="ListBullet"/>
        <w:keepLines/>
      </w:pPr>
      <w:r>
        <w:t>고객의 법정 청약철회</w:t>
      </w:r>
    </w:p>
    <w:p>
      <w:pPr>
        <w:pStyle w:val="ListBullet"/>
        <w:keepLines/>
      </w:pPr>
      <w:r>
        <w:t>전문가가 출동·재료준비·상담 등 실질적인 업무를 시작하기 전 고객 취소</w:t>
      </w:r>
    </w:p>
    <w:p>
      <w:pPr>
        <w:pStyle w:val="ListBullet"/>
        <w:keepLines/>
      </w:pPr>
      <w:r>
        <w:t>시스템 오류 또는 중복 차감</w:t>
      </w:r>
    </w:p>
    <w:p>
      <w:pPr>
        <w:pStyle w:val="ListBullet"/>
        <w:keepLines/>
      </w:pPr>
      <w:r>
        <w:t>고객 연락처·주소 오류로 거래 진행이 객관적으로 불가능한 경우</w:t>
      </w:r>
    </w:p>
    <w:p>
      <w:pPr>
        <w:pStyle w:val="ListBullet"/>
        <w:keepLines/>
      </w:pPr>
      <w:r>
        <w:t>천재지변·입원·사고 등 관리자 승인 불가항력</w:t>
      </w:r>
    </w:p>
    <w:p>
      <w:pPr>
        <w:pStyle w:val="ListBullet"/>
        <w:keepLines/>
      </w:pPr>
      <w:r>
        <w:t>회사가 승인한 거래 무효 또는 관리자 취소</w:t>
      </w:r>
    </w:p>
    <w:p>
      <w:pPr>
        <w:pStyle w:val="Heading2"/>
      </w:pPr>
      <w:r>
        <w:t>8.2 복원하지 않는 경우</w:t>
      </w:r>
    </w:p>
    <w:p>
      <w:pPr>
        <w:pStyle w:val="ListBullet"/>
        <w:keepLines/>
      </w:pPr>
      <w:r>
        <w:t>서비스가 정상 완료된 경우</w:t>
      </w:r>
    </w:p>
    <w:p>
      <w:pPr>
        <w:pStyle w:val="ListBullet"/>
        <w:keepLines/>
      </w:pPr>
      <w:r>
        <w:t>전문가 귀책으로 취소·미방문한 경우</w:t>
      </w:r>
    </w:p>
    <w:p>
      <w:pPr>
        <w:pStyle w:val="ListBullet"/>
        <w:keepLines/>
      </w:pPr>
      <w:r>
        <w:t>전문가가 고객과 직접 합의하여 플랫폼 밖에서 거래한 경우</w:t>
      </w:r>
    </w:p>
    <w:p>
      <w:pPr>
        <w:pStyle w:val="ListBullet"/>
        <w:keepLines/>
      </w:pPr>
      <w:r>
        <w:t>전문가가 실제 업무를 시작한 후 발생한 단순 고객 변심</w:t>
      </w:r>
    </w:p>
    <w:p>
      <w:pPr>
        <w:pStyle w:val="ListBullet"/>
        <w:keepLines/>
      </w:pPr>
      <w:r>
        <w:t>허위 견적, 가격 변경 유도 또는 정책 위반으로 거래가 취소된 경우</w:t>
      </w:r>
    </w:p>
    <w:p>
      <w:r>
        <w:t>수수료 복원은 기존 차감내역을 삭제하지 않고 별도의 FeeRestore 원장으로 기록합니다.</w:t>
      </w:r>
    </w:p>
    <w:p>
      <w:pPr>
        <w:pStyle w:val="Heading1"/>
      </w:pPr>
      <w:r>
        <w:t>9. 추가비용</w:t>
      </w:r>
    </w:p>
    <w:p>
      <w:r>
        <w:t>현장 추가비용은 작업 전에 고객이 금액·사유를 확인하고 동의한 경우에만 인정합니다.</w:t>
      </w:r>
    </w:p>
    <w:p>
      <w:r>
        <w:t>사전 동의가 없는 추가금액은 고객에게 청구할 수 없으며 분쟁·완료·정산 대상에서 제외합니다.</w:t>
      </w:r>
    </w:p>
    <w:p>
      <w:pPr>
        <w:pStyle w:val="Heading1"/>
      </w:pPr>
      <w:r>
        <w:t>10. 분쟁처리</w:t>
      </w:r>
    </w:p>
    <w:p>
      <w:pPr>
        <w:pStyle w:val="ListNumber"/>
        <w:keepLines/>
      </w:pPr>
      <w:r>
        <w:t>취소 신청 시각, 서비스 시작 시각, 출동 여부, 채팅, 사진, 영수증 및 고객 동의기록을 기준으로 판단합니다.</w:t>
      </w:r>
    </w:p>
    <w:p>
      <w:pPr>
        <w:pStyle w:val="ListNumber"/>
        <w:keepLines/>
      </w:pPr>
      <w:r>
        <w:t>분쟁 중에는 완료 처리와 수수료 확정을 보류합니다.</w:t>
      </w:r>
    </w:p>
    <w:p>
      <w:pPr>
        <w:pStyle w:val="ListNumber"/>
        <w:keepLines/>
      </w:pPr>
      <w:r>
        <w:t>당사자 합의가 이루어지지 않으면 한국소비자원 또는 관계기관의 분쟁조정 절차를 안내합니다.</w:t>
      </w:r>
    </w:p>
    <w:p>
      <w:pPr>
        <w:pStyle w:val="ListNumber"/>
        <w:keepLines/>
      </w:pPr>
      <w:r>
        <w:t>법령이나 소비자분쟁해결기준이 본 정책보다 고객에게 유리하면 해당 기준을 적용합니다.</w:t>
      </w:r>
    </w:p>
    <w:p>
      <w:r>
        <w:br w:type="page"/>
      </w:r>
    </w:p>
    <w:p>
      <w:pPr>
        <w:pStyle w:val="Heading1"/>
      </w:pPr>
      <w:r>
        <w:t>부록. 주요 법적 기준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제17조(청약철회등): </w:t>
      </w:r>
      <w:r>
        <w:rPr>
          <w:rFonts w:ascii="Malgun Gothic" w:hAnsi="Malgun Gothic" w:eastAsia="Malgun Gothic"/>
          <w:color w:val="5F6B6A"/>
          <w:sz w:val="16"/>
        </w:rPr>
        <w:t>https://www.law.go.kr/LSW/lsLinkCommonInfo.do?chrClsCd=010202&amp;lsJoLnkSeq=1031805923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제18조(청약철회등의 효과): </w:t>
      </w:r>
      <w:r>
        <w:rPr>
          <w:rFonts w:ascii="Malgun Gothic" w:hAnsi="Malgun Gothic" w:eastAsia="Malgun Gothic"/>
          <w:color w:val="5F6B6A"/>
          <w:sz w:val="16"/>
        </w:rPr>
        <w:t>https://www.law.go.kr/LSW/lsLinkCommonInfo.do?chrClsCd=010202&amp;lsJoLnkSeq=1029561355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전자상거래법 제20조(통신판매중개자의 의무와 책임): </w:t>
      </w:r>
      <w:r>
        <w:rPr>
          <w:rFonts w:ascii="Malgun Gothic" w:hAnsi="Malgun Gothic" w:eastAsia="Malgun Gothic"/>
          <w:color w:val="5F6B6A"/>
          <w:sz w:val="16"/>
        </w:rPr>
        <w:t>https://www.law.go.kr/LSW/lsLinkCommonInfo.do?chrClsCd=010202&amp;lsJoLnkSeq=1029561431</w:t>
      </w:r>
    </w:p>
    <w:p>
      <w:pPr>
        <w:ind w:left="259"/>
      </w:pPr>
      <w:r>
        <w:rPr>
          <w:rFonts w:ascii="Malgun Gothic" w:hAnsi="Malgun Gothic" w:eastAsia="Malgun Gothic"/>
          <w:b/>
          <w:color w:val="123D3A"/>
          <w:sz w:val="18"/>
        </w:rPr>
        <w:t xml:space="preserve">소비자분쟁해결기준: </w:t>
      </w:r>
      <w:r>
        <w:rPr>
          <w:rFonts w:ascii="Malgun Gothic" w:hAnsi="Malgun Gothic" w:eastAsia="Malgun Gothic"/>
          <w:color w:val="5F6B6A"/>
          <w:sz w:val="16"/>
        </w:rPr>
        <w:t>https://www.law.go.kr/LSW/admRulInfoP.do?admRulSeq=2100000270136&amp;chrClsCd=010201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D3A"/>
                <w:sz w:val="19"/>
              </w:rPr>
              <w:t xml:space="preserve">게시 전 확인  </w:t>
            </w:r>
            <w:r>
              <w:rPr>
                <w:rFonts w:ascii="Malgun Gothic" w:hAnsi="Malgun Gothic" w:eastAsia="Malgun Gothic"/>
                <w:color w:val="152321"/>
                <w:sz w:val="19"/>
              </w:rPr>
              <w:t>통신판매업 신고번호, FEE-I1 승인 여부 및 실제 운영 화면의 취소·환불 표시가 본 정책과 일치하는지 확인한 뒤 게시합니다.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6A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B6A"/>
        <w:sz w:val="17"/>
      </w:rPr>
      <w:t>SOODAL LIFE  |  취소·환불 및 전문가 수수료 정책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b w:val="0"/>
      <w:color w:val="1523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b w:val="0"/>
      <w:color w:val="15232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b w:val="0"/>
      <w:color w:val="15232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수달 라이프 취소·환불 및 전문가 수수료 정책 v1.0</dc:title>
  <dc:subject>고객 취소·환불 및 전문가 수수료 운영 기준</dc:subject>
  <dc:creator>(주)디에이치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