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1906" w:h="16838"/>
      <w:pgMar w:top="1134" w:right="720" w:bottom="11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 w:line="240" w:lineRule="auto"/>
    </w:pPr>
    <w:rPr>
      <w:rFonts w:ascii="Malgun Gothic" w:hAnsi="Malgun Gothic" w:asciiTheme="Malgun Gothic" w:cstheme="Malgun Gothic" w:eastAsia="Malgun Gothic" w:eastAsiaTheme="Malgun Gothic" w:hAnsiTheme="Malgun Gothic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