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9AA6" w14:textId="7940D432" w:rsidR="00B2177C" w:rsidRPr="005C650A" w:rsidRDefault="005C650A">
      <w:pPr>
        <w:rPr>
          <w:rFonts w:ascii="Times New Roman" w:hAnsi="Times New Roman" w:cs="Times New Roman"/>
        </w:rPr>
      </w:pPr>
      <w:r w:rsidRPr="005C650A">
        <w:rPr>
          <w:rFonts w:ascii="Times New Roman" w:hAnsi="Times New Roman" w:cs="Times New Roman"/>
        </w:rPr>
        <w:t>Rule Engine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048"/>
        <w:gridCol w:w="1660"/>
        <w:gridCol w:w="2182"/>
        <w:gridCol w:w="2050"/>
        <w:gridCol w:w="1706"/>
      </w:tblGrid>
      <w:tr w:rsidR="005C650A" w:rsidRPr="005C650A" w14:paraId="33D64D6B" w14:textId="77777777" w:rsidTr="005C650A">
        <w:trPr>
          <w:tblHeader/>
        </w:trPr>
        <w:tc>
          <w:tcPr>
            <w:tcW w:w="0" w:type="auto"/>
            <w:vAlign w:val="center"/>
            <w:hideMark/>
          </w:tcPr>
          <w:p w14:paraId="4FD1477B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1048" w:type="dxa"/>
            <w:vAlign w:val="center"/>
            <w:hideMark/>
          </w:tcPr>
          <w:p w14:paraId="2AB00C08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Author &amp; Year</w:t>
            </w:r>
          </w:p>
        </w:tc>
        <w:tc>
          <w:tcPr>
            <w:tcW w:w="1660" w:type="dxa"/>
            <w:vAlign w:val="center"/>
            <w:hideMark/>
          </w:tcPr>
          <w:p w14:paraId="3ECA5A49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Paper Title</w:t>
            </w:r>
          </w:p>
        </w:tc>
        <w:tc>
          <w:tcPr>
            <w:tcW w:w="0" w:type="auto"/>
            <w:vAlign w:val="center"/>
            <w:hideMark/>
          </w:tcPr>
          <w:p w14:paraId="73F67204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5080F8F1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Result / Findings</w:t>
            </w:r>
          </w:p>
        </w:tc>
        <w:tc>
          <w:tcPr>
            <w:tcW w:w="0" w:type="auto"/>
            <w:vAlign w:val="center"/>
            <w:hideMark/>
          </w:tcPr>
          <w:p w14:paraId="7EDB0831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5C650A" w:rsidRPr="005C650A" w14:paraId="53E32608" w14:textId="77777777" w:rsidTr="005C650A">
        <w:tc>
          <w:tcPr>
            <w:tcW w:w="0" w:type="auto"/>
            <w:vAlign w:val="center"/>
            <w:hideMark/>
          </w:tcPr>
          <w:p w14:paraId="3F64C109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48" w:type="dxa"/>
            <w:vAlign w:val="center"/>
            <w:hideMark/>
          </w:tcPr>
          <w:p w14:paraId="174E54D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proofErr w:type="spellStart"/>
            <w:r w:rsidRPr="005C650A">
              <w:rPr>
                <w:rFonts w:ascii="Times New Roman" w:hAnsi="Times New Roman" w:cs="Times New Roman"/>
              </w:rPr>
              <w:t>Agaram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&amp; Liu, 2011</w:t>
            </w:r>
          </w:p>
        </w:tc>
        <w:tc>
          <w:tcPr>
            <w:tcW w:w="1660" w:type="dxa"/>
            <w:vAlign w:val="center"/>
            <w:hideMark/>
          </w:tcPr>
          <w:p w14:paraId="33192BB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An Engine-independent Framework for Business Rules Development</w:t>
            </w:r>
          </w:p>
        </w:tc>
        <w:tc>
          <w:tcPr>
            <w:tcW w:w="0" w:type="auto"/>
            <w:vAlign w:val="center"/>
            <w:hideMark/>
          </w:tcPr>
          <w:p w14:paraId="67AE2DF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Developed a framework called BRIDE that separates business rules from application code and uses a domain-specific rule language.</w:t>
            </w:r>
          </w:p>
        </w:tc>
        <w:tc>
          <w:tcPr>
            <w:tcW w:w="0" w:type="auto"/>
            <w:vAlign w:val="center"/>
            <w:hideMark/>
          </w:tcPr>
          <w:p w14:paraId="202668EC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Business users can create and manage rules more easily without depending heavily on programmers.</w:t>
            </w:r>
          </w:p>
        </w:tc>
        <w:tc>
          <w:tcPr>
            <w:tcW w:w="0" w:type="auto"/>
            <w:vAlign w:val="center"/>
            <w:hideMark/>
          </w:tcPr>
          <w:p w14:paraId="7C93F9C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Requires proper rule-language design and integration with existing systems.</w:t>
            </w:r>
          </w:p>
        </w:tc>
      </w:tr>
      <w:tr w:rsidR="005C650A" w:rsidRPr="005C650A" w14:paraId="784D79CC" w14:textId="77777777" w:rsidTr="005C650A">
        <w:tc>
          <w:tcPr>
            <w:tcW w:w="0" w:type="auto"/>
            <w:vAlign w:val="center"/>
            <w:hideMark/>
          </w:tcPr>
          <w:p w14:paraId="4C36E4C9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48" w:type="dxa"/>
            <w:vAlign w:val="center"/>
            <w:hideMark/>
          </w:tcPr>
          <w:p w14:paraId="70F3D1BA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Zhang &amp; Yang, 2009</w:t>
            </w:r>
          </w:p>
        </w:tc>
        <w:tc>
          <w:tcPr>
            <w:tcW w:w="1660" w:type="dxa"/>
            <w:vAlign w:val="center"/>
            <w:hideMark/>
          </w:tcPr>
          <w:p w14:paraId="54C1BD3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Rule Engine Research and Implementation in Financial System</w:t>
            </w:r>
          </w:p>
        </w:tc>
        <w:tc>
          <w:tcPr>
            <w:tcW w:w="0" w:type="auto"/>
            <w:vAlign w:val="center"/>
            <w:hideMark/>
          </w:tcPr>
          <w:p w14:paraId="2783B494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Developed a rule engine for financial applications with separate business rules, configuration management and rule processing.</w:t>
            </w:r>
          </w:p>
        </w:tc>
        <w:tc>
          <w:tcPr>
            <w:tcW w:w="0" w:type="auto"/>
            <w:vAlign w:val="center"/>
            <w:hideMark/>
          </w:tcPr>
          <w:p w14:paraId="02B358F4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Rules can be changed dynamically, reducing the need to modify application code whenever business logic changes.</w:t>
            </w:r>
          </w:p>
        </w:tc>
        <w:tc>
          <w:tcPr>
            <w:tcW w:w="0" w:type="auto"/>
            <w:vAlign w:val="center"/>
            <w:hideMark/>
          </w:tcPr>
          <w:p w14:paraId="35682B2F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Mainly designed for financial systems, so direct use in other domains may require changes.</w:t>
            </w:r>
          </w:p>
        </w:tc>
      </w:tr>
      <w:tr w:rsidR="005C650A" w:rsidRPr="005C650A" w14:paraId="16B2641B" w14:textId="77777777" w:rsidTr="005C650A">
        <w:tc>
          <w:tcPr>
            <w:tcW w:w="0" w:type="auto"/>
            <w:vAlign w:val="center"/>
            <w:hideMark/>
          </w:tcPr>
          <w:p w14:paraId="4F468224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48" w:type="dxa"/>
            <w:vAlign w:val="center"/>
            <w:hideMark/>
          </w:tcPr>
          <w:p w14:paraId="5EFB82CE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Zhang, Zhao &amp; Xing, 2009</w:t>
            </w:r>
          </w:p>
        </w:tc>
        <w:tc>
          <w:tcPr>
            <w:tcW w:w="1660" w:type="dxa"/>
            <w:vAlign w:val="center"/>
            <w:hideMark/>
          </w:tcPr>
          <w:p w14:paraId="71D60FF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An Extensible Framework for Internet Booking Application Based on Rule Engine</w:t>
            </w:r>
          </w:p>
        </w:tc>
        <w:tc>
          <w:tcPr>
            <w:tcW w:w="0" w:type="auto"/>
            <w:vAlign w:val="center"/>
            <w:hideMark/>
          </w:tcPr>
          <w:p w14:paraId="3C2F95F4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Proposed a rule-engine-based architecture for handling complex and high-volume Internet booking operations.</w:t>
            </w:r>
          </w:p>
        </w:tc>
        <w:tc>
          <w:tcPr>
            <w:tcW w:w="0" w:type="auto"/>
            <w:vAlign w:val="center"/>
            <w:hideMark/>
          </w:tcPr>
          <w:p w14:paraId="08988B0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framework improves flexibility and supports complex business processing in booking systems.</w:t>
            </w:r>
          </w:p>
        </w:tc>
        <w:tc>
          <w:tcPr>
            <w:tcW w:w="0" w:type="auto"/>
            <w:vAlign w:val="center"/>
            <w:hideMark/>
          </w:tcPr>
          <w:p w14:paraId="5F1A8021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Focused mainly on booking applications and high-volume transaction processing.</w:t>
            </w:r>
          </w:p>
        </w:tc>
      </w:tr>
      <w:tr w:rsidR="005C650A" w:rsidRPr="005C650A" w14:paraId="19CDACE2" w14:textId="77777777" w:rsidTr="005C650A">
        <w:tc>
          <w:tcPr>
            <w:tcW w:w="0" w:type="auto"/>
            <w:vAlign w:val="center"/>
            <w:hideMark/>
          </w:tcPr>
          <w:p w14:paraId="54B72BC9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8" w:type="dxa"/>
            <w:vAlign w:val="center"/>
            <w:hideMark/>
          </w:tcPr>
          <w:p w14:paraId="12179EE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Hu et al., 2013</w:t>
            </w:r>
          </w:p>
        </w:tc>
        <w:tc>
          <w:tcPr>
            <w:tcW w:w="1660" w:type="dxa"/>
            <w:vAlign w:val="center"/>
            <w:hideMark/>
          </w:tcPr>
          <w:p w14:paraId="2F37D87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Context-Aware Recommendation of Learning Resources Using Rules Engine</w:t>
            </w:r>
          </w:p>
        </w:tc>
        <w:tc>
          <w:tcPr>
            <w:tcW w:w="0" w:type="auto"/>
            <w:vAlign w:val="center"/>
            <w:hideMark/>
          </w:tcPr>
          <w:p w14:paraId="0C77165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Used a rules engine with user context, learning goals and user feedback to provide personalized recommendations.</w:t>
            </w:r>
          </w:p>
        </w:tc>
        <w:tc>
          <w:tcPr>
            <w:tcW w:w="0" w:type="auto"/>
            <w:vAlign w:val="center"/>
            <w:hideMark/>
          </w:tcPr>
          <w:p w14:paraId="4FA085F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system can adapt recommendations according to the user's context and preferences.</w:t>
            </w:r>
          </w:p>
        </w:tc>
        <w:tc>
          <w:tcPr>
            <w:tcW w:w="0" w:type="auto"/>
            <w:vAlign w:val="center"/>
            <w:hideMark/>
          </w:tcPr>
          <w:p w14:paraId="5C3FE1FE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Tested in an e-learning environment; more contextual information and mobile integration were suggested as future work.</w:t>
            </w:r>
          </w:p>
        </w:tc>
      </w:tr>
    </w:tbl>
    <w:p w14:paraId="7890A37E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6C255B4D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78061BA6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79A66DF0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7463CD47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783A6526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1107DF95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239AC642" w14:textId="77777777" w:rsidR="005C650A" w:rsidRDefault="005C650A">
      <w:pPr>
        <w:rPr>
          <w:rFonts w:ascii="Times New Roman" w:hAnsi="Times New Roman" w:cs="Times New Roman"/>
        </w:rPr>
      </w:pPr>
    </w:p>
    <w:p w14:paraId="1E2F6BBF" w14:textId="77777777" w:rsidR="005C650A" w:rsidRDefault="005C650A">
      <w:pPr>
        <w:rPr>
          <w:rFonts w:ascii="Times New Roman" w:hAnsi="Times New Roman" w:cs="Times New Roman"/>
        </w:rPr>
      </w:pPr>
    </w:p>
    <w:p w14:paraId="25D03A5F" w14:textId="77777777" w:rsidR="005C650A" w:rsidRDefault="005C650A">
      <w:pPr>
        <w:rPr>
          <w:rFonts w:ascii="Times New Roman" w:hAnsi="Times New Roman" w:cs="Times New Roman"/>
        </w:rPr>
      </w:pPr>
    </w:p>
    <w:p w14:paraId="299920F9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42AAE5E" w14:textId="631884AD" w:rsidR="005C650A" w:rsidRPr="005C650A" w:rsidRDefault="005C650A">
      <w:pPr>
        <w:rPr>
          <w:rFonts w:ascii="Times New Roman" w:hAnsi="Times New Roman" w:cs="Times New Roman"/>
        </w:rPr>
      </w:pPr>
      <w:r w:rsidRPr="005C650A">
        <w:rPr>
          <w:rFonts w:ascii="Times New Roman" w:hAnsi="Times New Roman" w:cs="Times New Roman"/>
        </w:rPr>
        <w:lastRenderedPageBreak/>
        <w:t>Document Processing / OCR / NLP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756"/>
        <w:gridCol w:w="1570"/>
        <w:gridCol w:w="2126"/>
        <w:gridCol w:w="2126"/>
        <w:gridCol w:w="2075"/>
      </w:tblGrid>
      <w:tr w:rsidR="005C650A" w:rsidRPr="005C650A" w14:paraId="70D5C442" w14:textId="77777777" w:rsidTr="005C650A">
        <w:trPr>
          <w:tblHeader/>
        </w:trPr>
        <w:tc>
          <w:tcPr>
            <w:tcW w:w="0" w:type="auto"/>
            <w:vAlign w:val="center"/>
            <w:hideMark/>
          </w:tcPr>
          <w:p w14:paraId="20F3F901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756" w:type="dxa"/>
            <w:vAlign w:val="center"/>
            <w:hideMark/>
          </w:tcPr>
          <w:p w14:paraId="4AA45848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Author &amp; Year</w:t>
            </w:r>
          </w:p>
        </w:tc>
        <w:tc>
          <w:tcPr>
            <w:tcW w:w="1570" w:type="dxa"/>
            <w:vAlign w:val="center"/>
            <w:hideMark/>
          </w:tcPr>
          <w:p w14:paraId="1DDB8F7C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Paper Title</w:t>
            </w:r>
          </w:p>
        </w:tc>
        <w:tc>
          <w:tcPr>
            <w:tcW w:w="2126" w:type="dxa"/>
            <w:vAlign w:val="center"/>
            <w:hideMark/>
          </w:tcPr>
          <w:p w14:paraId="0B1C4CE9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</w:tc>
        <w:tc>
          <w:tcPr>
            <w:tcW w:w="2126" w:type="dxa"/>
            <w:vAlign w:val="center"/>
            <w:hideMark/>
          </w:tcPr>
          <w:p w14:paraId="57BF3759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Result / Findings</w:t>
            </w:r>
          </w:p>
        </w:tc>
        <w:tc>
          <w:tcPr>
            <w:tcW w:w="2075" w:type="dxa"/>
            <w:vAlign w:val="center"/>
            <w:hideMark/>
          </w:tcPr>
          <w:p w14:paraId="5DBB2DB8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5C650A" w:rsidRPr="005C650A" w14:paraId="1D15DD6D" w14:textId="77777777" w:rsidTr="005C650A">
        <w:tc>
          <w:tcPr>
            <w:tcW w:w="0" w:type="auto"/>
            <w:vAlign w:val="center"/>
            <w:hideMark/>
          </w:tcPr>
          <w:p w14:paraId="53D6FEB4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56" w:type="dxa"/>
            <w:vAlign w:val="center"/>
            <w:hideMark/>
          </w:tcPr>
          <w:p w14:paraId="79F61A6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Cheng et al., 2022</w:t>
            </w:r>
          </w:p>
        </w:tc>
        <w:tc>
          <w:tcPr>
            <w:tcW w:w="1570" w:type="dxa"/>
            <w:vAlign w:val="center"/>
            <w:hideMark/>
          </w:tcPr>
          <w:p w14:paraId="7160BC0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Design of an Official Document Multi-Machine Retrieval System Based on NLP</w:t>
            </w:r>
          </w:p>
        </w:tc>
        <w:tc>
          <w:tcPr>
            <w:tcW w:w="2126" w:type="dxa"/>
            <w:vAlign w:val="center"/>
            <w:hideMark/>
          </w:tcPr>
          <w:p w14:paraId="271A899A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Used NLP for document text analysis, indexing, searching, similarity calculation and document recommendation.</w:t>
            </w:r>
          </w:p>
        </w:tc>
        <w:tc>
          <w:tcPr>
            <w:tcW w:w="2126" w:type="dxa"/>
            <w:vAlign w:val="center"/>
            <w:hideMark/>
          </w:tcPr>
          <w:p w14:paraId="401D94D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system provides faster document retrieval and shows similar documents with similarity values for easier verification.</w:t>
            </w:r>
          </w:p>
        </w:tc>
        <w:tc>
          <w:tcPr>
            <w:tcW w:w="2075" w:type="dxa"/>
            <w:vAlign w:val="center"/>
            <w:hideMark/>
          </w:tcPr>
          <w:p w14:paraId="49E2CE6C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Mainly focuses on document retrieval; performance can depend on document quality and the NLP processing.</w:t>
            </w:r>
          </w:p>
        </w:tc>
      </w:tr>
      <w:tr w:rsidR="005C650A" w:rsidRPr="005C650A" w14:paraId="00E725D0" w14:textId="77777777" w:rsidTr="005C650A">
        <w:tc>
          <w:tcPr>
            <w:tcW w:w="0" w:type="auto"/>
            <w:vAlign w:val="center"/>
            <w:hideMark/>
          </w:tcPr>
          <w:p w14:paraId="6ADC706B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56" w:type="dxa"/>
            <w:vAlign w:val="center"/>
            <w:hideMark/>
          </w:tcPr>
          <w:p w14:paraId="25D1A03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Jiang et al., 2019</w:t>
            </w:r>
          </w:p>
        </w:tc>
        <w:tc>
          <w:tcPr>
            <w:tcW w:w="1570" w:type="dxa"/>
            <w:vAlign w:val="center"/>
            <w:hideMark/>
          </w:tcPr>
          <w:p w14:paraId="75FB8A9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Integrating Coordinates with Context for Information Extraction in Document Images</w:t>
            </w:r>
          </w:p>
        </w:tc>
        <w:tc>
          <w:tcPr>
            <w:tcW w:w="2126" w:type="dxa"/>
            <w:vAlign w:val="center"/>
            <w:hideMark/>
          </w:tcPr>
          <w:p w14:paraId="4E006FF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Combined document coordinates with contextual information using a </w:t>
            </w:r>
            <w:proofErr w:type="spellStart"/>
            <w:r w:rsidRPr="005C650A">
              <w:rPr>
                <w:rFonts w:ascii="Times New Roman" w:hAnsi="Times New Roman" w:cs="Times New Roman"/>
              </w:rPr>
              <w:t>BiLSTM</w:t>
            </w:r>
            <w:proofErr w:type="spellEnd"/>
            <w:r w:rsidRPr="005C650A">
              <w:rPr>
                <w:rFonts w:ascii="Times New Roman" w:hAnsi="Times New Roman" w:cs="Times New Roman"/>
              </w:rPr>
              <w:t>-CRF model and attention mechanism.</w:t>
            </w:r>
          </w:p>
        </w:tc>
        <w:tc>
          <w:tcPr>
            <w:tcW w:w="2126" w:type="dxa"/>
            <w:vAlign w:val="center"/>
            <w:hideMark/>
          </w:tcPr>
          <w:p w14:paraId="01D417B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Combining location and text context improved information extraction performance, reaching about 71.89% in the reported experiments.</w:t>
            </w:r>
          </w:p>
        </w:tc>
        <w:tc>
          <w:tcPr>
            <w:tcW w:w="2075" w:type="dxa"/>
            <w:vAlign w:val="center"/>
            <w:hideMark/>
          </w:tcPr>
          <w:p w14:paraId="409DCDA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Performance depends on document layout and the quality of text detection/recognition.</w:t>
            </w:r>
          </w:p>
        </w:tc>
      </w:tr>
      <w:tr w:rsidR="005C650A" w:rsidRPr="005C650A" w14:paraId="2AE55569" w14:textId="77777777" w:rsidTr="005C650A">
        <w:tc>
          <w:tcPr>
            <w:tcW w:w="0" w:type="auto"/>
            <w:vAlign w:val="center"/>
            <w:hideMark/>
          </w:tcPr>
          <w:p w14:paraId="3EA25223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56" w:type="dxa"/>
            <w:vAlign w:val="center"/>
            <w:hideMark/>
          </w:tcPr>
          <w:p w14:paraId="7435DDAF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Zhu et al., 2009</w:t>
            </w:r>
          </w:p>
        </w:tc>
        <w:tc>
          <w:tcPr>
            <w:tcW w:w="1570" w:type="dxa"/>
            <w:vAlign w:val="center"/>
            <w:hideMark/>
          </w:tcPr>
          <w:p w14:paraId="51866721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Signature Detection and Matching for Document Image Retrieval</w:t>
            </w:r>
          </w:p>
        </w:tc>
        <w:tc>
          <w:tcPr>
            <w:tcW w:w="2126" w:type="dxa"/>
            <w:vAlign w:val="center"/>
            <w:hideMark/>
          </w:tcPr>
          <w:p w14:paraId="2C2F2DD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Used a multiscale approach to detect and segment signatures and shape-based methods to match them.</w:t>
            </w:r>
          </w:p>
        </w:tc>
        <w:tc>
          <w:tcPr>
            <w:tcW w:w="2126" w:type="dxa"/>
            <w:vAlign w:val="center"/>
            <w:hideMark/>
          </w:tcPr>
          <w:p w14:paraId="28FE443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method successfully detects signatures and supports retrieval/matching across document images.</w:t>
            </w:r>
          </w:p>
        </w:tc>
        <w:tc>
          <w:tcPr>
            <w:tcW w:w="2075" w:type="dxa"/>
            <w:vAlign w:val="center"/>
            <w:hideMark/>
          </w:tcPr>
          <w:p w14:paraId="3D8B7A7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Signature detection is difficult when documents contain complex backgrounds, variations and overlapping content.</w:t>
            </w:r>
          </w:p>
        </w:tc>
      </w:tr>
      <w:tr w:rsidR="005C650A" w:rsidRPr="005C650A" w14:paraId="06DA4B0E" w14:textId="77777777" w:rsidTr="005C650A">
        <w:tc>
          <w:tcPr>
            <w:tcW w:w="0" w:type="auto"/>
            <w:vAlign w:val="center"/>
            <w:hideMark/>
          </w:tcPr>
          <w:p w14:paraId="3B0A697F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56" w:type="dxa"/>
            <w:vAlign w:val="center"/>
            <w:hideMark/>
          </w:tcPr>
          <w:p w14:paraId="197E0A8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Nguyen et al., 2019</w:t>
            </w:r>
          </w:p>
        </w:tc>
        <w:tc>
          <w:tcPr>
            <w:tcW w:w="1570" w:type="dxa"/>
            <w:vAlign w:val="center"/>
            <w:hideMark/>
          </w:tcPr>
          <w:p w14:paraId="1365906B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Deep Statistical Analysis of OCR Errors for Effective Post-OCR Processing</w:t>
            </w:r>
          </w:p>
        </w:tc>
        <w:tc>
          <w:tcPr>
            <w:tcW w:w="2126" w:type="dxa"/>
            <w:vAlign w:val="center"/>
            <w:hideMark/>
          </w:tcPr>
          <w:p w14:paraId="3A620A0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Studied OCR errors across multiple datasets and </w:t>
            </w:r>
            <w:proofErr w:type="spellStart"/>
            <w:r w:rsidRPr="005C650A">
              <w:rPr>
                <w:rFonts w:ascii="Times New Roman" w:hAnsi="Times New Roman" w:cs="Times New Roman"/>
              </w:rPr>
              <w:t>analyzed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their types and patterns to guide post-OCR correction.</w:t>
            </w:r>
          </w:p>
        </w:tc>
        <w:tc>
          <w:tcPr>
            <w:tcW w:w="2126" w:type="dxa"/>
            <w:vAlign w:val="center"/>
            <w:hideMark/>
          </w:tcPr>
          <w:p w14:paraId="5E27680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Identified common characteristics of OCR errors and provided guidelines for designing better post-processing methods.</w:t>
            </w:r>
          </w:p>
        </w:tc>
        <w:tc>
          <w:tcPr>
            <w:tcW w:w="2075" w:type="dxa"/>
            <w:vAlign w:val="center"/>
            <w:hideMark/>
          </w:tcPr>
          <w:p w14:paraId="28CE212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The study mainly </w:t>
            </w:r>
            <w:proofErr w:type="spellStart"/>
            <w:r w:rsidRPr="005C650A">
              <w:rPr>
                <w:rFonts w:ascii="Times New Roman" w:hAnsi="Times New Roman" w:cs="Times New Roman"/>
              </w:rPr>
              <w:t>analyzes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errors and guidelines rather than providing one complete correction system for every document type.</w:t>
            </w:r>
          </w:p>
        </w:tc>
      </w:tr>
    </w:tbl>
    <w:p w14:paraId="2EA4775D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2369198F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1496576F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638DF96C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0AE85AE8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A4B8E1E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15C516C5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369B50D" w14:textId="77777777" w:rsidR="005C650A" w:rsidRDefault="005C650A">
      <w:pPr>
        <w:rPr>
          <w:rFonts w:ascii="Times New Roman" w:hAnsi="Times New Roman" w:cs="Times New Roman"/>
        </w:rPr>
      </w:pPr>
    </w:p>
    <w:p w14:paraId="033CA4BC" w14:textId="77777777" w:rsidR="005C650A" w:rsidRDefault="005C650A">
      <w:pPr>
        <w:rPr>
          <w:rFonts w:ascii="Times New Roman" w:hAnsi="Times New Roman" w:cs="Times New Roman"/>
        </w:rPr>
      </w:pPr>
    </w:p>
    <w:p w14:paraId="36BFB9BE" w14:textId="77777777" w:rsidR="005C650A" w:rsidRDefault="005C650A">
      <w:pPr>
        <w:rPr>
          <w:rFonts w:ascii="Times New Roman" w:hAnsi="Times New Roman" w:cs="Times New Roman"/>
        </w:rPr>
      </w:pPr>
    </w:p>
    <w:p w14:paraId="27F8F7CC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27A6A540" w14:textId="3890FAE3" w:rsidR="005C650A" w:rsidRPr="005C650A" w:rsidRDefault="005C650A">
      <w:pPr>
        <w:rPr>
          <w:rFonts w:ascii="Times New Roman" w:hAnsi="Times New Roman" w:cs="Times New Roman"/>
        </w:rPr>
      </w:pPr>
      <w:r w:rsidRPr="005C650A">
        <w:rPr>
          <w:rFonts w:ascii="Times New Roman" w:hAnsi="Times New Roman" w:cs="Times New Roman"/>
        </w:rPr>
        <w:lastRenderedPageBreak/>
        <w:t>Architectural Floor Plans / Computer Vision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1069"/>
        <w:gridCol w:w="1380"/>
        <w:gridCol w:w="1477"/>
        <w:gridCol w:w="2250"/>
        <w:gridCol w:w="2486"/>
      </w:tblGrid>
      <w:tr w:rsidR="005C650A" w:rsidRPr="005C650A" w14:paraId="44E3354A" w14:textId="77777777" w:rsidTr="005C650A">
        <w:trPr>
          <w:tblHeader/>
        </w:trPr>
        <w:tc>
          <w:tcPr>
            <w:tcW w:w="0" w:type="auto"/>
            <w:vAlign w:val="center"/>
            <w:hideMark/>
          </w:tcPr>
          <w:p w14:paraId="386E2D13" w14:textId="77777777" w:rsidR="005C650A" w:rsidRPr="005C650A" w:rsidRDefault="005C650A" w:rsidP="005C650A">
            <w:pPr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1069" w:type="dxa"/>
            <w:vAlign w:val="center"/>
            <w:hideMark/>
          </w:tcPr>
          <w:p w14:paraId="75C3F0EA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Author &amp; Year</w:t>
            </w:r>
          </w:p>
        </w:tc>
        <w:tc>
          <w:tcPr>
            <w:tcW w:w="1409" w:type="dxa"/>
            <w:vAlign w:val="center"/>
            <w:hideMark/>
          </w:tcPr>
          <w:p w14:paraId="78FE37FE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Paper Title</w:t>
            </w:r>
          </w:p>
        </w:tc>
        <w:tc>
          <w:tcPr>
            <w:tcW w:w="1505" w:type="dxa"/>
            <w:vAlign w:val="center"/>
            <w:hideMark/>
          </w:tcPr>
          <w:p w14:paraId="4BB6F632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</w:tc>
        <w:tc>
          <w:tcPr>
            <w:tcW w:w="2464" w:type="dxa"/>
            <w:vAlign w:val="center"/>
            <w:hideMark/>
          </w:tcPr>
          <w:p w14:paraId="450FBDCC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Result / Findings</w:t>
            </w:r>
          </w:p>
        </w:tc>
        <w:tc>
          <w:tcPr>
            <w:tcW w:w="2217" w:type="dxa"/>
            <w:vAlign w:val="center"/>
            <w:hideMark/>
          </w:tcPr>
          <w:p w14:paraId="07F10897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5C650A" w:rsidRPr="005C650A" w14:paraId="57F0DC9B" w14:textId="77777777" w:rsidTr="005C650A">
        <w:tc>
          <w:tcPr>
            <w:tcW w:w="0" w:type="auto"/>
            <w:vAlign w:val="center"/>
            <w:hideMark/>
          </w:tcPr>
          <w:p w14:paraId="5B8026B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69" w:type="dxa"/>
            <w:vAlign w:val="center"/>
            <w:hideMark/>
          </w:tcPr>
          <w:p w14:paraId="5E59CAE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Ahmed et al., 2011</w:t>
            </w:r>
          </w:p>
        </w:tc>
        <w:tc>
          <w:tcPr>
            <w:tcW w:w="1409" w:type="dxa"/>
            <w:vAlign w:val="center"/>
            <w:hideMark/>
          </w:tcPr>
          <w:p w14:paraId="35C95E34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Text/Graphics Segmentation in Architectural Floor Plans</w:t>
            </w:r>
          </w:p>
        </w:tc>
        <w:tc>
          <w:tcPr>
            <w:tcW w:w="1505" w:type="dxa"/>
            <w:vAlign w:val="center"/>
            <w:hideMark/>
          </w:tcPr>
          <w:p w14:paraId="092FAE6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Developed an improved text/graphics segmentation method specifically for architectural floor plans.</w:t>
            </w:r>
          </w:p>
        </w:tc>
        <w:tc>
          <w:tcPr>
            <w:tcW w:w="2464" w:type="dxa"/>
            <w:vAlign w:val="center"/>
            <w:hideMark/>
          </w:tcPr>
          <w:p w14:paraId="0542AA7F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Achieved almost </w:t>
            </w:r>
            <w:r w:rsidRPr="005C650A">
              <w:rPr>
                <w:rFonts w:ascii="Times New Roman" w:hAnsi="Times New Roman" w:cs="Times New Roman"/>
                <w:b/>
                <w:bCs/>
              </w:rPr>
              <w:t>99% recall and more than 97% precision</w:t>
            </w:r>
            <w:r w:rsidRPr="005C650A">
              <w:rPr>
                <w:rFonts w:ascii="Times New Roman" w:hAnsi="Times New Roman" w:cs="Times New Roman"/>
              </w:rPr>
              <w:t xml:space="preserve"> on the tested set of 90 floor plans.</w:t>
            </w:r>
          </w:p>
        </w:tc>
        <w:tc>
          <w:tcPr>
            <w:tcW w:w="2217" w:type="dxa"/>
            <w:vAlign w:val="center"/>
            <w:hideMark/>
          </w:tcPr>
          <w:p w14:paraId="69936E0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It is mainly a preprocessing/segmentation step and does not by itself provide complete floor-plan understanding.</w:t>
            </w:r>
          </w:p>
        </w:tc>
      </w:tr>
      <w:tr w:rsidR="005C650A" w:rsidRPr="005C650A" w14:paraId="2A9B526E" w14:textId="77777777" w:rsidTr="005C650A">
        <w:tc>
          <w:tcPr>
            <w:tcW w:w="0" w:type="auto"/>
            <w:vAlign w:val="center"/>
            <w:hideMark/>
          </w:tcPr>
          <w:p w14:paraId="4E4C0CE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69" w:type="dxa"/>
            <w:vAlign w:val="center"/>
            <w:hideMark/>
          </w:tcPr>
          <w:p w14:paraId="56972D7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Ahmed et al., 2012</w:t>
            </w:r>
          </w:p>
        </w:tc>
        <w:tc>
          <w:tcPr>
            <w:tcW w:w="1409" w:type="dxa"/>
            <w:vAlign w:val="center"/>
            <w:hideMark/>
          </w:tcPr>
          <w:p w14:paraId="00B90A2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Automatic Room Detection and Room </w:t>
            </w:r>
            <w:proofErr w:type="spellStart"/>
            <w:r w:rsidRPr="005C650A">
              <w:rPr>
                <w:rFonts w:ascii="Times New Roman" w:hAnsi="Times New Roman" w:cs="Times New Roman"/>
              </w:rPr>
              <w:t>Labeling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from Architectural Floor Plans</w:t>
            </w:r>
          </w:p>
        </w:tc>
        <w:tc>
          <w:tcPr>
            <w:tcW w:w="1505" w:type="dxa"/>
            <w:vAlign w:val="center"/>
            <w:hideMark/>
          </w:tcPr>
          <w:p w14:paraId="55C62ED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Combined structural information with OCR-based text information to detect rooms and identify their labels.</w:t>
            </w:r>
          </w:p>
        </w:tc>
        <w:tc>
          <w:tcPr>
            <w:tcW w:w="2464" w:type="dxa"/>
            <w:vAlign w:val="center"/>
            <w:hideMark/>
          </w:tcPr>
          <w:p w14:paraId="2EFEBC74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The system correctly </w:t>
            </w:r>
            <w:proofErr w:type="spellStart"/>
            <w:r w:rsidRPr="005C650A">
              <w:rPr>
                <w:rFonts w:ascii="Times New Roman" w:hAnsi="Times New Roman" w:cs="Times New Roman"/>
              </w:rPr>
              <w:t>labeled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more than </w:t>
            </w:r>
            <w:r w:rsidRPr="005C650A">
              <w:rPr>
                <w:rFonts w:ascii="Times New Roman" w:hAnsi="Times New Roman" w:cs="Times New Roman"/>
                <w:b/>
                <w:bCs/>
              </w:rPr>
              <w:t>80% of rooms</w:t>
            </w:r>
            <w:r w:rsidRPr="005C650A">
              <w:rPr>
                <w:rFonts w:ascii="Times New Roman" w:hAnsi="Times New Roman" w:cs="Times New Roman"/>
              </w:rPr>
              <w:t xml:space="preserve"> and worked well on a corpus of 80 floor plans.</w:t>
            </w:r>
          </w:p>
        </w:tc>
        <w:tc>
          <w:tcPr>
            <w:tcW w:w="2217" w:type="dxa"/>
            <w:vAlign w:val="center"/>
            <w:hideMark/>
          </w:tcPr>
          <w:p w14:paraId="7D9079B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OCR errors, especially text touching graphical components, can cause incorrect room labels.</w:t>
            </w:r>
          </w:p>
        </w:tc>
      </w:tr>
      <w:tr w:rsidR="005C650A" w:rsidRPr="005C650A" w14:paraId="6EFC83B1" w14:textId="77777777" w:rsidTr="005C650A">
        <w:tc>
          <w:tcPr>
            <w:tcW w:w="0" w:type="auto"/>
            <w:vAlign w:val="center"/>
            <w:hideMark/>
          </w:tcPr>
          <w:p w14:paraId="23B608B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69" w:type="dxa"/>
            <w:vAlign w:val="center"/>
            <w:hideMark/>
          </w:tcPr>
          <w:p w14:paraId="197974FB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Sharma et al., 2017</w:t>
            </w:r>
          </w:p>
        </w:tc>
        <w:tc>
          <w:tcPr>
            <w:tcW w:w="1409" w:type="dxa"/>
            <w:vAlign w:val="center"/>
            <w:hideMark/>
          </w:tcPr>
          <w:p w14:paraId="63897781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DANIEL: A Deep Architecture for Automatic Analysis and Retrieval of Building Floor Plans</w:t>
            </w:r>
          </w:p>
        </w:tc>
        <w:tc>
          <w:tcPr>
            <w:tcW w:w="1505" w:type="dxa"/>
            <w:vAlign w:val="center"/>
            <w:hideMark/>
          </w:tcPr>
          <w:p w14:paraId="2BBA8427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Used a deep CNN architecture to learn floor-plan features and retrieve similar layouts from a repository.</w:t>
            </w:r>
          </w:p>
        </w:tc>
        <w:tc>
          <w:tcPr>
            <w:tcW w:w="2464" w:type="dxa"/>
            <w:vAlign w:val="center"/>
            <w:hideMark/>
          </w:tcPr>
          <w:p w14:paraId="2D6CA26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DANIEL successfully retrieved similar floor plans and performed better than several compared approaches in the reported experiments.</w:t>
            </w:r>
          </w:p>
        </w:tc>
        <w:tc>
          <w:tcPr>
            <w:tcW w:w="2217" w:type="dxa"/>
            <w:vAlign w:val="center"/>
            <w:hideMark/>
          </w:tcPr>
          <w:p w14:paraId="3B9F729B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authors noted the need for a larger and more representative floor-plan dataset and further work on other analysis tasks.</w:t>
            </w:r>
          </w:p>
        </w:tc>
      </w:tr>
      <w:tr w:rsidR="005C650A" w:rsidRPr="005C650A" w14:paraId="2962A6BA" w14:textId="77777777" w:rsidTr="005C650A">
        <w:tc>
          <w:tcPr>
            <w:tcW w:w="0" w:type="auto"/>
            <w:vAlign w:val="center"/>
            <w:hideMark/>
          </w:tcPr>
          <w:p w14:paraId="6854FFE7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69" w:type="dxa"/>
            <w:vAlign w:val="center"/>
            <w:hideMark/>
          </w:tcPr>
          <w:p w14:paraId="1FEA429F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Sharma et al., 2018</w:t>
            </w:r>
          </w:p>
        </w:tc>
        <w:tc>
          <w:tcPr>
            <w:tcW w:w="1409" w:type="dxa"/>
            <w:vAlign w:val="center"/>
            <w:hideMark/>
          </w:tcPr>
          <w:p w14:paraId="790A915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proofErr w:type="spellStart"/>
            <w:r w:rsidRPr="005C650A">
              <w:rPr>
                <w:rFonts w:ascii="Times New Roman" w:hAnsi="Times New Roman" w:cs="Times New Roman"/>
              </w:rPr>
              <w:t>REXplore</w:t>
            </w:r>
            <w:proofErr w:type="spellEnd"/>
            <w:r w:rsidRPr="005C650A">
              <w:rPr>
                <w:rFonts w:ascii="Times New Roman" w:hAnsi="Times New Roman" w:cs="Times New Roman"/>
              </w:rPr>
              <w:t>: A Sketch Based Interactive Explorer for Real Estates Using Building Floor Plan Images</w:t>
            </w:r>
          </w:p>
        </w:tc>
        <w:tc>
          <w:tcPr>
            <w:tcW w:w="1505" w:type="dxa"/>
            <w:vAlign w:val="center"/>
            <w:hideMark/>
          </w:tcPr>
          <w:p w14:paraId="2576D707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Used </w:t>
            </w:r>
            <w:proofErr w:type="spellStart"/>
            <w:r w:rsidRPr="005C650A">
              <w:rPr>
                <w:rFonts w:ascii="Times New Roman" w:hAnsi="Times New Roman" w:cs="Times New Roman"/>
              </w:rPr>
              <w:t>CycleGAN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to convert hand-drawn floor-plan sketches into image-like representations and then performed retrieval.</w:t>
            </w:r>
          </w:p>
        </w:tc>
        <w:tc>
          <w:tcPr>
            <w:tcW w:w="2464" w:type="dxa"/>
            <w:vAlign w:val="center"/>
            <w:hideMark/>
          </w:tcPr>
          <w:p w14:paraId="5B23FD5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Successfully retrieved similar floor plans from sketch queries and made sketch-based search more practical.</w:t>
            </w:r>
          </w:p>
        </w:tc>
        <w:tc>
          <w:tcPr>
            <w:tcW w:w="2217" w:type="dxa"/>
            <w:vAlign w:val="center"/>
            <w:hideMark/>
          </w:tcPr>
          <w:p w14:paraId="0EBAA54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There is still a gap between sketches and scanned/real floor plans; better domain adaptation was suggested.</w:t>
            </w:r>
          </w:p>
        </w:tc>
      </w:tr>
      <w:tr w:rsidR="005C650A" w:rsidRPr="005C650A" w14:paraId="69DE0FEE" w14:textId="77777777" w:rsidTr="005C650A">
        <w:tc>
          <w:tcPr>
            <w:tcW w:w="0" w:type="auto"/>
            <w:vAlign w:val="center"/>
            <w:hideMark/>
          </w:tcPr>
          <w:p w14:paraId="48A2E791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69" w:type="dxa"/>
            <w:vAlign w:val="center"/>
            <w:hideMark/>
          </w:tcPr>
          <w:p w14:paraId="2C9A6FC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Rezvanifar, Cote &amp; </w:t>
            </w:r>
            <w:proofErr w:type="spellStart"/>
            <w:r w:rsidRPr="005C650A">
              <w:rPr>
                <w:rFonts w:ascii="Times New Roman" w:hAnsi="Times New Roman" w:cs="Times New Roman"/>
              </w:rPr>
              <w:t>Branzan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Albu, 2020</w:t>
            </w:r>
          </w:p>
        </w:tc>
        <w:tc>
          <w:tcPr>
            <w:tcW w:w="1409" w:type="dxa"/>
            <w:vAlign w:val="center"/>
            <w:hideMark/>
          </w:tcPr>
          <w:p w14:paraId="3BBF17C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Symbol Spotting on Digital Architectural Floor Plans Using a Deep Learning-</w:t>
            </w:r>
            <w:r w:rsidRPr="005C650A">
              <w:rPr>
                <w:rFonts w:ascii="Times New Roman" w:hAnsi="Times New Roman" w:cs="Times New Roman"/>
              </w:rPr>
              <w:lastRenderedPageBreak/>
              <w:t>based Framework</w:t>
            </w:r>
          </w:p>
        </w:tc>
        <w:tc>
          <w:tcPr>
            <w:tcW w:w="1505" w:type="dxa"/>
            <w:vAlign w:val="center"/>
            <w:hideMark/>
          </w:tcPr>
          <w:p w14:paraId="2D00427A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lastRenderedPageBreak/>
              <w:t xml:space="preserve">Adapted YOLO object detection with different CNN backbones and a tile-based training strategy </w:t>
            </w:r>
            <w:r w:rsidRPr="005C650A">
              <w:rPr>
                <w:rFonts w:ascii="Times New Roman" w:hAnsi="Times New Roman" w:cs="Times New Roman"/>
              </w:rPr>
              <w:lastRenderedPageBreak/>
              <w:t>for floor-plan symbols.</w:t>
            </w:r>
          </w:p>
        </w:tc>
        <w:tc>
          <w:tcPr>
            <w:tcW w:w="2464" w:type="dxa"/>
            <w:vAlign w:val="center"/>
            <w:hideMark/>
          </w:tcPr>
          <w:p w14:paraId="7E030E9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lastRenderedPageBreak/>
              <w:t xml:space="preserve">The ResNet50-based approach performed better than the tested Darknet19 and </w:t>
            </w:r>
            <w:proofErr w:type="spellStart"/>
            <w:r w:rsidRPr="005C650A">
              <w:rPr>
                <w:rFonts w:ascii="Times New Roman" w:hAnsi="Times New Roman" w:cs="Times New Roman"/>
              </w:rPr>
              <w:t>Xception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versions and handled clutter and symbol variation.</w:t>
            </w:r>
          </w:p>
        </w:tc>
        <w:tc>
          <w:tcPr>
            <w:tcW w:w="2217" w:type="dxa"/>
            <w:vAlign w:val="center"/>
            <w:hideMark/>
          </w:tcPr>
          <w:p w14:paraId="5653D9F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Real-world floor plans can contain complex symbols, occlusion and large graphical variations.</w:t>
            </w:r>
          </w:p>
        </w:tc>
      </w:tr>
      <w:tr w:rsidR="005C650A" w:rsidRPr="005C650A" w14:paraId="7B1F27F9" w14:textId="77777777" w:rsidTr="005C650A">
        <w:tc>
          <w:tcPr>
            <w:tcW w:w="0" w:type="auto"/>
            <w:vAlign w:val="center"/>
            <w:hideMark/>
          </w:tcPr>
          <w:p w14:paraId="0715FB9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69" w:type="dxa"/>
            <w:vAlign w:val="center"/>
            <w:hideMark/>
          </w:tcPr>
          <w:p w14:paraId="7160EF4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Schlessman &amp; Wolf, 2010s</w:t>
            </w:r>
          </w:p>
        </w:tc>
        <w:tc>
          <w:tcPr>
            <w:tcW w:w="1409" w:type="dxa"/>
            <w:vAlign w:val="center"/>
            <w:hideMark/>
          </w:tcPr>
          <w:p w14:paraId="2EC8251A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Tailoring Design for Embedded Computer Vision Applications</w:t>
            </w:r>
          </w:p>
        </w:tc>
        <w:tc>
          <w:tcPr>
            <w:tcW w:w="1505" w:type="dxa"/>
            <w:vAlign w:val="center"/>
            <w:hideMark/>
          </w:tcPr>
          <w:p w14:paraId="4F4413D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Combined numerical dynamic-range analysis with computer-architecture simulation to optimize computer-vision algorithms for embedded systems.</w:t>
            </w:r>
          </w:p>
        </w:tc>
        <w:tc>
          <w:tcPr>
            <w:tcW w:w="2464" w:type="dxa"/>
            <w:vAlign w:val="center"/>
            <w:hideMark/>
          </w:tcPr>
          <w:p w14:paraId="01B8E357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methodology reduced memory and processing requirements in the tested embedded implementation.</w:t>
            </w:r>
          </w:p>
        </w:tc>
        <w:tc>
          <w:tcPr>
            <w:tcW w:w="2217" w:type="dxa"/>
            <w:vAlign w:val="center"/>
            <w:hideMark/>
          </w:tcPr>
          <w:p w14:paraId="2CF62CB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approach involves hardware-specific trade-offs and is not directly designed for document or floor-plan analysis.</w:t>
            </w:r>
          </w:p>
        </w:tc>
      </w:tr>
      <w:tr w:rsidR="005C650A" w:rsidRPr="005C650A" w14:paraId="74E0120B" w14:textId="77777777" w:rsidTr="005C650A">
        <w:tc>
          <w:tcPr>
            <w:tcW w:w="0" w:type="auto"/>
            <w:vAlign w:val="center"/>
            <w:hideMark/>
          </w:tcPr>
          <w:p w14:paraId="754D8014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69" w:type="dxa"/>
            <w:vAlign w:val="center"/>
            <w:hideMark/>
          </w:tcPr>
          <w:p w14:paraId="39376C9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Matei &amp; Meer, 2006</w:t>
            </w:r>
          </w:p>
        </w:tc>
        <w:tc>
          <w:tcPr>
            <w:tcW w:w="1409" w:type="dxa"/>
            <w:vAlign w:val="center"/>
            <w:hideMark/>
          </w:tcPr>
          <w:p w14:paraId="1E4D90EF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Estimation of Nonlinear Errors-in-Variables Models for Computer Vision Applications</w:t>
            </w:r>
          </w:p>
        </w:tc>
        <w:tc>
          <w:tcPr>
            <w:tcW w:w="1505" w:type="dxa"/>
            <w:vAlign w:val="center"/>
            <w:hideMark/>
          </w:tcPr>
          <w:p w14:paraId="20BDDD8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Proposed a heteroscedastic errors-in-variables (HEIV) estimator for computer-vision problems where measurements contain noise.</w:t>
            </w:r>
          </w:p>
        </w:tc>
        <w:tc>
          <w:tcPr>
            <w:tcW w:w="2464" w:type="dxa"/>
            <w:vAlign w:val="center"/>
            <w:hideMark/>
          </w:tcPr>
          <w:p w14:paraId="2EE7EFB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HEIV achieved performance comparable to or better than several existing techniques in tested computer-vision tasks and required fewer iterations than some methods.</w:t>
            </w:r>
          </w:p>
        </w:tc>
        <w:tc>
          <w:tcPr>
            <w:tcW w:w="2217" w:type="dxa"/>
            <w:vAlign w:val="center"/>
            <w:hideMark/>
          </w:tcPr>
          <w:p w14:paraId="12E4F6E3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It is a general computer-vision estimation method and needs suitable mathematical </w:t>
            </w:r>
            <w:proofErr w:type="spellStart"/>
            <w:r w:rsidRPr="005C650A">
              <w:rPr>
                <w:rFonts w:ascii="Times New Roman" w:hAnsi="Times New Roman" w:cs="Times New Roman"/>
              </w:rPr>
              <w:t>modeling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for a particular application.</w:t>
            </w:r>
          </w:p>
        </w:tc>
      </w:tr>
    </w:tbl>
    <w:p w14:paraId="1BC4D70B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2E27494E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A3A39E9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5D603B97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1B94CB3A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188DBFB6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57431580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6D4712B2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0D8A67BE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060E381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2F3B8635" w14:textId="77777777" w:rsidR="005C650A" w:rsidRDefault="005C650A">
      <w:pPr>
        <w:rPr>
          <w:rFonts w:ascii="Times New Roman" w:hAnsi="Times New Roman" w:cs="Times New Roman"/>
        </w:rPr>
      </w:pPr>
    </w:p>
    <w:p w14:paraId="655D8D91" w14:textId="77777777" w:rsidR="005C650A" w:rsidRDefault="005C650A">
      <w:pPr>
        <w:rPr>
          <w:rFonts w:ascii="Times New Roman" w:hAnsi="Times New Roman" w:cs="Times New Roman"/>
        </w:rPr>
      </w:pPr>
    </w:p>
    <w:p w14:paraId="78EF10AA" w14:textId="77777777" w:rsidR="005C650A" w:rsidRDefault="005C650A">
      <w:pPr>
        <w:rPr>
          <w:rFonts w:ascii="Times New Roman" w:hAnsi="Times New Roman" w:cs="Times New Roman"/>
        </w:rPr>
      </w:pPr>
    </w:p>
    <w:p w14:paraId="11D026AB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08760A63" w14:textId="11014DC5" w:rsidR="005C650A" w:rsidRPr="005C650A" w:rsidRDefault="005C650A">
      <w:pPr>
        <w:rPr>
          <w:rFonts w:ascii="Times New Roman" w:hAnsi="Times New Roman" w:cs="Times New Roman"/>
        </w:rPr>
      </w:pPr>
      <w:r w:rsidRPr="005C650A">
        <w:rPr>
          <w:rFonts w:ascii="Times New Roman" w:hAnsi="Times New Roman" w:cs="Times New Roman"/>
        </w:rPr>
        <w:lastRenderedPageBreak/>
        <w:t>Workflow / Inspection / Fire Department Management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939"/>
        <w:gridCol w:w="1844"/>
        <w:gridCol w:w="1989"/>
        <w:gridCol w:w="1870"/>
        <w:gridCol w:w="2002"/>
      </w:tblGrid>
      <w:tr w:rsidR="005C650A" w:rsidRPr="005C650A" w14:paraId="3BA445E0" w14:textId="77777777" w:rsidTr="005C650A">
        <w:trPr>
          <w:tblHeader/>
        </w:trPr>
        <w:tc>
          <w:tcPr>
            <w:tcW w:w="0" w:type="auto"/>
            <w:vAlign w:val="center"/>
            <w:hideMark/>
          </w:tcPr>
          <w:p w14:paraId="7CFE26D2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3D243DCD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Author &amp; Year</w:t>
            </w:r>
          </w:p>
        </w:tc>
        <w:tc>
          <w:tcPr>
            <w:tcW w:w="0" w:type="auto"/>
            <w:vAlign w:val="center"/>
            <w:hideMark/>
          </w:tcPr>
          <w:p w14:paraId="3263B086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Paper Title</w:t>
            </w:r>
          </w:p>
        </w:tc>
        <w:tc>
          <w:tcPr>
            <w:tcW w:w="0" w:type="auto"/>
            <w:vAlign w:val="center"/>
            <w:hideMark/>
          </w:tcPr>
          <w:p w14:paraId="3577D05C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50811E6E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Result / Findings</w:t>
            </w:r>
          </w:p>
        </w:tc>
        <w:tc>
          <w:tcPr>
            <w:tcW w:w="0" w:type="auto"/>
            <w:vAlign w:val="center"/>
            <w:hideMark/>
          </w:tcPr>
          <w:p w14:paraId="047946F8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5C650A" w:rsidRPr="005C650A" w14:paraId="57879086" w14:textId="77777777" w:rsidTr="005C650A">
        <w:tc>
          <w:tcPr>
            <w:tcW w:w="0" w:type="auto"/>
            <w:vAlign w:val="center"/>
            <w:hideMark/>
          </w:tcPr>
          <w:p w14:paraId="28197B8B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4A53CD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proofErr w:type="spellStart"/>
            <w:r w:rsidRPr="005C650A">
              <w:rPr>
                <w:rFonts w:ascii="Times New Roman" w:hAnsi="Times New Roman" w:cs="Times New Roman"/>
              </w:rPr>
              <w:t>Hrgovcic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5C650A">
              <w:rPr>
                <w:rFonts w:ascii="Times New Roman" w:hAnsi="Times New Roman" w:cs="Times New Roman"/>
              </w:rPr>
              <w:t>Woitsch</w:t>
            </w:r>
            <w:proofErr w:type="spellEnd"/>
            <w:r w:rsidRPr="005C650A">
              <w:rPr>
                <w:rFonts w:ascii="Times New Roman" w:hAnsi="Times New Roman" w:cs="Times New Roman"/>
              </w:rPr>
              <w:t>, 2009</w:t>
            </w:r>
          </w:p>
        </w:tc>
        <w:tc>
          <w:tcPr>
            <w:tcW w:w="0" w:type="auto"/>
            <w:vAlign w:val="center"/>
            <w:hideMark/>
          </w:tcPr>
          <w:p w14:paraId="021AF60C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Enhancing Semantic E-Government Workflows Through Service Oriented Knowledge Provision</w:t>
            </w:r>
          </w:p>
        </w:tc>
        <w:tc>
          <w:tcPr>
            <w:tcW w:w="0" w:type="auto"/>
            <w:vAlign w:val="center"/>
            <w:hideMark/>
          </w:tcPr>
          <w:p w14:paraId="5F5DCED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Used semantic workflows and a Service Oriented Knowledge Provision approach to provide relevant knowledge during e-government processes.</w:t>
            </w:r>
          </w:p>
        </w:tc>
        <w:tc>
          <w:tcPr>
            <w:tcW w:w="0" w:type="auto"/>
            <w:vAlign w:val="center"/>
            <w:hideMark/>
          </w:tcPr>
          <w:p w14:paraId="2CD5464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proposed approach showed how knowledge and services can be integrated into government workflows through a common framework.</w:t>
            </w:r>
          </w:p>
        </w:tc>
        <w:tc>
          <w:tcPr>
            <w:tcW w:w="0" w:type="auto"/>
            <w:vAlign w:val="center"/>
            <w:hideMark/>
          </w:tcPr>
          <w:p w14:paraId="0CF614C5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work mainly presented prototypes and research scenarios; more implementation and evaluation were left for future work.</w:t>
            </w:r>
          </w:p>
        </w:tc>
      </w:tr>
      <w:tr w:rsidR="005C650A" w:rsidRPr="005C650A" w14:paraId="5C0F7450" w14:textId="77777777" w:rsidTr="005C650A">
        <w:tc>
          <w:tcPr>
            <w:tcW w:w="0" w:type="auto"/>
            <w:vAlign w:val="center"/>
            <w:hideMark/>
          </w:tcPr>
          <w:p w14:paraId="06C03F0C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83F6516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Coşkun et al., 2016</w:t>
            </w:r>
          </w:p>
        </w:tc>
        <w:tc>
          <w:tcPr>
            <w:tcW w:w="0" w:type="auto"/>
            <w:vAlign w:val="center"/>
            <w:hideMark/>
          </w:tcPr>
          <w:p w14:paraId="5315B989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A Tool for Automated Inspection of Software Design Documents and Its Empirical Evaluation in an Aviation Industry Setting</w:t>
            </w:r>
          </w:p>
        </w:tc>
        <w:tc>
          <w:tcPr>
            <w:tcW w:w="0" w:type="auto"/>
            <w:vAlign w:val="center"/>
            <w:hideMark/>
          </w:tcPr>
          <w:p w14:paraId="037B8D9F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 xml:space="preserve">Developed </w:t>
            </w:r>
            <w:proofErr w:type="spellStart"/>
            <w:r w:rsidRPr="005C650A">
              <w:rPr>
                <w:rFonts w:ascii="Times New Roman" w:hAnsi="Times New Roman" w:cs="Times New Roman"/>
              </w:rPr>
              <w:t>AutoInspect</w:t>
            </w:r>
            <w:proofErr w:type="spellEnd"/>
            <w:r w:rsidRPr="005C650A">
              <w:rPr>
                <w:rFonts w:ascii="Times New Roman" w:hAnsi="Times New Roman" w:cs="Times New Roman"/>
              </w:rPr>
              <w:t xml:space="preserve"> to semi-automate inspection of software design documents and evaluated it using real industrial systems.</w:t>
            </w:r>
          </w:p>
        </w:tc>
        <w:tc>
          <w:tcPr>
            <w:tcW w:w="0" w:type="auto"/>
            <w:vAlign w:val="center"/>
            <w:hideMark/>
          </w:tcPr>
          <w:p w14:paraId="35F4BFD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initial case study showed that the tool can support inspection and reduce manual inspection effort.</w:t>
            </w:r>
          </w:p>
        </w:tc>
        <w:tc>
          <w:tcPr>
            <w:tcW w:w="0" w:type="auto"/>
            <w:vAlign w:val="center"/>
            <w:hideMark/>
          </w:tcPr>
          <w:p w14:paraId="0971567B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It was not fully automated; semantic inspection still required human expertise.</w:t>
            </w:r>
          </w:p>
        </w:tc>
      </w:tr>
      <w:tr w:rsidR="005C650A" w:rsidRPr="005C650A" w14:paraId="2AD86C16" w14:textId="77777777" w:rsidTr="005C650A">
        <w:tc>
          <w:tcPr>
            <w:tcW w:w="0" w:type="auto"/>
            <w:vAlign w:val="center"/>
            <w:hideMark/>
          </w:tcPr>
          <w:p w14:paraId="57EE13C7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37996A7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Juliet et al., 2025</w:t>
            </w:r>
          </w:p>
        </w:tc>
        <w:tc>
          <w:tcPr>
            <w:tcW w:w="0" w:type="auto"/>
            <w:vAlign w:val="center"/>
            <w:hideMark/>
          </w:tcPr>
          <w:p w14:paraId="4A956AF2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Real Time Monitoring and Evaluation Software for Application Received in Fire Department Relating to Inspections, Follow-ups, Issue of NOCs</w:t>
            </w:r>
          </w:p>
        </w:tc>
        <w:tc>
          <w:tcPr>
            <w:tcW w:w="0" w:type="auto"/>
            <w:vAlign w:val="center"/>
            <w:hideMark/>
          </w:tcPr>
          <w:p w14:paraId="61349D6E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Developed an online system for application submission, document handling, inspection scheduling, status tracking, follow-ups and NOC processing.</w:t>
            </w:r>
          </w:p>
        </w:tc>
        <w:tc>
          <w:tcPr>
            <w:tcW w:w="0" w:type="auto"/>
            <w:vAlign w:val="center"/>
            <w:hideMark/>
          </w:tcPr>
          <w:p w14:paraId="3A8864CB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system aims to improve transparency, processing speed and monitoring of fire-department applications.</w:t>
            </w:r>
          </w:p>
        </w:tc>
        <w:tc>
          <w:tcPr>
            <w:tcW w:w="0" w:type="auto"/>
            <w:vAlign w:val="center"/>
            <w:hideMark/>
          </w:tcPr>
          <w:p w14:paraId="1D8FA5CD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The paper mainly describes a proposed software system; detailed large-scale performance evaluation is limited.</w:t>
            </w:r>
          </w:p>
        </w:tc>
      </w:tr>
    </w:tbl>
    <w:p w14:paraId="5076188C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8569563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72EE237B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6A20B1C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44FE5CA6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2B7B05D0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31BE9A82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6D66789F" w14:textId="77777777" w:rsidR="005C650A" w:rsidRDefault="005C650A">
      <w:pPr>
        <w:rPr>
          <w:rFonts w:ascii="Times New Roman" w:hAnsi="Times New Roman" w:cs="Times New Roman"/>
        </w:rPr>
      </w:pPr>
    </w:p>
    <w:p w14:paraId="2ADADC63" w14:textId="77777777" w:rsidR="005C650A" w:rsidRDefault="005C650A">
      <w:pPr>
        <w:rPr>
          <w:rFonts w:ascii="Times New Roman" w:hAnsi="Times New Roman" w:cs="Times New Roman"/>
        </w:rPr>
      </w:pPr>
    </w:p>
    <w:p w14:paraId="6946FB41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037AAE46" w14:textId="77777777" w:rsidR="005C650A" w:rsidRPr="005C650A" w:rsidRDefault="005C650A">
      <w:pPr>
        <w:rPr>
          <w:rFonts w:ascii="Times New Roman" w:hAnsi="Times New Roman" w:cs="Times New Roman"/>
        </w:rPr>
      </w:pPr>
    </w:p>
    <w:p w14:paraId="0398C30D" w14:textId="2B89D819" w:rsidR="005C650A" w:rsidRPr="005C650A" w:rsidRDefault="005C650A">
      <w:pPr>
        <w:rPr>
          <w:rFonts w:ascii="Times New Roman" w:hAnsi="Times New Roman" w:cs="Times New Roman"/>
        </w:rPr>
      </w:pPr>
      <w:r w:rsidRPr="005C650A">
        <w:rPr>
          <w:rFonts w:ascii="Times New Roman" w:hAnsi="Times New Roman" w:cs="Times New Roman"/>
        </w:rPr>
        <w:lastRenderedPageBreak/>
        <w:t>Audit Trail / Log Integrity / Security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909"/>
        <w:gridCol w:w="1559"/>
        <w:gridCol w:w="1844"/>
        <w:gridCol w:w="2114"/>
        <w:gridCol w:w="2217"/>
      </w:tblGrid>
      <w:tr w:rsidR="005C650A" w:rsidRPr="005C650A" w14:paraId="62AA40AF" w14:textId="77777777" w:rsidTr="005C650A">
        <w:trPr>
          <w:tblHeader/>
        </w:trPr>
        <w:tc>
          <w:tcPr>
            <w:tcW w:w="0" w:type="auto"/>
            <w:vAlign w:val="center"/>
            <w:hideMark/>
          </w:tcPr>
          <w:p w14:paraId="01F53D90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384762A1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Author &amp; Year</w:t>
            </w:r>
          </w:p>
        </w:tc>
        <w:tc>
          <w:tcPr>
            <w:tcW w:w="0" w:type="auto"/>
            <w:vAlign w:val="center"/>
            <w:hideMark/>
          </w:tcPr>
          <w:p w14:paraId="259F7F80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Paper Title</w:t>
            </w:r>
          </w:p>
        </w:tc>
        <w:tc>
          <w:tcPr>
            <w:tcW w:w="0" w:type="auto"/>
            <w:vAlign w:val="center"/>
            <w:hideMark/>
          </w:tcPr>
          <w:p w14:paraId="72EB2724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</w:tc>
        <w:tc>
          <w:tcPr>
            <w:tcW w:w="2114" w:type="dxa"/>
            <w:vAlign w:val="center"/>
            <w:hideMark/>
          </w:tcPr>
          <w:p w14:paraId="42498185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Result / Findings</w:t>
            </w:r>
          </w:p>
        </w:tc>
        <w:tc>
          <w:tcPr>
            <w:tcW w:w="2217" w:type="dxa"/>
            <w:vAlign w:val="center"/>
            <w:hideMark/>
          </w:tcPr>
          <w:p w14:paraId="18FAA575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50A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5C650A" w:rsidRPr="005C650A" w14:paraId="1FEECD8E" w14:textId="77777777" w:rsidTr="005C650A">
        <w:tc>
          <w:tcPr>
            <w:tcW w:w="0" w:type="auto"/>
            <w:vAlign w:val="center"/>
            <w:hideMark/>
          </w:tcPr>
          <w:p w14:paraId="388068D8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142F632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Ahmad, Lee &amp; Peinado, 2022</w:t>
            </w:r>
          </w:p>
        </w:tc>
        <w:tc>
          <w:tcPr>
            <w:tcW w:w="0" w:type="auto"/>
            <w:vAlign w:val="center"/>
            <w:hideMark/>
          </w:tcPr>
          <w:p w14:paraId="70EB99D4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HARDLOG: Practical Tamper-Proof System Auditing Using a Novel Audit Device</w:t>
            </w:r>
          </w:p>
        </w:tc>
        <w:tc>
          <w:tcPr>
            <w:tcW w:w="0" w:type="auto"/>
            <w:vAlign w:val="center"/>
            <w:hideMark/>
          </w:tcPr>
          <w:p w14:paraId="197946AA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Introduced a dedicated hardware device for protecting audit logs and storing them securely before critical system events.</w:t>
            </w:r>
          </w:p>
        </w:tc>
        <w:tc>
          <w:tcPr>
            <w:tcW w:w="2114" w:type="dxa"/>
            <w:vAlign w:val="center"/>
            <w:hideMark/>
          </w:tcPr>
          <w:p w14:paraId="5C98A9EB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HARDLOG provides stronger protection against log tampering. The reported performance overhead over normal execution was about 0.0–6.9% in the tested setup.</w:t>
            </w:r>
          </w:p>
        </w:tc>
        <w:tc>
          <w:tcPr>
            <w:tcW w:w="2217" w:type="dxa"/>
            <w:vAlign w:val="center"/>
            <w:hideMark/>
          </w:tcPr>
          <w:p w14:paraId="67BB851E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Synchronous log protection can introduce performance overhead, especially when large amounts of log data must be stored.</w:t>
            </w:r>
          </w:p>
        </w:tc>
      </w:tr>
      <w:tr w:rsidR="005C650A" w:rsidRPr="005C650A" w14:paraId="69AA4E27" w14:textId="77777777" w:rsidTr="005C650A">
        <w:tc>
          <w:tcPr>
            <w:tcW w:w="0" w:type="auto"/>
            <w:vAlign w:val="center"/>
            <w:hideMark/>
          </w:tcPr>
          <w:p w14:paraId="27508B84" w14:textId="77777777" w:rsidR="005C650A" w:rsidRPr="005C650A" w:rsidRDefault="005C650A" w:rsidP="005C650A">
            <w:pPr>
              <w:jc w:val="center"/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8051301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Nagpal et al., 2025</w:t>
            </w:r>
          </w:p>
        </w:tc>
        <w:tc>
          <w:tcPr>
            <w:tcW w:w="0" w:type="auto"/>
            <w:vAlign w:val="center"/>
            <w:hideMark/>
          </w:tcPr>
          <w:p w14:paraId="55B6F537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proofErr w:type="spellStart"/>
            <w:r w:rsidRPr="005C650A">
              <w:rPr>
                <w:rFonts w:ascii="Times New Roman" w:hAnsi="Times New Roman" w:cs="Times New Roman"/>
              </w:rPr>
              <w:t>LogProof</w:t>
            </w:r>
            <w:proofErr w:type="spellEnd"/>
            <w:r w:rsidRPr="005C650A">
              <w:rPr>
                <w:rFonts w:ascii="Times New Roman" w:hAnsi="Times New Roman" w:cs="Times New Roman"/>
              </w:rPr>
              <w:t>: Ensuring Integrity and Immutability of Audit Logs Using Blockchain</w:t>
            </w:r>
          </w:p>
        </w:tc>
        <w:tc>
          <w:tcPr>
            <w:tcW w:w="0" w:type="auto"/>
            <w:vAlign w:val="center"/>
            <w:hideMark/>
          </w:tcPr>
          <w:p w14:paraId="66EA0F60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Used blockchain hashes to verify the integrity of audit logs while keeping log data in off-chain storage.</w:t>
            </w:r>
          </w:p>
        </w:tc>
        <w:tc>
          <w:tcPr>
            <w:tcW w:w="2114" w:type="dxa"/>
            <w:vAlign w:val="center"/>
            <w:hideMark/>
          </w:tcPr>
          <w:p w14:paraId="3C5CD242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Tampering with a stored log was detected by comparing its hash with the blockchain record. The approach provides tamper-evident audit records.</w:t>
            </w:r>
          </w:p>
        </w:tc>
        <w:tc>
          <w:tcPr>
            <w:tcW w:w="2217" w:type="dxa"/>
            <w:vAlign w:val="center"/>
            <w:hideMark/>
          </w:tcPr>
          <w:p w14:paraId="4FFAF588" w14:textId="77777777" w:rsidR="005C650A" w:rsidRPr="005C650A" w:rsidRDefault="005C650A" w:rsidP="005C650A">
            <w:pPr>
              <w:rPr>
                <w:rFonts w:ascii="Times New Roman" w:hAnsi="Times New Roman" w:cs="Times New Roman"/>
              </w:rPr>
            </w:pPr>
            <w:r w:rsidRPr="005C650A">
              <w:rPr>
                <w:rFonts w:ascii="Times New Roman" w:hAnsi="Times New Roman" w:cs="Times New Roman"/>
              </w:rPr>
              <w:t>Further large-scale performance testing, more platform support and integration with regulations such as GDPR/HIPAA/SOX were identified as future work.</w:t>
            </w:r>
          </w:p>
        </w:tc>
      </w:tr>
    </w:tbl>
    <w:p w14:paraId="51468986" w14:textId="77777777" w:rsidR="005C650A" w:rsidRPr="005C650A" w:rsidRDefault="005C650A">
      <w:pPr>
        <w:rPr>
          <w:rFonts w:ascii="Times New Roman" w:hAnsi="Times New Roman" w:cs="Times New Roman"/>
        </w:rPr>
      </w:pPr>
    </w:p>
    <w:sectPr w:rsidR="005C650A" w:rsidRPr="005C6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0A"/>
    <w:rsid w:val="00184B38"/>
    <w:rsid w:val="00542C19"/>
    <w:rsid w:val="005C650A"/>
    <w:rsid w:val="00711A86"/>
    <w:rsid w:val="00B2177C"/>
    <w:rsid w:val="00E4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51EC"/>
  <w15:chartTrackingRefBased/>
  <w15:docId w15:val="{2BB78982-83F7-4485-9FF0-0219C2C4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Kumawat</dc:creator>
  <cp:keywords/>
  <dc:description/>
  <cp:lastModifiedBy>Yogesh Kumawat</cp:lastModifiedBy>
  <cp:revision>1</cp:revision>
  <dcterms:created xsi:type="dcterms:W3CDTF">2026-09-21T15:03:00Z</dcterms:created>
  <dcterms:modified xsi:type="dcterms:W3CDTF">2026-09-21T15:18:00Z</dcterms:modified>
</cp:coreProperties>
</file>