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F05B" w14:textId="77777777" w:rsidR="0092716A" w:rsidRDefault="0092716A" w:rsidP="0092716A">
      <w:pPr>
        <w:ind w:firstLineChars="200" w:firstLine="562"/>
        <w:jc w:val="center"/>
        <w:rPr>
          <w:b/>
          <w:bCs/>
          <w:sz w:val="28"/>
          <w:szCs w:val="28"/>
        </w:rPr>
      </w:pPr>
      <w:r w:rsidRPr="0092716A">
        <w:rPr>
          <w:b/>
          <w:bCs/>
          <w:sz w:val="28"/>
          <w:szCs w:val="28"/>
        </w:rPr>
        <w:t>Architectural Adaptation and Objective-Function Ablation of H-</w:t>
      </w:r>
      <w:proofErr w:type="spellStart"/>
      <w:r w:rsidRPr="0092716A">
        <w:rPr>
          <w:b/>
          <w:bCs/>
          <w:sz w:val="28"/>
          <w:szCs w:val="28"/>
        </w:rPr>
        <w:t>DenseUNet</w:t>
      </w:r>
      <w:proofErr w:type="spellEnd"/>
      <w:r w:rsidRPr="0092716A">
        <w:rPr>
          <w:b/>
          <w:bCs/>
          <w:sz w:val="28"/>
          <w:szCs w:val="28"/>
        </w:rPr>
        <w:t xml:space="preserve"> and MDU-Net for Classification</w:t>
      </w:r>
    </w:p>
    <w:p w14:paraId="01FF2AF1" w14:textId="1A92DDDC" w:rsidR="003164E8" w:rsidRDefault="003164E8" w:rsidP="00484F16">
      <w:pPr>
        <w:ind w:firstLineChars="200" w:firstLine="440"/>
        <w:jc w:val="both"/>
        <w:rPr>
          <w:rFonts w:hint="eastAsia"/>
        </w:rPr>
      </w:pPr>
      <w:r>
        <w:t>H-</w:t>
      </w:r>
      <w:proofErr w:type="spellStart"/>
      <w:r>
        <w:t>DenseUNet</w:t>
      </w:r>
      <w:proofErr w:type="spellEnd"/>
      <w:r>
        <w:t xml:space="preserve"> and MDU-Net were originally developed for image segmentation tasks. To adapt them to the binary classification task in this study, we preserved their principal feature-extraction pipelines as much as possible while modifying the output components accordingly. Specifically, the core encoding and feature-extraction modules were retained, whereas segmentation-specific decoding or output components that were no longer required for the final prediction were removed. Global pooling and fully connected classification heads were then introduced to produce two-class predictions. The retained modules, removed segmentation-related components, and newly introduced classification heads are illustrated in Fig. </w:t>
      </w:r>
      <w:r>
        <w:rPr>
          <w:rFonts w:hint="eastAsia"/>
        </w:rPr>
        <w:t>1</w:t>
      </w:r>
      <w:r>
        <w:t>.</w:t>
      </w:r>
    </w:p>
    <w:p w14:paraId="03D668F9" w14:textId="137D15BC" w:rsidR="003164E8" w:rsidRDefault="003164E8" w:rsidP="00484F16">
      <w:pPr>
        <w:ind w:firstLineChars="200" w:firstLine="440"/>
        <w:jc w:val="both"/>
        <w:rPr>
          <w:rFonts w:hint="eastAsia"/>
        </w:rPr>
      </w:pPr>
      <w:r>
        <w:t>For the primary performance comparison, the modified H-</w:t>
      </w:r>
      <w:proofErr w:type="spellStart"/>
      <w:r>
        <w:t>DenseUNet</w:t>
      </w:r>
      <w:proofErr w:type="spellEnd"/>
      <w:r>
        <w:t xml:space="preserve"> and MDU-Net were trained using the same dual-modality ROI input and the same Asymmetric Loss (ASL) as our proposed method, thereby maintaining consistent input conditions and classification objectives across models.</w:t>
      </w:r>
    </w:p>
    <w:p w14:paraId="4D387527" w14:textId="53CA5072" w:rsidR="003164E8" w:rsidRDefault="003164E8" w:rsidP="00484F16">
      <w:pPr>
        <w:ind w:firstLineChars="200" w:firstLine="440"/>
        <w:jc w:val="both"/>
        <w:rPr>
          <w:rFonts w:hint="eastAsia"/>
        </w:rPr>
      </w:pPr>
      <w:r>
        <w:t>In addition, we conducted an objective-sensitivity analysis to assess whether the change in optimization objective during the adaptation from segmentation to classification could introduce additional performance bias. Because voxel-level segmentation annotations were not available for the classification cohort, the original supervised segmentation losses could not be directly re-optimized on this dataset. Therefore, under otherwise matched data splits, network configurations, and training settings, we compared classification using ASL alone with classification using ASL together with a segmentation-oriented entropy regularization term. This auxiliary constraint was introduced to evaluate the sensitivity of classification performance to an additional segmentation-related optimization objective, rather than to reproduce the original supervised segmentation losses.</w:t>
      </w:r>
    </w:p>
    <w:p w14:paraId="26D3227D" w14:textId="77777777" w:rsidR="00484F16" w:rsidRDefault="003164E8" w:rsidP="00484F16">
      <w:pPr>
        <w:ind w:firstLineChars="200" w:firstLine="440"/>
        <w:jc w:val="both"/>
      </w:pPr>
      <w:r>
        <w:t xml:space="preserve">The corresponding results are reported in Table </w:t>
      </w:r>
      <w:r>
        <w:rPr>
          <w:rFonts w:hint="eastAsia"/>
        </w:rPr>
        <w:t>1</w:t>
      </w:r>
      <w:r>
        <w:t>. The additional segmentation-oriented entropy regularization did not improve the classification performance of either modified baseline. Accordingly, ASL was consistently adopted for H-</w:t>
      </w:r>
      <w:proofErr w:type="spellStart"/>
      <w:r>
        <w:t>DenseUNet</w:t>
      </w:r>
      <w:proofErr w:type="spellEnd"/>
      <w:r>
        <w:t>, MDU-Net, and the proposed method in the primary comparison to maintain a unified classification objective and facilitate a fair comparison.</w:t>
      </w:r>
    </w:p>
    <w:p w14:paraId="7C92755E" w14:textId="47AF300C" w:rsidR="00666B35" w:rsidRDefault="00F54924" w:rsidP="00484F16">
      <w:pPr>
        <w:ind w:firstLineChars="200" w:firstLine="480"/>
        <w:jc w:val="both"/>
      </w:pPr>
      <w:r>
        <w:rPr>
          <w:rFonts w:hint="eastAsia"/>
          <w:noProof/>
          <w:color w:val="00B050"/>
          <w:kern w:val="0"/>
          <w:sz w:val="24"/>
        </w:rPr>
        <w:lastRenderedPageBreak/>
        <w:drawing>
          <wp:inline distT="0" distB="0" distL="0" distR="0" wp14:anchorId="2E756C8B" wp14:editId="69D1DA13">
            <wp:extent cx="4427808" cy="3320856"/>
            <wp:effectExtent l="0" t="0" r="0" b="0"/>
            <wp:docPr id="17985298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9841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08" cy="33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6968" w14:textId="7755391D" w:rsidR="00251422" w:rsidRDefault="00251422">
      <w:pPr>
        <w:rPr>
          <w:sz w:val="18"/>
          <w:szCs w:val="18"/>
        </w:rPr>
      </w:pPr>
      <w:r w:rsidRPr="00251422">
        <w:rPr>
          <w:sz w:val="18"/>
          <w:szCs w:val="18"/>
        </w:rPr>
        <w:t xml:space="preserve">Fig. </w:t>
      </w:r>
      <w:r>
        <w:rPr>
          <w:rFonts w:hint="eastAsia"/>
          <w:sz w:val="18"/>
          <w:szCs w:val="18"/>
        </w:rPr>
        <w:t>1</w:t>
      </w:r>
      <w:r w:rsidRPr="00251422">
        <w:rPr>
          <w:sz w:val="18"/>
          <w:szCs w:val="18"/>
        </w:rPr>
        <w:t>. Schematic illustration of the segmentation-to-classification adaptation of H-</w:t>
      </w:r>
      <w:proofErr w:type="spellStart"/>
      <w:r w:rsidRPr="00251422">
        <w:rPr>
          <w:sz w:val="18"/>
          <w:szCs w:val="18"/>
        </w:rPr>
        <w:t>DenseUNet</w:t>
      </w:r>
      <w:proofErr w:type="spellEnd"/>
      <w:r w:rsidRPr="00251422">
        <w:rPr>
          <w:sz w:val="18"/>
          <w:szCs w:val="18"/>
        </w:rPr>
        <w:t xml:space="preserve"> and MDU-Net.</w:t>
      </w:r>
    </w:p>
    <w:p w14:paraId="1E204F0B" w14:textId="77777777" w:rsidR="00251422" w:rsidRDefault="00251422">
      <w:pPr>
        <w:rPr>
          <w:sz w:val="18"/>
          <w:szCs w:val="18"/>
        </w:rPr>
      </w:pPr>
    </w:p>
    <w:p w14:paraId="064A2C75" w14:textId="75D204F8" w:rsidR="00251422" w:rsidRPr="00251422" w:rsidRDefault="00251422">
      <w:pPr>
        <w:rPr>
          <w:rFonts w:hint="eastAsia"/>
          <w:sz w:val="18"/>
          <w:szCs w:val="18"/>
        </w:rPr>
      </w:pPr>
      <w:r w:rsidRPr="00251422">
        <w:rPr>
          <w:sz w:val="18"/>
          <w:szCs w:val="18"/>
        </w:rPr>
        <w:t xml:space="preserve">Table </w:t>
      </w:r>
      <w:r>
        <w:rPr>
          <w:rFonts w:hint="eastAsia"/>
          <w:sz w:val="18"/>
          <w:szCs w:val="18"/>
        </w:rPr>
        <w:t>1</w:t>
      </w:r>
      <w:r w:rsidRPr="00251422">
        <w:rPr>
          <w:sz w:val="18"/>
          <w:szCs w:val="18"/>
        </w:rPr>
        <w:t>. Performance comparison and objective-sensitivity analysis of the modified hybrid baselines.</w:t>
      </w:r>
    </w:p>
    <w:tbl>
      <w:tblPr>
        <w:tblStyle w:val="af2"/>
        <w:tblW w:w="949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1076"/>
        <w:gridCol w:w="1424"/>
        <w:gridCol w:w="1271"/>
        <w:gridCol w:w="1134"/>
        <w:gridCol w:w="1417"/>
        <w:gridCol w:w="1560"/>
      </w:tblGrid>
      <w:tr w:rsidR="00F54924" w:rsidRPr="00F54924" w14:paraId="1FC661E3" w14:textId="77777777" w:rsidTr="00F54924">
        <w:trPr>
          <w:jc w:val="center"/>
        </w:trPr>
        <w:tc>
          <w:tcPr>
            <w:tcW w:w="161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BCAAAA" w14:textId="77777777" w:rsidR="00F54924" w:rsidRPr="00F54924" w:rsidRDefault="00F54924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F54924">
              <w:rPr>
                <w:b/>
                <w:bCs/>
                <w:kern w:val="0"/>
                <w:sz w:val="18"/>
                <w:szCs w:val="18"/>
              </w:rPr>
              <w:t>Model</w:t>
            </w:r>
          </w:p>
        </w:tc>
        <w:tc>
          <w:tcPr>
            <w:tcW w:w="107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EC367E" w14:textId="77777777" w:rsidR="00F54924" w:rsidRPr="00F54924" w:rsidRDefault="00F54924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F54924">
              <w:rPr>
                <w:b/>
                <w:bCs/>
                <w:kern w:val="0"/>
                <w:sz w:val="18"/>
                <w:szCs w:val="18"/>
              </w:rPr>
              <w:t>Input</w:t>
            </w: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F3477C" w14:textId="481176AB" w:rsidR="00F54924" w:rsidRPr="00F54924" w:rsidRDefault="00251422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251422">
              <w:rPr>
                <w:b/>
                <w:bCs/>
                <w:kern w:val="0"/>
                <w:sz w:val="18"/>
                <w:szCs w:val="18"/>
              </w:rPr>
              <w:t>Training</w:t>
            </w: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="00F54924" w:rsidRPr="00F54924">
              <w:rPr>
                <w:b/>
                <w:bCs/>
                <w:kern w:val="0"/>
                <w:sz w:val="18"/>
                <w:szCs w:val="18"/>
              </w:rPr>
              <w:t>Objective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0A0D00" w14:textId="77777777" w:rsidR="00F54924" w:rsidRPr="00F54924" w:rsidRDefault="00F54924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r w:rsidRPr="00F54924">
              <w:rPr>
                <w:b/>
                <w:bCs/>
                <w:kern w:val="0"/>
                <w:sz w:val="18"/>
                <w:szCs w:val="18"/>
              </w:rPr>
              <w:t>mF1 (%)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A1B89B" w14:textId="77777777" w:rsidR="00F54924" w:rsidRPr="00F54924" w:rsidRDefault="00F54924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proofErr w:type="spellStart"/>
            <w:r w:rsidRPr="00F54924">
              <w:rPr>
                <w:b/>
                <w:bCs/>
                <w:kern w:val="0"/>
                <w:sz w:val="18"/>
                <w:szCs w:val="18"/>
              </w:rPr>
              <w:t>mAccuracy</w:t>
            </w:r>
            <w:proofErr w:type="spellEnd"/>
            <w:r w:rsidRPr="00F54924">
              <w:rPr>
                <w:b/>
                <w:bCs/>
                <w:kern w:val="0"/>
                <w:sz w:val="18"/>
                <w:szCs w:val="18"/>
              </w:rPr>
              <w:t xml:space="preserve"> (%)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B33D2AC" w14:textId="77777777" w:rsidR="00F54924" w:rsidRPr="00F54924" w:rsidRDefault="00F54924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proofErr w:type="spellStart"/>
            <w:r w:rsidRPr="00F54924">
              <w:rPr>
                <w:b/>
                <w:bCs/>
                <w:kern w:val="0"/>
                <w:sz w:val="18"/>
                <w:szCs w:val="18"/>
              </w:rPr>
              <w:t>mPrecision</w:t>
            </w:r>
            <w:proofErr w:type="spellEnd"/>
            <w:r w:rsidRPr="00F54924">
              <w:rPr>
                <w:b/>
                <w:bCs/>
                <w:kern w:val="0"/>
                <w:sz w:val="18"/>
                <w:szCs w:val="18"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25EB72" w14:textId="77777777" w:rsidR="00F54924" w:rsidRPr="00F54924" w:rsidRDefault="00F54924" w:rsidP="00F54924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</w:rPr>
            </w:pPr>
            <w:proofErr w:type="spellStart"/>
            <w:r w:rsidRPr="00F54924">
              <w:rPr>
                <w:b/>
                <w:bCs/>
                <w:kern w:val="0"/>
                <w:sz w:val="18"/>
                <w:szCs w:val="18"/>
              </w:rPr>
              <w:t>mRecall</w:t>
            </w:r>
            <w:proofErr w:type="spellEnd"/>
            <w:r w:rsidRPr="00F54924">
              <w:rPr>
                <w:b/>
                <w:bCs/>
                <w:kern w:val="0"/>
                <w:sz w:val="18"/>
                <w:szCs w:val="18"/>
              </w:rPr>
              <w:t xml:space="preserve"> (%)</w:t>
            </w:r>
          </w:p>
        </w:tc>
      </w:tr>
      <w:tr w:rsidR="00F54924" w:rsidRPr="00F54924" w14:paraId="3E750256" w14:textId="77777777" w:rsidTr="00F54924">
        <w:trPr>
          <w:jc w:val="center"/>
        </w:trPr>
        <w:tc>
          <w:tcPr>
            <w:tcW w:w="1611" w:type="dxa"/>
            <w:tcBorders>
              <w:top w:val="single" w:sz="4" w:space="0" w:color="auto"/>
            </w:tcBorders>
            <w:vAlign w:val="center"/>
            <w:hideMark/>
          </w:tcPr>
          <w:p w14:paraId="18A60368" w14:textId="1C68DB25" w:rsidR="00F54924" w:rsidRPr="00F54924" w:rsidRDefault="00251422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Twist3DNet</w:t>
            </w:r>
          </w:p>
        </w:tc>
        <w:tc>
          <w:tcPr>
            <w:tcW w:w="1076" w:type="dxa"/>
            <w:tcBorders>
              <w:top w:val="single" w:sz="4" w:space="0" w:color="auto"/>
            </w:tcBorders>
            <w:vAlign w:val="center"/>
            <w:hideMark/>
          </w:tcPr>
          <w:p w14:paraId="33DD5A44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ROI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vAlign w:val="center"/>
            <w:hideMark/>
          </w:tcPr>
          <w:p w14:paraId="4DDC9FFE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ASL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  <w:hideMark/>
          </w:tcPr>
          <w:p w14:paraId="23F2C371" w14:textId="7587CDC6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75.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8</w:t>
            </w:r>
            <w:r w:rsidRPr="00F54924">
              <w:rPr>
                <w:kern w:val="0"/>
                <w:sz w:val="18"/>
                <w:szCs w:val="18"/>
              </w:rPr>
              <w:t>± 6.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  <w:hideMark/>
          </w:tcPr>
          <w:p w14:paraId="33409CAB" w14:textId="4C4718C5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78.1± 8.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  <w:hideMark/>
          </w:tcPr>
          <w:p w14:paraId="50C7250F" w14:textId="0D8372AE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78.9± 8.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  <w:hideMark/>
          </w:tcPr>
          <w:p w14:paraId="02E5A198" w14:textId="06D32C32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75.3± 6.2</w:t>
            </w:r>
          </w:p>
        </w:tc>
      </w:tr>
      <w:tr w:rsidR="00F54924" w:rsidRPr="00F54924" w14:paraId="2EE4A215" w14:textId="77777777" w:rsidTr="00F54924">
        <w:trPr>
          <w:jc w:val="center"/>
        </w:trPr>
        <w:tc>
          <w:tcPr>
            <w:tcW w:w="1611" w:type="dxa"/>
            <w:vAlign w:val="center"/>
            <w:hideMark/>
          </w:tcPr>
          <w:p w14:paraId="29E766FA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H-</w:t>
            </w:r>
            <w:proofErr w:type="spellStart"/>
            <w:r w:rsidRPr="00F54924">
              <w:rPr>
                <w:kern w:val="0"/>
                <w:sz w:val="18"/>
                <w:szCs w:val="18"/>
              </w:rPr>
              <w:t>DenseUNet</w:t>
            </w:r>
            <w:proofErr w:type="spellEnd"/>
          </w:p>
        </w:tc>
        <w:tc>
          <w:tcPr>
            <w:tcW w:w="1076" w:type="dxa"/>
            <w:vAlign w:val="center"/>
            <w:hideMark/>
          </w:tcPr>
          <w:p w14:paraId="2D66451C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ROI</w:t>
            </w:r>
          </w:p>
        </w:tc>
        <w:tc>
          <w:tcPr>
            <w:tcW w:w="1424" w:type="dxa"/>
            <w:vAlign w:val="center"/>
            <w:hideMark/>
          </w:tcPr>
          <w:p w14:paraId="4776172B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ASL</w:t>
            </w:r>
          </w:p>
        </w:tc>
        <w:tc>
          <w:tcPr>
            <w:tcW w:w="1271" w:type="dxa"/>
            <w:vAlign w:val="center"/>
            <w:hideMark/>
          </w:tcPr>
          <w:p w14:paraId="186397DA" w14:textId="0766E5A0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70.0±8.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134" w:type="dxa"/>
            <w:vAlign w:val="center"/>
            <w:hideMark/>
          </w:tcPr>
          <w:p w14:paraId="3FC547C2" w14:textId="1183E2F3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72.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3</w:t>
            </w:r>
            <w:r w:rsidRPr="00F54924">
              <w:rPr>
                <w:kern w:val="0"/>
                <w:sz w:val="18"/>
                <w:szCs w:val="18"/>
              </w:rPr>
              <w:t>±9.4</w:t>
            </w:r>
          </w:p>
        </w:tc>
        <w:tc>
          <w:tcPr>
            <w:tcW w:w="1417" w:type="dxa"/>
            <w:vAlign w:val="center"/>
            <w:hideMark/>
          </w:tcPr>
          <w:p w14:paraId="0E5EB4D9" w14:textId="0C3DCBD4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70.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9</w:t>
            </w:r>
            <w:r w:rsidRPr="00F54924">
              <w:rPr>
                <w:kern w:val="0"/>
                <w:sz w:val="18"/>
                <w:szCs w:val="18"/>
              </w:rPr>
              <w:t xml:space="preserve">± 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7.0</w:t>
            </w:r>
          </w:p>
        </w:tc>
        <w:tc>
          <w:tcPr>
            <w:tcW w:w="1560" w:type="dxa"/>
            <w:vAlign w:val="center"/>
            <w:hideMark/>
          </w:tcPr>
          <w:p w14:paraId="624C945D" w14:textId="39C14A26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71.8± 11.1</w:t>
            </w:r>
          </w:p>
        </w:tc>
      </w:tr>
      <w:tr w:rsidR="00F54924" w:rsidRPr="00F54924" w14:paraId="493E4EBF" w14:textId="77777777" w:rsidTr="00F54924">
        <w:trPr>
          <w:jc w:val="center"/>
        </w:trPr>
        <w:tc>
          <w:tcPr>
            <w:tcW w:w="1611" w:type="dxa"/>
            <w:vAlign w:val="center"/>
            <w:hideMark/>
          </w:tcPr>
          <w:p w14:paraId="142AC17E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MDU-Net</w:t>
            </w:r>
          </w:p>
        </w:tc>
        <w:tc>
          <w:tcPr>
            <w:tcW w:w="1076" w:type="dxa"/>
            <w:vAlign w:val="center"/>
            <w:hideMark/>
          </w:tcPr>
          <w:p w14:paraId="474DCBA6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ROI</w:t>
            </w:r>
          </w:p>
        </w:tc>
        <w:tc>
          <w:tcPr>
            <w:tcW w:w="1424" w:type="dxa"/>
            <w:vAlign w:val="center"/>
            <w:hideMark/>
          </w:tcPr>
          <w:p w14:paraId="0E8A8715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ASL</w:t>
            </w:r>
          </w:p>
        </w:tc>
        <w:tc>
          <w:tcPr>
            <w:tcW w:w="1271" w:type="dxa"/>
            <w:vAlign w:val="center"/>
            <w:hideMark/>
          </w:tcPr>
          <w:p w14:paraId="736CFA0E" w14:textId="2EB323E7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63.8±10.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36C1EB97" w14:textId="7597C984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68.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9</w:t>
            </w:r>
            <w:r w:rsidRPr="00F54924">
              <w:rPr>
                <w:kern w:val="0"/>
                <w:sz w:val="18"/>
                <w:szCs w:val="18"/>
              </w:rPr>
              <w:t>± 6.9</w:t>
            </w:r>
          </w:p>
        </w:tc>
        <w:tc>
          <w:tcPr>
            <w:tcW w:w="1417" w:type="dxa"/>
            <w:vAlign w:val="center"/>
            <w:hideMark/>
          </w:tcPr>
          <w:p w14:paraId="4877C71D" w14:textId="4461C38D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75.3± 5.8</w:t>
            </w:r>
          </w:p>
        </w:tc>
        <w:tc>
          <w:tcPr>
            <w:tcW w:w="1560" w:type="dxa"/>
            <w:vAlign w:val="center"/>
            <w:hideMark/>
          </w:tcPr>
          <w:p w14:paraId="361E7369" w14:textId="74002393" w:rsidR="00F54924" w:rsidRPr="00F54924" w:rsidRDefault="00F54924" w:rsidP="00F54924">
            <w:pPr>
              <w:widowControl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68.1± 9.</w:t>
            </w:r>
            <w:r w:rsidR="00EC4554"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</w:tr>
      <w:tr w:rsidR="00F54924" w:rsidRPr="00F54924" w14:paraId="2E6034A2" w14:textId="77777777" w:rsidTr="00F54924">
        <w:trPr>
          <w:jc w:val="center"/>
        </w:trPr>
        <w:tc>
          <w:tcPr>
            <w:tcW w:w="1611" w:type="dxa"/>
            <w:vAlign w:val="center"/>
            <w:hideMark/>
          </w:tcPr>
          <w:p w14:paraId="765FD9CA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H-</w:t>
            </w:r>
            <w:proofErr w:type="spellStart"/>
            <w:r w:rsidRPr="00F54924">
              <w:rPr>
                <w:kern w:val="0"/>
                <w:sz w:val="18"/>
                <w:szCs w:val="18"/>
              </w:rPr>
              <w:t>DenseUNet</w:t>
            </w:r>
            <w:proofErr w:type="spellEnd"/>
          </w:p>
        </w:tc>
        <w:tc>
          <w:tcPr>
            <w:tcW w:w="1076" w:type="dxa"/>
            <w:vAlign w:val="center"/>
            <w:hideMark/>
          </w:tcPr>
          <w:p w14:paraId="56330382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T1 + T2</w:t>
            </w:r>
          </w:p>
        </w:tc>
        <w:tc>
          <w:tcPr>
            <w:tcW w:w="1424" w:type="dxa"/>
            <w:vAlign w:val="center"/>
            <w:hideMark/>
          </w:tcPr>
          <w:p w14:paraId="7E1A6611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ASL</w:t>
            </w:r>
          </w:p>
        </w:tc>
        <w:tc>
          <w:tcPr>
            <w:tcW w:w="1271" w:type="dxa"/>
            <w:vAlign w:val="center"/>
            <w:hideMark/>
          </w:tcPr>
          <w:p w14:paraId="55CAA431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54.7±12.1</w:t>
            </w:r>
          </w:p>
        </w:tc>
        <w:tc>
          <w:tcPr>
            <w:tcW w:w="1134" w:type="dxa"/>
            <w:vAlign w:val="center"/>
            <w:hideMark/>
          </w:tcPr>
          <w:p w14:paraId="5A09DC1E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62.2±12.6</w:t>
            </w:r>
          </w:p>
        </w:tc>
        <w:tc>
          <w:tcPr>
            <w:tcW w:w="1417" w:type="dxa"/>
            <w:vAlign w:val="center"/>
            <w:hideMark/>
          </w:tcPr>
          <w:p w14:paraId="474E4F74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60.1±21.8</w:t>
            </w:r>
          </w:p>
        </w:tc>
        <w:tc>
          <w:tcPr>
            <w:tcW w:w="1560" w:type="dxa"/>
            <w:vAlign w:val="center"/>
            <w:hideMark/>
          </w:tcPr>
          <w:p w14:paraId="224AE5D7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59.7±5.6</w:t>
            </w:r>
          </w:p>
        </w:tc>
      </w:tr>
      <w:tr w:rsidR="00F54924" w:rsidRPr="00F54924" w14:paraId="76577789" w14:textId="77777777" w:rsidTr="00F54924">
        <w:trPr>
          <w:jc w:val="center"/>
        </w:trPr>
        <w:tc>
          <w:tcPr>
            <w:tcW w:w="1611" w:type="dxa"/>
            <w:vAlign w:val="center"/>
            <w:hideMark/>
          </w:tcPr>
          <w:p w14:paraId="3BD0084A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H-</w:t>
            </w:r>
            <w:proofErr w:type="spellStart"/>
            <w:r w:rsidRPr="00F54924">
              <w:rPr>
                <w:kern w:val="0"/>
                <w:sz w:val="18"/>
                <w:szCs w:val="18"/>
              </w:rPr>
              <w:t>DenseUNet</w:t>
            </w:r>
            <w:proofErr w:type="spellEnd"/>
          </w:p>
        </w:tc>
        <w:tc>
          <w:tcPr>
            <w:tcW w:w="1076" w:type="dxa"/>
            <w:vAlign w:val="center"/>
            <w:hideMark/>
          </w:tcPr>
          <w:p w14:paraId="36DAC5C4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T1 + T2</w:t>
            </w:r>
          </w:p>
        </w:tc>
        <w:tc>
          <w:tcPr>
            <w:tcW w:w="1424" w:type="dxa"/>
            <w:vAlign w:val="center"/>
            <w:hideMark/>
          </w:tcPr>
          <w:p w14:paraId="01E1C39A" w14:textId="2EEAC64A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 xml:space="preserve">ASL + 0.1 </w:t>
            </w:r>
            <w:r w:rsidR="0083565E" w:rsidRPr="0083565E">
              <w:rPr>
                <w:kern w:val="0"/>
                <w:sz w:val="18"/>
                <w:szCs w:val="18"/>
              </w:rPr>
              <w:t>entropy reg</w:t>
            </w:r>
          </w:p>
        </w:tc>
        <w:tc>
          <w:tcPr>
            <w:tcW w:w="1271" w:type="dxa"/>
            <w:vAlign w:val="center"/>
            <w:hideMark/>
          </w:tcPr>
          <w:p w14:paraId="4D19A4CA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43.5±11.3</w:t>
            </w:r>
          </w:p>
        </w:tc>
        <w:tc>
          <w:tcPr>
            <w:tcW w:w="1134" w:type="dxa"/>
            <w:vAlign w:val="center"/>
            <w:hideMark/>
          </w:tcPr>
          <w:p w14:paraId="6BD3BBEA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61.4±11.4</w:t>
            </w:r>
          </w:p>
        </w:tc>
        <w:tc>
          <w:tcPr>
            <w:tcW w:w="1417" w:type="dxa"/>
            <w:vAlign w:val="center"/>
            <w:hideMark/>
          </w:tcPr>
          <w:p w14:paraId="34DCEB62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45.5±23.2</w:t>
            </w:r>
          </w:p>
        </w:tc>
        <w:tc>
          <w:tcPr>
            <w:tcW w:w="1560" w:type="dxa"/>
            <w:vAlign w:val="center"/>
            <w:hideMark/>
          </w:tcPr>
          <w:p w14:paraId="1A3ECD52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53.5±4.8</w:t>
            </w:r>
          </w:p>
        </w:tc>
      </w:tr>
      <w:tr w:rsidR="00F54924" w:rsidRPr="00F54924" w14:paraId="19B987E9" w14:textId="77777777" w:rsidTr="00F54924">
        <w:trPr>
          <w:jc w:val="center"/>
        </w:trPr>
        <w:tc>
          <w:tcPr>
            <w:tcW w:w="1611" w:type="dxa"/>
            <w:vAlign w:val="center"/>
            <w:hideMark/>
          </w:tcPr>
          <w:p w14:paraId="1491BE2E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MDU-Net</w:t>
            </w:r>
          </w:p>
        </w:tc>
        <w:tc>
          <w:tcPr>
            <w:tcW w:w="1076" w:type="dxa"/>
            <w:vAlign w:val="center"/>
            <w:hideMark/>
          </w:tcPr>
          <w:p w14:paraId="3639A47B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T1 + T2</w:t>
            </w:r>
          </w:p>
        </w:tc>
        <w:tc>
          <w:tcPr>
            <w:tcW w:w="1424" w:type="dxa"/>
            <w:vAlign w:val="center"/>
            <w:hideMark/>
          </w:tcPr>
          <w:p w14:paraId="5C67DE3F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ASL</w:t>
            </w:r>
          </w:p>
        </w:tc>
        <w:tc>
          <w:tcPr>
            <w:tcW w:w="1271" w:type="dxa"/>
            <w:vAlign w:val="center"/>
            <w:hideMark/>
          </w:tcPr>
          <w:p w14:paraId="17C5EF61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57.3±12.9</w:t>
            </w:r>
          </w:p>
        </w:tc>
        <w:tc>
          <w:tcPr>
            <w:tcW w:w="1134" w:type="dxa"/>
            <w:vAlign w:val="center"/>
            <w:hideMark/>
          </w:tcPr>
          <w:p w14:paraId="1F7D2393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68.2±12.4</w:t>
            </w:r>
          </w:p>
        </w:tc>
        <w:tc>
          <w:tcPr>
            <w:tcW w:w="1417" w:type="dxa"/>
            <w:vAlign w:val="center"/>
            <w:hideMark/>
          </w:tcPr>
          <w:p w14:paraId="1ECA6EE2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62.0±14.1</w:t>
            </w:r>
          </w:p>
        </w:tc>
        <w:tc>
          <w:tcPr>
            <w:tcW w:w="1560" w:type="dxa"/>
            <w:vAlign w:val="center"/>
            <w:hideMark/>
          </w:tcPr>
          <w:p w14:paraId="570C9B95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60.7±10.5</w:t>
            </w:r>
          </w:p>
        </w:tc>
      </w:tr>
      <w:tr w:rsidR="00F54924" w:rsidRPr="00F54924" w14:paraId="4B5DC527" w14:textId="77777777" w:rsidTr="00F54924">
        <w:trPr>
          <w:jc w:val="center"/>
        </w:trPr>
        <w:tc>
          <w:tcPr>
            <w:tcW w:w="1611" w:type="dxa"/>
            <w:tcBorders>
              <w:bottom w:val="single" w:sz="4" w:space="0" w:color="auto"/>
            </w:tcBorders>
            <w:vAlign w:val="center"/>
            <w:hideMark/>
          </w:tcPr>
          <w:p w14:paraId="7D9FB4E1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MDU-Net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vAlign w:val="center"/>
            <w:hideMark/>
          </w:tcPr>
          <w:p w14:paraId="72EB27A0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T1 + T2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  <w:hideMark/>
          </w:tcPr>
          <w:p w14:paraId="425C2A1F" w14:textId="755C6552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ASL + 0.1</w:t>
            </w:r>
            <w:r w:rsidR="0083565E"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 w:rsidR="0083565E" w:rsidRPr="0083565E">
              <w:rPr>
                <w:kern w:val="0"/>
                <w:sz w:val="18"/>
                <w:szCs w:val="18"/>
              </w:rPr>
              <w:t>entropy reg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  <w:hideMark/>
          </w:tcPr>
          <w:p w14:paraId="64C8D0FC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46.1±4.8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  <w:hideMark/>
          </w:tcPr>
          <w:p w14:paraId="070638B4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61.4±11.1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  <w:hideMark/>
          </w:tcPr>
          <w:p w14:paraId="14BA0D1D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51.1±14.4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  <w:hideMark/>
          </w:tcPr>
          <w:p w14:paraId="4095BC18" w14:textId="77777777" w:rsidR="00F54924" w:rsidRPr="00F54924" w:rsidRDefault="00F54924" w:rsidP="00F5492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F54924">
              <w:rPr>
                <w:kern w:val="0"/>
                <w:sz w:val="18"/>
                <w:szCs w:val="18"/>
              </w:rPr>
              <w:t>51.9±2.0</w:t>
            </w:r>
          </w:p>
        </w:tc>
      </w:tr>
    </w:tbl>
    <w:p w14:paraId="237BAC5A" w14:textId="77777777" w:rsidR="00F54924" w:rsidRPr="00F54924" w:rsidRDefault="00F54924">
      <w:pPr>
        <w:rPr>
          <w:rFonts w:hint="eastAsia"/>
        </w:rPr>
      </w:pPr>
    </w:p>
    <w:sectPr w:rsidR="00F54924" w:rsidRPr="00F54924" w:rsidSect="00F54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1080" w14:textId="77777777" w:rsidR="00BA0F93" w:rsidRDefault="00BA0F93" w:rsidP="00F54924">
      <w:pPr>
        <w:spacing w:after="0" w:line="240" w:lineRule="auto"/>
      </w:pPr>
      <w:r>
        <w:separator/>
      </w:r>
    </w:p>
  </w:endnote>
  <w:endnote w:type="continuationSeparator" w:id="0">
    <w:p w14:paraId="24B99186" w14:textId="77777777" w:rsidR="00BA0F93" w:rsidRDefault="00BA0F93" w:rsidP="00F54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D8F7" w14:textId="77777777" w:rsidR="00BA0F93" w:rsidRDefault="00BA0F93" w:rsidP="00F54924">
      <w:pPr>
        <w:spacing w:after="0" w:line="240" w:lineRule="auto"/>
      </w:pPr>
      <w:r>
        <w:separator/>
      </w:r>
    </w:p>
  </w:footnote>
  <w:footnote w:type="continuationSeparator" w:id="0">
    <w:p w14:paraId="4D5096C2" w14:textId="77777777" w:rsidR="00BA0F93" w:rsidRDefault="00BA0F93" w:rsidP="00F54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ED"/>
    <w:rsid w:val="00251422"/>
    <w:rsid w:val="002A1044"/>
    <w:rsid w:val="003164E8"/>
    <w:rsid w:val="0044796F"/>
    <w:rsid w:val="00484F16"/>
    <w:rsid w:val="004F4C15"/>
    <w:rsid w:val="00666B35"/>
    <w:rsid w:val="00732929"/>
    <w:rsid w:val="0083565E"/>
    <w:rsid w:val="0092716A"/>
    <w:rsid w:val="00AD2FED"/>
    <w:rsid w:val="00BA0F93"/>
    <w:rsid w:val="00EC4554"/>
    <w:rsid w:val="00F5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137CC"/>
  <w15:chartTrackingRefBased/>
  <w15:docId w15:val="{53460B0B-004A-4081-B4A0-63225396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F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F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FE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FE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FED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FED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FED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F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F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FE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FED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FE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FE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FE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FE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F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F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F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F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F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F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F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2F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49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49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49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4924"/>
    <w:rPr>
      <w:sz w:val="18"/>
      <w:szCs w:val="18"/>
    </w:rPr>
  </w:style>
  <w:style w:type="table" w:styleId="af2">
    <w:name w:val="Table Grid"/>
    <w:basedOn w:val="a1"/>
    <w:uiPriority w:val="39"/>
    <w:rsid w:val="00F54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452</Words>
  <Characters>2669</Characters>
  <Application>Microsoft Office Word</Application>
  <DocSecurity>0</DocSecurity>
  <Lines>49</Lines>
  <Paragraphs>14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8618831942971</dc:creator>
  <cp:keywords/>
  <dc:description/>
  <cp:lastModifiedBy>8618831942971</cp:lastModifiedBy>
  <cp:revision>10</cp:revision>
  <dcterms:created xsi:type="dcterms:W3CDTF">2026-08-18T09:57:00Z</dcterms:created>
  <dcterms:modified xsi:type="dcterms:W3CDTF">2026-08-18T10:27:00Z</dcterms:modified>
</cp:coreProperties>
</file>