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甜蜜区筛选器需求说明书</w:t>
      </w:r>
    </w:p>
    <w:p>
      <w:pPr>
        <w:pStyle w:val="Subtitle"/>
      </w:pPr>
      <w:r>
        <w:t>版本 2.0    确认日期 2026年9月30日</w:t>
      </w:r>
    </w:p>
    <w:p>
      <w:r>
        <w:t>本说明书定义本地行情维护与候选股票筛选的功能、算法和验收要求，供项目使用、核验及后续修改。程序在 Windows 的 PyCharm 控制台运行，使用 Python 3.12.10 和 Tushare 数据。</w:t>
      </w:r>
    </w:p>
    <w:p>
      <w:r>
        <w:t>关键要求：仅维护沪深主板当前非 ST 股票。任何接口返回频次超限后，保存已完成的数据与状态并停止整个任务，不等待重试，不继续处理下一只股票。</w:t>
      </w:r>
    </w:p>
    <w:p>
      <w:pPr>
        <w:pStyle w:val="Heading1"/>
      </w:pPr>
      <w:r>
        <w:t>1 项目范围与操作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运行环境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Windows 与 PyCharm，Python 3.12，控制台交互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密钥读取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读取项目根目录 .env 中的 TUSHARE_TOKEN；离线筛选无需密钥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数据目录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首次由用户输入路径，后续记住；允许通过参数重新选择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股票范围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沪深主板 A 股，当前上市且非 ST；排除其他板块及 B 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历史维护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两年自然日跨度，加45个自然日计算缓冲；支持增量和续跑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筛选结果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输出通过名单、全部检查结果、数据问题与任务停止记录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控制台操作</w:t>
      </w:r>
    </w:p>
    <w:p>
      <w:r>
        <w:t>菜单提供更新并筛选、仅更新、仅本地筛选、清理旧数据四项操作。更新并筛选先完成下载，再启动本地筛选。清理只在用户选择该操作时执行。</w:t>
      </w:r>
    </w:p>
    <w:p>
      <w:r>
        <w:t>控制台显示当前阶段、接口、日期或股票代码、完成数量与比例。下载阶段显示保存条数、耗时及动态预计剩余时间；筛选阶段逐只显示通过或排除原因。</w:t>
      </w:r>
    </w:p>
    <w:p>
      <w:r>
        <w:t>本项目只生成候选股票名单，不执行买卖指令，不包含完整财务排雷或历史策略收益回测。</w:t>
      </w:r>
    </w:p>
    <w:p>
      <w:pPr>
        <w:pStyle w:val="Heading1"/>
        <w:pageBreakBefore/>
      </w:pPr>
      <w:r>
        <w:t>2 数据获取与增量维护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456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接口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保存内容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stock_basic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代码 名称 市场 上市日期 状态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建立当前股票池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trade_cal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交易日期 是否开市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确定下载日期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daily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未复权开高低收 成交量等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日K及量价分析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adj_factor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每日复权因子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跨日期价格比较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daily_basic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每日换手率 总市值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市值和巨量换手判断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stk_limit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每日涨停价 跌停价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识别实际涨停与炸板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批量与完整性</w:t>
      </w:r>
    </w:p>
    <w:p>
      <w:r>
        <w:t>以交易日为单位批量请求，分页收齐后只保存当日已上市且属于当前股票池的记录。默认每页3000条；遇到重复页、异常日期或关键字段缺失时停止，未完成批次不得标记为完成。</w:t>
      </w:r>
    </w:p>
    <w:p>
      <w:r>
        <w:t>先获取最新目标日的四类行情数据，尽早暴露权限或数据入库问题，再补齐历史日期。最新日已缓存时可以跳过。市值不作为维护范围的限制，市值条件只在筛选时应用。</w:t>
      </w:r>
    </w:p>
    <w:p>
      <w:pPr>
        <w:pStyle w:val="Heading2"/>
      </w:pPr>
      <w:r>
        <w:t>缓存与续跑</w:t>
      </w:r>
    </w:p>
    <w:p>
      <w:r>
        <w:t>SQLite按股票代码和日期去重。每个接口日期批次的数据及完成标记在同一事务中提交。重新启动时跳过已完成批次，补齐缺少的接口或日期；股票池变化时重新确认受影响日期的覆盖范围。</w:t>
      </w:r>
    </w:p>
    <w:p>
      <w:r>
        <w:t>股票名单按北京时间每日刷新一次；交易日历缓存最长7天，或范围不足时刷新。默认北京时间18点后使用当日已开市日期；此前使用上个交易日。空表或不完整数据保留为待补状态。</w:t>
      </w:r>
    </w:p>
    <w:p>
      <w:pPr>
        <w:pStyle w:val="Heading2"/>
      </w:pPr>
      <w:r>
        <w:t>旧数据与清理</w:t>
      </w:r>
    </w:p>
    <w:p>
      <w:r>
        <w:t>可通过 --legacy-dir 导入旧项目 data/daily 中的未复权CSV。导入不删除来源文件，不覆盖已存在记录。旧CSV缺少辅助数据和完整批次凭证，首次迁移仍需联网校验及补齐。</w:t>
      </w:r>
    </w:p>
    <w:p>
      <w:r>
        <w:t>清理以运行当天向前两年再加45天缓冲为截止，删除更早记录和完成标记。离开股票池的股票不再更新，已有记录保留至按时间清理。</w:t>
      </w:r>
    </w:p>
    <w:p>
      <w:pPr>
        <w:pStyle w:val="Heading1"/>
        <w:pageBreakBefore/>
      </w:pPr>
      <w:r>
        <w:t>3 筛选基础条件</w:t>
      </w:r>
    </w:p>
    <w:p>
      <w:r>
        <w:t>基础条件必须全部满足，并至少命中下一页定义的一个形态。“一年无大涨”与“阶段涨幅不超过40%”合并为同一条件，不额外加入年度振幅限制。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条件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统一口径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总市值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最近有效日K对应总市值30至500亿元，包含边界。接口总市值单位万元，除以10000换算为亿元。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观察窗口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一年250根、半年120根、形态30根日K；按个股实际有日K的交易日计数，停牌不补造K线。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复权价格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原始价格乘当日复权因子，再除以最新有效日复权因子。开高低收统一使用同一方式。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阶段涨幅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在最近250根日K内，对每一日最高价与严格早于该日的历史最低价比较，取最大涨幅，须不超过40%。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距一年低点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最新复权收盘价除以最近250根日K的最低复权价，再减1，须不超过35%。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历史不足</w:t>
            </w:r>
          </w:p>
        </w:tc>
        <w:tc>
          <w:tcPr>
            <w:tcW w:type="dxa" w:w="83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少于250根日K，或关键价格、复权因子不完整，记为数据不足，不通过筛选。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持续下跌的排除条件</w:t>
      </w:r>
    </w:p>
    <w:p>
      <w:r>
        <w:t>以下三项同时满足时排除：最新复权收盘价低于当前60日均线；当前60日均线低于20根日K之前的60日均线；最近20根日K的最低价不高于近120根日K最低价的1.01倍。</w:t>
      </w:r>
    </w:p>
    <w:p>
      <w:pPr>
        <w:pStyle w:val="Heading2"/>
      </w:pPr>
      <w:r>
        <w:t>日期与数据状态</w:t>
      </w:r>
    </w:p>
    <w:p>
      <w:r>
        <w:t>当前停牌或最近未成交的股票使用其最近有效日K及对应市值，输出该日期和距目标日的自然天数。最近30日等窗口同样以其有效日K为基准，用户可据日期判断信号是否陈旧。</w:t>
      </w:r>
    </w:p>
    <w:p>
      <w:r>
        <w:t>不得把未下载日期误当停牌。相关计算区间内存在未完成日K批次时，标记数据不足。仅本地筛选使用缓存股票名单，明确显示名单日期；指定过去目标日期也不改变“当前股票池”口径。</w:t>
      </w:r>
    </w:p>
    <w:p>
      <w:pPr>
        <w:pStyle w:val="Heading1"/>
        <w:pageBreakBefore/>
      </w:pPr>
      <w:r>
        <w:t>4 三种形态的统一定义</w:t>
      </w:r>
    </w:p>
    <w:p>
      <w:pPr>
        <w:pStyle w:val="Heading2"/>
      </w:pPr>
      <w:r>
        <w:t>涨停或炸板</w:t>
      </w:r>
    </w:p>
    <w:p>
      <w:r>
        <w:t>检查最近30根日K。未复权最高价达到当日实际涨停价，即视为触及涨停。收盘同样达到涨停价记为涨停；触及但未封住记为炸板。比较容差为0.005元，不使用9.5%的近似涨幅替代。</w:t>
      </w:r>
    </w:p>
    <w:p>
      <w:r>
        <w:t>只有存在有效正数涨停价时才判定。零值或无有效涨停价的交易日不计入触板。实际涨停价记录缺失与“已确认不触板”区分处理，并输出命中日期。</w:t>
      </w:r>
    </w:p>
    <w:p>
      <w:pPr>
        <w:pStyle w:val="Heading2"/>
      </w:pPr>
      <w:r>
        <w:t>蚂蚁上树</w:t>
      </w:r>
    </w:p>
    <w:p>
      <w:r>
        <w:t>以最近20根日K为窗口，以下条件同时满足：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累计涨幅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最新复权收盘价相对20个交易间隔前收盘价，上涨4%至25%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上涨天数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20个逐日收益中，正收益比例至少55%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均线排列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当前MA5大于MA10，且MA10大于MA20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均线方向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当前MA20高于5根日K之前的MA20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单日波动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窗口内每个复权收盘收益的绝对值不超过6%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成交量稳定性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20日成交量总体标准差除以均值不超过0.8；均值须大于0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底部巨量换手</w:t>
      </w:r>
    </w:p>
    <w:p>
      <w:r>
        <w:t>最近30根日K内，至少有一天同时满足：当日复权收盘价不高于截至当日最近250根日K最低价的1.20倍；当日成交量不低于此前20根日K成交量中位数的2倍；当日换手率不低于3%。成交量基准不包含当日，且中位数必须大于0。</w:t>
      </w:r>
    </w:p>
    <w:p>
      <w:r>
        <w:t>历史低点必须按形态发生日回看，不得使用该日之后的新低。完整覆盖30日巨量判断最多需要279根日K；不足时只能判断具备足够历史的日期。</w:t>
      </w:r>
    </w:p>
    <w:p>
      <w:pPr>
        <w:pStyle w:val="Heading2"/>
      </w:pPr>
      <w:r>
        <w:t>缺失分支的处理</w:t>
      </w:r>
    </w:p>
    <w:p>
      <w:r>
        <w:t>形态分支资料不足时标记未知。基础条件通过且任何分支明确命中即可通过，并保留数据说明；没有明确命中而存在未知分支时记为数据不足。三个分支均可计算且均未命中，才记为形态不符合。</w:t>
      </w:r>
    </w:p>
    <w:p>
      <w:pPr>
        <w:pStyle w:val="Heading1"/>
        <w:pageBreakBefore/>
      </w:pPr>
      <w:r>
        <w:t>5 异常停止与输出要求</w:t>
      </w:r>
    </w:p>
    <w:p>
      <w:pPr>
        <w:pStyle w:val="Heading2"/>
      </w:pPr>
      <w:r>
        <w:t>频次超限的强制停止</w:t>
      </w:r>
    </w:p>
    <w:p>
      <w:r>
        <w:t>正常请求主动限速：全局请求间隔至少1.3秒，trade_cal间隔至少61秒，请求时钟跨启动保存。主动限速发生在请求前；服务端报频次超限后的行为必须是停止，不得进入等待或重试循环。</w:t>
      </w:r>
    </w:p>
    <w:p>
      <w:r>
        <w:t>任一接口报超限后，停止后续全部接口调用及筛选。已提交的数据保持有效，保存停止接口、当前日期或股票、已完成数量、原因及运行状态，并导出已经产生的筛选结果。退出码为2。</w:t>
      </w:r>
    </w:p>
    <w:p>
      <w:r>
        <w:t>接口无权限、网络失败、异常空表或数据结构异常同样停止，退出码为1。Ctrl+C停止时退出码为130。用户排除问题后手动重新运行，继续未完成下载；本地筛选可重新计算。</w:t>
      </w:r>
    </w:p>
    <w:p>
      <w:pPr>
        <w:pStyle w:val="Heading2"/>
      </w:pPr>
      <w:r>
        <w:t>结果文件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tblHeader/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筛选通过.csv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通过股票、价格、市值、阶段涨幅、距低点幅度、触发形态与日期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全部检查.csv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所有已检查股票，含通过或排除原因及最新有效日期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数据问题.csv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历史不足、字段缺失或计算失败股票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任务停止记录.csv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本次停止类型、接口、原因及进度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筛选结果.xlsx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通过名单、全部检查、数据问题、运行说明四个工作表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run_summary.json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本次状态、目标日期、名单日期、统计、配置及停止位置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screen_checkpoint.jsonl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逐股即时保存的筛选原始记录，用于异常退出后保留工作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r>
        <w:t>每次运行建立独立结果文件夹，不覆盖以前结果。下载阶段停止且尚未开始筛选时，本次筛选表可为空，但必须标记任务未完成，不能声称已筛出零只股票。</w:t>
      </w:r>
    </w:p>
    <w:p>
      <w:r>
        <w:t>扫描结束但存在资料不足时标记 completed_with_data_issues；正常完成标记 completed；停止与中断分别标记 stopped、interrupted。Excel被占用导致导出失败时保留JSONL与状态说明。</w:t>
      </w:r>
    </w:p>
    <w:p>
      <w:pPr>
        <w:pStyle w:val="Heading1"/>
        <w:pageBreakBefore/>
      </w:pPr>
      <w:r>
        <w:t>6 验收标准与实现约束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/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验收点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7EDF3"/>
          </w:tcPr>
          <w:p>
            <w:pPr>
              <w:spacing w:after="40" w:before="40" w:line="300" w:lineRule="exact"/>
            </w:pPr>
            <w:r>
              <w:rPr>
                <w:b/>
                <w:sz w:val="21"/>
              </w:rPr>
              <w:t>预期结果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限频停止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模拟第二个接口限频，之后请求数不再增加，本次不启动筛选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断点续跑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首个接口数据已提交；再次运行只请求其余缺少接口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事务一致性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保存中失败不留下数据部分写入或虚假完成标记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跨启动节流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重新启动仍识别上次trade_cal调用时间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分页读取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收齐多页；出现重复页则停止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纯本地筛选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不创建Tushare客户端，不读取Token，不发网络请求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价格与边界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分红送转按因子修正；40%和35%边界允许，超过则排除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时间先后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同一根K线高低差不直接算阶段涨幅；历史低点不向未来取值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三种形态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分别测试涨停炸板、蚂蚁上树、历史巨量及不满足情况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中断与清理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300" w:lineRule="exact"/>
            </w:pPr>
            <w:r>
              <w:rPr>
                <w:b w:val="0"/>
                <w:sz w:val="21"/>
              </w:rPr>
              <w:t>Ctrl+C保留已筛选行；清理保留截止日及之后数据</w:t>
            </w:r>
          </w:p>
        </w:tc>
      </w:tr>
    </w:tbl>
    <w:p>
      <w:pPr>
        <w:spacing w:after="0" w:line="60" w:lineRule="exact"/>
      </w:pPr>
      <w:r>
        <w:rPr>
          <w:sz w:val="2"/>
        </w:rPr>
      </w:r>
    </w:p>
    <w:p>
      <w:pPr>
        <w:pStyle w:val="Heading2"/>
      </w:pPr>
      <w:r>
        <w:t>交付与验证范围</w:t>
      </w:r>
    </w:p>
    <w:p>
      <w:r>
        <w:t>交付完整源码、参数配置、密钥示例、安装使用说明、本需求文档和离线测试。离线测试覆盖23个场景，使用模拟行情及模拟接口；实际账号权限、Windows文件锁与PyCharm运行仍以用户环境联调为准。</w:t>
      </w:r>
    </w:p>
    <w:p>
      <w:r>
        <w:t>辅助接口有独立权限要求。若账号仅能访问daily，则程序应停止并明确指出所需接口，不得静默改变已确认算法。离线模式采用缓存名单，不能实时识别新的ST状态；本项目不是历史时点股票池回测系统。</w:t>
      </w:r>
    </w:p>
    <w:p>
      <w:pPr>
        <w:pStyle w:val="Heading2"/>
      </w:pPr>
      <w:r>
        <w:t>官方接口依据</w:t>
      </w:r>
    </w:p>
    <w:p>
      <w:r>
        <w:t>接口定义以 Tushare 官方文档为依据，查阅日期为2026年9月30日。实际频次与权限以账号返回为准。</w:t>
      </w:r>
    </w:p>
    <w:p>
      <w:r>
        <w:t>股票名单与日历：</w:t>
        <w:br/>
        <w:t>https://tushare.pro/document/2?doc_id=25</w:t>
        <w:br/>
        <w:t>https://tushare.pro/document/2?doc_id=26</w:t>
      </w:r>
    </w:p>
    <w:p>
      <w:r>
        <w:t>日K、复权因子、每日指标、涨跌停价：</w:t>
        <w:br/>
        <w:t>https://tushare.pro/document/2?doc_id=27</w:t>
        <w:br/>
        <w:t>https://tushare.pro/document/2?doc_id=28</w:t>
        <w:br/>
        <w:t>https://tushare.pro/document/2?doc_id=32</w:t>
        <w:br/>
        <w:t>https://tushare.pro/document/2?doc_id=183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20" w:lineRule="exact"/>
      <w:outlineLvl w:val="0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0" w:lineRule="exact"/>
      <w:outlineLvl w:val="1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0" w:lineRule="exact"/>
      <w:outlineLvl w:val="2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20" w:lineRule="exact"/>
      <w:contextualSpacing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甜蜜区筛选器需求说明书</dc:title>
  <dc:subject>本地行情维护与统一筛选算法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