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ind w:firstLine="0"/>
        <w:jc w:val="center"/>
      </w:pPr>
      <w:r>
        <w:rPr>
          <w:rFonts w:ascii="Times New Roman" w:hAnsi="Times New Roman" w:eastAsia="Songti SC"/>
          <w:b/>
          <w:sz w:val="36"/>
        </w:rPr>
        <w:t>第2章  闭环热效应下的轴承—转子—机匣系统动力学模型</w:t>
      </w:r>
    </w:p>
    <w:p>
      <w:pPr>
        <w:keepNext/>
        <w:spacing w:before="180" w:after="100"/>
      </w:pPr>
      <w:r>
        <w:rPr>
          <w:rFonts w:ascii="Times New Roman" w:hAnsi="Times New Roman" w:eastAsia="Songti SC"/>
          <w:b/>
          <w:sz w:val="30"/>
        </w:rPr>
        <w:t>章首引言</w:t>
      </w:r>
    </w:p>
    <w:p>
      <w:pPr>
        <w:spacing w:line="360" w:lineRule="auto" w:after="80"/>
        <w:ind w:firstLine="420"/>
        <w:jc w:val="both"/>
      </w:pPr>
      <w:r>
        <w:rPr>
          <w:rFonts w:ascii="Times New Roman" w:hAnsi="Times New Roman" w:eastAsia="Songti SC"/>
          <w:b w:val="0"/>
          <w:sz w:val="21"/>
        </w:rPr>
        <w:t>高速燃气轮机转子—轴承—机匣系统由旋转构件、支承构件与承载结构共同组成。转子在转速变化和不平衡激励下产生横向振动，机匣通过基础和连接结构传递相应的力与位移，滚动轴承则位于两者之间。轴承内圈与转轴节点相连，外圈与机匣节点相连，因此支承变形应由两端节点的相对运动确定；将外圈绝对固定会忽略柔性机匣对接触状态的反作用。</w:t>
      </w:r>
    </w:p>
    <w:p>
      <w:pPr>
        <w:spacing w:line="360" w:lineRule="auto" w:after="80"/>
        <w:ind w:firstLine="420"/>
        <w:jc w:val="both"/>
      </w:pPr>
      <w:r>
        <w:rPr>
          <w:rFonts w:ascii="Times New Roman" w:hAnsi="Times New Roman" w:eastAsia="Songti SC"/>
          <w:b w:val="0"/>
          <w:sz w:val="21"/>
        </w:rPr>
        <w:t>球轴承与圆柱滚子轴承分别以点接触和线接触承担载荷。前者的接触角使径向、轴向位移共同参与局部法向闭合，后者的承载区和最大滚子载荷对径向游隙十分敏感。两类轴承均表现出非线性、时变和方向相关的支承特性，不能用同一常值刚度或相同接触指数描述。</w:t>
      </w:r>
    </w:p>
    <w:p>
      <w:pPr>
        <w:spacing w:line="360" w:lineRule="auto" w:after="80"/>
        <w:ind w:firstLine="420"/>
        <w:jc w:val="both"/>
      </w:pPr>
      <w:r>
        <w:rPr>
          <w:rFonts w:ascii="Times New Roman" w:hAnsi="Times New Roman" w:eastAsia="Songti SC"/>
          <w:b w:val="0"/>
          <w:sz w:val="21"/>
        </w:rPr>
        <w:t>高速运转产生的拖曳、滚动和局部滑动损失转化为摩擦热。热量经润滑油、套圈、转轴、机匣及环境散出，使轴承温度不同于入口油温。温升改变润滑油黏度和黏压系数，也改变内外圈热膨胀差与工作游隙，从而影响油膜、接触变形、承载滚动体数和接触载荷分布。</w:t>
      </w:r>
    </w:p>
    <w:p>
      <w:pPr>
        <w:spacing w:line="360" w:lineRule="auto" w:after="80"/>
        <w:ind w:firstLine="420"/>
        <w:jc w:val="both"/>
      </w:pPr>
      <w:r>
        <w:rPr>
          <w:rFonts w:ascii="Times New Roman" w:hAnsi="Times New Roman" w:eastAsia="Songti SC"/>
          <w:b w:val="0"/>
          <w:sz w:val="21"/>
        </w:rPr>
        <w:t>温度不应被视为刚度矩阵的直接缩放因子。本文将热平衡温度作为润滑和几何计算的共同输入，以热后工作游隙确定接触激活条件，再以热后接触力—相对位移关系取得有限差分切线刚度。该传递路径能够区分油膜柔度与游隙变化的不同作用，而不将其压缩为一个经验温度系数。</w:t>
      </w:r>
    </w:p>
    <w:p>
      <w:pPr>
        <w:spacing w:line="360" w:lineRule="auto" w:after="80"/>
        <w:ind w:firstLine="420"/>
        <w:jc w:val="both"/>
      </w:pPr>
      <w:r>
        <w:rPr>
          <w:rFonts w:ascii="Times New Roman" w:hAnsi="Times New Roman" w:eastAsia="Songti SC"/>
          <w:b w:val="0"/>
          <w:sz w:val="21"/>
        </w:rPr>
        <w:t>本章采用集总热平衡和拟动力学接触相结合的降阶模型。该模型不求解完整 Reynolds 压力场、三维温度场或全热弹流润滑方程；其功能是把可追溯的热后接触状态输入转子—机匣动力学方程。接触压力和热黏阻尼均以其在现有模型中的实际角色表述，不作为未经装配的附加反馈力。</w:t>
      </w:r>
    </w:p>
    <w:p>
      <w:pPr>
        <w:spacing w:line="360" w:lineRule="auto" w:after="80"/>
        <w:ind w:firstLine="420"/>
        <w:jc w:val="both"/>
      </w:pPr>
      <w:r>
        <w:rPr>
          <w:rFonts w:ascii="Times New Roman" w:hAnsi="Times New Roman" w:eastAsia="Songti SC"/>
          <w:b w:val="0"/>
          <w:sz w:val="21"/>
        </w:rPr>
        <w:t>以下各节依次说明系统假设、两类轴承局部接触、转子与机匣有限元离散、热平衡及参数修正、全局接口装配和数值求解。每一模型均从物理对象、几何或变量关系、控制方程、符号含义和对后续系统求解的作用展开，以形成由局部接触至整体响应的连续论证。</w:t>
      </w:r>
    </w:p>
    <w:p>
      <w:pPr>
        <w:keepNext/>
        <w:spacing w:before="180" w:after="100"/>
      </w:pPr>
      <w:r>
        <w:rPr>
          <w:rFonts w:ascii="Times New Roman" w:hAnsi="Times New Roman" w:eastAsia="Songti SC"/>
          <w:b/>
          <w:sz w:val="30"/>
        </w:rPr>
        <w:t>2.1 系统结构与建模基本假设</w:t>
      </w:r>
    </w:p>
    <w:p>
      <w:pPr>
        <w:spacing w:line="360" w:lineRule="auto" w:after="80"/>
        <w:ind w:firstLine="420"/>
        <w:jc w:val="both"/>
      </w:pPr>
      <w:r>
        <w:rPr>
          <w:rFonts w:ascii="Times New Roman" w:hAnsi="Times New Roman" w:eastAsia="Songti SC"/>
          <w:b w:val="0"/>
          <w:sz w:val="21"/>
        </w:rPr>
        <w:t>系统包含分段转轴、集中圆盘、两处滚动轴承、柔性机匣和基础支承。转子与机匣分别建立自由度集合，轴承通过内外圈节点的相对位移传递界面力。</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q=[q_r^T,q_c^T]^T</w:t>
            </w:r>
          </w:p>
        </w:tc>
        <w:tc>
          <w:tcPr>
            <w:tcW w:type="dxa" w:w="4422"/>
          </w:tcPr>
          <w:p>
            <w:pPr>
              <w:jc w:val="right"/>
            </w:pPr>
            <w:r>
              <w:rPr>
                <w:rFonts w:ascii="Times New Roman" w:hAnsi="Times New Roman" w:eastAsia="Songti SC"/>
                <w:b w:val="0"/>
                <w:sz w:val="20"/>
              </w:rPr>
              <w:t>（2-1）</w:t>
            </w:r>
          </w:p>
        </w:tc>
      </w:tr>
    </w:tbl>
    <w:p>
      <w:pPr>
        <w:spacing w:line="360" w:lineRule="auto" w:after="80"/>
        <w:ind w:firstLine="420"/>
        <w:jc w:val="both"/>
      </w:pPr>
      <w:r>
        <w:rPr>
          <w:rFonts w:ascii="Times New Roman" w:hAnsi="Times New Roman" w:eastAsia="Songti SC"/>
          <w:b w:val="0"/>
          <w:sz w:val="21"/>
        </w:rPr>
        <w:t>局部模型假设滚动体和套圈在接触区弹性变形，接触只在法向闭合量为正时存在；保持架用于描述滚动体方位角。润滑采用温度相关的低阶映射，热量以单节点集总平衡闭合。</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q_rel=Bq</w:t>
            </w:r>
          </w:p>
        </w:tc>
        <w:tc>
          <w:tcPr>
            <w:tcW w:type="dxa" w:w="4422"/>
          </w:tcPr>
          <w:p>
            <w:pPr>
              <w:jc w:val="right"/>
            </w:pPr>
            <w:r>
              <w:rPr>
                <w:rFonts w:ascii="Times New Roman" w:hAnsi="Times New Roman" w:eastAsia="Songti SC"/>
                <w:b w:val="0"/>
                <w:sz w:val="20"/>
              </w:rPr>
              <w:t>（2-2）</w:t>
            </w:r>
          </w:p>
        </w:tc>
      </w:tr>
    </w:tbl>
    <w:p>
      <w:pPr>
        <w:spacing w:line="360" w:lineRule="auto" w:after="80"/>
        <w:ind w:firstLine="420"/>
        <w:jc w:val="both"/>
      </w:pPr>
      <w:r>
        <w:rPr>
          <w:rFonts w:ascii="Times New Roman" w:hAnsi="Times New Roman" w:eastAsia="Songti SC"/>
          <w:b w:val="0"/>
          <w:sz w:val="21"/>
        </w:rPr>
        <w:t>静态载荷、装配预载和干涉配合必须在接触平衡中只计入一次。若以初始接触状态施加预载，则全局外力中不再重复施加同一预载；该约束保证支承反力与结构平衡的一致性。</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q̇_rel=Bq̇</w:t>
            </w:r>
          </w:p>
        </w:tc>
        <w:tc>
          <w:tcPr>
            <w:tcW w:type="dxa" w:w="4422"/>
          </w:tcPr>
          <w:p>
            <w:pPr>
              <w:jc w:val="right"/>
            </w:pPr>
            <w:r>
              <w:rPr>
                <w:rFonts w:ascii="Times New Roman" w:hAnsi="Times New Roman" w:eastAsia="Songti SC"/>
                <w:b w:val="0"/>
                <w:sz w:val="20"/>
              </w:rPr>
              <w:t>（2-3）</w:t>
            </w:r>
          </w:p>
        </w:tc>
      </w:tr>
    </w:tbl>
    <w:p>
      <w:pPr>
        <w:keepNext/>
        <w:spacing w:before="180" w:after="100"/>
      </w:pPr>
      <w:r>
        <w:rPr>
          <w:rFonts w:ascii="Times New Roman" w:hAnsi="Times New Roman" w:eastAsia="Songti SC"/>
          <w:b/>
          <w:sz w:val="30"/>
        </w:rPr>
        <w:t>2.2 球轴承拟动力学模型</w:t>
      </w:r>
    </w:p>
    <w:p>
      <w:pPr>
        <w:spacing w:line="360" w:lineRule="auto" w:after="80"/>
        <w:ind w:firstLine="420"/>
        <w:jc w:val="both"/>
      </w:pPr>
      <w:r>
        <w:rPr>
          <w:rFonts w:ascii="Times New Roman" w:hAnsi="Times New Roman" w:eastAsia="Songti SC"/>
          <w:b w:val="0"/>
          <w:sz w:val="21"/>
        </w:rPr>
        <w:t>球轴承由内圈、外圈、滚珠和保持架组成。节圆直径、滚珠直径、沟道曲率和初始接触角共同确定无载几何，载荷作用后内外圈的相对横向和轴向位移改变每个滚珠的法向闭合量。</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Q_j=K_jδ_j^(3/2), δ_j&gt;0</w:t>
            </w:r>
          </w:p>
        </w:tc>
        <w:tc>
          <w:tcPr>
            <w:tcW w:type="dxa" w:w="4422"/>
          </w:tcPr>
          <w:p>
            <w:pPr>
              <w:jc w:val="right"/>
            </w:pPr>
            <w:r>
              <w:rPr>
                <w:rFonts w:ascii="Times New Roman" w:hAnsi="Times New Roman" w:eastAsia="Songti SC"/>
                <w:b w:val="0"/>
                <w:sz w:val="20"/>
              </w:rPr>
              <w:t>（2-4）</w:t>
            </w:r>
          </w:p>
        </w:tc>
      </w:tr>
    </w:tbl>
    <w:p>
      <w:pPr>
        <w:spacing w:line="360" w:lineRule="auto" w:after="80"/>
        <w:ind w:firstLine="420"/>
        <w:jc w:val="both"/>
      </w:pPr>
      <w:r>
        <w:rPr>
          <w:rFonts w:ascii="Times New Roman" w:hAnsi="Times New Roman" w:eastAsia="Songti SC"/>
          <w:b w:val="0"/>
          <w:sz w:val="21"/>
        </w:rPr>
        <w:t>第j个滚珠的方位角随保持架运动变化。相对位移沿方位法线投影后扣除工作游隙，所得变形决定该滚珠是否进入承载区。外圈随机匣节点运动，因而局部变形必须使用内外圈相对量而非转子绝对位移。</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Q_j=0, δ_j≤0</w:t>
            </w:r>
          </w:p>
        </w:tc>
        <w:tc>
          <w:tcPr>
            <w:tcW w:type="dxa" w:w="4422"/>
          </w:tcPr>
          <w:p>
            <w:pPr>
              <w:jc w:val="right"/>
            </w:pPr>
            <w:r>
              <w:rPr>
                <w:rFonts w:ascii="Times New Roman" w:hAnsi="Times New Roman" w:eastAsia="Songti SC"/>
                <w:b w:val="0"/>
                <w:sz w:val="20"/>
              </w:rPr>
              <w:t>（2-5）</w:t>
            </w:r>
          </w:p>
        </w:tc>
      </w:tr>
    </w:tbl>
    <w:p>
      <w:pPr>
        <w:spacing w:line="360" w:lineRule="auto" w:after="80"/>
        <w:ind w:firstLine="420"/>
        <w:jc w:val="both"/>
      </w:pPr>
      <w:r>
        <w:rPr>
          <w:rFonts w:ascii="Times New Roman" w:hAnsi="Times New Roman" w:eastAsia="Songti SC"/>
          <w:b w:val="0"/>
          <w:sz w:val="21"/>
        </w:rPr>
        <w:t>Hertz点接触的3/2次幂来自弹性球面接触区半径随压入量增长的几何关系。内圈接触柔度与外圈接触柔度串联，合成后的系数决定滚珠总法向力；接触角将该力分解为横向支承分量和轴向分量。</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F_y=ΣQ_jcosθ_jcosα</w:t>
            </w:r>
          </w:p>
        </w:tc>
        <w:tc>
          <w:tcPr>
            <w:tcW w:type="dxa" w:w="4422"/>
          </w:tcPr>
          <w:p>
            <w:pPr>
              <w:jc w:val="right"/>
            </w:pPr>
            <w:r>
              <w:rPr>
                <w:rFonts w:ascii="Times New Roman" w:hAnsi="Times New Roman" w:eastAsia="Songti SC"/>
                <w:b w:val="0"/>
                <w:sz w:val="20"/>
              </w:rPr>
              <w:t>（2-6）</w:t>
            </w:r>
          </w:p>
        </w:tc>
      </w:tr>
    </w:tbl>
    <w:p>
      <w:pPr>
        <w:spacing w:line="360" w:lineRule="auto" w:after="80"/>
        <w:ind w:firstLine="420"/>
        <w:jc w:val="both"/>
      </w:pPr>
      <w:r>
        <w:rPr>
          <w:rFonts w:ascii="Times New Roman" w:hAnsi="Times New Roman" w:eastAsia="Songti SC"/>
          <w:b w:val="0"/>
          <w:sz w:val="21"/>
        </w:rPr>
        <w:t>保持架速度、滚珠自转与离心力用于描述高速工况下的运动学状态，并为拖曳功率和滑移速度提供输入。它们不改变“只有正法向变形才承载”的接触激活条件。</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F_z=ΣQ_jsinθ_jcosα</w:t>
            </w:r>
          </w:p>
        </w:tc>
        <w:tc>
          <w:tcPr>
            <w:tcW w:type="dxa" w:w="4422"/>
          </w:tcPr>
          <w:p>
            <w:pPr>
              <w:jc w:val="right"/>
            </w:pPr>
            <w:r>
              <w:rPr>
                <w:rFonts w:ascii="Times New Roman" w:hAnsi="Times New Roman" w:eastAsia="Songti SC"/>
                <w:b w:val="0"/>
                <w:sz w:val="20"/>
              </w:rPr>
              <w:t>（2-7）</w:t>
            </w:r>
          </w:p>
        </w:tc>
      </w:tr>
    </w:tbl>
    <w:p>
      <w:pPr>
        <w:spacing w:line="360" w:lineRule="auto" w:after="80"/>
        <w:ind w:firstLine="420"/>
        <w:jc w:val="both"/>
      </w:pPr>
      <w:r>
        <w:rPr>
          <w:rFonts w:ascii="Times New Roman" w:hAnsi="Times New Roman" w:eastAsia="Songti SC"/>
          <w:b w:val="0"/>
          <w:sz w:val="21"/>
        </w:rPr>
        <w:t>球轴承刚度是在当前平衡点附近接触合力对相对位移的导数。随着承载滚珠集合和接触角变化，该刚度具有方向性和工况相关性；计算输出包括接触载荷、受载滚珠数、油膜指标与切线刚度。</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k_t,j=(3/2)K_jδ_j^(1/2)</w:t>
            </w:r>
          </w:p>
        </w:tc>
        <w:tc>
          <w:tcPr>
            <w:tcW w:type="dxa" w:w="4422"/>
          </w:tcPr>
          <w:p>
            <w:pPr>
              <w:jc w:val="right"/>
            </w:pPr>
            <w:r>
              <w:rPr>
                <w:rFonts w:ascii="Times New Roman" w:hAnsi="Times New Roman" w:eastAsia="Songti SC"/>
                <w:b w:val="0"/>
                <w:sz w:val="20"/>
              </w:rPr>
              <w:t>（2-8）</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F_y=ΣQ_jcosθ_jcosα</w:t>
            </w:r>
          </w:p>
        </w:tc>
        <w:tc>
          <w:tcPr>
            <w:tcW w:type="dxa" w:w="4422"/>
          </w:tcPr>
          <w:p>
            <w:pPr>
              <w:jc w:val="right"/>
            </w:pPr>
            <w:r>
              <w:rPr>
                <w:rFonts w:ascii="Times New Roman" w:hAnsi="Times New Roman" w:eastAsia="Songti SC"/>
                <w:b w:val="0"/>
                <w:sz w:val="20"/>
              </w:rPr>
              <w:t>（2-9）</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F_z=ΣQ_jsinθ_jcosα</w:t>
            </w:r>
          </w:p>
        </w:tc>
        <w:tc>
          <w:tcPr>
            <w:tcW w:type="dxa" w:w="4422"/>
          </w:tcPr>
          <w:p>
            <w:pPr>
              <w:jc w:val="right"/>
            </w:pPr>
            <w:r>
              <w:rPr>
                <w:rFonts w:ascii="Times New Roman" w:hAnsi="Times New Roman" w:eastAsia="Songti SC"/>
                <w:b w:val="0"/>
                <w:sz w:val="20"/>
              </w:rPr>
              <w:t>（2-10）</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k_t,j=(3/2)K_jδ_j^(1/2)</w:t>
            </w:r>
          </w:p>
        </w:tc>
        <w:tc>
          <w:tcPr>
            <w:tcW w:type="dxa" w:w="4422"/>
          </w:tcPr>
          <w:p>
            <w:pPr>
              <w:jc w:val="right"/>
            </w:pPr>
            <w:r>
              <w:rPr>
                <w:rFonts w:ascii="Times New Roman" w:hAnsi="Times New Roman" w:eastAsia="Songti SC"/>
                <w:b w:val="0"/>
                <w:sz w:val="20"/>
              </w:rPr>
              <w:t>（2-11）</w:t>
            </w:r>
          </w:p>
        </w:tc>
      </w:tr>
    </w:tbl>
    <w:tbl>
      <w:tblPr>
        <w:tblStyle w:val="TableGrid"/>
        <w:tblW w:type="auto" w:w="0"/>
        <w:jc w:val="center"/>
        <w:tblLook w:firstColumn="1" w:firstRow="1" w:lastColumn="0" w:lastRow="0" w:noHBand="0" w:noVBand="1" w:val="04A0"/>
      </w:tblPr>
      <w:tblGrid>
        <w:gridCol w:w="8844"/>
      </w:tblGrid>
      <w:tr>
        <w:tc>
          <w:tcPr>
            <w:tcW w:type="dxa" w:w="8844"/>
          </w:tcPr>
          <w:p>
            <w:pPr>
              <w:jc w:val="center"/>
            </w:pPr>
            <w:r>
              <w:rPr>
                <w:rFonts w:ascii="Times New Roman" w:hAnsi="Times New Roman" w:eastAsia="Songti SC"/>
                <w:b/>
                <w:sz w:val="19"/>
              </w:rPr>
              <w:t>内圈相对外圈位移 → 方位投影 → 工作游隙扣除 → Hertz点接触 → 合力分解</w:t>
            </w:r>
          </w:p>
          <w:p>
            <w:pPr>
              <w:jc w:val="center"/>
            </w:pPr>
            <w:r>
              <w:rPr>
                <w:rFonts w:ascii="Times New Roman" w:hAnsi="Times New Roman" w:eastAsia="Songti SC"/>
                <w:b w:val="0"/>
                <w:sz w:val="19"/>
              </w:rPr>
              <w:t>承载滚珠集合随相对位移与热后游隙更新</w:t>
            </w:r>
          </w:p>
        </w:tc>
      </w:tr>
    </w:tbl>
    <w:p>
      <w:pPr>
        <w:spacing w:line="360" w:lineRule="auto" w:after="80"/>
        <w:ind w:firstLine="0"/>
        <w:jc w:val="center"/>
      </w:pPr>
      <w:r>
        <w:rPr>
          <w:rFonts w:ascii="Times New Roman" w:hAnsi="Times New Roman" w:eastAsia="Songti SC"/>
          <w:b w:val="0"/>
          <w:sz w:val="21"/>
        </w:rPr>
        <w:t>图2-2  球轴承局部几何、方位角与接触力传递关系</w:t>
      </w:r>
    </w:p>
    <w:p>
      <w:pPr>
        <w:keepNext/>
        <w:spacing w:before="180" w:after="100"/>
      </w:pPr>
      <w:r>
        <w:rPr>
          <w:rFonts w:ascii="Times New Roman" w:hAnsi="Times New Roman" w:eastAsia="Songti SC"/>
          <w:b/>
          <w:sz w:val="30"/>
        </w:rPr>
        <w:t>2.3 圆柱滚子轴承拟动力学模型</w:t>
      </w:r>
    </w:p>
    <w:p>
      <w:pPr>
        <w:spacing w:line="360" w:lineRule="auto" w:after="80"/>
        <w:ind w:firstLine="420"/>
        <w:jc w:val="both"/>
      </w:pPr>
      <w:r>
        <w:rPr>
          <w:rFonts w:ascii="Times New Roman" w:hAnsi="Times New Roman" w:eastAsia="Songti SC"/>
          <w:b w:val="0"/>
          <w:sz w:val="21"/>
        </w:rPr>
        <w:t>圆柱滚子轴承的滚子与滚道形成线接触。相对于球轴承，线接触在相同局部压入量下具有不同的接触带扩展规律，因此载荷—变形关系采用与点接触不同的指数。</w:t>
      </w:r>
    </w:p>
    <w:p>
      <w:pPr>
        <w:spacing w:line="360" w:lineRule="auto" w:after="80"/>
        <w:ind w:firstLine="420"/>
        <w:jc w:val="both"/>
      </w:pPr>
      <w:r>
        <w:rPr>
          <w:rFonts w:ascii="Times New Roman" w:hAnsi="Times New Roman" w:eastAsia="Songti SC"/>
          <w:b w:val="0"/>
          <w:sz w:val="21"/>
        </w:rPr>
        <w:t>滚子方位角由保持架运动确定，径向相对位移在各方位上的投影与工作游隙共同给出法向接触变形。承载区Ω_L由δ_j&gt;0的滚子组成，受载滚子数是接触平衡的结果而不是预设参数。</w:t>
      </w:r>
    </w:p>
    <w:p>
      <w:pPr>
        <w:spacing w:line="360" w:lineRule="auto" w:after="80"/>
        <w:ind w:firstLine="420"/>
        <w:jc w:val="both"/>
      </w:pPr>
      <w:r>
        <w:rPr>
          <w:rFonts w:ascii="Times New Roman" w:hAnsi="Times New Roman" w:eastAsia="Songti SC"/>
          <w:b w:val="0"/>
          <w:sz w:val="21"/>
        </w:rPr>
        <w:t>线接触的10/9次幂反映有限长度滚子接触的等效非线性，不应与球轴承3/2次幂混用。当前模型未采用轴向切片法，故只以有效接触长度和等效线接触系数表示滚子—滚道接触；不虚构切片载荷。</w:t>
      </w:r>
    </w:p>
    <w:p>
      <w:pPr>
        <w:spacing w:line="360" w:lineRule="auto" w:after="80"/>
        <w:ind w:firstLine="420"/>
        <w:jc w:val="both"/>
      </w:pPr>
      <w:r>
        <w:rPr>
          <w:rFonts w:ascii="Times New Roman" w:hAnsi="Times New Roman" w:eastAsia="Songti SC"/>
          <w:b w:val="0"/>
          <w:sz w:val="21"/>
        </w:rPr>
        <w:t>工作游隙减小时承载区通常扩展，最大滚子载荷和载荷集中度随之改变；游隙增大则可能使部分方位滚子退出承载。未承载滚子没有有效接触油膜，数值零值表示接触未激活，而不是油膜厚度为零。</w:t>
      </w:r>
    </w:p>
    <w:p>
      <w:pPr>
        <w:spacing w:line="360" w:lineRule="auto" w:after="80"/>
        <w:ind w:firstLine="420"/>
        <w:jc w:val="both"/>
      </w:pPr>
      <w:r>
        <w:rPr>
          <w:rFonts w:ascii="Times New Roman" w:hAnsi="Times New Roman" w:eastAsia="Songti SC"/>
          <w:b w:val="0"/>
          <w:sz w:val="21"/>
        </w:rPr>
        <w:t>热后滚子载荷重分布通过重新求解每个滚子的接触平衡得到。由热后合力差分出的横向刚度可反映承载区变化，但含数值奇异警告的工况仅在有限输出、正油膜和有效性条件满足时用于趋势讨论。</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δ_j=u_ycosθ_j+u_zsinθ_j−c_w/2</w:t>
            </w:r>
          </w:p>
        </w:tc>
        <w:tc>
          <w:tcPr>
            <w:tcW w:type="dxa" w:w="4422"/>
          </w:tcPr>
          <w:p>
            <w:pPr>
              <w:jc w:val="right"/>
            </w:pPr>
            <w:r>
              <w:rPr>
                <w:rFonts w:ascii="Times New Roman" w:hAnsi="Times New Roman" w:eastAsia="Songti SC"/>
                <w:b w:val="0"/>
                <w:sz w:val="20"/>
              </w:rPr>
              <w:t>（2-12）</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Ω_L={j|δ_j&gt;0}</w:t>
            </w:r>
          </w:p>
        </w:tc>
        <w:tc>
          <w:tcPr>
            <w:tcW w:type="dxa" w:w="4422"/>
          </w:tcPr>
          <w:p>
            <w:pPr>
              <w:jc w:val="right"/>
            </w:pPr>
            <w:r>
              <w:rPr>
                <w:rFonts w:ascii="Times New Roman" w:hAnsi="Times New Roman" w:eastAsia="Songti SC"/>
                <w:b w:val="0"/>
                <w:sz w:val="20"/>
              </w:rPr>
              <w:t>（2-13）</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Q_j=C_lδ_j^(10/9), j∈Ω_L</w:t>
            </w:r>
          </w:p>
        </w:tc>
        <w:tc>
          <w:tcPr>
            <w:tcW w:type="dxa" w:w="4422"/>
          </w:tcPr>
          <w:p>
            <w:pPr>
              <w:jc w:val="right"/>
            </w:pPr>
            <w:r>
              <w:rPr>
                <w:rFonts w:ascii="Times New Roman" w:hAnsi="Times New Roman" w:eastAsia="Songti SC"/>
                <w:b w:val="0"/>
                <w:sz w:val="20"/>
              </w:rPr>
              <w:t>（2-14）</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F_y=Σ(j∈Ω_L)Q_jcosθ_j</w:t>
            </w:r>
          </w:p>
        </w:tc>
        <w:tc>
          <w:tcPr>
            <w:tcW w:type="dxa" w:w="4422"/>
          </w:tcPr>
          <w:p>
            <w:pPr>
              <w:jc w:val="right"/>
            </w:pPr>
            <w:r>
              <w:rPr>
                <w:rFonts w:ascii="Times New Roman" w:hAnsi="Times New Roman" w:eastAsia="Songti SC"/>
                <w:b w:val="0"/>
                <w:sz w:val="20"/>
              </w:rPr>
              <w:t>（2-15）</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F_z=Σ(j∈Ω_L)Q_jsinθ_j</w:t>
            </w:r>
          </w:p>
        </w:tc>
        <w:tc>
          <w:tcPr>
            <w:tcW w:type="dxa" w:w="4422"/>
          </w:tcPr>
          <w:p>
            <w:pPr>
              <w:jc w:val="right"/>
            </w:pPr>
            <w:r>
              <w:rPr>
                <w:rFonts w:ascii="Times New Roman" w:hAnsi="Times New Roman" w:eastAsia="Songti SC"/>
                <w:b w:val="0"/>
                <w:sz w:val="20"/>
              </w:rPr>
              <w:t>（2-16）</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k_t,j=(10/9)C_lδ_j^(1/9)</w:t>
            </w:r>
          </w:p>
        </w:tc>
        <w:tc>
          <w:tcPr>
            <w:tcW w:type="dxa" w:w="4422"/>
          </w:tcPr>
          <w:p>
            <w:pPr>
              <w:jc w:val="right"/>
            </w:pPr>
            <w:r>
              <w:rPr>
                <w:rFonts w:ascii="Times New Roman" w:hAnsi="Times New Roman" w:eastAsia="Songti SC"/>
                <w:b w:val="0"/>
                <w:sz w:val="20"/>
              </w:rPr>
              <w:t>（2-17）</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K_b=∂F_b/∂q_rel</w:t>
            </w:r>
          </w:p>
        </w:tc>
        <w:tc>
          <w:tcPr>
            <w:tcW w:type="dxa" w:w="4422"/>
          </w:tcPr>
          <w:p>
            <w:pPr>
              <w:jc w:val="right"/>
            </w:pPr>
            <w:r>
              <w:rPr>
                <w:rFonts w:ascii="Times New Roman" w:hAnsi="Times New Roman" w:eastAsia="Songti SC"/>
                <w:b w:val="0"/>
                <w:sz w:val="20"/>
              </w:rPr>
              <w:t>（2-18）</w:t>
            </w:r>
          </w:p>
        </w:tc>
      </w:tr>
    </w:tbl>
    <w:tbl>
      <w:tblPr>
        <w:tblStyle w:val="TableGrid"/>
        <w:tblW w:type="auto" w:w="0"/>
        <w:jc w:val="center"/>
        <w:tblLook w:firstColumn="1" w:firstRow="1" w:lastColumn="0" w:lastRow="0" w:noHBand="0" w:noVBand="1" w:val="04A0"/>
      </w:tblPr>
      <w:tblGrid>
        <w:gridCol w:w="8844"/>
      </w:tblGrid>
      <w:tr>
        <w:tc>
          <w:tcPr>
            <w:tcW w:type="dxa" w:w="8844"/>
          </w:tcPr>
          <w:p>
            <w:pPr>
              <w:jc w:val="center"/>
            </w:pPr>
            <w:r>
              <w:rPr>
                <w:rFonts w:ascii="Times New Roman" w:hAnsi="Times New Roman" w:eastAsia="Songti SC"/>
                <w:b/>
                <w:sz w:val="19"/>
              </w:rPr>
              <w:t>相对径向位移 → 法向闭合量 → 承载区Ω_L → 线接触载荷 → 横向合力</w:t>
            </w:r>
          </w:p>
          <w:p>
            <w:pPr>
              <w:jc w:val="center"/>
            </w:pPr>
            <w:r>
              <w:rPr>
                <w:rFonts w:ascii="Times New Roman" w:hAnsi="Times New Roman" w:eastAsia="Songti SC"/>
                <w:b w:val="0"/>
                <w:sz w:val="19"/>
              </w:rPr>
              <w:t>非承载滚子不参与接触、油膜和功率统计</w:t>
            </w:r>
          </w:p>
        </w:tc>
      </w:tr>
    </w:tbl>
    <w:p>
      <w:pPr>
        <w:spacing w:line="360" w:lineRule="auto" w:after="80"/>
        <w:ind w:firstLine="0"/>
        <w:jc w:val="center"/>
      </w:pPr>
      <w:r>
        <w:rPr>
          <w:rFonts w:ascii="Times New Roman" w:hAnsi="Times New Roman" w:eastAsia="Songti SC"/>
          <w:b w:val="0"/>
          <w:sz w:val="21"/>
        </w:rPr>
        <w:t>图2-3  圆柱滚子轴承承载区与线接触载荷关系</w:t>
      </w:r>
    </w:p>
    <w:p>
      <w:pPr>
        <w:keepNext/>
        <w:spacing w:before="180" w:after="100"/>
      </w:pPr>
      <w:r>
        <w:rPr>
          <w:rFonts w:ascii="Times New Roman" w:hAnsi="Times New Roman" w:eastAsia="Songti SC"/>
          <w:b/>
          <w:sz w:val="30"/>
        </w:rPr>
        <w:t>2.4 转子—机匣有限元模型</w:t>
      </w:r>
    </w:p>
    <w:p>
      <w:pPr>
        <w:spacing w:line="360" w:lineRule="auto" w:after="80"/>
        <w:ind w:firstLine="420"/>
        <w:jc w:val="both"/>
      </w:pPr>
      <w:r>
        <w:rPr>
          <w:rFonts w:ascii="Times New Roman" w:hAnsi="Times New Roman" w:eastAsia="Songti SC"/>
          <w:b w:val="0"/>
          <w:sz w:val="21"/>
        </w:rPr>
        <w:t>转轴按Timoshenko梁离散。相较Euler—Bernoulli梁，Timoshenko梁保留截面转角和剪切变形，适用于短粗轴段、圆盘邻近段和较高频弯曲响应。每个节点保留两个横向平移和两个转动自由度，单元位移由形函数插值得到。</w:t>
      </w:r>
    </w:p>
    <w:p>
      <w:pPr>
        <w:spacing w:line="360" w:lineRule="auto" w:after="80"/>
        <w:ind w:firstLine="420"/>
        <w:jc w:val="both"/>
      </w:pPr>
      <w:r>
        <w:rPr>
          <w:rFonts w:ascii="Times New Roman" w:hAnsi="Times New Roman" w:eastAsia="Songti SC"/>
          <w:b w:val="0"/>
          <w:sz w:val="21"/>
        </w:rPr>
        <w:t>对于分段变截面轴，截面积、横截面惯性矩和极惯性矩由各段内外径计算。材料密度、弹性模量和泊松比与几何量共同进入单元质量、弯曲刚度、剪切刚度和陀螺矩阵；局部矩阵经坐标变换后装配至转子全局矩阵。</w:t>
      </w:r>
    </w:p>
    <w:p>
      <w:pPr>
        <w:spacing w:line="360" w:lineRule="auto" w:after="80"/>
        <w:ind w:firstLine="420"/>
        <w:jc w:val="both"/>
      </w:pPr>
      <w:r>
        <w:rPr>
          <w:rFonts w:ascii="Times New Roman" w:hAnsi="Times New Roman" w:eastAsia="Songti SC"/>
          <w:b w:val="0"/>
          <w:sz w:val="21"/>
        </w:rPr>
        <w:t>集中圆盘和附属质量以质量、直径转动惯量与极转动惯量装配到对应节点。圆盘自转使极惯性产生陀螺耦合项，其大小随转速变化；不平衡力可由偏心质量与转速平方构成并作为外部激励接口。</w:t>
      </w:r>
    </w:p>
    <w:p>
      <w:pPr>
        <w:spacing w:line="360" w:lineRule="auto" w:after="80"/>
        <w:ind w:firstLine="420"/>
        <w:jc w:val="both"/>
      </w:pPr>
      <w:r>
        <w:rPr>
          <w:rFonts w:ascii="Times New Roman" w:hAnsi="Times New Roman" w:eastAsia="Songti SC"/>
          <w:b w:val="0"/>
          <w:sz w:val="21"/>
        </w:rPr>
        <w:t>复杂薄壁机匣在本章中降阶为沿轴向分段的空心梁。该处理保留机匣质量分布、弯曲柔度、支承节点位移和振动传递路径，但不试图描述局部壳体模态、加强筋和孔口附近的细节应力。</w:t>
      </w:r>
    </w:p>
    <w:p>
      <w:pPr>
        <w:spacing w:line="360" w:lineRule="auto" w:after="80"/>
        <w:ind w:firstLine="420"/>
        <w:jc w:val="both"/>
      </w:pPr>
      <w:r>
        <w:rPr>
          <w:rFonts w:ascii="Times New Roman" w:hAnsi="Times New Roman" w:eastAsia="Songti SC"/>
          <w:b w:val="0"/>
          <w:sz w:val="21"/>
        </w:rPr>
        <w:t>机匣与基础之间采用弹簧—阻尼元件连接。基础力与机匣安装节点的位移和速度相反，表示支座柔度及能量耗散；其刚度不同于轴承接触刚度，二者分别在结构边界和内外圈界面处发挥作用。</w:t>
      </w:r>
    </w:p>
    <w:p>
      <w:pPr>
        <w:spacing w:line="360" w:lineRule="auto" w:after="80"/>
        <w:ind w:firstLine="420"/>
        <w:jc w:val="both"/>
      </w:pPr>
      <w:r>
        <w:rPr>
          <w:rFonts w:ascii="Times New Roman" w:hAnsi="Times New Roman" w:eastAsia="Songti SC"/>
          <w:b w:val="0"/>
          <w:sz w:val="21"/>
        </w:rPr>
        <w:t>转子、机匣子系统分别装配后，通过轴承接口力实现耦合。实际转子轴段、机匣段、集中质量和圆盘参数列于后表，数值均保留自已提供的结构材料，不引入参考文档中的几何数据。</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q_e=[y_1,z_1,φ_y1,φ_z1,y_2,z_2,φ_y2,φ_z2]^T</w:t>
            </w:r>
          </w:p>
        </w:tc>
        <w:tc>
          <w:tcPr>
            <w:tcW w:type="dxa" w:w="4422"/>
          </w:tcPr>
          <w:p>
            <w:pPr>
              <w:jc w:val="right"/>
            </w:pPr>
            <w:r>
              <w:rPr>
                <w:rFonts w:ascii="Times New Roman" w:hAnsi="Times New Roman" w:eastAsia="Songti SC"/>
                <w:b w:val="0"/>
                <w:sz w:val="20"/>
              </w:rPr>
              <w:t>（2-19）</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u=Nq_e</w:t>
            </w:r>
          </w:p>
        </w:tc>
        <w:tc>
          <w:tcPr>
            <w:tcW w:type="dxa" w:w="4422"/>
          </w:tcPr>
          <w:p>
            <w:pPr>
              <w:jc w:val="right"/>
            </w:pPr>
            <w:r>
              <w:rPr>
                <w:rFonts w:ascii="Times New Roman" w:hAnsi="Times New Roman" w:eastAsia="Songti SC"/>
                <w:b w:val="0"/>
                <w:sz w:val="20"/>
              </w:rPr>
              <w:t>（2-20）</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ε=Bq_e</w:t>
            </w:r>
          </w:p>
        </w:tc>
        <w:tc>
          <w:tcPr>
            <w:tcW w:type="dxa" w:w="4422"/>
          </w:tcPr>
          <w:p>
            <w:pPr>
              <w:jc w:val="right"/>
            </w:pPr>
            <w:r>
              <w:rPr>
                <w:rFonts w:ascii="Times New Roman" w:hAnsi="Times New Roman" w:eastAsia="Songti SC"/>
                <w:b w:val="0"/>
                <w:sz w:val="20"/>
              </w:rPr>
              <w:t>（2-21）</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M_e=∫_VρN^TN dV</w:t>
            </w:r>
          </w:p>
        </w:tc>
        <w:tc>
          <w:tcPr>
            <w:tcW w:type="dxa" w:w="4422"/>
          </w:tcPr>
          <w:p>
            <w:pPr>
              <w:jc w:val="right"/>
            </w:pPr>
            <w:r>
              <w:rPr>
                <w:rFonts w:ascii="Times New Roman" w:hAnsi="Times New Roman" w:eastAsia="Songti SC"/>
                <w:b w:val="0"/>
                <w:sz w:val="20"/>
              </w:rPr>
              <w:t>（2-22）</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K_e=∫_V B^TDB dV</w:t>
            </w:r>
          </w:p>
        </w:tc>
        <w:tc>
          <w:tcPr>
            <w:tcW w:type="dxa" w:w="4422"/>
          </w:tcPr>
          <w:p>
            <w:pPr>
              <w:jc w:val="right"/>
            </w:pPr>
            <w:r>
              <w:rPr>
                <w:rFonts w:ascii="Times New Roman" w:hAnsi="Times New Roman" w:eastAsia="Songti SC"/>
                <w:b w:val="0"/>
                <w:sz w:val="20"/>
              </w:rPr>
              <w:t>（2-23）</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G_e=∫_VρJ_pN_g^TN_g dV</w:t>
            </w:r>
          </w:p>
        </w:tc>
        <w:tc>
          <w:tcPr>
            <w:tcW w:type="dxa" w:w="4422"/>
          </w:tcPr>
          <w:p>
            <w:pPr>
              <w:jc w:val="right"/>
            </w:pPr>
            <w:r>
              <w:rPr>
                <w:rFonts w:ascii="Times New Roman" w:hAnsi="Times New Roman" w:eastAsia="Songti SC"/>
                <w:b w:val="0"/>
                <w:sz w:val="20"/>
              </w:rPr>
              <w:t>（2-24）</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A=π(D_o²−D_i²)/4</w:t>
            </w:r>
          </w:p>
        </w:tc>
        <w:tc>
          <w:tcPr>
            <w:tcW w:type="dxa" w:w="4422"/>
          </w:tcPr>
          <w:p>
            <w:pPr>
              <w:jc w:val="right"/>
            </w:pPr>
            <w:r>
              <w:rPr>
                <w:rFonts w:ascii="Times New Roman" w:hAnsi="Times New Roman" w:eastAsia="Songti SC"/>
                <w:b w:val="0"/>
                <w:sz w:val="20"/>
              </w:rPr>
              <w:t>（2-25）</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I=π(D_o⁴−D_i⁴)/64</w:t>
            </w:r>
          </w:p>
        </w:tc>
        <w:tc>
          <w:tcPr>
            <w:tcW w:type="dxa" w:w="4422"/>
          </w:tcPr>
          <w:p>
            <w:pPr>
              <w:jc w:val="right"/>
            </w:pPr>
            <w:r>
              <w:rPr>
                <w:rFonts w:ascii="Times New Roman" w:hAnsi="Times New Roman" w:eastAsia="Songti SC"/>
                <w:b w:val="0"/>
                <w:sz w:val="20"/>
              </w:rPr>
              <w:t>（2-26）</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J_p=π(D_o⁴−D_i⁴)/32</w:t>
            </w:r>
          </w:p>
        </w:tc>
        <w:tc>
          <w:tcPr>
            <w:tcW w:type="dxa" w:w="4422"/>
          </w:tcPr>
          <w:p>
            <w:pPr>
              <w:jc w:val="right"/>
            </w:pPr>
            <w:r>
              <w:rPr>
                <w:rFonts w:ascii="Times New Roman" w:hAnsi="Times New Roman" w:eastAsia="Songti SC"/>
                <w:b w:val="0"/>
                <w:sz w:val="20"/>
              </w:rPr>
              <w:t>（2-27）</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C_f=aM+bK</w:t>
            </w:r>
          </w:p>
        </w:tc>
        <w:tc>
          <w:tcPr>
            <w:tcW w:type="dxa" w:w="4422"/>
          </w:tcPr>
          <w:p>
            <w:pPr>
              <w:jc w:val="right"/>
            </w:pPr>
            <w:r>
              <w:rPr>
                <w:rFonts w:ascii="Times New Roman" w:hAnsi="Times New Roman" w:eastAsia="Songti SC"/>
                <w:b w:val="0"/>
                <w:sz w:val="20"/>
              </w:rPr>
              <w:t>（2-28）</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F_f=−K_fq_f−C_fq̇_f</w:t>
            </w:r>
          </w:p>
        </w:tc>
        <w:tc>
          <w:tcPr>
            <w:tcW w:type="dxa" w:w="4422"/>
          </w:tcPr>
          <w:p>
            <w:pPr>
              <w:jc w:val="right"/>
            </w:pPr>
            <w:r>
              <w:rPr>
                <w:rFonts w:ascii="Times New Roman" w:hAnsi="Times New Roman" w:eastAsia="Songti SC"/>
                <w:b w:val="0"/>
                <w:sz w:val="20"/>
              </w:rPr>
              <w:t>（2-29）</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M_rq̈_r+(C_r+ΩG_r)q̇_r+K_rq_r=f_r+f_b</w:t>
            </w:r>
          </w:p>
        </w:tc>
        <w:tc>
          <w:tcPr>
            <w:tcW w:type="dxa" w:w="4422"/>
          </w:tcPr>
          <w:p>
            <w:pPr>
              <w:jc w:val="right"/>
            </w:pPr>
            <w:r>
              <w:rPr>
                <w:rFonts w:ascii="Times New Roman" w:hAnsi="Times New Roman" w:eastAsia="Songti SC"/>
                <w:b w:val="0"/>
                <w:sz w:val="20"/>
              </w:rPr>
              <w:t>（2-30）</w:t>
            </w:r>
          </w:p>
        </w:tc>
      </w:tr>
    </w:tbl>
    <w:p>
      <w:pPr>
        <w:keepNext/>
        <w:spacing w:before="180" w:after="100"/>
      </w:pPr>
      <w:r>
        <w:rPr>
          <w:rFonts w:ascii="Times New Roman" w:hAnsi="Times New Roman" w:eastAsia="Songti SC"/>
          <w:b/>
          <w:sz w:val="30"/>
        </w:rPr>
        <w:t>2.5 闭环热效应模型</w:t>
      </w:r>
    </w:p>
    <w:p>
      <w:pPr>
        <w:spacing w:line="360" w:lineRule="auto" w:after="80"/>
        <w:ind w:firstLine="420"/>
        <w:jc w:val="both"/>
      </w:pPr>
      <w:r>
        <w:rPr>
          <w:rFonts w:ascii="Times New Roman" w:hAnsi="Times New Roman" w:eastAsia="Songti SC"/>
          <w:b w:val="0"/>
          <w:sz w:val="21"/>
        </w:rPr>
        <w:t>摩擦热由有效承载接触点的拖曳力与局部滑动速度共同产生。只有接触载荷、法向变形和数值量均有限的接触点进入热源求和，因此非承载滚动体不会以无物理意义的零值参与油膜或功率统计。</w:t>
      </w:r>
    </w:p>
    <w:p>
      <w:pPr>
        <w:spacing w:line="360" w:lineRule="auto" w:after="80"/>
        <w:ind w:firstLine="420"/>
        <w:jc w:val="both"/>
      </w:pPr>
      <w:r>
        <w:rPr>
          <w:rFonts w:ascii="Times New Roman" w:hAnsi="Times New Roman" w:eastAsia="Songti SC"/>
          <w:b w:val="0"/>
          <w:sz w:val="21"/>
        </w:rPr>
        <w:t>散热以综合等效热导H表示。H包含套圈、转轴、机匣、润滑油和周围环境共同提供的散热能力，不是任一材料的导热系数。集总热平衡把摩擦功率与散热功率相等作为稳态或准稳态闭合条件。</w:t>
      </w:r>
    </w:p>
    <w:p>
      <w:pPr>
        <w:spacing w:line="360" w:lineRule="auto" w:after="80"/>
        <w:ind w:firstLine="420"/>
        <w:jc w:val="both"/>
      </w:pPr>
      <w:r>
        <w:rPr>
          <w:rFonts w:ascii="Times New Roman" w:hAnsi="Times New Roman" w:eastAsia="Songti SC"/>
          <w:b w:val="0"/>
          <w:sz w:val="21"/>
        </w:rPr>
        <w:t>采用松弛迭代更新热平衡温度可避免强非线性接触状态造成的温度振荡。温度收敛后，以其更新运动黏度、动力黏度和压力—黏度系数；这些参数随后进入油膜关系和拖曳计算。</w:t>
      </w:r>
    </w:p>
    <w:p>
      <w:pPr>
        <w:spacing w:line="360" w:lineRule="auto" w:after="80"/>
        <w:ind w:firstLine="420"/>
        <w:jc w:val="both"/>
      </w:pPr>
      <w:r>
        <w:rPr>
          <w:rFonts w:ascii="Times New Roman" w:hAnsi="Times New Roman" w:eastAsia="Songti SC"/>
          <w:b w:val="0"/>
          <w:sz w:val="21"/>
        </w:rPr>
        <w:t>点接触和线接触油膜采用不同的低阶Hamrock—Dowson型映射。球轴承与圆柱滚子轴承的油膜指数不同，内外接触处的有效油膜温度由入口油温和套圈温度加权得到。油膜路径改变接触柔度，工作游隙路径改变接触是否激活，二者不可相互替代。</w:t>
      </w:r>
    </w:p>
    <w:p>
      <w:pPr>
        <w:spacing w:line="360" w:lineRule="auto" w:after="80"/>
        <w:ind w:firstLine="420"/>
        <w:jc w:val="both"/>
      </w:pPr>
      <w:r>
        <w:rPr>
          <w:rFonts w:ascii="Times New Roman" w:hAnsi="Times New Roman" w:eastAsia="Songti SC"/>
          <w:b w:val="0"/>
          <w:sz w:val="21"/>
        </w:rPr>
        <w:t>工作游隙由初始游隙、配合、内外圈热膨胀、离心效应和初始干涉共同构成。获得热平衡温度后必须重新计算游隙，再重新求解各滚动体载荷；不能仅对常温载荷整体乘以温度比例。</w:t>
      </w:r>
    </w:p>
    <w:p>
      <w:pPr>
        <w:spacing w:line="360" w:lineRule="auto" w:after="80"/>
        <w:ind w:firstLine="420"/>
        <w:jc w:val="both"/>
      </w:pPr>
      <w:r>
        <w:rPr>
          <w:rFonts w:ascii="Times New Roman" w:hAnsi="Times New Roman" w:eastAsia="Songti SC"/>
          <w:b w:val="0"/>
          <w:sz w:val="21"/>
        </w:rPr>
        <w:t>等效压力以接触载荷除以等效接触面积得到。球轴承采用椭圆接触面积，圆柱滚子轴承采用接触带宽度与有效长度的乘积。该压力仅用于润滑状态诊断；热黏阻尼同样在当前模型中作为诊断量，未被写入拟静力平衡残差。</w:t>
      </w:r>
    </w:p>
    <w:p>
      <w:pPr>
        <w:spacing w:line="360" w:lineRule="auto" w:after="80"/>
        <w:ind w:firstLine="420"/>
        <w:jc w:val="both"/>
      </w:pPr>
      <w:r>
        <w:rPr>
          <w:rFonts w:ascii="Times New Roman" w:hAnsi="Times New Roman" w:eastAsia="Songti SC"/>
          <w:b w:val="0"/>
          <w:sz w:val="21"/>
        </w:rPr>
        <w:t>热后刚度以接触合力对相对位移的有限差分取得。准动力学支承接口采用单侧扰动的实现方式；单元切线诊断可采用中心差分进行比较。最终刚度直接来源于热后接触力，不再施加第二次油膜比例缩放。</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Ω_loaded={i|Q_i&gt;0,δ_i&gt;0,finite}</w:t>
            </w:r>
          </w:p>
        </w:tc>
        <w:tc>
          <w:tcPr>
            <w:tcW w:type="dxa" w:w="4422"/>
          </w:tcPr>
          <w:p>
            <w:pPr>
              <w:jc w:val="right"/>
            </w:pPr>
            <w:r>
              <w:rPr>
                <w:rFonts w:ascii="Times New Roman" w:hAnsi="Times New Roman" w:eastAsia="Songti SC"/>
                <w:b w:val="0"/>
                <w:sz w:val="20"/>
              </w:rPr>
              <w:t>（2-31）</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Q_fric=Σ(i∈Ω_loaded)|F_drag,i·v_slip,i|</w:t>
            </w:r>
          </w:p>
        </w:tc>
        <w:tc>
          <w:tcPr>
            <w:tcW w:type="dxa" w:w="4422"/>
          </w:tcPr>
          <w:p>
            <w:pPr>
              <w:jc w:val="right"/>
            </w:pPr>
            <w:r>
              <w:rPr>
                <w:rFonts w:ascii="Times New Roman" w:hAnsi="Times New Roman" w:eastAsia="Songti SC"/>
                <w:b w:val="0"/>
                <w:sz w:val="20"/>
              </w:rPr>
              <w:t>（2-32）</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Q_cool=H(T−T_oil)</w:t>
            </w:r>
          </w:p>
        </w:tc>
        <w:tc>
          <w:tcPr>
            <w:tcW w:type="dxa" w:w="4422"/>
          </w:tcPr>
          <w:p>
            <w:pPr>
              <w:jc w:val="right"/>
            </w:pPr>
            <w:r>
              <w:rPr>
                <w:rFonts w:ascii="Times New Roman" w:hAnsi="Times New Roman" w:eastAsia="Songti SC"/>
                <w:b w:val="0"/>
                <w:sz w:val="20"/>
              </w:rPr>
              <w:t>（2-33）</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T_target=T_oil+Q_fric/H</w:t>
            </w:r>
          </w:p>
        </w:tc>
        <w:tc>
          <w:tcPr>
            <w:tcW w:type="dxa" w:w="4422"/>
          </w:tcPr>
          <w:p>
            <w:pPr>
              <w:jc w:val="right"/>
            </w:pPr>
            <w:r>
              <w:rPr>
                <w:rFonts w:ascii="Times New Roman" w:hAnsi="Times New Roman" w:eastAsia="Songti SC"/>
                <w:b w:val="0"/>
                <w:sz w:val="20"/>
              </w:rPr>
              <w:t>（2-34）</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T_new=(1−ω)T_old+ωT_target</w:t>
            </w:r>
          </w:p>
        </w:tc>
        <w:tc>
          <w:tcPr>
            <w:tcW w:type="dxa" w:w="4422"/>
          </w:tcPr>
          <w:p>
            <w:pPr>
              <w:jc w:val="right"/>
            </w:pPr>
            <w:r>
              <w:rPr>
                <w:rFonts w:ascii="Times New Roman" w:hAnsi="Times New Roman" w:eastAsia="Songti SC"/>
                <w:b w:val="0"/>
                <w:sz w:val="20"/>
              </w:rPr>
              <w:t>（2-35）</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|T_new−T_old|&lt;ε_T</w:t>
            </w:r>
          </w:p>
        </w:tc>
        <w:tc>
          <w:tcPr>
            <w:tcW w:type="dxa" w:w="4422"/>
          </w:tcPr>
          <w:p>
            <w:pPr>
              <w:jc w:val="right"/>
            </w:pPr>
            <w:r>
              <w:rPr>
                <w:rFonts w:ascii="Times New Roman" w:hAnsi="Times New Roman" w:eastAsia="Songti SC"/>
                <w:b w:val="0"/>
                <w:sz w:val="20"/>
              </w:rPr>
              <w:t>（2-36）</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ν(T)=27.6exp[−0.02815(T−40)]</w:t>
            </w:r>
          </w:p>
        </w:tc>
        <w:tc>
          <w:tcPr>
            <w:tcW w:type="dxa" w:w="4422"/>
          </w:tcPr>
          <w:p>
            <w:pPr>
              <w:jc w:val="right"/>
            </w:pPr>
            <w:r>
              <w:rPr>
                <w:rFonts w:ascii="Times New Roman" w:hAnsi="Times New Roman" w:eastAsia="Songti SC"/>
                <w:b w:val="0"/>
                <w:sz w:val="20"/>
              </w:rPr>
              <w:t>（2-37）</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η(T)=ρ_oilν(T)×10^(−6)</w:t>
            </w:r>
          </w:p>
        </w:tc>
        <w:tc>
          <w:tcPr>
            <w:tcW w:type="dxa" w:w="4422"/>
          </w:tcPr>
          <w:p>
            <w:pPr>
              <w:jc w:val="right"/>
            </w:pPr>
            <w:r>
              <w:rPr>
                <w:rFonts w:ascii="Times New Roman" w:hAnsi="Times New Roman" w:eastAsia="Songti SC"/>
                <w:b w:val="0"/>
                <w:sz w:val="20"/>
              </w:rPr>
              <w:t>（2-38）</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α_p(T)=1.28×10^(−8)exp[−0.010(T−20)]</w:t>
            </w:r>
          </w:p>
        </w:tc>
        <w:tc>
          <w:tcPr>
            <w:tcW w:type="dxa" w:w="4422"/>
          </w:tcPr>
          <w:p>
            <w:pPr>
              <w:jc w:val="right"/>
            </w:pPr>
            <w:r>
              <w:rPr>
                <w:rFonts w:ascii="Times New Roman" w:hAnsi="Times New Roman" w:eastAsia="Songti SC"/>
                <w:b w:val="0"/>
                <w:sz w:val="20"/>
              </w:rPr>
              <w:t>（2-39）</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T_film=wT_oil+(1−w)T_ring</w:t>
            </w:r>
          </w:p>
        </w:tc>
        <w:tc>
          <w:tcPr>
            <w:tcW w:type="dxa" w:w="4422"/>
          </w:tcPr>
          <w:p>
            <w:pPr>
              <w:jc w:val="right"/>
            </w:pPr>
            <w:r>
              <w:rPr>
                <w:rFonts w:ascii="Times New Roman" w:hAnsi="Times New Roman" w:eastAsia="Songti SC"/>
                <w:b w:val="0"/>
                <w:sz w:val="20"/>
              </w:rPr>
              <w:t>（2-40）</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h=h_HD[η(T_film)/η_ref]^m</w:t>
            </w:r>
          </w:p>
        </w:tc>
        <w:tc>
          <w:tcPr>
            <w:tcW w:type="dxa" w:w="4422"/>
          </w:tcPr>
          <w:p>
            <w:pPr>
              <w:jc w:val="right"/>
            </w:pPr>
            <w:r>
              <w:rPr>
                <w:rFonts w:ascii="Times New Roman" w:hAnsi="Times New Roman" w:eastAsia="Songti SC"/>
                <w:b w:val="0"/>
                <w:sz w:val="20"/>
              </w:rPr>
              <w:t>（2-41）</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Δr=α_TR(T−T_ref)</w:t>
            </w:r>
          </w:p>
        </w:tc>
        <w:tc>
          <w:tcPr>
            <w:tcW w:type="dxa" w:w="4422"/>
          </w:tcPr>
          <w:p>
            <w:pPr>
              <w:jc w:val="right"/>
            </w:pPr>
            <w:r>
              <w:rPr>
                <w:rFonts w:ascii="Times New Roman" w:hAnsi="Times New Roman" w:eastAsia="Songti SC"/>
                <w:b w:val="0"/>
                <w:sz w:val="20"/>
              </w:rPr>
              <w:t>（2-42）</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c_w=c_0+Δc_fit+Δr_o−Δr_i+Δc_cf+Δc_other−δ_0</w:t>
            </w:r>
          </w:p>
        </w:tc>
        <w:tc>
          <w:tcPr>
            <w:tcW w:type="dxa" w:w="4422"/>
          </w:tcPr>
          <w:p>
            <w:pPr>
              <w:jc w:val="right"/>
            </w:pPr>
            <w:r>
              <w:rPr>
                <w:rFonts w:ascii="Times New Roman" w:hAnsi="Times New Roman" w:eastAsia="Songti SC"/>
                <w:b w:val="0"/>
                <w:sz w:val="20"/>
              </w:rPr>
              <w:t>（2-43）</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A_ball=πab</w:t>
            </w:r>
          </w:p>
        </w:tc>
        <w:tc>
          <w:tcPr>
            <w:tcW w:type="dxa" w:w="4422"/>
          </w:tcPr>
          <w:p>
            <w:pPr>
              <w:jc w:val="right"/>
            </w:pPr>
            <w:r>
              <w:rPr>
                <w:rFonts w:ascii="Times New Roman" w:hAnsi="Times New Roman" w:eastAsia="Songti SC"/>
                <w:b w:val="0"/>
                <w:sz w:val="20"/>
              </w:rPr>
              <w:t>（2-44）</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A_roller=2bL_eff</w:t>
            </w:r>
          </w:p>
        </w:tc>
        <w:tc>
          <w:tcPr>
            <w:tcW w:type="dxa" w:w="4422"/>
          </w:tcPr>
          <w:p>
            <w:pPr>
              <w:jc w:val="right"/>
            </w:pPr>
            <w:r>
              <w:rPr>
                <w:rFonts w:ascii="Times New Roman" w:hAnsi="Times New Roman" w:eastAsia="Songti SC"/>
                <w:b w:val="0"/>
                <w:sz w:val="20"/>
              </w:rPr>
              <w:t>（2-45）</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p_eq=Q/A_eff</w:t>
            </w:r>
          </w:p>
        </w:tc>
        <w:tc>
          <w:tcPr>
            <w:tcW w:type="dxa" w:w="4422"/>
          </w:tcPr>
          <w:p>
            <w:pPr>
              <w:jc w:val="right"/>
            </w:pPr>
            <w:r>
              <w:rPr>
                <w:rFonts w:ascii="Times New Roman" w:hAnsi="Times New Roman" w:eastAsia="Songti SC"/>
                <w:b w:val="0"/>
                <w:sz w:val="20"/>
              </w:rPr>
              <w:t>（2-46）</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C_diag=γ_cηA_eff²/h³</w:t>
            </w:r>
          </w:p>
        </w:tc>
        <w:tc>
          <w:tcPr>
            <w:tcW w:type="dxa" w:w="4422"/>
          </w:tcPr>
          <w:p>
            <w:pPr>
              <w:jc w:val="right"/>
            </w:pPr>
            <w:r>
              <w:rPr>
                <w:rFonts w:ascii="Times New Roman" w:hAnsi="Times New Roman" w:eastAsia="Songti SC"/>
                <w:b w:val="0"/>
                <w:sz w:val="20"/>
              </w:rPr>
              <w:t>（2-47）</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K_eq≈[F_contact(q+Δq,T)−F_contact(q,T)]/Δq</w:t>
            </w:r>
          </w:p>
        </w:tc>
        <w:tc>
          <w:tcPr>
            <w:tcW w:type="dxa" w:w="4422"/>
          </w:tcPr>
          <w:p>
            <w:pPr>
              <w:jc w:val="right"/>
            </w:pPr>
            <w:r>
              <w:rPr>
                <w:rFonts w:ascii="Times New Roman" w:hAnsi="Times New Roman" w:eastAsia="Songti SC"/>
                <w:b w:val="0"/>
                <w:sz w:val="20"/>
              </w:rPr>
              <w:t>（2-48）</w:t>
            </w:r>
          </w:p>
        </w:tc>
      </w:tr>
    </w:tbl>
    <w:tbl>
      <w:tblPr>
        <w:tblStyle w:val="TableGrid"/>
        <w:tblW w:type="auto" w:w="0"/>
        <w:jc w:val="center"/>
        <w:tblLook w:firstColumn="1" w:firstRow="1" w:lastColumn="0" w:lastRow="0" w:noHBand="0" w:noVBand="1" w:val="04A0"/>
      </w:tblPr>
      <w:tblGrid>
        <w:gridCol w:w="8844"/>
      </w:tblGrid>
      <w:tr>
        <w:tc>
          <w:tcPr>
            <w:tcW w:type="dxa" w:w="8844"/>
          </w:tcPr>
          <w:p>
            <w:pPr>
              <w:jc w:val="center"/>
            </w:pPr>
            <w:r>
              <w:rPr>
                <w:rFonts w:ascii="Times New Roman" w:hAnsi="Times New Roman" w:eastAsia="Songti SC"/>
                <w:b/>
                <w:sz w:val="19"/>
              </w:rPr>
              <w:t>摩擦发热 → 热平衡温度 → 黏度与黏压系数 → 油膜与工作游隙</w:t>
            </w:r>
          </w:p>
          <w:p>
            <w:pPr>
              <w:jc w:val="center"/>
            </w:pPr>
            <w:r>
              <w:rPr>
                <w:rFonts w:ascii="Times New Roman" w:hAnsi="Times New Roman" w:eastAsia="Songti SC"/>
                <w:b w:val="0"/>
                <w:sz w:val="19"/>
              </w:rPr>
              <w:t>→ 热后载荷重分布 → 有限差分切线刚度 → 系统支承输入</w:t>
            </w:r>
          </w:p>
        </w:tc>
      </w:tr>
    </w:tbl>
    <w:p>
      <w:pPr>
        <w:spacing w:line="360" w:lineRule="auto" w:after="80"/>
        <w:ind w:firstLine="0"/>
        <w:jc w:val="center"/>
      </w:pPr>
      <w:r>
        <w:rPr>
          <w:rFonts w:ascii="Times New Roman" w:hAnsi="Times New Roman" w:eastAsia="Songti SC"/>
          <w:b w:val="0"/>
          <w:sz w:val="21"/>
        </w:rPr>
        <w:t>图2-4  热效应传递路径</w:t>
      </w:r>
    </w:p>
    <w:p>
      <w:pPr>
        <w:keepNext/>
        <w:spacing w:before="180" w:after="100"/>
      </w:pPr>
      <w:r>
        <w:rPr>
          <w:rFonts w:ascii="Times New Roman" w:hAnsi="Times New Roman" w:eastAsia="Songti SC"/>
          <w:b/>
          <w:sz w:val="30"/>
        </w:rPr>
        <w:t>2.6 轴承—转子—机匣耦合动力学方程</w:t>
      </w:r>
    </w:p>
    <w:p>
      <w:pPr>
        <w:spacing w:line="360" w:lineRule="auto" w:after="80"/>
        <w:ind w:firstLine="420"/>
        <w:jc w:val="both"/>
      </w:pPr>
      <w:r>
        <w:rPr>
          <w:rFonts w:ascii="Times New Roman" w:hAnsi="Times New Roman" w:eastAsia="Songti SC"/>
          <w:b w:val="0"/>
          <w:sz w:val="21"/>
        </w:rPr>
        <w:t>转子自由度q_r和机匣自由度q_c组合为整体向量。布尔或变换矩阵B从整体自由度中提取内外圈节点的相对平移和速度，局部轴承模型据此计算非线性支承力。</w:t>
      </w:r>
    </w:p>
    <w:p>
      <w:pPr>
        <w:spacing w:line="360" w:lineRule="auto" w:after="80"/>
        <w:ind w:firstLine="420"/>
        <w:jc w:val="both"/>
      </w:pPr>
      <w:r>
        <w:rPr>
          <w:rFonts w:ascii="Times New Roman" w:hAnsi="Times New Roman" w:eastAsia="Songti SC"/>
          <w:b w:val="0"/>
          <w:sz w:val="21"/>
        </w:rPr>
        <w:t>轴承力在转子和机匣节点上以方向相反的形式装配。该装配保证内部界面力在整体平衡中成对出现，而轴承的温度相关性通过F_b(q_rel,q̇_rel,T)进入系统而不是另设无来源的热载荷。</w:t>
      </w:r>
    </w:p>
    <w:p>
      <w:pPr>
        <w:spacing w:line="360" w:lineRule="auto" w:after="80"/>
        <w:ind w:firstLine="420"/>
        <w:jc w:val="both"/>
      </w:pPr>
      <w:r>
        <w:rPr>
          <w:rFonts w:ascii="Times New Roman" w:hAnsi="Times New Roman" w:eastAsia="Songti SC"/>
          <w:b w:val="0"/>
          <w:sz w:val="21"/>
        </w:rPr>
        <w:t>整体矩阵中，M、C、G、K分别表示结构质量、结构阻尼、陀螺和结构刚度；基础刚度已包含于K的相应子块，轴承切线刚度则由非线性力在平衡点附近给出。静态预载若已在接触初值中建立，不应再次作为f_ext重复装配。</w:t>
      </w:r>
    </w:p>
    <w:p>
      <w:pPr>
        <w:spacing w:line="360" w:lineRule="auto" w:after="80"/>
        <w:ind w:firstLine="420"/>
        <w:jc w:val="both"/>
      </w:pPr>
      <w:r>
        <w:rPr>
          <w:rFonts w:ascii="Times New Roman" w:hAnsi="Times New Roman" w:eastAsia="Songti SC"/>
          <w:b w:val="0"/>
          <w:sz w:val="21"/>
        </w:rPr>
        <w:t>分块形式显示轴承是连接两个柔性子系统的唯一内力接口。该表达允许后续比较不同热后支承状态对转子位移、机匣响应和界面载荷的影响，同时保留结构参数与局部接触参数的可追溯性。</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q=[q_r^T,q_c^T]^T</w:t>
            </w:r>
          </w:p>
        </w:tc>
        <w:tc>
          <w:tcPr>
            <w:tcW w:type="dxa" w:w="4422"/>
          </w:tcPr>
          <w:p>
            <w:pPr>
              <w:jc w:val="right"/>
            </w:pPr>
            <w:r>
              <w:rPr>
                <w:rFonts w:ascii="Times New Roman" w:hAnsi="Times New Roman" w:eastAsia="Songti SC"/>
                <w:b w:val="0"/>
                <w:sz w:val="20"/>
              </w:rPr>
              <w:t>（2-49）</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q_rel=Bq</w:t>
            </w:r>
          </w:p>
        </w:tc>
        <w:tc>
          <w:tcPr>
            <w:tcW w:type="dxa" w:w="4422"/>
          </w:tcPr>
          <w:p>
            <w:pPr>
              <w:jc w:val="right"/>
            </w:pPr>
            <w:r>
              <w:rPr>
                <w:rFonts w:ascii="Times New Roman" w:hAnsi="Times New Roman" w:eastAsia="Songti SC"/>
                <w:b w:val="0"/>
                <w:sz w:val="20"/>
              </w:rPr>
              <w:t>（2-50）</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F_b=F_b(q_rel,q̇_rel,T)</w:t>
            </w:r>
          </w:p>
        </w:tc>
        <w:tc>
          <w:tcPr>
            <w:tcW w:type="dxa" w:w="4422"/>
          </w:tcPr>
          <w:p>
            <w:pPr>
              <w:jc w:val="right"/>
            </w:pPr>
            <w:r>
              <w:rPr>
                <w:rFonts w:ascii="Times New Roman" w:hAnsi="Times New Roman" w:eastAsia="Songti SC"/>
                <w:b w:val="0"/>
                <w:sz w:val="20"/>
              </w:rPr>
              <w:t>（2-51）</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[M_r 0;0 M_c]q̈+[C_r+ΩG_r 0;0 C_c+ΩG_c]q̇+[K_r 0;0 K_c]q=f_ext+B^TF_b</w:t>
            </w:r>
          </w:p>
        </w:tc>
        <w:tc>
          <w:tcPr>
            <w:tcW w:type="dxa" w:w="4422"/>
          </w:tcPr>
          <w:p>
            <w:pPr>
              <w:jc w:val="right"/>
            </w:pPr>
            <w:r>
              <w:rPr>
                <w:rFonts w:ascii="Times New Roman" w:hAnsi="Times New Roman" w:eastAsia="Songti SC"/>
                <w:b w:val="0"/>
                <w:sz w:val="20"/>
              </w:rPr>
              <w:t>（2-52）</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Mq̈+(C+ΩG)q̇+Kq=f_ext+B^TF_b</w:t>
            </w:r>
          </w:p>
        </w:tc>
        <w:tc>
          <w:tcPr>
            <w:tcW w:type="dxa" w:w="4422"/>
          </w:tcPr>
          <w:p>
            <w:pPr>
              <w:jc w:val="right"/>
            </w:pPr>
            <w:r>
              <w:rPr>
                <w:rFonts w:ascii="Times New Roman" w:hAnsi="Times New Roman" w:eastAsia="Songti SC"/>
                <w:b w:val="0"/>
                <w:sz w:val="20"/>
              </w:rPr>
              <w:t>（2-53）</w:t>
            </w:r>
          </w:p>
        </w:tc>
      </w:tr>
    </w:tbl>
    <w:p>
      <w:pPr>
        <w:keepNext/>
        <w:spacing w:before="180" w:after="100"/>
      </w:pPr>
      <w:r>
        <w:rPr>
          <w:rFonts w:ascii="Times New Roman" w:hAnsi="Times New Roman" w:eastAsia="Songti SC"/>
          <w:b/>
          <w:sz w:val="30"/>
        </w:rPr>
        <w:t>2.7 数值求解方法</w:t>
      </w:r>
    </w:p>
    <w:p>
      <w:pPr>
        <w:spacing w:line="360" w:lineRule="auto" w:after="80"/>
        <w:ind w:firstLine="420"/>
        <w:jc w:val="both"/>
      </w:pPr>
      <w:r>
        <w:rPr>
          <w:rFonts w:ascii="Times New Roman" w:hAnsi="Times New Roman" w:eastAsia="Songti SC"/>
          <w:b w:val="0"/>
          <w:sz w:val="21"/>
        </w:rPr>
        <w:t>求解首先在给定载荷、转速和入口油温下获得轴承静态接触平衡。该步骤确定承载滚动体集合、接触载荷和初始相对位移，是后续热平衡与时域积分的共同起点。接触残差不满足要求时，不将该状态用于刚度差分或系统响应计算。</w:t>
      </w:r>
    </w:p>
    <w:p>
      <w:pPr>
        <w:spacing w:line="360" w:lineRule="auto" w:after="80"/>
        <w:ind w:firstLine="420"/>
        <w:jc w:val="both"/>
      </w:pPr>
      <w:r>
        <w:rPr>
          <w:rFonts w:ascii="Times New Roman" w:hAnsi="Times New Roman" w:eastAsia="Songti SC"/>
          <w:b w:val="0"/>
          <w:sz w:val="21"/>
        </w:rPr>
        <w:t>热平衡作为外循环执行：由当前接触状态计算摩擦功率，更新温度相关润滑和游隙参数，再重新求解接触载荷重分布，直至温度与接触状态一致。松弛系数控制温度更新幅度，最大迭代次数用于识别未收敛工况而非强制输出结果。</w:t>
      </w:r>
    </w:p>
    <w:p>
      <w:pPr>
        <w:spacing w:line="360" w:lineRule="auto" w:after="80"/>
        <w:ind w:firstLine="420"/>
        <w:jc w:val="both"/>
      </w:pPr>
      <w:r>
        <w:rPr>
          <w:rFonts w:ascii="Times New Roman" w:hAnsi="Times New Roman" w:eastAsia="Songti SC"/>
          <w:b w:val="0"/>
          <w:sz w:val="21"/>
        </w:rPr>
        <w:t>时域响应采用Newmark—β格式。每个时步先由上一步收敛状态得到位移和速度预测值，再根据当前试探位移计算非线性轴承力和残差。当前程序实现以松弛的非线性固定点迭代为主，并利用扰动切线进行局部诊断；因此不将其表述为已实现一致切线的严格Newton更新。</w:t>
      </w:r>
    </w:p>
    <w:p>
      <w:pPr>
        <w:spacing w:line="360" w:lineRule="auto" w:after="80"/>
        <w:ind w:firstLine="420"/>
        <w:jc w:val="both"/>
      </w:pPr>
      <w:r>
        <w:rPr>
          <w:rFonts w:ascii="Times New Roman" w:hAnsi="Times New Roman" w:eastAsia="Songti SC"/>
          <w:b w:val="0"/>
          <w:sz w:val="21"/>
        </w:rPr>
        <w:t>收敛检查同时覆盖位移增量、动力学残差、接触残差、温度增量和物理有效性。有效结果要求valid_result为真、无Inf或NaN、有效接触油膜为正且有限差分扰动步长处于可分辨范围。含奇异矩阵警告的圆柱滚子轴承结果只在上述检查均通过时用于限定性趋势解释。</w:t>
      </w:r>
    </w:p>
    <w:p>
      <w:pPr>
        <w:spacing w:line="360" w:lineRule="auto" w:after="80"/>
        <w:ind w:firstLine="420"/>
        <w:jc w:val="both"/>
      </w:pPr>
      <w:r>
        <w:rPr>
          <w:rFonts w:ascii="Times New Roman" w:hAnsi="Times New Roman" w:eastAsia="Songti SC"/>
          <w:b w:val="0"/>
          <w:sz w:val="21"/>
        </w:rPr>
        <w:t>该数值策略将热后支承状态嵌入系统时域积分，同时保留热循环和动力学循环的不同时间尺度。它不把单节点热模型扩展为瞬态三维热传导，也不以未收敛的局部量支持整机结论。</w:t>
      </w:r>
    </w:p>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q̂_(n+1)=q_n+Δtq̇_n+Δt²(1/2−β)q̈_n</w:t>
            </w:r>
          </w:p>
        </w:tc>
        <w:tc>
          <w:tcPr>
            <w:tcW w:type="dxa" w:w="4422"/>
          </w:tcPr>
          <w:p>
            <w:pPr>
              <w:jc w:val="right"/>
            </w:pPr>
            <w:r>
              <w:rPr>
                <w:rFonts w:ascii="Times New Roman" w:hAnsi="Times New Roman" w:eastAsia="Songti SC"/>
                <w:b w:val="0"/>
                <w:sz w:val="20"/>
              </w:rPr>
              <w:t>（2-54）</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q̇̂_(n+1)=q̇_n+Δt(1−γ)q̈_n</w:t>
            </w:r>
          </w:p>
        </w:tc>
        <w:tc>
          <w:tcPr>
            <w:tcW w:type="dxa" w:w="4422"/>
          </w:tcPr>
          <w:p>
            <w:pPr>
              <w:jc w:val="right"/>
            </w:pPr>
            <w:r>
              <w:rPr>
                <w:rFonts w:ascii="Times New Roman" w:hAnsi="Times New Roman" w:eastAsia="Songti SC"/>
                <w:b w:val="0"/>
                <w:sz w:val="20"/>
              </w:rPr>
              <w:t>（2-55）</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q̈_(n+1)=[q_(n+1)−q̂_(n+1)]/(βΔt²)</w:t>
            </w:r>
          </w:p>
        </w:tc>
        <w:tc>
          <w:tcPr>
            <w:tcW w:type="dxa" w:w="4422"/>
          </w:tcPr>
          <w:p>
            <w:pPr>
              <w:jc w:val="right"/>
            </w:pPr>
            <w:r>
              <w:rPr>
                <w:rFonts w:ascii="Times New Roman" w:hAnsi="Times New Roman" w:eastAsia="Songti SC"/>
                <w:b w:val="0"/>
                <w:sz w:val="20"/>
              </w:rPr>
              <w:t>（2-56）</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q̇_(n+1)=q̇̂_(n+1)+γΔtq̈_(n+1)</w:t>
            </w:r>
          </w:p>
        </w:tc>
        <w:tc>
          <w:tcPr>
            <w:tcW w:type="dxa" w:w="4422"/>
          </w:tcPr>
          <w:p>
            <w:pPr>
              <w:jc w:val="right"/>
            </w:pPr>
            <w:r>
              <w:rPr>
                <w:rFonts w:ascii="Times New Roman" w:hAnsi="Times New Roman" w:eastAsia="Songti SC"/>
                <w:b w:val="0"/>
                <w:sz w:val="20"/>
              </w:rPr>
              <w:t>（2-57）</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R_(n+1)=Mq̈+(C+ΩG)q̇+Kq−f_ext−B^TF_b</w:t>
            </w:r>
          </w:p>
        </w:tc>
        <w:tc>
          <w:tcPr>
            <w:tcW w:type="dxa" w:w="4422"/>
          </w:tcPr>
          <w:p>
            <w:pPr>
              <w:jc w:val="right"/>
            </w:pPr>
            <w:r>
              <w:rPr>
                <w:rFonts w:ascii="Times New Roman" w:hAnsi="Times New Roman" w:eastAsia="Songti SC"/>
                <w:b w:val="0"/>
                <w:sz w:val="20"/>
              </w:rPr>
              <w:t>（2-58）</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K_eff=M/(βΔt²)+γ(C+ΩG)/(βΔt)+K</w:t>
            </w:r>
          </w:p>
        </w:tc>
        <w:tc>
          <w:tcPr>
            <w:tcW w:type="dxa" w:w="4422"/>
          </w:tcPr>
          <w:p>
            <w:pPr>
              <w:jc w:val="right"/>
            </w:pPr>
            <w:r>
              <w:rPr>
                <w:rFonts w:ascii="Times New Roman" w:hAnsi="Times New Roman" w:eastAsia="Songti SC"/>
                <w:b w:val="0"/>
                <w:sz w:val="20"/>
              </w:rPr>
              <w:t>（2-59）</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Δq=−K_eff^(−1)R</w:t>
            </w:r>
          </w:p>
        </w:tc>
        <w:tc>
          <w:tcPr>
            <w:tcW w:type="dxa" w:w="4422"/>
          </w:tcPr>
          <w:p>
            <w:pPr>
              <w:jc w:val="right"/>
            </w:pPr>
            <w:r>
              <w:rPr>
                <w:rFonts w:ascii="Times New Roman" w:hAnsi="Times New Roman" w:eastAsia="Songti SC"/>
                <w:b w:val="0"/>
                <w:sz w:val="20"/>
              </w:rPr>
              <w:t>（2-60）</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q^(k+1)=(1−λ)q^(k)+λ[q^(k)+Δq]</w:t>
            </w:r>
          </w:p>
        </w:tc>
        <w:tc>
          <w:tcPr>
            <w:tcW w:type="dxa" w:w="4422"/>
          </w:tcPr>
          <w:p>
            <w:pPr>
              <w:jc w:val="right"/>
            </w:pPr>
            <w:r>
              <w:rPr>
                <w:rFonts w:ascii="Times New Roman" w:hAnsi="Times New Roman" w:eastAsia="Songti SC"/>
                <w:b w:val="0"/>
                <w:sz w:val="20"/>
              </w:rPr>
              <w:t>（2-61）</w:t>
            </w:r>
          </w:p>
        </w:tc>
      </w:tr>
    </w:tbl>
    <w:tbl>
      <w:tblPr>
        <w:tblW w:type="auto" w:w="0"/>
        <w:jc w:val="center"/>
        <w:tblLayout w:type="fixed"/>
        <w:tblLook w:firstColumn="1" w:firstRow="1" w:lastColumn="0" w:lastRow="0" w:noHBand="0" w:noVBand="1" w:val="04A0"/>
      </w:tblPr>
      <w:tblGrid>
        <w:gridCol w:w="7937"/>
        <w:gridCol w:w="964"/>
      </w:tblGrid>
      <w:tr>
        <w:tc>
          <w:tcPr>
            <w:tcW w:type="dxa" w:w="4422"/>
          </w:tcPr>
          <w:p>
            <w:pPr>
              <w:jc w:val="center"/>
            </w:pPr>
            <w:r>
              <w:rPr>
                <w:rFonts w:ascii="Times New Roman" w:hAnsi="Times New Roman" w:eastAsia="Songti SC"/>
                <w:b w:val="0"/>
                <w:sz w:val="22"/>
              </w:rPr>
              <w:t>||R||/max(1,||f_ext||)&lt;ε_R</w:t>
            </w:r>
          </w:p>
        </w:tc>
        <w:tc>
          <w:tcPr>
            <w:tcW w:type="dxa" w:w="4422"/>
          </w:tcPr>
          <w:p>
            <w:pPr>
              <w:jc w:val="right"/>
            </w:pPr>
            <w:r>
              <w:rPr>
                <w:rFonts w:ascii="Times New Roman" w:hAnsi="Times New Roman" w:eastAsia="Songti SC"/>
                <w:b w:val="0"/>
                <w:sz w:val="20"/>
              </w:rPr>
              <w:t>（2-62）</w:t>
            </w:r>
          </w:p>
        </w:tc>
      </w:tr>
    </w:tbl>
    <w:p>
      <w:pPr>
        <w:keepNext/>
        <w:spacing w:before="180" w:after="100"/>
      </w:pPr>
      <w:r>
        <w:rPr>
          <w:rFonts w:ascii="Times New Roman" w:hAnsi="Times New Roman" w:eastAsia="Songti SC"/>
          <w:b/>
          <w:sz w:val="25"/>
        </w:rPr>
        <w:t>2.4.7 结构参数与模型装配说明</w:t>
      </w:r>
    </w:p>
    <w:p>
      <w:pPr>
        <w:spacing w:line="360" w:lineRule="auto" w:after="80"/>
        <w:ind w:firstLine="420"/>
        <w:jc w:val="both"/>
      </w:pPr>
      <w:r>
        <w:rPr>
          <w:rFonts w:ascii="Times New Roman" w:hAnsi="Times New Roman" w:eastAsia="Songti SC"/>
          <w:b w:val="0"/>
          <w:sz w:val="21"/>
        </w:rPr>
        <w:t>为便于复现实例的结构离散，表2-1至表2-3整理转子轴段、机匣轴段及集中质量和圆盘参数。表中数值来自已提供的结构建模资料；表格描述的是几何与惯性输入，不承担温度、寿命或试验验证的结论。</w:t>
      </w:r>
    </w:p>
    <w:p>
      <w:pPr>
        <w:spacing w:line="360" w:lineRule="auto" w:after="80"/>
        <w:ind w:firstLine="0"/>
        <w:jc w:val="center"/>
      </w:pPr>
      <w:r>
        <w:rPr>
          <w:rFonts w:ascii="Times New Roman" w:hAnsi="Times New Roman" w:eastAsia="Songti SC"/>
          <w:b w:val="0"/>
          <w:sz w:val="21"/>
        </w:rPr>
        <w:t>表2-1  转子轴段几何参数</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tcPr>
          <w:p>
            <w:r>
              <w:rPr>
                <w:rFonts w:ascii="Times New Roman" w:hAnsi="Times New Roman" w:eastAsia="Songti SC"/>
                <w:b/>
                <w:sz w:val="17"/>
              </w:rPr>
              <w:t>段号</w:t>
            </w:r>
          </w:p>
        </w:tc>
        <w:tc>
          <w:tcPr>
            <w:tcW w:type="dxa" w:w="2211"/>
          </w:tcPr>
          <w:p>
            <w:r>
              <w:rPr>
                <w:rFonts w:ascii="Times New Roman" w:hAnsi="Times New Roman" w:eastAsia="Songti SC"/>
                <w:b/>
                <w:sz w:val="17"/>
              </w:rPr>
              <w:t>长度/mm</w:t>
            </w:r>
          </w:p>
        </w:tc>
        <w:tc>
          <w:tcPr>
            <w:tcW w:type="dxa" w:w="2211"/>
          </w:tcPr>
          <w:p>
            <w:r>
              <w:rPr>
                <w:rFonts w:ascii="Times New Roman" w:hAnsi="Times New Roman" w:eastAsia="Songti SC"/>
                <w:b/>
                <w:sz w:val="17"/>
              </w:rPr>
              <w:t>内径/mm</w:t>
            </w:r>
          </w:p>
        </w:tc>
        <w:tc>
          <w:tcPr>
            <w:tcW w:type="dxa" w:w="2211"/>
          </w:tcPr>
          <w:p>
            <w:r>
              <w:rPr>
                <w:rFonts w:ascii="Times New Roman" w:hAnsi="Times New Roman" w:eastAsia="Songti SC"/>
                <w:b/>
                <w:sz w:val="17"/>
              </w:rPr>
              <w:t>外径/mm</w:t>
            </w:r>
          </w:p>
        </w:tc>
      </w:tr>
      <w:tr>
        <w:tc>
          <w:tcPr>
            <w:tcW w:type="dxa" w:w="2211"/>
          </w:tcPr>
          <w:p>
            <w:r>
              <w:rPr>
                <w:rFonts w:ascii="Times New Roman" w:hAnsi="Times New Roman" w:eastAsia="Songti SC"/>
                <w:b w:val="0"/>
                <w:sz w:val="16"/>
              </w:rPr>
              <w:t>1</w:t>
            </w:r>
          </w:p>
        </w:tc>
        <w:tc>
          <w:tcPr>
            <w:tcW w:type="dxa" w:w="2211"/>
          </w:tcPr>
          <w:p>
            <w:r>
              <w:rPr>
                <w:rFonts w:ascii="Times New Roman" w:hAnsi="Times New Roman" w:eastAsia="Songti SC"/>
                <w:b w:val="0"/>
                <w:sz w:val="16"/>
              </w:rPr>
              <w:t>30</w:t>
            </w:r>
          </w:p>
        </w:tc>
        <w:tc>
          <w:tcPr>
            <w:tcW w:type="dxa" w:w="2211"/>
          </w:tcPr>
          <w:p>
            <w:r>
              <w:rPr>
                <w:rFonts w:ascii="Times New Roman" w:hAnsi="Times New Roman" w:eastAsia="Songti SC"/>
                <w:b w:val="0"/>
                <w:sz w:val="16"/>
              </w:rPr>
              <w:t>126</w:t>
            </w:r>
          </w:p>
        </w:tc>
        <w:tc>
          <w:tcPr>
            <w:tcW w:type="dxa" w:w="2211"/>
          </w:tcPr>
          <w:p>
            <w:r>
              <w:rPr>
                <w:rFonts w:ascii="Times New Roman" w:hAnsi="Times New Roman" w:eastAsia="Songti SC"/>
                <w:b w:val="0"/>
                <w:sz w:val="16"/>
              </w:rPr>
              <w:t>160</w:t>
            </w:r>
          </w:p>
        </w:tc>
      </w:tr>
      <w:tr>
        <w:tc>
          <w:tcPr>
            <w:tcW w:type="dxa" w:w="2211"/>
          </w:tcPr>
          <w:p>
            <w:r>
              <w:rPr>
                <w:rFonts w:ascii="Times New Roman" w:hAnsi="Times New Roman" w:eastAsia="Songti SC"/>
                <w:b w:val="0"/>
                <w:sz w:val="16"/>
              </w:rPr>
              <w:t>2</w:t>
            </w:r>
          </w:p>
        </w:tc>
        <w:tc>
          <w:tcPr>
            <w:tcW w:type="dxa" w:w="2211"/>
          </w:tcPr>
          <w:p>
            <w:r>
              <w:rPr>
                <w:rFonts w:ascii="Times New Roman" w:hAnsi="Times New Roman" w:eastAsia="Songti SC"/>
                <w:b w:val="0"/>
                <w:sz w:val="16"/>
              </w:rPr>
              <w:t>107</w:t>
            </w:r>
          </w:p>
        </w:tc>
        <w:tc>
          <w:tcPr>
            <w:tcW w:type="dxa" w:w="2211"/>
          </w:tcPr>
          <w:p>
            <w:r>
              <w:rPr>
                <w:rFonts w:ascii="Times New Roman" w:hAnsi="Times New Roman" w:eastAsia="Songti SC"/>
                <w:b w:val="0"/>
                <w:sz w:val="16"/>
              </w:rPr>
              <w:t>126</w:t>
            </w:r>
          </w:p>
        </w:tc>
        <w:tc>
          <w:tcPr>
            <w:tcW w:type="dxa" w:w="2211"/>
          </w:tcPr>
          <w:p>
            <w:r>
              <w:rPr>
                <w:rFonts w:ascii="Times New Roman" w:hAnsi="Times New Roman" w:eastAsia="Songti SC"/>
                <w:b w:val="0"/>
                <w:sz w:val="16"/>
              </w:rPr>
              <w:t>160</w:t>
            </w:r>
          </w:p>
        </w:tc>
      </w:tr>
      <w:tr>
        <w:tc>
          <w:tcPr>
            <w:tcW w:type="dxa" w:w="2211"/>
          </w:tcPr>
          <w:p>
            <w:r>
              <w:rPr>
                <w:rFonts w:ascii="Times New Roman" w:hAnsi="Times New Roman" w:eastAsia="Songti SC"/>
                <w:b w:val="0"/>
                <w:sz w:val="16"/>
              </w:rPr>
              <w:t>3</w:t>
            </w:r>
          </w:p>
        </w:tc>
        <w:tc>
          <w:tcPr>
            <w:tcW w:type="dxa" w:w="2211"/>
          </w:tcPr>
          <w:p>
            <w:r>
              <w:rPr>
                <w:rFonts w:ascii="Times New Roman" w:hAnsi="Times New Roman" w:eastAsia="Songti SC"/>
                <w:b w:val="0"/>
                <w:sz w:val="16"/>
              </w:rPr>
              <w:t>20.5</w:t>
            </w:r>
          </w:p>
        </w:tc>
        <w:tc>
          <w:tcPr>
            <w:tcW w:type="dxa" w:w="2211"/>
          </w:tcPr>
          <w:p>
            <w:r>
              <w:rPr>
                <w:rFonts w:ascii="Times New Roman" w:hAnsi="Times New Roman" w:eastAsia="Songti SC"/>
                <w:b w:val="0"/>
                <w:sz w:val="16"/>
              </w:rPr>
              <w:t>126</w:t>
            </w:r>
          </w:p>
        </w:tc>
        <w:tc>
          <w:tcPr>
            <w:tcW w:type="dxa" w:w="2211"/>
          </w:tcPr>
          <w:p>
            <w:r>
              <w:rPr>
                <w:rFonts w:ascii="Times New Roman" w:hAnsi="Times New Roman" w:eastAsia="Songti SC"/>
                <w:b w:val="0"/>
                <w:sz w:val="16"/>
              </w:rPr>
              <w:t>180</w:t>
            </w:r>
          </w:p>
        </w:tc>
      </w:tr>
      <w:tr>
        <w:tc>
          <w:tcPr>
            <w:tcW w:type="dxa" w:w="2211"/>
          </w:tcPr>
          <w:p>
            <w:r>
              <w:rPr>
                <w:rFonts w:ascii="Times New Roman" w:hAnsi="Times New Roman" w:eastAsia="Songti SC"/>
                <w:b w:val="0"/>
                <w:sz w:val="16"/>
              </w:rPr>
              <w:t>4</w:t>
            </w:r>
          </w:p>
        </w:tc>
        <w:tc>
          <w:tcPr>
            <w:tcW w:type="dxa" w:w="2211"/>
          </w:tcPr>
          <w:p>
            <w:r>
              <w:rPr>
                <w:rFonts w:ascii="Times New Roman" w:hAnsi="Times New Roman" w:eastAsia="Songti SC"/>
                <w:b w:val="0"/>
                <w:sz w:val="16"/>
              </w:rPr>
              <w:t>40.5</w:t>
            </w:r>
          </w:p>
        </w:tc>
        <w:tc>
          <w:tcPr>
            <w:tcW w:type="dxa" w:w="2211"/>
          </w:tcPr>
          <w:p>
            <w:r>
              <w:rPr>
                <w:rFonts w:ascii="Times New Roman" w:hAnsi="Times New Roman" w:eastAsia="Songti SC"/>
                <w:b w:val="0"/>
                <w:sz w:val="16"/>
              </w:rPr>
              <w:t>126</w:t>
            </w:r>
          </w:p>
        </w:tc>
        <w:tc>
          <w:tcPr>
            <w:tcW w:type="dxa" w:w="2211"/>
          </w:tcPr>
          <w:p>
            <w:r>
              <w:rPr>
                <w:rFonts w:ascii="Times New Roman" w:hAnsi="Times New Roman" w:eastAsia="Songti SC"/>
                <w:b w:val="0"/>
                <w:sz w:val="16"/>
              </w:rPr>
              <w:t>210</w:t>
            </w:r>
          </w:p>
        </w:tc>
      </w:tr>
      <w:tr>
        <w:tc>
          <w:tcPr>
            <w:tcW w:type="dxa" w:w="2211"/>
          </w:tcPr>
          <w:p>
            <w:r>
              <w:rPr>
                <w:rFonts w:ascii="Times New Roman" w:hAnsi="Times New Roman" w:eastAsia="Songti SC"/>
                <w:b w:val="0"/>
                <w:sz w:val="16"/>
              </w:rPr>
              <w:t>5</w:t>
            </w:r>
          </w:p>
        </w:tc>
        <w:tc>
          <w:tcPr>
            <w:tcW w:type="dxa" w:w="2211"/>
          </w:tcPr>
          <w:p>
            <w:r>
              <w:rPr>
                <w:rFonts w:ascii="Times New Roman" w:hAnsi="Times New Roman" w:eastAsia="Songti SC"/>
                <w:b w:val="0"/>
                <w:sz w:val="16"/>
              </w:rPr>
              <w:t>99</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178.4</w:t>
            </w:r>
          </w:p>
        </w:tc>
      </w:tr>
      <w:tr>
        <w:tc>
          <w:tcPr>
            <w:tcW w:type="dxa" w:w="2211"/>
          </w:tcPr>
          <w:p>
            <w:r>
              <w:rPr>
                <w:rFonts w:ascii="Times New Roman" w:hAnsi="Times New Roman" w:eastAsia="Songti SC"/>
                <w:b w:val="0"/>
                <w:sz w:val="16"/>
              </w:rPr>
              <w:t>6</w:t>
            </w:r>
          </w:p>
        </w:tc>
        <w:tc>
          <w:tcPr>
            <w:tcW w:type="dxa" w:w="2211"/>
          </w:tcPr>
          <w:p>
            <w:r>
              <w:rPr>
                <w:rFonts w:ascii="Times New Roman" w:hAnsi="Times New Roman" w:eastAsia="Songti SC"/>
                <w:b w:val="0"/>
                <w:sz w:val="16"/>
              </w:rPr>
              <w:t>230.5</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162.9</w:t>
            </w:r>
          </w:p>
        </w:tc>
      </w:tr>
      <w:tr>
        <w:tc>
          <w:tcPr>
            <w:tcW w:type="dxa" w:w="2211"/>
          </w:tcPr>
          <w:p>
            <w:r>
              <w:rPr>
                <w:rFonts w:ascii="Times New Roman" w:hAnsi="Times New Roman" w:eastAsia="Songti SC"/>
                <w:b w:val="0"/>
                <w:sz w:val="16"/>
              </w:rPr>
              <w:t>7</w:t>
            </w:r>
          </w:p>
        </w:tc>
        <w:tc>
          <w:tcPr>
            <w:tcW w:type="dxa" w:w="2211"/>
          </w:tcPr>
          <w:p>
            <w:r>
              <w:rPr>
                <w:rFonts w:ascii="Times New Roman" w:hAnsi="Times New Roman" w:eastAsia="Songti SC"/>
                <w:b w:val="0"/>
                <w:sz w:val="16"/>
              </w:rPr>
              <w:t>230.5</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162.9</w:t>
            </w:r>
          </w:p>
        </w:tc>
      </w:tr>
      <w:tr>
        <w:tc>
          <w:tcPr>
            <w:tcW w:type="dxa" w:w="2211"/>
          </w:tcPr>
          <w:p>
            <w:r>
              <w:rPr>
                <w:rFonts w:ascii="Times New Roman" w:hAnsi="Times New Roman" w:eastAsia="Songti SC"/>
                <w:b w:val="0"/>
                <w:sz w:val="16"/>
              </w:rPr>
              <w:t>8</w:t>
            </w:r>
          </w:p>
        </w:tc>
        <w:tc>
          <w:tcPr>
            <w:tcW w:type="dxa" w:w="2211"/>
          </w:tcPr>
          <w:p>
            <w:r>
              <w:rPr>
                <w:rFonts w:ascii="Times New Roman" w:hAnsi="Times New Roman" w:eastAsia="Songti SC"/>
                <w:b w:val="0"/>
                <w:sz w:val="16"/>
              </w:rPr>
              <w:t>82</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174.4</w:t>
            </w:r>
          </w:p>
        </w:tc>
      </w:tr>
      <w:tr>
        <w:tc>
          <w:tcPr>
            <w:tcW w:type="dxa" w:w="2211"/>
          </w:tcPr>
          <w:p>
            <w:r>
              <w:rPr>
                <w:rFonts w:ascii="Times New Roman" w:hAnsi="Times New Roman" w:eastAsia="Songti SC"/>
                <w:b w:val="0"/>
                <w:sz w:val="16"/>
              </w:rPr>
              <w:t>9</w:t>
            </w:r>
          </w:p>
        </w:tc>
        <w:tc>
          <w:tcPr>
            <w:tcW w:type="dxa" w:w="2211"/>
          </w:tcPr>
          <w:p>
            <w:r>
              <w:rPr>
                <w:rFonts w:ascii="Times New Roman" w:hAnsi="Times New Roman" w:eastAsia="Songti SC"/>
                <w:b w:val="0"/>
                <w:sz w:val="16"/>
              </w:rPr>
              <w:t>70</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194</w:t>
            </w:r>
          </w:p>
        </w:tc>
      </w:tr>
      <w:tr>
        <w:tc>
          <w:tcPr>
            <w:tcW w:type="dxa" w:w="2211"/>
          </w:tcPr>
          <w:p>
            <w:r>
              <w:rPr>
                <w:rFonts w:ascii="Times New Roman" w:hAnsi="Times New Roman" w:eastAsia="Songti SC"/>
                <w:b w:val="0"/>
                <w:sz w:val="16"/>
              </w:rPr>
              <w:t>10</w:t>
            </w:r>
          </w:p>
        </w:tc>
        <w:tc>
          <w:tcPr>
            <w:tcW w:type="dxa" w:w="2211"/>
          </w:tcPr>
          <w:p>
            <w:r>
              <w:rPr>
                <w:rFonts w:ascii="Times New Roman" w:hAnsi="Times New Roman" w:eastAsia="Songti SC"/>
                <w:b w:val="0"/>
                <w:sz w:val="16"/>
              </w:rPr>
              <w:t>102.02</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168</w:t>
            </w:r>
          </w:p>
        </w:tc>
      </w:tr>
      <w:tr>
        <w:tc>
          <w:tcPr>
            <w:tcW w:type="dxa" w:w="2211"/>
          </w:tcPr>
          <w:p>
            <w:r>
              <w:rPr>
                <w:rFonts w:ascii="Times New Roman" w:hAnsi="Times New Roman" w:eastAsia="Songti SC"/>
                <w:b w:val="0"/>
                <w:sz w:val="16"/>
              </w:rPr>
              <w:t>11</w:t>
            </w:r>
          </w:p>
        </w:tc>
        <w:tc>
          <w:tcPr>
            <w:tcW w:type="dxa" w:w="2211"/>
          </w:tcPr>
          <w:p>
            <w:r>
              <w:rPr>
                <w:rFonts w:ascii="Times New Roman" w:hAnsi="Times New Roman" w:eastAsia="Songti SC"/>
                <w:b w:val="0"/>
                <w:sz w:val="16"/>
              </w:rPr>
              <w:t>66.98</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168</w:t>
            </w:r>
          </w:p>
        </w:tc>
      </w:tr>
      <w:tr>
        <w:tc>
          <w:tcPr>
            <w:tcW w:type="dxa" w:w="2211"/>
          </w:tcPr>
          <w:p>
            <w:r>
              <w:rPr>
                <w:rFonts w:ascii="Times New Roman" w:hAnsi="Times New Roman" w:eastAsia="Songti SC"/>
                <w:b w:val="0"/>
                <w:sz w:val="16"/>
              </w:rPr>
              <w:t>12</w:t>
            </w:r>
          </w:p>
        </w:tc>
        <w:tc>
          <w:tcPr>
            <w:tcW w:type="dxa" w:w="2211"/>
          </w:tcPr>
          <w:p>
            <w:r>
              <w:rPr>
                <w:rFonts w:ascii="Times New Roman" w:hAnsi="Times New Roman" w:eastAsia="Songti SC"/>
                <w:b w:val="0"/>
                <w:sz w:val="16"/>
              </w:rPr>
              <w:t>58</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199.5</w:t>
            </w:r>
          </w:p>
        </w:tc>
      </w:tr>
      <w:tr>
        <w:tc>
          <w:tcPr>
            <w:tcW w:type="dxa" w:w="2211"/>
          </w:tcPr>
          <w:p>
            <w:r>
              <w:rPr>
                <w:rFonts w:ascii="Times New Roman" w:hAnsi="Times New Roman" w:eastAsia="Songti SC"/>
                <w:b w:val="0"/>
                <w:sz w:val="16"/>
              </w:rPr>
              <w:t>13</w:t>
            </w:r>
          </w:p>
        </w:tc>
        <w:tc>
          <w:tcPr>
            <w:tcW w:type="dxa" w:w="2211"/>
          </w:tcPr>
          <w:p>
            <w:r>
              <w:rPr>
                <w:rFonts w:ascii="Times New Roman" w:hAnsi="Times New Roman" w:eastAsia="Songti SC"/>
                <w:b w:val="0"/>
                <w:sz w:val="16"/>
              </w:rPr>
              <w:t>23</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346.5</w:t>
            </w:r>
          </w:p>
        </w:tc>
      </w:tr>
      <w:tr>
        <w:tc>
          <w:tcPr>
            <w:tcW w:type="dxa" w:w="2211"/>
          </w:tcPr>
          <w:p>
            <w:r>
              <w:rPr>
                <w:rFonts w:ascii="Times New Roman" w:hAnsi="Times New Roman" w:eastAsia="Songti SC"/>
                <w:b w:val="0"/>
                <w:sz w:val="16"/>
              </w:rPr>
              <w:t>14</w:t>
            </w:r>
          </w:p>
        </w:tc>
        <w:tc>
          <w:tcPr>
            <w:tcW w:type="dxa" w:w="2211"/>
          </w:tcPr>
          <w:p>
            <w:r>
              <w:rPr>
                <w:rFonts w:ascii="Times New Roman" w:hAnsi="Times New Roman" w:eastAsia="Songti SC"/>
                <w:b w:val="0"/>
                <w:sz w:val="16"/>
              </w:rPr>
              <w:t>40</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168</w:t>
            </w:r>
          </w:p>
        </w:tc>
      </w:tr>
      <w:tr>
        <w:tc>
          <w:tcPr>
            <w:tcW w:type="dxa" w:w="2211"/>
          </w:tcPr>
          <w:p>
            <w:r>
              <w:rPr>
                <w:rFonts w:ascii="Times New Roman" w:hAnsi="Times New Roman" w:eastAsia="Songti SC"/>
                <w:b w:val="0"/>
                <w:sz w:val="16"/>
              </w:rPr>
              <w:t>15</w:t>
            </w:r>
          </w:p>
        </w:tc>
        <w:tc>
          <w:tcPr>
            <w:tcW w:type="dxa" w:w="2211"/>
          </w:tcPr>
          <w:p>
            <w:r>
              <w:rPr>
                <w:rFonts w:ascii="Times New Roman" w:hAnsi="Times New Roman" w:eastAsia="Songti SC"/>
                <w:b w:val="0"/>
                <w:sz w:val="16"/>
              </w:rPr>
              <w:t>41</w:t>
            </w:r>
          </w:p>
        </w:tc>
        <w:tc>
          <w:tcPr>
            <w:tcW w:type="dxa" w:w="2211"/>
          </w:tcPr>
          <w:p>
            <w:r>
              <w:rPr>
                <w:rFonts w:ascii="Times New Roman" w:hAnsi="Times New Roman" w:eastAsia="Songti SC"/>
                <w:b w:val="0"/>
                <w:sz w:val="16"/>
              </w:rPr>
              <w:t>135</w:t>
            </w:r>
          </w:p>
        </w:tc>
        <w:tc>
          <w:tcPr>
            <w:tcW w:type="dxa" w:w="2211"/>
          </w:tcPr>
          <w:p>
            <w:r>
              <w:rPr>
                <w:rFonts w:ascii="Times New Roman" w:hAnsi="Times New Roman" w:eastAsia="Songti SC"/>
                <w:b w:val="0"/>
                <w:sz w:val="16"/>
              </w:rPr>
              <w:t>347</w:t>
            </w:r>
          </w:p>
        </w:tc>
      </w:tr>
      <w:tr>
        <w:tc>
          <w:tcPr>
            <w:tcW w:type="dxa" w:w="2211"/>
          </w:tcPr>
          <w:p>
            <w:r>
              <w:rPr>
                <w:rFonts w:ascii="Times New Roman" w:hAnsi="Times New Roman" w:eastAsia="Songti SC"/>
                <w:b w:val="0"/>
                <w:sz w:val="16"/>
              </w:rPr>
              <w:t>16</w:t>
            </w:r>
          </w:p>
        </w:tc>
        <w:tc>
          <w:tcPr>
            <w:tcW w:type="dxa" w:w="2211"/>
          </w:tcPr>
          <w:p>
            <w:r>
              <w:rPr>
                <w:rFonts w:ascii="Times New Roman" w:hAnsi="Times New Roman" w:eastAsia="Songti SC"/>
                <w:b w:val="0"/>
                <w:sz w:val="16"/>
              </w:rPr>
              <w:t>35</w:t>
            </w:r>
          </w:p>
        </w:tc>
        <w:tc>
          <w:tcPr>
            <w:tcW w:type="dxa" w:w="2211"/>
          </w:tcPr>
          <w:p>
            <w:r>
              <w:rPr>
                <w:rFonts w:ascii="Times New Roman" w:hAnsi="Times New Roman" w:eastAsia="Songti SC"/>
                <w:b w:val="0"/>
                <w:sz w:val="16"/>
              </w:rPr>
              <w:t>135</w:t>
            </w:r>
          </w:p>
        </w:tc>
        <w:tc>
          <w:tcPr>
            <w:tcW w:type="dxa" w:w="2211"/>
          </w:tcPr>
          <w:p>
            <w:r>
              <w:rPr>
                <w:rFonts w:ascii="Times New Roman" w:hAnsi="Times New Roman" w:eastAsia="Songti SC"/>
                <w:b w:val="0"/>
                <w:sz w:val="16"/>
              </w:rPr>
              <w:t>702.5</w:t>
            </w:r>
          </w:p>
        </w:tc>
      </w:tr>
      <w:tr>
        <w:tc>
          <w:tcPr>
            <w:tcW w:type="dxa" w:w="2211"/>
          </w:tcPr>
          <w:p>
            <w:r>
              <w:rPr>
                <w:rFonts w:ascii="Times New Roman" w:hAnsi="Times New Roman" w:eastAsia="Songti SC"/>
                <w:b w:val="0"/>
                <w:sz w:val="16"/>
              </w:rPr>
              <w:t>17</w:t>
            </w:r>
          </w:p>
        </w:tc>
        <w:tc>
          <w:tcPr>
            <w:tcW w:type="dxa" w:w="2211"/>
          </w:tcPr>
          <w:p>
            <w:r>
              <w:rPr>
                <w:rFonts w:ascii="Times New Roman" w:hAnsi="Times New Roman" w:eastAsia="Songti SC"/>
                <w:b w:val="0"/>
                <w:sz w:val="16"/>
              </w:rPr>
              <w:t>41</w:t>
            </w:r>
          </w:p>
        </w:tc>
        <w:tc>
          <w:tcPr>
            <w:tcW w:type="dxa" w:w="2211"/>
          </w:tcPr>
          <w:p>
            <w:r>
              <w:rPr>
                <w:rFonts w:ascii="Times New Roman" w:hAnsi="Times New Roman" w:eastAsia="Songti SC"/>
                <w:b w:val="0"/>
                <w:sz w:val="16"/>
              </w:rPr>
              <w:t>135</w:t>
            </w:r>
          </w:p>
        </w:tc>
        <w:tc>
          <w:tcPr>
            <w:tcW w:type="dxa" w:w="2211"/>
          </w:tcPr>
          <w:p>
            <w:r>
              <w:rPr>
                <w:rFonts w:ascii="Times New Roman" w:hAnsi="Times New Roman" w:eastAsia="Songti SC"/>
                <w:b w:val="0"/>
                <w:sz w:val="16"/>
              </w:rPr>
              <w:t>347</w:t>
            </w:r>
          </w:p>
        </w:tc>
      </w:tr>
      <w:tr>
        <w:tc>
          <w:tcPr>
            <w:tcW w:type="dxa" w:w="2211"/>
          </w:tcPr>
          <w:p>
            <w:r>
              <w:rPr>
                <w:rFonts w:ascii="Times New Roman" w:hAnsi="Times New Roman" w:eastAsia="Songti SC"/>
                <w:b w:val="0"/>
                <w:sz w:val="16"/>
              </w:rPr>
              <w:t>18</w:t>
            </w:r>
          </w:p>
        </w:tc>
        <w:tc>
          <w:tcPr>
            <w:tcW w:type="dxa" w:w="2211"/>
          </w:tcPr>
          <w:p>
            <w:r>
              <w:rPr>
                <w:rFonts w:ascii="Times New Roman" w:hAnsi="Times New Roman" w:eastAsia="Songti SC"/>
                <w:b w:val="0"/>
                <w:sz w:val="16"/>
              </w:rPr>
              <w:t>42.5</w:t>
            </w:r>
          </w:p>
        </w:tc>
        <w:tc>
          <w:tcPr>
            <w:tcW w:type="dxa" w:w="2211"/>
          </w:tcPr>
          <w:p>
            <w:r>
              <w:rPr>
                <w:rFonts w:ascii="Times New Roman" w:hAnsi="Times New Roman" w:eastAsia="Songti SC"/>
                <w:b w:val="0"/>
                <w:sz w:val="16"/>
              </w:rPr>
              <w:t>152.4</w:t>
            </w:r>
          </w:p>
        </w:tc>
        <w:tc>
          <w:tcPr>
            <w:tcW w:type="dxa" w:w="2211"/>
          </w:tcPr>
          <w:p>
            <w:r>
              <w:rPr>
                <w:rFonts w:ascii="Times New Roman" w:hAnsi="Times New Roman" w:eastAsia="Songti SC"/>
                <w:b w:val="0"/>
                <w:sz w:val="16"/>
              </w:rPr>
              <w:t>162.9</w:t>
            </w:r>
          </w:p>
        </w:tc>
      </w:tr>
    </w:tbl>
    <w:p>
      <w:pPr>
        <w:spacing w:line="360" w:lineRule="auto" w:after="80"/>
        <w:ind w:firstLine="420"/>
        <w:jc w:val="both"/>
      </w:pPr>
      <w:r>
        <w:rPr>
          <w:rFonts w:ascii="Times New Roman" w:hAnsi="Times New Roman" w:eastAsia="Songti SC"/>
          <w:b w:val="0"/>
          <w:sz w:val="21"/>
        </w:rPr>
        <w:t>各轴段以相应的截面积、惯性矩和极惯性矩进入梁单元积分。直径突变处通过节点相连，圆盘、质量块与轴承接口在相应节点附加；因此，段表既用于质量和刚度装配，也用于确定局部支承和集中惯量的空间位置。</w:t>
      </w:r>
    </w:p>
    <w:p>
      <w:pPr>
        <w:spacing w:line="360" w:lineRule="auto" w:after="80"/>
        <w:ind w:firstLine="0"/>
        <w:jc w:val="center"/>
      </w:pPr>
      <w:r>
        <w:rPr>
          <w:rFonts w:ascii="Times New Roman" w:hAnsi="Times New Roman" w:eastAsia="Songti SC"/>
          <w:b w:val="0"/>
          <w:sz w:val="21"/>
        </w:rPr>
        <w:t>表2-2  机匣轴段几何参数</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tcPr>
          <w:p>
            <w:r>
              <w:rPr>
                <w:rFonts w:ascii="Times New Roman" w:hAnsi="Times New Roman" w:eastAsia="Songti SC"/>
                <w:b/>
                <w:sz w:val="17"/>
              </w:rPr>
              <w:t>段号</w:t>
            </w:r>
          </w:p>
        </w:tc>
        <w:tc>
          <w:tcPr>
            <w:tcW w:type="dxa" w:w="2211"/>
          </w:tcPr>
          <w:p>
            <w:r>
              <w:rPr>
                <w:rFonts w:ascii="Times New Roman" w:hAnsi="Times New Roman" w:eastAsia="Songti SC"/>
                <w:b/>
                <w:sz w:val="17"/>
              </w:rPr>
              <w:t>长度/mm</w:t>
            </w:r>
          </w:p>
        </w:tc>
        <w:tc>
          <w:tcPr>
            <w:tcW w:type="dxa" w:w="2211"/>
          </w:tcPr>
          <w:p>
            <w:r>
              <w:rPr>
                <w:rFonts w:ascii="Times New Roman" w:hAnsi="Times New Roman" w:eastAsia="Songti SC"/>
                <w:b/>
                <w:sz w:val="17"/>
              </w:rPr>
              <w:t>内径/mm</w:t>
            </w:r>
          </w:p>
        </w:tc>
        <w:tc>
          <w:tcPr>
            <w:tcW w:type="dxa" w:w="2211"/>
          </w:tcPr>
          <w:p>
            <w:r>
              <w:rPr>
                <w:rFonts w:ascii="Times New Roman" w:hAnsi="Times New Roman" w:eastAsia="Songti SC"/>
                <w:b/>
                <w:sz w:val="17"/>
              </w:rPr>
              <w:t>外径/mm</w:t>
            </w:r>
          </w:p>
        </w:tc>
      </w:tr>
      <w:tr>
        <w:tc>
          <w:tcPr>
            <w:tcW w:type="dxa" w:w="2211"/>
          </w:tcPr>
          <w:p>
            <w:r>
              <w:rPr>
                <w:rFonts w:ascii="Times New Roman" w:hAnsi="Times New Roman" w:eastAsia="Songti SC"/>
                <w:b w:val="0"/>
                <w:sz w:val="16"/>
              </w:rPr>
              <w:t>1</w:t>
            </w:r>
          </w:p>
        </w:tc>
        <w:tc>
          <w:tcPr>
            <w:tcW w:type="dxa" w:w="2211"/>
          </w:tcPr>
          <w:p>
            <w:r>
              <w:rPr>
                <w:rFonts w:ascii="Times New Roman" w:hAnsi="Times New Roman" w:eastAsia="Songti SC"/>
                <w:b w:val="0"/>
                <w:sz w:val="16"/>
              </w:rPr>
              <w:t>25</w:t>
            </w:r>
          </w:p>
        </w:tc>
        <w:tc>
          <w:tcPr>
            <w:tcW w:type="dxa" w:w="2211"/>
          </w:tcPr>
          <w:p>
            <w:r>
              <w:rPr>
                <w:rFonts w:ascii="Times New Roman" w:hAnsi="Times New Roman" w:eastAsia="Songti SC"/>
                <w:b w:val="0"/>
                <w:sz w:val="16"/>
              </w:rPr>
              <w:t>320</w:t>
            </w:r>
          </w:p>
        </w:tc>
        <w:tc>
          <w:tcPr>
            <w:tcW w:type="dxa" w:w="2211"/>
          </w:tcPr>
          <w:p>
            <w:r>
              <w:rPr>
                <w:rFonts w:ascii="Times New Roman" w:hAnsi="Times New Roman" w:eastAsia="Songti SC"/>
                <w:b w:val="0"/>
                <w:sz w:val="16"/>
              </w:rPr>
              <w:t>955</w:t>
            </w:r>
          </w:p>
        </w:tc>
      </w:tr>
      <w:tr>
        <w:tc>
          <w:tcPr>
            <w:tcW w:type="dxa" w:w="2211"/>
          </w:tcPr>
          <w:p>
            <w:r>
              <w:rPr>
                <w:rFonts w:ascii="Times New Roman" w:hAnsi="Times New Roman" w:eastAsia="Songti SC"/>
                <w:b w:val="0"/>
                <w:sz w:val="16"/>
              </w:rPr>
              <w:t>2</w:t>
            </w:r>
          </w:p>
        </w:tc>
        <w:tc>
          <w:tcPr>
            <w:tcW w:type="dxa" w:w="2211"/>
          </w:tcPr>
          <w:p>
            <w:r>
              <w:rPr>
                <w:rFonts w:ascii="Times New Roman" w:hAnsi="Times New Roman" w:eastAsia="Songti SC"/>
                <w:b w:val="0"/>
                <w:sz w:val="16"/>
              </w:rPr>
              <w:t>120</w:t>
            </w:r>
          </w:p>
        </w:tc>
        <w:tc>
          <w:tcPr>
            <w:tcW w:type="dxa" w:w="2211"/>
          </w:tcPr>
          <w:p>
            <w:r>
              <w:rPr>
                <w:rFonts w:ascii="Times New Roman" w:hAnsi="Times New Roman" w:eastAsia="Songti SC"/>
                <w:b w:val="0"/>
                <w:sz w:val="16"/>
              </w:rPr>
              <w:t>925</w:t>
            </w:r>
          </w:p>
        </w:tc>
        <w:tc>
          <w:tcPr>
            <w:tcW w:type="dxa" w:w="2211"/>
          </w:tcPr>
          <w:p>
            <w:r>
              <w:rPr>
                <w:rFonts w:ascii="Times New Roman" w:hAnsi="Times New Roman" w:eastAsia="Songti SC"/>
                <w:b w:val="0"/>
                <w:sz w:val="16"/>
              </w:rPr>
              <w:t>955</w:t>
            </w:r>
          </w:p>
        </w:tc>
      </w:tr>
      <w:tr>
        <w:tc>
          <w:tcPr>
            <w:tcW w:type="dxa" w:w="2211"/>
          </w:tcPr>
          <w:p>
            <w:r>
              <w:rPr>
                <w:rFonts w:ascii="Times New Roman" w:hAnsi="Times New Roman" w:eastAsia="Songti SC"/>
                <w:b w:val="0"/>
                <w:sz w:val="16"/>
              </w:rPr>
              <w:t>3</w:t>
            </w:r>
          </w:p>
        </w:tc>
        <w:tc>
          <w:tcPr>
            <w:tcW w:type="dxa" w:w="2211"/>
          </w:tcPr>
          <w:p>
            <w:r>
              <w:rPr>
                <w:rFonts w:ascii="Times New Roman" w:hAnsi="Times New Roman" w:eastAsia="Songti SC"/>
                <w:b w:val="0"/>
                <w:sz w:val="16"/>
              </w:rPr>
              <w:t>215</w:t>
            </w:r>
          </w:p>
        </w:tc>
        <w:tc>
          <w:tcPr>
            <w:tcW w:type="dxa" w:w="2211"/>
          </w:tcPr>
          <w:p>
            <w:r>
              <w:rPr>
                <w:rFonts w:ascii="Times New Roman" w:hAnsi="Times New Roman" w:eastAsia="Songti SC"/>
                <w:b w:val="0"/>
                <w:sz w:val="16"/>
              </w:rPr>
              <w:t>940</w:t>
            </w:r>
          </w:p>
        </w:tc>
        <w:tc>
          <w:tcPr>
            <w:tcW w:type="dxa" w:w="2211"/>
          </w:tcPr>
          <w:p>
            <w:r>
              <w:rPr>
                <w:rFonts w:ascii="Times New Roman" w:hAnsi="Times New Roman" w:eastAsia="Songti SC"/>
                <w:b w:val="0"/>
                <w:sz w:val="16"/>
              </w:rPr>
              <w:t>1050</w:t>
            </w:r>
          </w:p>
        </w:tc>
      </w:tr>
      <w:tr>
        <w:tc>
          <w:tcPr>
            <w:tcW w:type="dxa" w:w="2211"/>
          </w:tcPr>
          <w:p>
            <w:r>
              <w:rPr>
                <w:rFonts w:ascii="Times New Roman" w:hAnsi="Times New Roman" w:eastAsia="Songti SC"/>
                <w:b w:val="0"/>
                <w:sz w:val="16"/>
              </w:rPr>
              <w:t>4</w:t>
            </w:r>
          </w:p>
        </w:tc>
        <w:tc>
          <w:tcPr>
            <w:tcW w:type="dxa" w:w="2211"/>
          </w:tcPr>
          <w:p>
            <w:r>
              <w:rPr>
                <w:rFonts w:ascii="Times New Roman" w:hAnsi="Times New Roman" w:eastAsia="Songti SC"/>
                <w:b w:val="0"/>
                <w:sz w:val="16"/>
              </w:rPr>
              <w:t>20.02</w:t>
            </w:r>
          </w:p>
        </w:tc>
        <w:tc>
          <w:tcPr>
            <w:tcW w:type="dxa" w:w="2211"/>
          </w:tcPr>
          <w:p>
            <w:r>
              <w:rPr>
                <w:rFonts w:ascii="Times New Roman" w:hAnsi="Times New Roman" w:eastAsia="Songti SC"/>
                <w:b w:val="0"/>
                <w:sz w:val="16"/>
              </w:rPr>
              <w:t>725</w:t>
            </w:r>
          </w:p>
        </w:tc>
        <w:tc>
          <w:tcPr>
            <w:tcW w:type="dxa" w:w="2211"/>
          </w:tcPr>
          <w:p>
            <w:r>
              <w:rPr>
                <w:rFonts w:ascii="Times New Roman" w:hAnsi="Times New Roman" w:eastAsia="Songti SC"/>
                <w:b w:val="0"/>
                <w:sz w:val="16"/>
              </w:rPr>
              <w:t>1065</w:t>
            </w:r>
          </w:p>
        </w:tc>
      </w:tr>
      <w:tr>
        <w:tc>
          <w:tcPr>
            <w:tcW w:type="dxa" w:w="2211"/>
          </w:tcPr>
          <w:p>
            <w:r>
              <w:rPr>
                <w:rFonts w:ascii="Times New Roman" w:hAnsi="Times New Roman" w:eastAsia="Songti SC"/>
                <w:b w:val="0"/>
                <w:sz w:val="16"/>
              </w:rPr>
              <w:t>5</w:t>
            </w:r>
          </w:p>
        </w:tc>
        <w:tc>
          <w:tcPr>
            <w:tcW w:type="dxa" w:w="2211"/>
          </w:tcPr>
          <w:p>
            <w:r>
              <w:rPr>
                <w:rFonts w:ascii="Times New Roman" w:hAnsi="Times New Roman" w:eastAsia="Songti SC"/>
                <w:b w:val="0"/>
                <w:sz w:val="16"/>
              </w:rPr>
              <w:t>140</w:t>
            </w:r>
          </w:p>
        </w:tc>
        <w:tc>
          <w:tcPr>
            <w:tcW w:type="dxa" w:w="2211"/>
          </w:tcPr>
          <w:p>
            <w:r>
              <w:rPr>
                <w:rFonts w:ascii="Times New Roman" w:hAnsi="Times New Roman" w:eastAsia="Songti SC"/>
                <w:b w:val="0"/>
                <w:sz w:val="16"/>
              </w:rPr>
              <w:t>1050</w:t>
            </w:r>
          </w:p>
        </w:tc>
        <w:tc>
          <w:tcPr>
            <w:tcW w:type="dxa" w:w="2211"/>
          </w:tcPr>
          <w:p>
            <w:r>
              <w:rPr>
                <w:rFonts w:ascii="Times New Roman" w:hAnsi="Times New Roman" w:eastAsia="Songti SC"/>
                <w:b w:val="0"/>
                <w:sz w:val="16"/>
              </w:rPr>
              <w:t>1280</w:t>
            </w:r>
          </w:p>
        </w:tc>
      </w:tr>
      <w:tr>
        <w:tc>
          <w:tcPr>
            <w:tcW w:type="dxa" w:w="2211"/>
          </w:tcPr>
          <w:p>
            <w:r>
              <w:rPr>
                <w:rFonts w:ascii="Times New Roman" w:hAnsi="Times New Roman" w:eastAsia="Songti SC"/>
                <w:b w:val="0"/>
                <w:sz w:val="16"/>
              </w:rPr>
              <w:t>6</w:t>
            </w:r>
          </w:p>
        </w:tc>
        <w:tc>
          <w:tcPr>
            <w:tcW w:type="dxa" w:w="2211"/>
          </w:tcPr>
          <w:p>
            <w:r>
              <w:rPr>
                <w:rFonts w:ascii="Times New Roman" w:hAnsi="Times New Roman" w:eastAsia="Songti SC"/>
                <w:b w:val="0"/>
                <w:sz w:val="16"/>
              </w:rPr>
              <w:t>218</w:t>
            </w:r>
          </w:p>
        </w:tc>
        <w:tc>
          <w:tcPr>
            <w:tcW w:type="dxa" w:w="2211"/>
          </w:tcPr>
          <w:p>
            <w:r>
              <w:rPr>
                <w:rFonts w:ascii="Times New Roman" w:hAnsi="Times New Roman" w:eastAsia="Songti SC"/>
                <w:b w:val="0"/>
                <w:sz w:val="16"/>
              </w:rPr>
              <w:t>1265</w:t>
            </w:r>
          </w:p>
        </w:tc>
        <w:tc>
          <w:tcPr>
            <w:tcW w:type="dxa" w:w="2211"/>
          </w:tcPr>
          <w:p>
            <w:r>
              <w:rPr>
                <w:rFonts w:ascii="Times New Roman" w:hAnsi="Times New Roman" w:eastAsia="Songti SC"/>
                <w:b w:val="0"/>
                <w:sz w:val="16"/>
              </w:rPr>
              <w:t>1295</w:t>
            </w:r>
          </w:p>
        </w:tc>
      </w:tr>
      <w:tr>
        <w:tc>
          <w:tcPr>
            <w:tcW w:type="dxa" w:w="2211"/>
          </w:tcPr>
          <w:p>
            <w:r>
              <w:rPr>
                <w:rFonts w:ascii="Times New Roman" w:hAnsi="Times New Roman" w:eastAsia="Songti SC"/>
                <w:b w:val="0"/>
                <w:sz w:val="16"/>
              </w:rPr>
              <w:t>7</w:t>
            </w:r>
          </w:p>
        </w:tc>
        <w:tc>
          <w:tcPr>
            <w:tcW w:type="dxa" w:w="2211"/>
          </w:tcPr>
          <w:p>
            <w:r>
              <w:rPr>
                <w:rFonts w:ascii="Times New Roman" w:hAnsi="Times New Roman" w:eastAsia="Songti SC"/>
                <w:b w:val="0"/>
                <w:sz w:val="16"/>
              </w:rPr>
              <w:t>218</w:t>
            </w:r>
          </w:p>
        </w:tc>
        <w:tc>
          <w:tcPr>
            <w:tcW w:type="dxa" w:w="2211"/>
          </w:tcPr>
          <w:p>
            <w:r>
              <w:rPr>
                <w:rFonts w:ascii="Times New Roman" w:hAnsi="Times New Roman" w:eastAsia="Songti SC"/>
                <w:b w:val="0"/>
                <w:sz w:val="16"/>
              </w:rPr>
              <w:t>1265</w:t>
            </w:r>
          </w:p>
        </w:tc>
        <w:tc>
          <w:tcPr>
            <w:tcW w:type="dxa" w:w="2211"/>
          </w:tcPr>
          <w:p>
            <w:r>
              <w:rPr>
                <w:rFonts w:ascii="Times New Roman" w:hAnsi="Times New Roman" w:eastAsia="Songti SC"/>
                <w:b w:val="0"/>
                <w:sz w:val="16"/>
              </w:rPr>
              <w:t>1295</w:t>
            </w:r>
          </w:p>
        </w:tc>
      </w:tr>
      <w:tr>
        <w:tc>
          <w:tcPr>
            <w:tcW w:type="dxa" w:w="2211"/>
          </w:tcPr>
          <w:p>
            <w:r>
              <w:rPr>
                <w:rFonts w:ascii="Times New Roman" w:hAnsi="Times New Roman" w:eastAsia="Songti SC"/>
                <w:b w:val="0"/>
                <w:sz w:val="16"/>
              </w:rPr>
              <w:t>8</w:t>
            </w:r>
          </w:p>
        </w:tc>
        <w:tc>
          <w:tcPr>
            <w:tcW w:type="dxa" w:w="2211"/>
          </w:tcPr>
          <w:p>
            <w:r>
              <w:rPr>
                <w:rFonts w:ascii="Times New Roman" w:hAnsi="Times New Roman" w:eastAsia="Songti SC"/>
                <w:b w:val="0"/>
                <w:sz w:val="16"/>
              </w:rPr>
              <w:t>76</w:t>
            </w:r>
          </w:p>
        </w:tc>
        <w:tc>
          <w:tcPr>
            <w:tcW w:type="dxa" w:w="2211"/>
          </w:tcPr>
          <w:p>
            <w:r>
              <w:rPr>
                <w:rFonts w:ascii="Times New Roman" w:hAnsi="Times New Roman" w:eastAsia="Songti SC"/>
                <w:b w:val="0"/>
                <w:sz w:val="16"/>
              </w:rPr>
              <w:t>1265</w:t>
            </w:r>
          </w:p>
        </w:tc>
        <w:tc>
          <w:tcPr>
            <w:tcW w:type="dxa" w:w="2211"/>
          </w:tcPr>
          <w:p>
            <w:r>
              <w:rPr>
                <w:rFonts w:ascii="Times New Roman" w:hAnsi="Times New Roman" w:eastAsia="Songti SC"/>
                <w:b w:val="0"/>
                <w:sz w:val="16"/>
              </w:rPr>
              <w:t>1295</w:t>
            </w:r>
          </w:p>
        </w:tc>
      </w:tr>
      <w:tr>
        <w:tc>
          <w:tcPr>
            <w:tcW w:type="dxa" w:w="2211"/>
          </w:tcPr>
          <w:p>
            <w:r>
              <w:rPr>
                <w:rFonts w:ascii="Times New Roman" w:hAnsi="Times New Roman" w:eastAsia="Songti SC"/>
                <w:b w:val="0"/>
                <w:sz w:val="16"/>
              </w:rPr>
              <w:t>9</w:t>
            </w:r>
          </w:p>
        </w:tc>
        <w:tc>
          <w:tcPr>
            <w:tcW w:type="dxa" w:w="2211"/>
          </w:tcPr>
          <w:p>
            <w:r>
              <w:rPr>
                <w:rFonts w:ascii="Times New Roman" w:hAnsi="Times New Roman" w:eastAsia="Songti SC"/>
                <w:b w:val="0"/>
                <w:sz w:val="16"/>
              </w:rPr>
              <w:t>36</w:t>
            </w:r>
          </w:p>
        </w:tc>
        <w:tc>
          <w:tcPr>
            <w:tcW w:type="dxa" w:w="2211"/>
          </w:tcPr>
          <w:p>
            <w:r>
              <w:rPr>
                <w:rFonts w:ascii="Times New Roman" w:hAnsi="Times New Roman" w:eastAsia="Songti SC"/>
                <w:b w:val="0"/>
                <w:sz w:val="16"/>
              </w:rPr>
              <w:t>725</w:t>
            </w:r>
          </w:p>
        </w:tc>
        <w:tc>
          <w:tcPr>
            <w:tcW w:type="dxa" w:w="2211"/>
          </w:tcPr>
          <w:p>
            <w:r>
              <w:rPr>
                <w:rFonts w:ascii="Times New Roman" w:hAnsi="Times New Roman" w:eastAsia="Songti SC"/>
                <w:b w:val="0"/>
                <w:sz w:val="16"/>
              </w:rPr>
              <w:t>1399</w:t>
            </w:r>
          </w:p>
        </w:tc>
      </w:tr>
      <w:tr>
        <w:tc>
          <w:tcPr>
            <w:tcW w:type="dxa" w:w="2211"/>
          </w:tcPr>
          <w:p>
            <w:r>
              <w:rPr>
                <w:rFonts w:ascii="Times New Roman" w:hAnsi="Times New Roman" w:eastAsia="Songti SC"/>
                <w:b w:val="0"/>
                <w:sz w:val="16"/>
              </w:rPr>
              <w:t>10</w:t>
            </w:r>
          </w:p>
        </w:tc>
        <w:tc>
          <w:tcPr>
            <w:tcW w:type="dxa" w:w="2211"/>
          </w:tcPr>
          <w:p>
            <w:r>
              <w:rPr>
                <w:rFonts w:ascii="Times New Roman" w:hAnsi="Times New Roman" w:eastAsia="Songti SC"/>
                <w:b w:val="0"/>
                <w:sz w:val="16"/>
              </w:rPr>
              <w:t>240</w:t>
            </w:r>
          </w:p>
        </w:tc>
        <w:tc>
          <w:tcPr>
            <w:tcW w:type="dxa" w:w="2211"/>
          </w:tcPr>
          <w:p>
            <w:r>
              <w:rPr>
                <w:rFonts w:ascii="Times New Roman" w:hAnsi="Times New Roman" w:eastAsia="Songti SC"/>
                <w:b w:val="0"/>
                <w:sz w:val="16"/>
              </w:rPr>
              <w:t>1180</w:t>
            </w:r>
          </w:p>
        </w:tc>
        <w:tc>
          <w:tcPr>
            <w:tcW w:type="dxa" w:w="2211"/>
          </w:tcPr>
          <w:p>
            <w:r>
              <w:rPr>
                <w:rFonts w:ascii="Times New Roman" w:hAnsi="Times New Roman" w:eastAsia="Songti SC"/>
                <w:b w:val="0"/>
                <w:sz w:val="16"/>
              </w:rPr>
              <w:t>1280</w:t>
            </w:r>
          </w:p>
        </w:tc>
      </w:tr>
      <w:tr>
        <w:tc>
          <w:tcPr>
            <w:tcW w:type="dxa" w:w="2211"/>
          </w:tcPr>
          <w:p>
            <w:r>
              <w:rPr>
                <w:rFonts w:ascii="Times New Roman" w:hAnsi="Times New Roman" w:eastAsia="Songti SC"/>
                <w:b w:val="0"/>
                <w:sz w:val="16"/>
              </w:rPr>
              <w:t>11</w:t>
            </w:r>
          </w:p>
        </w:tc>
        <w:tc>
          <w:tcPr>
            <w:tcW w:type="dxa" w:w="2211"/>
          </w:tcPr>
          <w:p>
            <w:r>
              <w:rPr>
                <w:rFonts w:ascii="Times New Roman" w:hAnsi="Times New Roman" w:eastAsia="Songti SC"/>
                <w:b w:val="0"/>
                <w:sz w:val="16"/>
              </w:rPr>
              <w:t>24</w:t>
            </w:r>
          </w:p>
        </w:tc>
        <w:tc>
          <w:tcPr>
            <w:tcW w:type="dxa" w:w="2211"/>
          </w:tcPr>
          <w:p>
            <w:r>
              <w:rPr>
                <w:rFonts w:ascii="Times New Roman" w:hAnsi="Times New Roman" w:eastAsia="Songti SC"/>
                <w:b w:val="0"/>
                <w:sz w:val="16"/>
              </w:rPr>
              <w:t>1172</w:t>
            </w:r>
          </w:p>
        </w:tc>
        <w:tc>
          <w:tcPr>
            <w:tcW w:type="dxa" w:w="2211"/>
          </w:tcPr>
          <w:p>
            <w:r>
              <w:rPr>
                <w:rFonts w:ascii="Times New Roman" w:hAnsi="Times New Roman" w:eastAsia="Songti SC"/>
                <w:b w:val="0"/>
                <w:sz w:val="16"/>
              </w:rPr>
              <w:t>1256</w:t>
            </w:r>
          </w:p>
        </w:tc>
      </w:tr>
      <w:tr>
        <w:tc>
          <w:tcPr>
            <w:tcW w:type="dxa" w:w="2211"/>
          </w:tcPr>
          <w:p>
            <w:r>
              <w:rPr>
                <w:rFonts w:ascii="Times New Roman" w:hAnsi="Times New Roman" w:eastAsia="Songti SC"/>
                <w:b w:val="0"/>
                <w:sz w:val="16"/>
              </w:rPr>
              <w:t>12</w:t>
            </w:r>
          </w:p>
        </w:tc>
        <w:tc>
          <w:tcPr>
            <w:tcW w:type="dxa" w:w="2211"/>
          </w:tcPr>
          <w:p>
            <w:r>
              <w:rPr>
                <w:rFonts w:ascii="Times New Roman" w:hAnsi="Times New Roman" w:eastAsia="Songti SC"/>
                <w:b w:val="0"/>
                <w:sz w:val="16"/>
              </w:rPr>
              <w:t>117.16</w:t>
            </w:r>
          </w:p>
        </w:tc>
        <w:tc>
          <w:tcPr>
            <w:tcW w:type="dxa" w:w="2211"/>
          </w:tcPr>
          <w:p>
            <w:r>
              <w:rPr>
                <w:rFonts w:ascii="Times New Roman" w:hAnsi="Times New Roman" w:eastAsia="Songti SC"/>
                <w:b w:val="0"/>
                <w:sz w:val="16"/>
              </w:rPr>
              <w:t>1190</w:t>
            </w:r>
          </w:p>
        </w:tc>
        <w:tc>
          <w:tcPr>
            <w:tcW w:type="dxa" w:w="2211"/>
          </w:tcPr>
          <w:p>
            <w:r>
              <w:rPr>
                <w:rFonts w:ascii="Times New Roman" w:hAnsi="Times New Roman" w:eastAsia="Songti SC"/>
                <w:b w:val="0"/>
                <w:sz w:val="16"/>
              </w:rPr>
              <w:t>1260</w:t>
            </w:r>
          </w:p>
        </w:tc>
      </w:tr>
    </w:tbl>
    <w:p>
      <w:pPr>
        <w:spacing w:line="360" w:lineRule="auto" w:after="80"/>
        <w:ind w:firstLine="420"/>
        <w:jc w:val="both"/>
      </w:pPr>
      <w:r>
        <w:rPr>
          <w:rFonts w:ascii="Times New Roman" w:hAnsi="Times New Roman" w:eastAsia="Songti SC"/>
          <w:b w:val="0"/>
          <w:sz w:val="21"/>
        </w:rPr>
        <w:t>机匣以空心梁形式保留沿轴向的质量与弯曲柔度变化。基础连接以等效弹簧—阻尼边界施加于安装节点，给定刚度为5×10^8 N/m、阻尼为2000 N·s/m；其用途是表征结构支承柔度，不取代轴承接触刚度。</w:t>
      </w:r>
    </w:p>
    <w:p>
      <w:pPr>
        <w:spacing w:line="360" w:lineRule="auto" w:after="80"/>
        <w:ind w:firstLine="0"/>
        <w:jc w:val="center"/>
      </w:pPr>
      <w:r>
        <w:rPr>
          <w:rFonts w:ascii="Times New Roman" w:hAnsi="Times New Roman" w:eastAsia="Songti SC"/>
          <w:b w:val="0"/>
          <w:sz w:val="21"/>
        </w:rPr>
        <w:t>表2-3  集中质量及材料参数</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211"/>
          </w:tcPr>
          <w:p>
            <w:r>
              <w:rPr>
                <w:rFonts w:ascii="Times New Roman" w:hAnsi="Times New Roman" w:eastAsia="Songti SC"/>
                <w:b/>
                <w:sz w:val="17"/>
              </w:rPr>
              <w:t>项目</w:t>
            </w:r>
          </w:p>
        </w:tc>
        <w:tc>
          <w:tcPr>
            <w:tcW w:type="dxa" w:w="2211"/>
          </w:tcPr>
          <w:p>
            <w:r>
              <w:rPr>
                <w:rFonts w:ascii="Times New Roman" w:hAnsi="Times New Roman" w:eastAsia="Songti SC"/>
                <w:b/>
                <w:sz w:val="17"/>
              </w:rPr>
              <w:t>质量/kg</w:t>
            </w:r>
          </w:p>
        </w:tc>
        <w:tc>
          <w:tcPr>
            <w:tcW w:type="dxa" w:w="2211"/>
          </w:tcPr>
          <w:p>
            <w:r>
              <w:rPr>
                <w:rFonts w:ascii="Times New Roman" w:hAnsi="Times New Roman" w:eastAsia="Songti SC"/>
                <w:b/>
                <w:sz w:val="17"/>
              </w:rPr>
              <w:t>Jx/(kg·m²)</w:t>
            </w:r>
          </w:p>
        </w:tc>
        <w:tc>
          <w:tcPr>
            <w:tcW w:type="dxa" w:w="2211"/>
          </w:tcPr>
          <w:p>
            <w:r>
              <w:rPr>
                <w:rFonts w:ascii="Times New Roman" w:hAnsi="Times New Roman" w:eastAsia="Songti SC"/>
                <w:b/>
                <w:sz w:val="17"/>
              </w:rPr>
              <w:t>Jy,z/(kg·m²)</w:t>
            </w:r>
          </w:p>
        </w:tc>
      </w:tr>
      <w:tr>
        <w:tc>
          <w:tcPr>
            <w:tcW w:type="dxa" w:w="2211"/>
          </w:tcPr>
          <w:p>
            <w:r>
              <w:rPr>
                <w:rFonts w:ascii="Times New Roman" w:hAnsi="Times New Roman" w:eastAsia="Songti SC"/>
                <w:b w:val="0"/>
                <w:sz w:val="16"/>
              </w:rPr>
              <w:t>集中质量1</w:t>
            </w:r>
          </w:p>
        </w:tc>
        <w:tc>
          <w:tcPr>
            <w:tcW w:type="dxa" w:w="2211"/>
          </w:tcPr>
          <w:p>
            <w:r>
              <w:rPr>
                <w:rFonts w:ascii="Times New Roman" w:hAnsi="Times New Roman" w:eastAsia="Songti SC"/>
                <w:b w:val="0"/>
                <w:sz w:val="16"/>
              </w:rPr>
              <w:t>251.194</w:t>
            </w:r>
          </w:p>
        </w:tc>
        <w:tc>
          <w:tcPr>
            <w:tcW w:type="dxa" w:w="2211"/>
          </w:tcPr>
          <w:p>
            <w:r>
              <w:rPr>
                <w:rFonts w:ascii="Times New Roman" w:hAnsi="Times New Roman" w:eastAsia="Songti SC"/>
                <w:b w:val="0"/>
                <w:sz w:val="16"/>
              </w:rPr>
              <w:t>15.17</w:t>
            </w:r>
          </w:p>
        </w:tc>
        <w:tc>
          <w:tcPr>
            <w:tcW w:type="dxa" w:w="2211"/>
          </w:tcPr>
          <w:p>
            <w:r>
              <w:rPr>
                <w:rFonts w:ascii="Times New Roman" w:hAnsi="Times New Roman" w:eastAsia="Songti SC"/>
                <w:b w:val="0"/>
                <w:sz w:val="16"/>
              </w:rPr>
              <w:t>7.8</w:t>
            </w:r>
          </w:p>
        </w:tc>
      </w:tr>
      <w:tr>
        <w:tc>
          <w:tcPr>
            <w:tcW w:type="dxa" w:w="2211"/>
          </w:tcPr>
          <w:p>
            <w:r>
              <w:rPr>
                <w:rFonts w:ascii="Times New Roman" w:hAnsi="Times New Roman" w:eastAsia="Songti SC"/>
                <w:b w:val="0"/>
                <w:sz w:val="16"/>
              </w:rPr>
              <w:t>集中质量2</w:t>
            </w:r>
          </w:p>
        </w:tc>
        <w:tc>
          <w:tcPr>
            <w:tcW w:type="dxa" w:w="2211"/>
          </w:tcPr>
          <w:p>
            <w:r>
              <w:rPr>
                <w:rFonts w:ascii="Times New Roman" w:hAnsi="Times New Roman" w:eastAsia="Songti SC"/>
                <w:b w:val="0"/>
                <w:sz w:val="16"/>
              </w:rPr>
              <w:t>171.18</w:t>
            </w:r>
          </w:p>
        </w:tc>
        <w:tc>
          <w:tcPr>
            <w:tcW w:type="dxa" w:w="2211"/>
          </w:tcPr>
          <w:p>
            <w:r>
              <w:rPr>
                <w:rFonts w:ascii="Times New Roman" w:hAnsi="Times New Roman" w:eastAsia="Songti SC"/>
                <w:b w:val="0"/>
                <w:sz w:val="16"/>
              </w:rPr>
              <w:t>6.18</w:t>
            </w:r>
          </w:p>
        </w:tc>
        <w:tc>
          <w:tcPr>
            <w:tcW w:type="dxa" w:w="2211"/>
          </w:tcPr>
          <w:p>
            <w:r>
              <w:rPr>
                <w:rFonts w:ascii="Times New Roman" w:hAnsi="Times New Roman" w:eastAsia="Songti SC"/>
                <w:b w:val="0"/>
                <w:sz w:val="16"/>
              </w:rPr>
              <w:t>3.2</w:t>
            </w:r>
          </w:p>
        </w:tc>
      </w:tr>
      <w:tr>
        <w:tc>
          <w:tcPr>
            <w:tcW w:type="dxa" w:w="2211"/>
          </w:tcPr>
          <w:p>
            <w:r>
              <w:rPr>
                <w:rFonts w:ascii="Times New Roman" w:hAnsi="Times New Roman" w:eastAsia="Songti SC"/>
                <w:b w:val="0"/>
                <w:sz w:val="16"/>
              </w:rPr>
              <w:t>涡轮盘</w:t>
            </w:r>
          </w:p>
        </w:tc>
        <w:tc>
          <w:tcPr>
            <w:tcW w:type="dxa" w:w="2211"/>
          </w:tcPr>
          <w:p>
            <w:r>
              <w:rPr>
                <w:rFonts w:ascii="Times New Roman" w:hAnsi="Times New Roman" w:eastAsia="Songti SC"/>
                <w:b w:val="0"/>
                <w:sz w:val="16"/>
              </w:rPr>
              <w:t>146.832</w:t>
            </w:r>
          </w:p>
        </w:tc>
        <w:tc>
          <w:tcPr>
            <w:tcW w:type="dxa" w:w="2211"/>
          </w:tcPr>
          <w:p>
            <w:r>
              <w:rPr>
                <w:rFonts w:ascii="Times New Roman" w:hAnsi="Times New Roman" w:eastAsia="Songti SC"/>
                <w:b w:val="0"/>
                <w:sz w:val="16"/>
              </w:rPr>
              <w:t>7.4</w:t>
            </w:r>
          </w:p>
        </w:tc>
        <w:tc>
          <w:tcPr>
            <w:tcW w:type="dxa" w:w="2211"/>
          </w:tcPr>
          <w:p>
            <w:r>
              <w:rPr>
                <w:rFonts w:ascii="Times New Roman" w:hAnsi="Times New Roman" w:eastAsia="Songti SC"/>
                <w:b w:val="0"/>
                <w:sz w:val="16"/>
              </w:rPr>
              <w:t>3.78</w:t>
            </w:r>
          </w:p>
        </w:tc>
      </w:tr>
      <w:tr>
        <w:tc>
          <w:tcPr>
            <w:tcW w:type="dxa" w:w="2211"/>
          </w:tcPr>
          <w:p>
            <w:r>
              <w:rPr>
                <w:rFonts w:ascii="Times New Roman" w:hAnsi="Times New Roman" w:eastAsia="Songti SC"/>
                <w:b w:val="0"/>
                <w:sz w:val="16"/>
              </w:rPr>
              <w:t>转轴材料</w:t>
            </w:r>
          </w:p>
        </w:tc>
        <w:tc>
          <w:tcPr>
            <w:tcW w:type="dxa" w:w="2211"/>
          </w:tcPr>
          <w:p>
            <w:r>
              <w:rPr>
                <w:rFonts w:ascii="Times New Roman" w:hAnsi="Times New Roman" w:eastAsia="Songti SC"/>
                <w:b w:val="0"/>
                <w:sz w:val="16"/>
              </w:rPr>
              <w:t>7800</w:t>
            </w:r>
          </w:p>
        </w:tc>
        <w:tc>
          <w:tcPr>
            <w:tcW w:type="dxa" w:w="2211"/>
          </w:tcPr>
          <w:p>
            <w:r>
              <w:rPr>
                <w:rFonts w:ascii="Times New Roman" w:hAnsi="Times New Roman" w:eastAsia="Songti SC"/>
                <w:b w:val="0"/>
                <w:sz w:val="16"/>
              </w:rPr>
              <w:t>E=210 GPa</w:t>
            </w:r>
          </w:p>
        </w:tc>
        <w:tc>
          <w:tcPr>
            <w:tcW w:type="dxa" w:w="2211"/>
          </w:tcPr>
          <w:p>
            <w:r>
              <w:rPr>
                <w:rFonts w:ascii="Times New Roman" w:hAnsi="Times New Roman" w:eastAsia="Songti SC"/>
                <w:b w:val="0"/>
                <w:sz w:val="16"/>
              </w:rPr>
              <w:t>ν=0.30</w:t>
            </w:r>
          </w:p>
        </w:tc>
      </w:tr>
      <w:tr>
        <w:tc>
          <w:tcPr>
            <w:tcW w:type="dxa" w:w="2211"/>
          </w:tcPr>
          <w:p>
            <w:r>
              <w:rPr>
                <w:rFonts w:ascii="Times New Roman" w:hAnsi="Times New Roman" w:eastAsia="Songti SC"/>
                <w:b w:val="0"/>
                <w:sz w:val="16"/>
              </w:rPr>
              <w:t>机匣材料</w:t>
            </w:r>
          </w:p>
        </w:tc>
        <w:tc>
          <w:tcPr>
            <w:tcW w:type="dxa" w:w="2211"/>
          </w:tcPr>
          <w:p>
            <w:r>
              <w:rPr>
                <w:rFonts w:ascii="Times New Roman" w:hAnsi="Times New Roman" w:eastAsia="Songti SC"/>
                <w:b w:val="0"/>
                <w:sz w:val="16"/>
              </w:rPr>
              <w:t>7930</w:t>
            </w:r>
          </w:p>
        </w:tc>
        <w:tc>
          <w:tcPr>
            <w:tcW w:type="dxa" w:w="2211"/>
          </w:tcPr>
          <w:p>
            <w:r>
              <w:rPr>
                <w:rFonts w:ascii="Times New Roman" w:hAnsi="Times New Roman" w:eastAsia="Songti SC"/>
                <w:b w:val="0"/>
                <w:sz w:val="16"/>
              </w:rPr>
              <w:t>E=193 GPa</w:t>
            </w:r>
          </w:p>
        </w:tc>
        <w:tc>
          <w:tcPr>
            <w:tcW w:type="dxa" w:w="2211"/>
          </w:tcPr>
          <w:p>
            <w:r>
              <w:rPr>
                <w:rFonts w:ascii="Times New Roman" w:hAnsi="Times New Roman" w:eastAsia="Songti SC"/>
                <w:b w:val="0"/>
                <w:sz w:val="16"/>
              </w:rPr>
              <w:t>ν=0.30</w:t>
            </w:r>
          </w:p>
        </w:tc>
      </w:tr>
    </w:tbl>
    <w:p>
      <w:pPr>
        <w:keepNext/>
        <w:spacing w:before="180" w:after="100"/>
      </w:pPr>
      <w:r>
        <w:rPr>
          <w:rFonts w:ascii="Times New Roman" w:hAnsi="Times New Roman" w:eastAsia="Songti SC"/>
          <w:b/>
          <w:sz w:val="30"/>
        </w:rPr>
        <w:t>2.8 本章小结</w:t>
      </w:r>
    </w:p>
    <w:p>
      <w:pPr>
        <w:spacing w:line="360" w:lineRule="auto" w:after="80"/>
        <w:ind w:firstLine="420"/>
        <w:jc w:val="both"/>
      </w:pPr>
      <w:r>
        <w:rPr>
          <w:rFonts w:ascii="Times New Roman" w:hAnsi="Times New Roman" w:eastAsia="Songti SC"/>
          <w:b w:val="0"/>
          <w:sz w:val="21"/>
        </w:rPr>
        <w:t>本章围绕闭环热效应下的轴承—转子—机匣系统建立了由局部接触、结构有限元和数值求解组成的动力学模型。球轴承部分以沟道几何、滚珠方位、相对位移投影和Hertz点接触为基础，说明了接触角与承载滚珠集合如何决定横向支承力；圆柱滚子轴承部分以径向游隙、承载区和线接触关系为核心，区分了10/9次幂线接触与3/2次幂点接触的物理来源。两类轴承均以热后相对位移和工作游隙为输入，并输出可用于系统装配的非线性界面力和有限差分切线刚度。</w:t>
      </w:r>
    </w:p>
    <w:p>
      <w:pPr>
        <w:spacing w:line="360" w:lineRule="auto" w:after="80"/>
        <w:ind w:firstLine="420"/>
        <w:jc w:val="both"/>
      </w:pPr>
      <w:r>
        <w:rPr>
          <w:rFonts w:ascii="Times New Roman" w:hAnsi="Times New Roman" w:eastAsia="Songti SC"/>
          <w:b w:val="0"/>
          <w:sz w:val="21"/>
        </w:rPr>
        <w:t>在结构层面，转轴和机匣采用分段Timoshenko梁离散，集中质量和圆盘惯量以节点形式装配，陀螺效应通过转速相关矩阵进入转子方程，基础支承通过弹簧—阻尼边界进入机匣方程。轴承接口矩阵将转子内圈节点和机匣外圈节点的相对运动送入局部接触模型，并将大小相等、方向相反的界面力回装到全局方程，从而保持两个柔性子系统之间的力学一致性。</w:t>
      </w:r>
    </w:p>
    <w:p>
      <w:pPr>
        <w:spacing w:line="360" w:lineRule="auto" w:after="80"/>
        <w:ind w:firstLine="420"/>
        <w:jc w:val="both"/>
      </w:pPr>
      <w:r>
        <w:rPr>
          <w:rFonts w:ascii="Times New Roman" w:hAnsi="Times New Roman" w:eastAsia="Songti SC"/>
          <w:b w:val="0"/>
          <w:sz w:val="21"/>
        </w:rPr>
        <w:t>热效应部分以摩擦功率和综合等效热导建立单节点热平衡。热平衡温度依次作用于润滑油黏度、压力—黏度系数、油膜指标和工作游隙，并要求在温度更新后重新计算接触载荷重分布。由此得到的有限差分切线刚度来自热后接触平衡点，不再通过额外油膜比例因子进行二次修正。油膜、等效压力和热黏阻尼的作用范围均已限定，避免将诊断量错误扩展为未实现的完整流体—结构反馈。</w:t>
      </w:r>
    </w:p>
    <w:p>
      <w:pPr>
        <w:spacing w:line="360" w:lineRule="auto" w:after="80"/>
        <w:ind w:firstLine="420"/>
        <w:jc w:val="both"/>
      </w:pPr>
      <w:r>
        <w:rPr>
          <w:rFonts w:ascii="Times New Roman" w:hAnsi="Times New Roman" w:eastAsia="Songti SC"/>
          <w:b w:val="0"/>
          <w:sz w:val="21"/>
        </w:rPr>
        <w:t>数值求解采用静态接触平衡、热平衡外循环和Newmark—β时域积分相衔接的形式。非线性动力学迭代按照现有松弛实现表述，并以扰动切线服务局部刚度诊断；对含数值警告的结果，只有在接触残差满足要求、输出有限、有效油膜为正且结果标识有效时才可进入限定性分析。该模型为后续研究不同入口油温、转速、载荷及结构参数条件下的热后支承状态与系统响应提供了统一的计算基础，同时保留了不等同于完整TEHL/THD或三维热场求解的适用范围。</w:t>
      </w:r>
    </w:p>
    <w:sectPr w:rsidR="00FC693F" w:rsidRPr="0006063C" w:rsidSect="00034616">
      <w:headerReference w:type="default" r:id="rId9"/>
      <w:footerReference w:type="default" r:id="rId10"/>
      <w:pgSz w:w="11906" w:h="16838"/>
      <w:pgMar w:top="1417" w:right="1531" w:bottom="141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ongti SC"/>
        <w:b w:val="0"/>
        <w:sz w:val="17"/>
      </w:rPr>
      <w:t>— 第 2 章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Songti SC"/>
        <w:b w:val="0"/>
        <w:sz w:val="17"/>
      </w:rPr>
      <w:t>第2章  闭环热效应下的轴承—转子—机匣系统动力学模型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ngti SC" w:hAnsi="Songti SC" w:eastAsia="Songti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ngti SC" w:hAnsi="Songti SC" w:eastAsia="Songti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ngti SC" w:hAnsi="Songti SC" w:eastAsia="Songti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