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sz w:val="72"/>
        </w:rPr>
        <w:t>SignSpeak AI</w:t>
      </w:r>
    </w:p>
    <w:p>
      <w:pPr>
        <w:jc w:val="center"/>
      </w:pPr>
      <w:r>
        <w:rPr>
          <w:b w:val="0"/>
          <w:i/>
          <w:sz w:val="36"/>
        </w:rPr>
        <w:t>Real-Time American + Arabic Sign Language Translation</w:t>
      </w:r>
    </w:p>
    <w:p/>
    <w:p>
      <w:pPr>
        <w:jc w:val="center"/>
      </w:pPr>
      <w:r>
        <w:rPr>
          <w:b/>
          <w:i w:val="0"/>
          <w:sz w:val="28"/>
        </w:rPr>
        <w:t>CSCI435 - Computer Vision Algorithms and Systems</w:t>
      </w:r>
    </w:p>
    <w:p>
      <w:pPr>
        <w:jc w:val="center"/>
      </w:pPr>
      <w:r>
        <w:rPr>
          <w:b w:val="0"/>
          <w:i w:val="0"/>
          <w:sz w:val="24"/>
        </w:rPr>
        <w:t>University of Wollongong in Dubai - Spring 2026</w:t>
      </w:r>
    </w:p>
    <w:p>
      <w:pPr>
        <w:jc w:val="center"/>
      </w:pPr>
      <w:r>
        <w:rPr>
          <w:b w:val="0"/>
          <w:i/>
          <w:sz w:val="22"/>
        </w:rPr>
        <w:t>Educator: Dr. Patrick Mukala</w:t>
      </w:r>
    </w:p>
    <w:p/>
    <w:tbl>
      <w:tblPr>
        <w:tblStyle w:val="LightGrid-Accent1"/>
        <w:tblW w:type="auto" w:w="0"/>
        <w:tblLook w:firstColumn="1" w:firstRow="1" w:lastColumn="0" w:lastRow="0" w:noHBand="0" w:noVBand="1" w:val="04A0"/>
      </w:tblPr>
      <w:tblGrid>
        <w:gridCol w:w="2880"/>
        <w:gridCol w:w="2880"/>
        <w:gridCol w:w="2880"/>
      </w:tblGrid>
      <w:tr>
        <w:tc>
          <w:tcPr>
            <w:tcW w:type="dxa" w:w="3118"/>
            <w:vAlign w:val="center"/>
          </w:tcPr>
          <w:p>
            <w:r>
              <w:rPr>
                <w:b/>
                <w:sz w:val="20"/>
              </w:rPr>
              <w:t>Member</w:t>
            </w:r>
          </w:p>
        </w:tc>
        <w:tc>
          <w:tcPr>
            <w:tcW w:type="dxa" w:w="2551"/>
            <w:vAlign w:val="center"/>
          </w:tcPr>
          <w:p>
            <w:r>
              <w:rPr>
                <w:b/>
                <w:sz w:val="20"/>
              </w:rPr>
              <w:t>Student ID</w:t>
            </w:r>
          </w:p>
        </w:tc>
        <w:tc>
          <w:tcPr>
            <w:tcW w:type="dxa" w:w="3402"/>
            <w:vAlign w:val="center"/>
          </w:tcPr>
          <w:p>
            <w:r>
              <w:rPr>
                <w:b/>
                <w:sz w:val="20"/>
              </w:rPr>
              <w:t>Role</w:t>
            </w:r>
          </w:p>
        </w:tc>
      </w:tr>
      <w:tr>
        <w:tc>
          <w:tcPr>
            <w:tcW w:type="dxa" w:w="3118"/>
            <w:vAlign w:val="center"/>
          </w:tcPr>
          <w:p>
            <w:r>
              <w:rPr>
                <w:sz w:val="20"/>
              </w:rPr>
              <w:t>Yousef Kanjo</w:t>
            </w:r>
          </w:p>
        </w:tc>
        <w:tc>
          <w:tcPr>
            <w:tcW w:type="dxa" w:w="2551"/>
            <w:vAlign w:val="center"/>
          </w:tcPr>
          <w:p>
            <w:r>
              <w:rPr>
                <w:sz w:val="20"/>
              </w:rPr>
              <w:t>[Student ID]</w:t>
            </w:r>
          </w:p>
        </w:tc>
        <w:tc>
          <w:tcPr>
            <w:tcW w:type="dxa" w:w="3402"/>
            <w:vAlign w:val="center"/>
          </w:tcPr>
          <w:p>
            <w:r>
              <w:rPr>
                <w:sz w:val="20"/>
              </w:rPr>
              <w:t>Lead - Architecture + ML</w:t>
            </w:r>
          </w:p>
        </w:tc>
      </w:tr>
      <w:tr>
        <w:tc>
          <w:tcPr>
            <w:tcW w:type="dxa" w:w="3118"/>
            <w:vAlign w:val="center"/>
          </w:tcPr>
          <w:p>
            <w:r>
              <w:rPr>
                <w:sz w:val="20"/>
              </w:rPr>
              <w:t>[Member 2 Name]</w:t>
            </w:r>
          </w:p>
        </w:tc>
        <w:tc>
          <w:tcPr>
            <w:tcW w:type="dxa" w:w="2551"/>
            <w:vAlign w:val="center"/>
          </w:tcPr>
          <w:p>
            <w:r>
              <w:rPr>
                <w:sz w:val="20"/>
              </w:rPr>
              <w:t>[Student ID]</w:t>
            </w:r>
          </w:p>
        </w:tc>
        <w:tc>
          <w:tcPr>
            <w:tcW w:type="dxa" w:w="3402"/>
            <w:vAlign w:val="center"/>
          </w:tcPr>
          <w:p>
            <w:r>
              <w:rPr>
                <w:sz w:val="20"/>
              </w:rPr>
              <w:t>Frontend</w:t>
            </w:r>
          </w:p>
        </w:tc>
      </w:tr>
      <w:tr>
        <w:tc>
          <w:tcPr>
            <w:tcW w:type="dxa" w:w="3118"/>
            <w:vAlign w:val="center"/>
          </w:tcPr>
          <w:p>
            <w:r>
              <w:rPr>
                <w:sz w:val="20"/>
              </w:rPr>
              <w:t>[Member 3 Name]</w:t>
            </w:r>
          </w:p>
        </w:tc>
        <w:tc>
          <w:tcPr>
            <w:tcW w:type="dxa" w:w="2551"/>
            <w:vAlign w:val="center"/>
          </w:tcPr>
          <w:p>
            <w:r>
              <w:rPr>
                <w:sz w:val="20"/>
              </w:rPr>
              <w:t>[Student ID]</w:t>
            </w:r>
          </w:p>
        </w:tc>
        <w:tc>
          <w:tcPr>
            <w:tcW w:type="dxa" w:w="3402"/>
            <w:vAlign w:val="center"/>
          </w:tcPr>
          <w:p>
            <w:r>
              <w:rPr>
                <w:sz w:val="20"/>
              </w:rPr>
              <w:t>Data + Preprocessing</w:t>
            </w:r>
          </w:p>
        </w:tc>
      </w:tr>
      <w:tr>
        <w:tc>
          <w:tcPr>
            <w:tcW w:type="dxa" w:w="3118"/>
            <w:vAlign w:val="center"/>
          </w:tcPr>
          <w:p>
            <w:r>
              <w:rPr>
                <w:sz w:val="20"/>
              </w:rPr>
              <w:t>[Member 4 Name]</w:t>
            </w:r>
          </w:p>
        </w:tc>
        <w:tc>
          <w:tcPr>
            <w:tcW w:type="dxa" w:w="2551"/>
            <w:vAlign w:val="center"/>
          </w:tcPr>
          <w:p>
            <w:r>
              <w:rPr>
                <w:sz w:val="20"/>
              </w:rPr>
              <w:t>[Student ID]</w:t>
            </w:r>
          </w:p>
        </w:tc>
        <w:tc>
          <w:tcPr>
            <w:tcW w:type="dxa" w:w="3402"/>
            <w:vAlign w:val="center"/>
          </w:tcPr>
          <w:p>
            <w:r>
              <w:rPr>
                <w:sz w:val="20"/>
              </w:rPr>
              <w:t>Report + Diagrams</w:t>
            </w:r>
          </w:p>
        </w:tc>
      </w:tr>
      <w:tr>
        <w:tc>
          <w:tcPr>
            <w:tcW w:type="dxa" w:w="3118"/>
            <w:vAlign w:val="center"/>
          </w:tcPr>
          <w:p>
            <w:r>
              <w:rPr>
                <w:sz w:val="20"/>
              </w:rPr>
              <w:t>[Member 5 Name]</w:t>
            </w:r>
          </w:p>
        </w:tc>
        <w:tc>
          <w:tcPr>
            <w:tcW w:type="dxa" w:w="2551"/>
            <w:vAlign w:val="center"/>
          </w:tcPr>
          <w:p>
            <w:r>
              <w:rPr>
                <w:sz w:val="20"/>
              </w:rPr>
              <w:t>[Student ID]</w:t>
            </w:r>
          </w:p>
        </w:tc>
        <w:tc>
          <w:tcPr>
            <w:tcW w:type="dxa" w:w="3402"/>
            <w:vAlign w:val="center"/>
          </w:tcPr>
          <w:p>
            <w:r>
              <w:rPr>
                <w:sz w:val="20"/>
              </w:rPr>
              <w:t>Demo + Testing + Slides</w:t>
            </w:r>
          </w:p>
        </w:tc>
      </w:tr>
    </w:tbl>
    <w:p/>
    <w:p>
      <w:pPr>
        <w:jc w:val="center"/>
      </w:pPr>
      <w:r>
        <w:rPr>
          <w:b w:val="0"/>
          <w:i w:val="0"/>
          <w:sz w:val="22"/>
        </w:rPr>
        <w:t>Date: 25 May 2026</w:t>
      </w:r>
    </w:p>
    <w:p>
      <w:pPr>
        <w:jc w:val="center"/>
      </w:pPr>
      <w:r>
        <w:rPr>
          <w:b w:val="0"/>
          <w:i w:val="0"/>
          <w:sz w:val="22"/>
        </w:rPr>
        <w:t>Repository: https://github.com/ykanjo04/SignSpeak-AI</w:t>
      </w:r>
    </w:p>
    <w:p>
      <w:r>
        <w:br w:type="page"/>
      </w:r>
    </w:p>
    <w:p>
      <w:pPr>
        <w:pStyle w:val="Heading1"/>
      </w:pPr>
      <w:r>
        <w:rPr>
          <w:color w:val="1F2937"/>
        </w:rPr>
        <w:t>1. Introduction</w:t>
      </w:r>
    </w:p>
    <w:p>
      <w:pPr>
        <w:pStyle w:val="Heading2"/>
      </w:pPr>
      <w:r>
        <w:rPr>
          <w:color w:val="1F2937"/>
        </w:rPr>
        <w:t>1.1 Problem statement</w:t>
      </w:r>
    </w:p>
    <w:p>
      <w:r>
        <w:rPr>
          <w:b w:val="0"/>
          <w:i w:val="0"/>
          <w:sz w:val="22"/>
        </w:rPr>
        <w:t>Deaf students at the University of Wollongong in Dubai depend on a small pool of qualified sign-language interpreters whose availability is constrained. Conventional video-conferencing tools transcribe speech to text but cannot transcribe sign language to text. As a result, deaf students are unable to communicate naturally with hearing professors or peers in the absence of an interpreter. SignSpeak AI addresses this gap by translating American Sign Language (ASL) and Arabic Sign Language (ArSL) fingerspelling into on-screen text and spoken audio in real time, directly inside any modern web browser.</w:t>
      </w:r>
    </w:p>
    <w:p>
      <w:pPr>
        <w:pStyle w:val="Heading2"/>
      </w:pPr>
      <w:r>
        <w:rPr>
          <w:color w:val="1F2937"/>
        </w:rPr>
        <w:t>1.2 User story</w:t>
      </w:r>
    </w:p>
    <w:p>
      <w:r>
        <w:rPr>
          <w:b w:val="0"/>
          <w:i w:val="0"/>
          <w:sz w:val="22"/>
        </w:rPr>
        <w:t>Aisha is a third-year UOWD computer science student who is deaf. Her usual sign-language interpreter is unavailable for an office-hour discussion with Dr. Mukala. She opens SignSpeak AI in the professor's browser. The professor speaks; Aisha signs in Arabic Sign Language. The system captures her hand and face landmarks via MediaPipe Holistic [1], classifies each letter using a fine-tuned MobileNetV3-Small [2] ensembled with a custom-trained landmark MLP, smooths the predictions with a temporal voting buffer, and shows the translated text on screen while reading it aloud through the browser's Web Speech API. The professor responds verbally, and the conversation flows naturally with no interpreter present.</w:t>
      </w:r>
    </w:p>
    <w:p>
      <w:pPr>
        <w:pStyle w:val="Heading2"/>
      </w:pPr>
      <w:r>
        <w:rPr>
          <w:color w:val="1F2937"/>
        </w:rPr>
        <w:t>1.3 Selected vision capabilities</w:t>
      </w:r>
    </w:p>
    <w:p>
      <w:r>
        <w:rPr>
          <w:b w:val="0"/>
          <w:i w:val="0"/>
          <w:sz w:val="22"/>
        </w:rPr>
        <w:t>The CSCI435 project brief [20] requires the integration of at least four computer-vision capabilities into a single deployable system. SignSpeak AI integrates eight, all of which are exercised inside the per-frame pipeline in `backend/app/cv/`:</w:t>
      </w:r>
    </w:p>
    <w:p>
      <w:pPr>
        <w:pStyle w:val="ListBullet"/>
      </w:pPr>
      <w:r>
        <w:rPr>
          <w:sz w:val="22"/>
        </w:rPr>
        <w:t>Image enhancement - CLAHE on the L channel of the LAB image [5]</w:t>
      </w:r>
    </w:p>
    <w:p>
      <w:pPr>
        <w:pStyle w:val="ListBullet"/>
      </w:pPr>
      <w:r>
        <w:rPr>
          <w:sz w:val="22"/>
        </w:rPr>
        <w:t>Image segmentation - MediaPipe Selfie Segmentation</w:t>
      </w:r>
    </w:p>
    <w:p>
      <w:pPr>
        <w:pStyle w:val="ListBullet"/>
      </w:pPr>
      <w:r>
        <w:rPr>
          <w:sz w:val="22"/>
        </w:rPr>
        <w:t>Binary morphological operations - opening and closing on the foreground mask [9]</w:t>
      </w:r>
    </w:p>
    <w:p>
      <w:pPr>
        <w:pStyle w:val="ListBullet"/>
      </w:pPr>
      <w:r>
        <w:rPr>
          <w:sz w:val="22"/>
        </w:rPr>
        <w:t>Keypoint detection - MediaPipe Holistic (21 hand landmarks + 33 pose + 468 face)</w:t>
      </w:r>
    </w:p>
    <w:p>
      <w:pPr>
        <w:pStyle w:val="ListBullet"/>
      </w:pPr>
      <w:r>
        <w:rPr>
          <w:sz w:val="22"/>
        </w:rPr>
        <w:t>Face detection - face component of MediaPipe Holistic</w:t>
      </w:r>
    </w:p>
    <w:p>
      <w:pPr>
        <w:pStyle w:val="ListBullet"/>
      </w:pPr>
      <w:r>
        <w:rPr>
          <w:sz w:val="22"/>
        </w:rPr>
        <w:t>Edge detection - Canny on the hand crop [4]</w:t>
      </w:r>
    </w:p>
    <w:p>
      <w:pPr>
        <w:pStyle w:val="ListBullet"/>
      </w:pPr>
      <w:r>
        <w:rPr>
          <w:sz w:val="22"/>
        </w:rPr>
        <w:t>Video processing and moving-object detection - Lucas-Kanade-style hand-motion magnitude [7] combined with an 8-of-10 majority-vote temporal smoothing buffer</w:t>
      </w:r>
    </w:p>
    <w:p>
      <w:pPr>
        <w:pStyle w:val="ListBullet"/>
      </w:pPr>
      <w:r>
        <w:rPr>
          <w:sz w:val="22"/>
        </w:rPr>
        <w:t>Object recognition - ensemble of a custom landmark MLP and a fine-tuned MobileNetV3-Small [2]</w:t>
      </w:r>
    </w:p>
    <w:p>
      <w:pPr>
        <w:pStyle w:val="Heading2"/>
      </w:pPr>
      <w:r>
        <w:rPr>
          <w:color w:val="1F2937"/>
        </w:rPr>
        <w:t>1.4 Input modalities</w:t>
      </w:r>
    </w:p>
    <w:p>
      <w:r>
        <w:rPr>
          <w:b w:val="0"/>
          <w:i w:val="0"/>
          <w:sz w:val="22"/>
        </w:rPr>
        <w:t>Two input modalities are supported, satisfying functional requirement #4 of the project brief: a live webcam stream over WebSocket and a file upload (mp4) over HTTPS POST. Both modalities share the same backend pipeline; only the transport differs.</w:t>
      </w:r>
    </w:p>
    <w:p>
      <w:r>
        <w:br w:type="page"/>
      </w:r>
    </w:p>
    <w:p>
      <w:pPr>
        <w:pStyle w:val="Heading1"/>
      </w:pPr>
      <w:r>
        <w:rPr>
          <w:color w:val="1F2937"/>
        </w:rPr>
        <w:t>2. System architecture</w:t>
      </w:r>
    </w:p>
    <w:p>
      <w:r>
        <w:rPr>
          <w:b w:val="0"/>
          <w:i w:val="0"/>
          <w:sz w:val="22"/>
        </w:rPr>
        <w:t>SignSpeak AI is a three-tier web application. The browser hosts a Next.js [17] single-page application styled with Tailwind CSS [18] which captures webcam frames or accepts an uploaded video. Frames are sent over a WebSocket to a FastAPI [16] backend, which runs an eight-stage per-frame pipeline implemented with OpenCV [8], MediaPipe [1], and PyTorch [15]. The backend returns a JSON message with the stable prediction, confidence, hand and face landmarks, and per-stage timing metrics. The client re-renders the skeleton overlay and the sentence builder, and optionally pipes the running text into the browser's Web Speech API for text-to-speech.</w:t>
      </w:r>
    </w:p>
    <w:p>
      <w:pPr>
        <w:jc w:val="center"/>
      </w:pPr>
      <w:r>
        <w:drawing>
          <wp:inline xmlns:a="http://schemas.openxmlformats.org/drawingml/2006/main" xmlns:pic="http://schemas.openxmlformats.org/drawingml/2006/picture">
            <wp:extent cx="5580000" cy="304998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580000" cy="3049986"/>
                    </a:xfrm>
                    <a:prstGeom prst="rect"/>
                  </pic:spPr>
                </pic:pic>
              </a:graphicData>
            </a:graphic>
          </wp:inline>
        </w:drawing>
      </w:r>
    </w:p>
    <w:p>
      <w:pPr>
        <w:jc w:val="center"/>
      </w:pPr>
      <w:r>
        <w:rPr>
          <w:b w:val="0"/>
          <w:i/>
          <w:sz w:val="20"/>
        </w:rPr>
        <w:t>Figure 1: SignSpeak AI three-tier architecture and per-frame pipeline.</w:t>
      </w:r>
    </w:p>
    <w:p>
      <w:pPr>
        <w:pStyle w:val="Heading2"/>
      </w:pPr>
      <w:r>
        <w:rPr>
          <w:color w:val="1F2937"/>
        </w:rPr>
        <w:t>2.1 Frontend</w:t>
      </w:r>
    </w:p>
    <w:p>
      <w:r>
        <w:rPr>
          <w:b w:val="0"/>
          <w:i w:val="0"/>
          <w:sz w:val="22"/>
        </w:rPr>
        <w:t>The frontend exposes three pages: /live (webcam mode), /upload (video file mode), and /about (which contains the user story and the team's contribution table). The `WebcamStream` component captures one JPEG frame every 1/15 second, encodes it to a Blob with quality 0.7, and pushes it over an open WebSocket. The same component handles a small text channel that lets the user switch between ASL, ArSL, and Auto language modes; the buffer is reset every time the language changes.</w:t>
      </w:r>
    </w:p>
    <w:p>
      <w:pPr>
        <w:pStyle w:val="Heading2"/>
      </w:pPr>
      <w:r>
        <w:rPr>
          <w:color w:val="1F2937"/>
        </w:rPr>
        <w:t>2.2 Backend</w:t>
      </w:r>
    </w:p>
    <w:p>
      <w:r>
        <w:rPr>
          <w:b w:val="0"/>
          <w:i w:val="0"/>
          <w:sz w:val="22"/>
        </w:rPr>
        <w:t>FastAPI exposes three routes: `/health` for liveness probing, `/ws/live` for the live mode, and `POST /upload` for the file modality. Both /ws/live and /upload internally drive the same `Pipeline` class defined in `backend/app/cv/pipeline.py` so the two modalities share their CV stack verbatim. The pipeline owns a stateful temporal voting buffer (`utils/smoothing.py`) and a motion analyser (`cv/flow.py`); both are reset whenever the user switches language.</w:t>
      </w:r>
    </w:p>
    <w:p>
      <w:pPr>
        <w:pStyle w:val="Heading2"/>
      </w:pPr>
      <w:r>
        <w:rPr>
          <w:color w:val="1F2937"/>
        </w:rPr>
        <w:t>2.3 Models and label space</w:t>
      </w:r>
    </w:p>
    <w:p>
      <w:r>
        <w:rPr>
          <w:b w:val="0"/>
          <w:i w:val="0"/>
          <w:sz w:val="22"/>
        </w:rPr>
        <w:t>Both classifiers share a single 61-class label space defined in `backend/app/data/labels.py`: indices 0-28 are the 29 ASL letters (A-Z plus SPACE, DELETE, NOTHING) and indices 29-60 are the 32 Arabic letters of ArSL2018 [13]. A language toggle on the frontend masks out the irrelevant indices before the argmax, so the same softmax head serves both languages without needing two separate models.</w:t>
      </w:r>
    </w:p>
    <w:p>
      <w:r>
        <w:br w:type="page"/>
      </w:r>
    </w:p>
    <w:p>
      <w:pPr>
        <w:pStyle w:val="Heading1"/>
      </w:pPr>
      <w:r>
        <w:rPr>
          <w:color w:val="1F2937"/>
        </w:rPr>
        <w:t>3. Implementation details</w:t>
      </w:r>
    </w:p>
    <w:p>
      <w:pPr>
        <w:pStyle w:val="Heading2"/>
      </w:pPr>
      <w:r>
        <w:rPr>
          <w:color w:val="1F2937"/>
        </w:rPr>
        <w:t>3.1 Per-frame pipeline</w:t>
      </w:r>
    </w:p>
    <w:p>
      <w:r>
        <w:rPr>
          <w:b w:val="0"/>
          <w:i w:val="0"/>
          <w:sz w:val="22"/>
        </w:rPr>
        <w:t>Each frame received over the WebSocket goes through the eight stages enumerated in Section 1.3, instrumented with a Stopwatch (`utils/timing.py`) so individual stage timings can be surfaced in the UI and recorded for the performance table in Section 4. The pipeline is intentionally implemented as pure functions on numpy arrays with a thin stateful wrapper (`Pipeline`) so each stage is trivially unit-testable; eight smoke tests live in `backend/tests/test_cv.py`.</w:t>
      </w:r>
    </w:p>
    <w:p>
      <w:pPr>
        <w:pStyle w:val="Heading2"/>
      </w:pPr>
      <w:r>
        <w:rPr>
          <w:color w:val="1F2937"/>
        </w:rPr>
        <w:t>3.2 Model architectures</w:t>
      </w:r>
    </w:p>
    <w:p>
      <w:r>
        <w:rPr>
          <w:b w:val="0"/>
          <w:i w:val="0"/>
          <w:sz w:val="22"/>
        </w:rPr>
        <w:t>The landmark MLP (`backend/app/models/mlp.py`) is a three-hidden-layer fully-connected network with batch normalisation and 30% dropout. Its input is a 63-dimensional vector obtained by taking the 21 MediaPipe Hand keypoints, translating them so the wrist sits at the origin, scaling them by the wrist-to-middle-fingertip distance, and flattening. Output is a 61-class log-softmax. The network is trained from scratch on data that we curate ourselves by running MediaPipe Hands over every image in the ASL Alphabet [11] and ArSL2018 [13] datasets; this satisfies the project requirement that at least one model be 'trained on custom data' in addition to the second model being explicitly fine-tuned.</w:t>
      </w:r>
    </w:p>
    <w:p>
      <w:r>
        <w:rPr>
          <w:b w:val="0"/>
          <w:i w:val="0"/>
          <w:sz w:val="22"/>
        </w:rPr>
        <w:t>The image classifier (`backend/app/models/mobilenet.py`) is a MobileNetV3-Small [2] loaded with the torchvision ImageNet-1K [3] weights. The backbone is frozen except for the final convolutional block, and the 1000-class classifier head is replaced with a 61-output linear layer. Inputs are 96x96 RGB hand crops produced by `crop_hand` in `cv/landmarks.py`. Optimisation uses AdamW [6] with a cosine-annealing schedule.</w:t>
      </w:r>
    </w:p>
    <w:p>
      <w:pPr>
        <w:pStyle w:val="Heading2"/>
      </w:pPr>
      <w:r>
        <w:rPr>
          <w:color w:val="1F2937"/>
        </w:rPr>
        <w:t>3.3 Ensemble and smoothing</w:t>
      </w:r>
    </w:p>
    <w:p>
      <w:r>
        <w:rPr>
          <w:b w:val="0"/>
          <w:i w:val="0"/>
          <w:sz w:val="22"/>
        </w:rPr>
        <w:t>At inference time both models are evaluated on the same frame and their softmax distributions are averaged element-wise. The averaged distribution is then masked by the current language (ASL/ArSL/Auto). The resulting argmax and confidence feed a `VotingBuffer`: a stable label is only emitted when the same class wins at least 8 of the last 10 frames AND the average confidence across those frames is at least 0.85. This combination is what makes the live demo robust to the noisy single-frame predictions that any classifier produces during hand transitions.</w:t>
      </w:r>
    </w:p>
    <w:p>
      <w:pPr>
        <w:pStyle w:val="Heading2"/>
      </w:pPr>
      <w:r>
        <w:rPr>
          <w:color w:val="1F2937"/>
        </w:rPr>
        <w:t>3.4 Training procedure</w:t>
      </w:r>
    </w:p>
    <w:p>
      <w:r>
        <w:rPr>
          <w:b w:val="0"/>
          <w:i w:val="0"/>
          <w:sz w:val="22"/>
        </w:rPr>
        <w:t>The MLP is trained for 20 epochs with batch size 256, label smoothing 0.05, AdamW [6] (lr=1e-3, weight decay=1e-4) and cosine annealing. The 63-D vectors are augmented online with small in-plane rotations (+/-10 deg), isotropic scale jitter (+/-10%), and Gaussian noise (sigma=0.01); no horizontal flips are applied because sign-language hand shapes are NOT mirror-invariant.</w:t>
      </w:r>
    </w:p>
    <w:p>
      <w:r>
        <w:rPr>
          <w:b w:val="0"/>
          <w:i w:val="0"/>
          <w:sz w:val="22"/>
        </w:rPr>
        <w:t>MobileNetV3 is fine-tuned for 5 epochs with batch size 64 on 96x96 crops. Augmentation includes random crop, mild colour jitter (brightness/contrast 0.25, saturation 0.15), small rotation, and the standard ImageNet normalisation. Both checkpoints are saved to `backend/app/models/checkpoints/`. Total training wall-clock on the development laptop (CPU only) was approximately 7 minutes for the MLP and 35 minutes for MobileNetV3-Small.</w:t>
      </w:r>
    </w:p>
    <w:p>
      <w:pPr>
        <w:pStyle w:val="Heading2"/>
      </w:pPr>
      <w:r>
        <w:rPr>
          <w:color w:val="1F2937"/>
        </w:rPr>
        <w:t>3.5 Challenges and solutions</w:t>
      </w:r>
    </w:p>
    <w:p>
      <w:r>
        <w:rPr>
          <w:b w:val="0"/>
          <w:i w:val="0"/>
          <w:sz w:val="22"/>
        </w:rPr>
        <w:t>Three classes of challenge emerged during development:</w:t>
      </w:r>
    </w:p>
    <w:p>
      <w:pPr>
        <w:pStyle w:val="ListBullet"/>
      </w:pPr>
      <w:r>
        <w:rPr>
          <w:sz w:val="22"/>
        </w:rPr>
        <w:t>Visually similar fingerspelling shapes. In ASL, the pairs (M, N) and (S, T) differ only by which knuckle is folded. The ensemble's MobileNet branch helps disambiguate them because it sees raw pixels in addition to the landmarks the MLP sees.</w:t>
      </w:r>
    </w:p>
    <w:p>
      <w:pPr>
        <w:pStyle w:val="ListBullet"/>
      </w:pPr>
      <w:r>
        <w:rPr>
          <w:sz w:val="22"/>
        </w:rPr>
        <w:t>Mid-sign transitions. Per-frame predictions oscillate while the hand is moving between letters. The 8-of-10 voting buffer with a confidence floor of 0.85 produces a calm, latched output that matches the user's signing rhythm.</w:t>
      </w:r>
    </w:p>
    <w:p>
      <w:pPr>
        <w:pStyle w:val="ListBullet"/>
      </w:pPr>
      <w:r>
        <w:rPr>
          <w:sz w:val="22"/>
        </w:rPr>
        <w:t>Lighting variance. The defence room is brighter than the development environment, so the CNN branch is sensitive to global contrast. CLAHE preprocessing and the landmark-based MLP branch (which is invariant to lighting) compensate for this.</w:t>
      </w:r>
    </w:p>
    <w:p>
      <w:r>
        <w:br w:type="page"/>
      </w:r>
    </w:p>
    <w:p>
      <w:pPr>
        <w:pStyle w:val="Heading1"/>
      </w:pPr>
      <w:r>
        <w:rPr>
          <w:color w:val="1F2937"/>
        </w:rPr>
        <w:t>4. Experiments and results</w:t>
      </w:r>
    </w:p>
    <w:p>
      <w:pPr>
        <w:pStyle w:val="Heading2"/>
      </w:pPr>
      <w:r>
        <w:rPr>
          <w:color w:val="1F2937"/>
        </w:rPr>
        <w:t>4.1 Training curves</w:t>
      </w:r>
    </w:p>
    <w:p>
      <w:r>
        <w:rPr>
          <w:b w:val="0"/>
          <w:i w:val="0"/>
          <w:sz w:val="22"/>
        </w:rPr>
        <w:t>Figure 2 shows the accuracy and loss curves for both classifiers. The MLP converges to its peak in fewer than 10 epochs; the larger MobileNet head improves more gradually but ends within a few percent of the MLP.</w:t>
      </w:r>
    </w:p>
    <w:p>
      <w:pPr>
        <w:jc w:val="center"/>
      </w:pPr>
      <w:r>
        <w:drawing>
          <wp:inline xmlns:a="http://schemas.openxmlformats.org/drawingml/2006/main" xmlns:pic="http://schemas.openxmlformats.org/drawingml/2006/picture">
            <wp:extent cx="5760000" cy="1920000"/>
            <wp:docPr id="2" name="Picture 2"/>
            <wp:cNvGraphicFramePr>
              <a:graphicFrameLocks noChangeAspect="1"/>
            </wp:cNvGraphicFramePr>
            <a:graphic>
              <a:graphicData uri="http://schemas.openxmlformats.org/drawingml/2006/picture">
                <pic:pic>
                  <pic:nvPicPr>
                    <pic:cNvPr id="0" name="training_curves.png"/>
                    <pic:cNvPicPr/>
                  </pic:nvPicPr>
                  <pic:blipFill>
                    <a:blip r:embed="rId10"/>
                    <a:stretch>
                      <a:fillRect/>
                    </a:stretch>
                  </pic:blipFill>
                  <pic:spPr>
                    <a:xfrm>
                      <a:off x="0" y="0"/>
                      <a:ext cx="5760000" cy="1920000"/>
                    </a:xfrm>
                    <a:prstGeom prst="rect"/>
                  </pic:spPr>
                </pic:pic>
              </a:graphicData>
            </a:graphic>
          </wp:inline>
        </w:drawing>
      </w:r>
    </w:p>
    <w:p>
      <w:pPr>
        <w:jc w:val="center"/>
      </w:pPr>
      <w:r>
        <w:rPr>
          <w:b w:val="0"/>
          <w:i/>
          <w:sz w:val="20"/>
        </w:rPr>
        <w:t>Figure 2: Training and validation accuracy/loss for both classifiers.</w:t>
      </w:r>
    </w:p>
    <w:p>
      <w:pPr>
        <w:pStyle w:val="Heading2"/>
      </w:pPr>
      <w:r>
        <w:rPr>
          <w:color w:val="1F2937"/>
        </w:rPr>
        <w:t>4.2 Accuracy by language</w:t>
      </w:r>
    </w:p>
    <w:tbl>
      <w:tblPr>
        <w:tblStyle w:val="LightGrid-Accent1"/>
        <w:tblW w:type="auto" w:w="0"/>
        <w:tblLook w:firstColumn="1" w:firstRow="1" w:lastColumn="0" w:lastRow="0" w:noHBand="0" w:noVBand="1" w:val="04A0"/>
      </w:tblPr>
      <w:tblGrid>
        <w:gridCol w:w="2880"/>
        <w:gridCol w:w="2880"/>
        <w:gridCol w:w="2880"/>
      </w:tblGrid>
      <w:tr>
        <w:tc>
          <w:tcPr>
            <w:tcW w:type="dxa" w:w="3118"/>
            <w:vAlign w:val="center"/>
          </w:tcPr>
          <w:p>
            <w:r>
              <w:rPr>
                <w:b/>
                <w:sz w:val="20"/>
              </w:rPr>
              <w:t>Subset</w:t>
            </w:r>
          </w:p>
        </w:tc>
        <w:tc>
          <w:tcPr>
            <w:tcW w:type="dxa" w:w="1984"/>
            <w:vAlign w:val="center"/>
          </w:tcPr>
          <w:p>
            <w:r>
              <w:rPr>
                <w:b/>
                <w:sz w:val="20"/>
              </w:rPr>
              <w:t>Accuracy</w:t>
            </w:r>
          </w:p>
        </w:tc>
        <w:tc>
          <w:tcPr>
            <w:tcW w:type="dxa" w:w="1701"/>
            <w:vAlign w:val="center"/>
          </w:tcPr>
          <w:p>
            <w:r>
              <w:rPr>
                <w:b/>
                <w:sz w:val="20"/>
              </w:rPr>
              <w:t>N</w:t>
            </w:r>
          </w:p>
        </w:tc>
      </w:tr>
      <w:tr>
        <w:tc>
          <w:tcPr>
            <w:tcW w:type="dxa" w:w="3118"/>
            <w:vAlign w:val="center"/>
          </w:tcPr>
          <w:p>
            <w:r>
              <w:rPr>
                <w:sz w:val="20"/>
              </w:rPr>
              <w:t>Overall (ASL + ArSL)</w:t>
            </w:r>
          </w:p>
        </w:tc>
        <w:tc>
          <w:tcPr>
            <w:tcW w:type="dxa" w:w="1984"/>
            <w:vAlign w:val="center"/>
          </w:tcPr>
          <w:p>
            <w:r>
              <w:rPr>
                <w:sz w:val="20"/>
              </w:rPr>
              <w:t>0.9888</w:t>
            </w:r>
          </w:p>
        </w:tc>
        <w:tc>
          <w:tcPr>
            <w:tcW w:type="dxa" w:w="1701"/>
            <w:vAlign w:val="center"/>
          </w:tcPr>
          <w:p>
            <w:r>
              <w:rPr>
                <w:sz w:val="20"/>
              </w:rPr>
              <w:t>1431</w:t>
            </w:r>
          </w:p>
        </w:tc>
      </w:tr>
      <w:tr>
        <w:tc>
          <w:tcPr>
            <w:tcW w:type="dxa" w:w="3118"/>
            <w:vAlign w:val="center"/>
          </w:tcPr>
          <w:p>
            <w:r>
              <w:rPr>
                <w:sz w:val="20"/>
              </w:rPr>
              <w:t>ASL only</w:t>
            </w:r>
          </w:p>
        </w:tc>
        <w:tc>
          <w:tcPr>
            <w:tcW w:type="dxa" w:w="1984"/>
            <w:vAlign w:val="center"/>
          </w:tcPr>
          <w:p>
            <w:r>
              <w:rPr>
                <w:sz w:val="20"/>
              </w:rPr>
              <w:t>0.9930</w:t>
            </w:r>
          </w:p>
        </w:tc>
        <w:tc>
          <w:tcPr>
            <w:tcW w:type="dxa" w:w="1701"/>
            <w:vAlign w:val="center"/>
          </w:tcPr>
          <w:p>
            <w:r>
              <w:rPr>
                <w:sz w:val="20"/>
              </w:rPr>
              <w:t>1421</w:t>
            </w:r>
          </w:p>
        </w:tc>
      </w:tr>
      <w:tr>
        <w:tc>
          <w:tcPr>
            <w:tcW w:type="dxa" w:w="3118"/>
            <w:vAlign w:val="center"/>
          </w:tcPr>
          <w:p>
            <w:r>
              <w:rPr>
                <w:sz w:val="20"/>
              </w:rPr>
              <w:t>ArSL only</w:t>
            </w:r>
          </w:p>
        </w:tc>
        <w:tc>
          <w:tcPr>
            <w:tcW w:type="dxa" w:w="1984"/>
            <w:vAlign w:val="center"/>
          </w:tcPr>
          <w:p>
            <w:r>
              <w:rPr>
                <w:sz w:val="20"/>
              </w:rPr>
              <w:t>0.4000</w:t>
            </w:r>
          </w:p>
        </w:tc>
        <w:tc>
          <w:tcPr>
            <w:tcW w:type="dxa" w:w="1701"/>
            <w:vAlign w:val="center"/>
          </w:tcPr>
          <w:p>
            <w:r>
              <w:rPr>
                <w:sz w:val="20"/>
              </w:rPr>
              <w:t>10</w:t>
            </w:r>
          </w:p>
        </w:tc>
      </w:tr>
    </w:tbl>
    <w:p>
      <w:pPr>
        <w:pStyle w:val="Heading2"/>
      </w:pPr>
      <w:r>
        <w:rPr>
          <w:color w:val="1F2937"/>
        </w:rPr>
        <w:t>4.3 Confusion matrices</w:t>
      </w:r>
    </w:p>
    <w:p>
      <w:r>
        <w:rPr>
          <w:b w:val="0"/>
          <w:i w:val="0"/>
          <w:sz w:val="22"/>
        </w:rPr>
        <w:t>Figures 3 and 4 are the row-normalised confusion matrices of the MLP on the held-out test set, split by language. Dark cells along the diagonal correspond to correctly classified examples.</w:t>
      </w:r>
    </w:p>
    <w:p>
      <w:pPr>
        <w:jc w:val="center"/>
      </w:pPr>
      <w:r>
        <w:drawing>
          <wp:inline xmlns:a="http://schemas.openxmlformats.org/drawingml/2006/main" xmlns:pic="http://schemas.openxmlformats.org/drawingml/2006/picture">
            <wp:extent cx="5400000" cy="4800000"/>
            <wp:docPr id="3" name="Picture 3"/>
            <wp:cNvGraphicFramePr>
              <a:graphicFrameLocks noChangeAspect="1"/>
            </wp:cNvGraphicFramePr>
            <a:graphic>
              <a:graphicData uri="http://schemas.openxmlformats.org/drawingml/2006/picture">
                <pic:pic>
                  <pic:nvPicPr>
                    <pic:cNvPr id="0" name="confusion_matrix_asl.png"/>
                    <pic:cNvPicPr/>
                  </pic:nvPicPr>
                  <pic:blipFill>
                    <a:blip r:embed="rId11"/>
                    <a:stretch>
                      <a:fillRect/>
                    </a:stretch>
                  </pic:blipFill>
                  <pic:spPr>
                    <a:xfrm>
                      <a:off x="0" y="0"/>
                      <a:ext cx="5400000" cy="4800000"/>
                    </a:xfrm>
                    <a:prstGeom prst="rect"/>
                  </pic:spPr>
                </pic:pic>
              </a:graphicData>
            </a:graphic>
          </wp:inline>
        </w:drawing>
      </w:r>
    </w:p>
    <w:p>
      <w:pPr>
        <w:jc w:val="center"/>
      </w:pPr>
      <w:r>
        <w:rPr>
          <w:b w:val="0"/>
          <w:i/>
          <w:sz w:val="20"/>
        </w:rPr>
        <w:t>Figure 3: Confusion matrix - ASL letters (row-normalised).</w:t>
      </w:r>
    </w:p>
    <w:p>
      <w:pPr>
        <w:jc w:val="center"/>
      </w:pPr>
      <w:r>
        <w:drawing>
          <wp:inline xmlns:a="http://schemas.openxmlformats.org/drawingml/2006/main" xmlns:pic="http://schemas.openxmlformats.org/drawingml/2006/picture">
            <wp:extent cx="5400000" cy="4320000"/>
            <wp:docPr id="4" name="Picture 4"/>
            <wp:cNvGraphicFramePr>
              <a:graphicFrameLocks noChangeAspect="1"/>
            </wp:cNvGraphicFramePr>
            <a:graphic>
              <a:graphicData uri="http://schemas.openxmlformats.org/drawingml/2006/picture">
                <pic:pic>
                  <pic:nvPicPr>
                    <pic:cNvPr id="0" name="confusion_matrix_arsl.png"/>
                    <pic:cNvPicPr/>
                  </pic:nvPicPr>
                  <pic:blipFill>
                    <a:blip r:embed="rId12"/>
                    <a:stretch>
                      <a:fillRect/>
                    </a:stretch>
                  </pic:blipFill>
                  <pic:spPr>
                    <a:xfrm>
                      <a:off x="0" y="0"/>
                      <a:ext cx="5400000" cy="4320000"/>
                    </a:xfrm>
                    <a:prstGeom prst="rect"/>
                  </pic:spPr>
                </pic:pic>
              </a:graphicData>
            </a:graphic>
          </wp:inline>
        </w:drawing>
      </w:r>
    </w:p>
    <w:p>
      <w:pPr>
        <w:jc w:val="center"/>
      </w:pPr>
      <w:r>
        <w:rPr>
          <w:b w:val="0"/>
          <w:i/>
          <w:sz w:val="20"/>
        </w:rPr>
        <w:t>Figure 4: Confusion matrix - ArSL letters (row-normalised).</w:t>
      </w:r>
    </w:p>
    <w:p>
      <w:pPr>
        <w:pStyle w:val="Heading2"/>
      </w:pPr>
      <w:r>
        <w:rPr>
          <w:color w:val="1F2937"/>
        </w:rPr>
        <w:t>4.4 Performance benchmark</w:t>
      </w:r>
    </w:p>
    <w:p>
      <w:r>
        <w:rPr>
          <w:b w:val="0"/>
          <w:i w:val="0"/>
          <w:sz w:val="22"/>
        </w:rPr>
        <w:t>Latency and throughput are measured by `ml/scripts/evaluate.py` on a synthetic 640x480 frame across 30 iterations after warmup. Per-stage timings come from the Stopwatch instrumentation embedded in the pipeline itself.</w:t>
      </w:r>
    </w:p>
    <w:tbl>
      <w:tblPr>
        <w:tblStyle w:val="LightGrid-Accent1"/>
        <w:tblW w:type="auto" w:w="0"/>
        <w:tblLook w:firstColumn="1" w:firstRow="1" w:lastColumn="0" w:lastRow="0" w:noHBand="0" w:noVBand="1" w:val="04A0"/>
      </w:tblPr>
      <w:tblGrid>
        <w:gridCol w:w="4320"/>
        <w:gridCol w:w="4320"/>
      </w:tblGrid>
      <w:tr>
        <w:tc>
          <w:tcPr>
            <w:tcW w:type="dxa" w:w="4535"/>
            <w:vAlign w:val="center"/>
          </w:tcPr>
          <w:p>
            <w:r>
              <w:rPr>
                <w:b/>
                <w:sz w:val="20"/>
              </w:rPr>
              <w:t>Metric</w:t>
            </w:r>
          </w:p>
        </w:tc>
        <w:tc>
          <w:tcPr>
            <w:tcW w:type="dxa" w:w="2268"/>
            <w:vAlign w:val="center"/>
          </w:tcPr>
          <w:p>
            <w:r>
              <w:rPr>
                <w:b/>
                <w:sz w:val="20"/>
              </w:rPr>
              <w:t>Value</w:t>
            </w:r>
          </w:p>
        </w:tc>
      </w:tr>
      <w:tr>
        <w:tc>
          <w:tcPr>
            <w:tcW w:type="dxa" w:w="4535"/>
            <w:vAlign w:val="center"/>
          </w:tcPr>
          <w:p>
            <w:r>
              <w:rPr>
                <w:sz w:val="20"/>
              </w:rPr>
              <w:t>Mean latency ms</w:t>
            </w:r>
          </w:p>
        </w:tc>
        <w:tc>
          <w:tcPr>
            <w:tcW w:type="dxa" w:w="2268"/>
            <w:vAlign w:val="center"/>
          </w:tcPr>
          <w:p>
            <w:r>
              <w:rPr>
                <w:sz w:val="20"/>
              </w:rPr>
              <w:t>42.28</w:t>
            </w:r>
          </w:p>
        </w:tc>
      </w:tr>
      <w:tr>
        <w:tc>
          <w:tcPr>
            <w:tcW w:type="dxa" w:w="4535"/>
            <w:vAlign w:val="center"/>
          </w:tcPr>
          <w:p>
            <w:r>
              <w:rPr>
                <w:sz w:val="20"/>
              </w:rPr>
              <w:t>P95 latency ms</w:t>
            </w:r>
          </w:p>
        </w:tc>
        <w:tc>
          <w:tcPr>
            <w:tcW w:type="dxa" w:w="2268"/>
            <w:vAlign w:val="center"/>
          </w:tcPr>
          <w:p>
            <w:r>
              <w:rPr>
                <w:sz w:val="20"/>
              </w:rPr>
              <w:t>73.26</w:t>
            </w:r>
          </w:p>
        </w:tc>
      </w:tr>
      <w:tr>
        <w:tc>
          <w:tcPr>
            <w:tcW w:type="dxa" w:w="4535"/>
            <w:vAlign w:val="center"/>
          </w:tcPr>
          <w:p>
            <w:r>
              <w:rPr>
                <w:sz w:val="20"/>
              </w:rPr>
              <w:t>FPS (sustained)</w:t>
            </w:r>
          </w:p>
        </w:tc>
        <w:tc>
          <w:tcPr>
            <w:tcW w:type="dxa" w:w="2268"/>
            <w:vAlign w:val="center"/>
          </w:tcPr>
          <w:p>
            <w:r>
              <w:rPr>
                <w:sz w:val="20"/>
              </w:rPr>
              <w:t>23.65</w:t>
            </w:r>
          </w:p>
        </w:tc>
      </w:tr>
      <w:tr>
        <w:tc>
          <w:tcPr>
            <w:tcW w:type="dxa" w:w="4535"/>
            <w:vAlign w:val="center"/>
          </w:tcPr>
          <w:p>
            <w:r>
              <w:rPr>
                <w:sz w:val="20"/>
              </w:rPr>
              <w:t>Frames measured</w:t>
            </w:r>
          </w:p>
        </w:tc>
        <w:tc>
          <w:tcPr>
            <w:tcW w:type="dxa" w:w="2268"/>
            <w:vAlign w:val="center"/>
          </w:tcPr>
          <w:p>
            <w:r>
              <w:rPr>
                <w:sz w:val="20"/>
              </w:rPr>
              <w:t>30</w:t>
            </w:r>
          </w:p>
        </w:tc>
      </w:tr>
    </w:tbl>
    <w:p>
      <w:pPr>
        <w:pStyle w:val="Heading2"/>
      </w:pPr>
      <w:r>
        <w:rPr>
          <w:color w:val="1F2937"/>
        </w:rPr>
        <w:t>4.5 Ablation study</w:t>
      </w:r>
    </w:p>
    <w:p>
      <w:r>
        <w:rPr>
          <w:b w:val="0"/>
          <w:i w:val="0"/>
          <w:sz w:val="22"/>
        </w:rPr>
        <w:t>To justify the design choices we ran three ablations on the landmark MLP. The first uses the full normalised landmarks; the second zeros out the z (depth) component to simulate a system that only had access to a 2D detector; the third adds 3% Gaussian noise to every coordinate to simulate the noise budget of an off-the-shelf cheap webcam.</w:t>
      </w:r>
    </w:p>
    <w:tbl>
      <w:tblPr>
        <w:tblStyle w:val="LightGrid-Accent1"/>
        <w:tblW w:type="auto" w:w="0"/>
        <w:tblLook w:firstColumn="1" w:firstRow="1" w:lastColumn="0" w:lastRow="0" w:noHBand="0" w:noVBand="1" w:val="04A0"/>
      </w:tblPr>
      <w:tblGrid>
        <w:gridCol w:w="4320"/>
        <w:gridCol w:w="4320"/>
      </w:tblGrid>
      <w:tr>
        <w:tc>
          <w:tcPr>
            <w:tcW w:type="dxa" w:w="5102"/>
            <w:vAlign w:val="center"/>
          </w:tcPr>
          <w:p>
            <w:r>
              <w:rPr>
                <w:b/>
                <w:sz w:val="20"/>
              </w:rPr>
              <w:t>Variant</w:t>
            </w:r>
          </w:p>
        </w:tc>
        <w:tc>
          <w:tcPr>
            <w:tcW w:type="dxa" w:w="2268"/>
            <w:vAlign w:val="center"/>
          </w:tcPr>
          <w:p>
            <w:r>
              <w:rPr>
                <w:b/>
                <w:sz w:val="20"/>
              </w:rPr>
              <w:t>Accuracy</w:t>
            </w:r>
          </w:p>
        </w:tc>
      </w:tr>
      <w:tr>
        <w:tc>
          <w:tcPr>
            <w:tcW w:type="dxa" w:w="5102"/>
            <w:vAlign w:val="center"/>
          </w:tcPr>
          <w:p>
            <w:r>
              <w:rPr>
                <w:sz w:val="20"/>
              </w:rPr>
              <w:t>Landmark MLP (baseline)</w:t>
            </w:r>
          </w:p>
        </w:tc>
        <w:tc>
          <w:tcPr>
            <w:tcW w:type="dxa" w:w="2268"/>
            <w:vAlign w:val="center"/>
          </w:tcPr>
          <w:p>
            <w:r>
              <w:rPr>
                <w:sz w:val="20"/>
              </w:rPr>
              <w:t>0.9888</w:t>
            </w:r>
          </w:p>
        </w:tc>
      </w:tr>
      <w:tr>
        <w:tc>
          <w:tcPr>
            <w:tcW w:type="dxa" w:w="5102"/>
            <w:vAlign w:val="center"/>
          </w:tcPr>
          <w:p>
            <w:r>
              <w:rPr>
                <w:sz w:val="20"/>
              </w:rPr>
              <w:t>Landmark MLP (z=0)</w:t>
            </w:r>
          </w:p>
        </w:tc>
        <w:tc>
          <w:tcPr>
            <w:tcW w:type="dxa" w:w="2268"/>
            <w:vAlign w:val="center"/>
          </w:tcPr>
          <w:p>
            <w:r>
              <w:rPr>
                <w:sz w:val="20"/>
              </w:rPr>
              <w:t>0.9483</w:t>
            </w:r>
          </w:p>
        </w:tc>
      </w:tr>
      <w:tr>
        <w:tc>
          <w:tcPr>
            <w:tcW w:type="dxa" w:w="5102"/>
            <w:vAlign w:val="center"/>
          </w:tcPr>
          <w:p>
            <w:r>
              <w:rPr>
                <w:sz w:val="20"/>
              </w:rPr>
              <w:t>Landmark MLP + 3% noise</w:t>
            </w:r>
          </w:p>
        </w:tc>
        <w:tc>
          <w:tcPr>
            <w:tcW w:type="dxa" w:w="2268"/>
            <w:vAlign w:val="center"/>
          </w:tcPr>
          <w:p>
            <w:r>
              <w:rPr>
                <w:sz w:val="20"/>
              </w:rPr>
              <w:t>0.9839</w:t>
            </w:r>
          </w:p>
        </w:tc>
      </w:tr>
    </w:tbl>
    <w:p>
      <w:pPr>
        <w:pStyle w:val="Heading2"/>
      </w:pPr>
      <w:r>
        <w:rPr>
          <w:color w:val="1F2937"/>
        </w:rPr>
        <w:t>4.6 Qualitative examples</w:t>
      </w:r>
    </w:p>
    <w:p>
      <w:r>
        <w:rPr>
          <w:b w:val="0"/>
          <w:i w:val="0"/>
          <w:sz w:val="22"/>
        </w:rPr>
        <w:t>Figure 5 shows the live interface with a hand and face skeleton overlay, the prediction display, and the sentence builder. The language toggle in the top-right switches the masked label set; the stats panel in the lower-right shows the sustained FPS and per-stage latency in real time.</w:t>
      </w:r>
    </w:p>
    <w:p>
      <w:r>
        <w:rPr>
          <w:b w:val="0"/>
          <w:i/>
          <w:sz w:val="22"/>
        </w:rPr>
        <w:t>[Figure to be inserted: ui_screenshot.png - regenerate after training]</w:t>
      </w:r>
    </w:p>
    <w:p>
      <w:r>
        <w:br w:type="page"/>
      </w:r>
    </w:p>
    <w:p>
      <w:pPr>
        <w:pStyle w:val="Heading1"/>
      </w:pPr>
      <w:r>
        <w:rPr>
          <w:color w:val="1F2937"/>
        </w:rPr>
        <w:t>5. Individual contributions</w:t>
      </w:r>
    </w:p>
    <w:p>
      <w:r>
        <w:rPr>
          <w:b w:val="0"/>
          <w:i w:val="0"/>
          <w:sz w:val="22"/>
        </w:rPr>
        <w:t>Each group member contributed to coding, documentation, and presentation. The repository commit history at https://github.com/ykanjo04/SignSpeak-AI provides the audit trail for the contributions summarised in Table 1.</w:t>
      </w:r>
    </w:p>
    <w:tbl>
      <w:tblPr>
        <w:tblStyle w:val="LightGrid-Accent1"/>
        <w:tblW w:type="auto" w:w="0"/>
        <w:tblLook w:firstColumn="1" w:firstRow="1" w:lastColumn="0" w:lastRow="0" w:noHBand="0" w:noVBand="1" w:val="04A0"/>
      </w:tblPr>
      <w:tblGrid>
        <w:gridCol w:w="2160"/>
        <w:gridCol w:w="2160"/>
        <w:gridCol w:w="2160"/>
        <w:gridCol w:w="2160"/>
      </w:tblGrid>
      <w:tr>
        <w:tc>
          <w:tcPr>
            <w:tcW w:type="dxa" w:w="1984"/>
            <w:vAlign w:val="center"/>
          </w:tcPr>
          <w:p>
            <w:r>
              <w:rPr>
                <w:b/>
                <w:sz w:val="20"/>
              </w:rPr>
              <w:t>Member</w:t>
            </w:r>
          </w:p>
        </w:tc>
        <w:tc>
          <w:tcPr>
            <w:tcW w:type="dxa" w:w="1417"/>
            <w:vAlign w:val="center"/>
          </w:tcPr>
          <w:p>
            <w:r>
              <w:rPr>
                <w:b/>
                <w:sz w:val="20"/>
              </w:rPr>
              <w:t>Student ID</w:t>
            </w:r>
          </w:p>
        </w:tc>
        <w:tc>
          <w:tcPr>
            <w:tcW w:type="dxa" w:w="4252"/>
            <w:vAlign w:val="center"/>
          </w:tcPr>
          <w:p>
            <w:r>
              <w:rPr>
                <w:b/>
                <w:sz w:val="20"/>
              </w:rPr>
              <w:t>Tasks</w:t>
            </w:r>
          </w:p>
        </w:tc>
        <w:tc>
          <w:tcPr>
            <w:tcW w:type="dxa" w:w="1134"/>
            <w:vAlign w:val="center"/>
          </w:tcPr>
          <w:p>
            <w:r>
              <w:rPr>
                <w:b/>
                <w:sz w:val="20"/>
              </w:rPr>
              <w:t>Approx. effort</w:t>
            </w:r>
          </w:p>
        </w:tc>
      </w:tr>
      <w:tr>
        <w:tc>
          <w:tcPr>
            <w:tcW w:type="dxa" w:w="1984"/>
            <w:vAlign w:val="center"/>
          </w:tcPr>
          <w:p>
            <w:r>
              <w:rPr>
                <w:sz w:val="20"/>
              </w:rPr>
              <w:t>Yousef Kanjo</w:t>
            </w:r>
          </w:p>
        </w:tc>
        <w:tc>
          <w:tcPr>
            <w:tcW w:type="dxa" w:w="1417"/>
            <w:vAlign w:val="center"/>
          </w:tcPr>
          <w:p>
            <w:r>
              <w:rPr>
                <w:sz w:val="20"/>
              </w:rPr>
              <w:t>[ID]</w:t>
            </w:r>
          </w:p>
        </w:tc>
        <w:tc>
          <w:tcPr>
            <w:tcW w:type="dxa" w:w="4252"/>
            <w:vAlign w:val="center"/>
          </w:tcPr>
          <w:p>
            <w:r>
              <w:rPr>
                <w:sz w:val="20"/>
              </w:rPr>
              <w:t>Architecture, backend FastAPI + WebSocket, CV pipeline, both model training scripts, integration</w:t>
            </w:r>
          </w:p>
        </w:tc>
        <w:tc>
          <w:tcPr>
            <w:tcW w:type="dxa" w:w="1134"/>
            <w:vAlign w:val="center"/>
          </w:tcPr>
          <w:p>
            <w:r>
              <w:rPr>
                <w:sz w:val="20"/>
              </w:rPr>
              <w:t>30%</w:t>
            </w:r>
          </w:p>
        </w:tc>
      </w:tr>
      <w:tr>
        <w:tc>
          <w:tcPr>
            <w:tcW w:type="dxa" w:w="1984"/>
            <w:vAlign w:val="center"/>
          </w:tcPr>
          <w:p>
            <w:r>
              <w:rPr>
                <w:sz w:val="20"/>
              </w:rPr>
              <w:t>[Member 2 Name]</w:t>
            </w:r>
          </w:p>
        </w:tc>
        <w:tc>
          <w:tcPr>
            <w:tcW w:type="dxa" w:w="1417"/>
            <w:vAlign w:val="center"/>
          </w:tcPr>
          <w:p>
            <w:r>
              <w:rPr>
                <w:sz w:val="20"/>
              </w:rPr>
              <w:t>[ID]</w:t>
            </w:r>
          </w:p>
        </w:tc>
        <w:tc>
          <w:tcPr>
            <w:tcW w:type="dxa" w:w="4252"/>
            <w:vAlign w:val="center"/>
          </w:tcPr>
          <w:p>
            <w:r>
              <w:rPr>
                <w:sz w:val="20"/>
              </w:rPr>
              <w:t>Next.js frontend, webcam streaming, skeleton overlay, sentence builder, TTS, language toggle</w:t>
            </w:r>
          </w:p>
        </w:tc>
        <w:tc>
          <w:tcPr>
            <w:tcW w:type="dxa" w:w="1134"/>
            <w:vAlign w:val="center"/>
          </w:tcPr>
          <w:p>
            <w:r>
              <w:rPr>
                <w:sz w:val="20"/>
              </w:rPr>
              <w:t>20%</w:t>
            </w:r>
          </w:p>
        </w:tc>
      </w:tr>
      <w:tr>
        <w:tc>
          <w:tcPr>
            <w:tcW w:type="dxa" w:w="1984"/>
            <w:vAlign w:val="center"/>
          </w:tcPr>
          <w:p>
            <w:r>
              <w:rPr>
                <w:sz w:val="20"/>
              </w:rPr>
              <w:t>[Member 3 Name]</w:t>
            </w:r>
          </w:p>
        </w:tc>
        <w:tc>
          <w:tcPr>
            <w:tcW w:type="dxa" w:w="1417"/>
            <w:vAlign w:val="center"/>
          </w:tcPr>
          <w:p>
            <w:r>
              <w:rPr>
                <w:sz w:val="20"/>
              </w:rPr>
              <w:t>[ID]</w:t>
            </w:r>
          </w:p>
        </w:tc>
        <w:tc>
          <w:tcPr>
            <w:tcW w:type="dxa" w:w="4252"/>
            <w:vAlign w:val="center"/>
          </w:tcPr>
          <w:p>
            <w:r>
              <w:rPr>
                <w:sz w:val="20"/>
              </w:rPr>
              <w:t>Dataset downloads (kagglehub), landmark extraction, dataset curation, data augmentation policy</w:t>
            </w:r>
          </w:p>
        </w:tc>
        <w:tc>
          <w:tcPr>
            <w:tcW w:type="dxa" w:w="1134"/>
            <w:vAlign w:val="center"/>
          </w:tcPr>
          <w:p>
            <w:r>
              <w:rPr>
                <w:sz w:val="20"/>
              </w:rPr>
              <w:t>15%</w:t>
            </w:r>
          </w:p>
        </w:tc>
      </w:tr>
      <w:tr>
        <w:tc>
          <w:tcPr>
            <w:tcW w:type="dxa" w:w="1984"/>
            <w:vAlign w:val="center"/>
          </w:tcPr>
          <w:p>
            <w:r>
              <w:rPr>
                <w:sz w:val="20"/>
              </w:rPr>
              <w:t>[Member 4 Name]</w:t>
            </w:r>
          </w:p>
        </w:tc>
        <w:tc>
          <w:tcPr>
            <w:tcW w:type="dxa" w:w="1417"/>
            <w:vAlign w:val="center"/>
          </w:tcPr>
          <w:p>
            <w:r>
              <w:rPr>
                <w:sz w:val="20"/>
              </w:rPr>
              <w:t>[ID]</w:t>
            </w:r>
          </w:p>
        </w:tc>
        <w:tc>
          <w:tcPr>
            <w:tcW w:type="dxa" w:w="4252"/>
            <w:vAlign w:val="center"/>
          </w:tcPr>
          <w:p>
            <w:r>
              <w:rPr>
                <w:sz w:val="20"/>
              </w:rPr>
              <w:t>Report writing, architecture diagram, references, formatting in Word, demo screenshots</w:t>
            </w:r>
          </w:p>
        </w:tc>
        <w:tc>
          <w:tcPr>
            <w:tcW w:type="dxa" w:w="1134"/>
            <w:vAlign w:val="center"/>
          </w:tcPr>
          <w:p>
            <w:r>
              <w:rPr>
                <w:sz w:val="20"/>
              </w:rPr>
              <w:t>20%</w:t>
            </w:r>
          </w:p>
        </w:tc>
      </w:tr>
      <w:tr>
        <w:tc>
          <w:tcPr>
            <w:tcW w:type="dxa" w:w="1984"/>
            <w:vAlign w:val="center"/>
          </w:tcPr>
          <w:p>
            <w:r>
              <w:rPr>
                <w:sz w:val="20"/>
              </w:rPr>
              <w:t>[Member 5 Name]</w:t>
            </w:r>
          </w:p>
        </w:tc>
        <w:tc>
          <w:tcPr>
            <w:tcW w:type="dxa" w:w="1417"/>
            <w:vAlign w:val="center"/>
          </w:tcPr>
          <w:p>
            <w:r>
              <w:rPr>
                <w:sz w:val="20"/>
              </w:rPr>
              <w:t>[ID]</w:t>
            </w:r>
          </w:p>
        </w:tc>
        <w:tc>
          <w:tcPr>
            <w:tcW w:type="dxa" w:w="4252"/>
            <w:vAlign w:val="center"/>
          </w:tcPr>
          <w:p>
            <w:r>
              <w:rPr>
                <w:sz w:val="20"/>
              </w:rPr>
              <w:t>Slides, demo script, recording guide, end-to-end rehearsal, video editing, presentation</w:t>
            </w:r>
          </w:p>
        </w:tc>
        <w:tc>
          <w:tcPr>
            <w:tcW w:type="dxa" w:w="1134"/>
            <w:vAlign w:val="center"/>
          </w:tcPr>
          <w:p>
            <w:r>
              <w:rPr>
                <w:sz w:val="20"/>
              </w:rPr>
              <w:t>15%</w:t>
            </w:r>
          </w:p>
        </w:tc>
      </w:tr>
    </w:tbl>
    <w:p>
      <w:pPr>
        <w:jc w:val="center"/>
      </w:pPr>
      <w:r>
        <w:rPr>
          <w:b w:val="0"/>
          <w:i/>
          <w:sz w:val="20"/>
        </w:rPr>
        <w:t>Table 1: Individual contributions.</w:t>
      </w:r>
    </w:p>
    <w:p>
      <w:r>
        <w:br w:type="page"/>
      </w:r>
    </w:p>
    <w:p>
      <w:pPr>
        <w:pStyle w:val="Heading1"/>
      </w:pPr>
      <w:r>
        <w:rPr>
          <w:color w:val="1F2937"/>
        </w:rPr>
        <w:t>6. Conclusion and future work</w:t>
      </w:r>
    </w:p>
    <w:p>
      <w:r>
        <w:rPr>
          <w:b w:val="0"/>
          <w:i w:val="0"/>
          <w:sz w:val="22"/>
        </w:rPr>
        <w:t>SignSpeak AI demonstrates that the eight CSCI435 computer-vision capabilities listed in Section 1.3 can be integrated into a single robust, web-based application that runs in real time on commodity hardware. Recognition accuracy on the held-out test set exceeds the 90% target for both ASL and ArSL, sustained throughput comfortably exceeds the 10 FPS minimum specified by the project brief, and the user story of unblocking communication between deaf students and hearing professors at UOWD is concretely supported.</w:t>
      </w:r>
    </w:p>
    <w:p>
      <w:r>
        <w:rPr>
          <w:b w:val="0"/>
          <w:i w:val="0"/>
          <w:sz w:val="22"/>
        </w:rPr>
        <w:t>Three avenues of future work suggest themselves. First, full word-level continuous sign-language recognition could be added by training a temporal model (LSTM or Transformer) on the WLASL dataset [14] and dropping its output into the same ensemble. Second, the same backend can power a future React Native client for fully mobile deployment with on-device inference via TensorFlow Lite. Third, bidirectional translation - synthesising an animated signing avatar to respond to the hearing professor - would close the conversational loop. All three are out of scope for the Spring 2026 deliverable but are tractable extensions of the current architecture.</w:t>
      </w:r>
    </w:p>
    <w:p>
      <w:r>
        <w:br w:type="page"/>
      </w:r>
    </w:p>
    <w:p>
      <w:pPr>
        <w:pStyle w:val="Heading1"/>
      </w:pPr>
      <w:r>
        <w:rPr>
          <w:color w:val="1F2937"/>
        </w:rPr>
        <w:t>7. References</w:t>
      </w:r>
    </w:p>
    <w:p>
      <w:r>
        <w:rPr>
          <w:b/>
          <w:i w:val="0"/>
          <w:sz w:val="20"/>
        </w:rPr>
        <w:t xml:space="preserve">[1]  </w:t>
      </w:r>
      <w:r>
        <w:rPr>
          <w:b w:val="0"/>
          <w:i w:val="0"/>
          <w:sz w:val="20"/>
        </w:rPr>
        <w:t>C. Lugaresi et al., "MediaPipe: A framework for building perception pipelines," arXiv preprint arXiv:1906.08172, 2019.</w:t>
      </w:r>
    </w:p>
    <w:p>
      <w:r>
        <w:rPr>
          <w:b/>
          <w:i w:val="0"/>
          <w:sz w:val="20"/>
        </w:rPr>
        <w:t xml:space="preserve">[2]  </w:t>
      </w:r>
      <w:r>
        <w:rPr>
          <w:b w:val="0"/>
          <w:i w:val="0"/>
          <w:sz w:val="20"/>
        </w:rPr>
        <w:t>A. Howard, M. Sandler, G. Chu, L.-C. Chen, B. Chen, M. Tan, W. Wang, Y. Zhu, R. Pang, V. Vasudevan, Q. V. Le, and H. Adam, "Searching for MobileNetV3," in Proc. IEEE Int. Conf. Computer Vision (ICCV), 2019, pp. 1314–1324.</w:t>
      </w:r>
    </w:p>
    <w:p>
      <w:r>
        <w:rPr>
          <w:b/>
          <w:i w:val="0"/>
          <w:sz w:val="20"/>
        </w:rPr>
        <w:t xml:space="preserve">[3]  </w:t>
      </w:r>
      <w:r>
        <w:rPr>
          <w:b w:val="0"/>
          <w:i w:val="0"/>
          <w:sz w:val="20"/>
        </w:rPr>
        <w:t>J. Deng, W. Dong, R. Socher, L.-J. Li, K. Li, and L. Fei-Fei, "ImageNet: A large-scale hierarchical image database," in Proc. IEEE Conf. Computer Vision and Pattern Recognition (CVPR), 2009, pp. 248–255.</w:t>
      </w:r>
    </w:p>
    <w:p>
      <w:r>
        <w:rPr>
          <w:b/>
          <w:i w:val="0"/>
          <w:sz w:val="20"/>
        </w:rPr>
        <w:t xml:space="preserve">[4]  </w:t>
      </w:r>
      <w:r>
        <w:rPr>
          <w:b w:val="0"/>
          <w:i w:val="0"/>
          <w:sz w:val="20"/>
        </w:rPr>
        <w:t>J. Canny, "A computational approach to edge detection," IEEE Trans. Pattern Analysis and Machine Intelligence, vol. PAMI-8, no. 6, pp. 679–698, 1986.</w:t>
      </w:r>
    </w:p>
    <w:p>
      <w:r>
        <w:rPr>
          <w:b/>
          <w:i w:val="0"/>
          <w:sz w:val="20"/>
        </w:rPr>
        <w:t xml:space="preserve">[5]  </w:t>
      </w:r>
      <w:r>
        <w:rPr>
          <w:b w:val="0"/>
          <w:i w:val="0"/>
          <w:sz w:val="20"/>
        </w:rPr>
        <w:t>K. Zuiderveld, "Contrast limited adaptive histogram equalization," in Graphics Gems IV, P. Heckbert, Ed. San Diego, CA: Academic Press, 1994, pp. 474–485.</w:t>
      </w:r>
    </w:p>
    <w:p>
      <w:r>
        <w:rPr>
          <w:b/>
          <w:i w:val="0"/>
          <w:sz w:val="20"/>
        </w:rPr>
        <w:t xml:space="preserve">[6]  </w:t>
      </w:r>
      <w:r>
        <w:rPr>
          <w:b w:val="0"/>
          <w:i w:val="0"/>
          <w:sz w:val="20"/>
        </w:rPr>
        <w:t>D. P. Kingma and J. Ba, "Adam: A method for stochastic optimization," arXiv preprint arXiv:1412.6980, 2014.</w:t>
      </w:r>
    </w:p>
    <w:p>
      <w:r>
        <w:rPr>
          <w:b/>
          <w:i w:val="0"/>
          <w:sz w:val="20"/>
        </w:rPr>
        <w:t xml:space="preserve">[7]  </w:t>
      </w:r>
      <w:r>
        <w:rPr>
          <w:b w:val="0"/>
          <w:i w:val="0"/>
          <w:sz w:val="20"/>
        </w:rPr>
        <w:t>B. D. Lucas and T. Kanade, "An iterative image registration technique with an application to stereo vision," in Proc. Int. Joint Conf. Artificial Intelligence (IJCAI), 1981, pp. 674–679.</w:t>
      </w:r>
    </w:p>
    <w:p>
      <w:r>
        <w:rPr>
          <w:b/>
          <w:i w:val="0"/>
          <w:sz w:val="20"/>
        </w:rPr>
        <w:t xml:space="preserve">[8]  </w:t>
      </w:r>
      <w:r>
        <w:rPr>
          <w:b w:val="0"/>
          <w:i w:val="0"/>
          <w:sz w:val="20"/>
        </w:rPr>
        <w:t>G. Bradski, "The OpenCV library," Dr. Dobb's Journal of Software Tools, vol. 25, pp. 120–126, 2000.</w:t>
      </w:r>
    </w:p>
    <w:p>
      <w:r>
        <w:rPr>
          <w:b/>
          <w:i w:val="0"/>
          <w:sz w:val="20"/>
        </w:rPr>
        <w:t xml:space="preserve">[9]  </w:t>
      </w:r>
      <w:r>
        <w:rPr>
          <w:b w:val="0"/>
          <w:i w:val="0"/>
          <w:sz w:val="20"/>
        </w:rPr>
        <w:t>R. Szeliski, Computer Vision: Algorithms and Applications, 2nd ed. Springer, 2022.</w:t>
      </w:r>
    </w:p>
    <w:p>
      <w:r>
        <w:rPr>
          <w:b/>
          <w:i w:val="0"/>
          <w:sz w:val="20"/>
        </w:rPr>
        <w:t xml:space="preserve">[10]  </w:t>
      </w:r>
      <w:r>
        <w:rPr>
          <w:b w:val="0"/>
          <w:i w:val="0"/>
          <w:sz w:val="20"/>
        </w:rPr>
        <w:t>A. Torralba, P. Isola, and W. T. Freeman, Foundations of Computer Vision. MIT Press, 2024.</w:t>
      </w:r>
    </w:p>
    <w:p>
      <w:r>
        <w:rPr>
          <w:b/>
          <w:i w:val="0"/>
          <w:sz w:val="20"/>
        </w:rPr>
        <w:t xml:space="preserve">[11]  </w:t>
      </w:r>
      <w:r>
        <w:rPr>
          <w:b w:val="0"/>
          <w:i w:val="0"/>
          <w:sz w:val="20"/>
        </w:rPr>
        <w:t>Akash Nagaraj, "ASL Alphabet," Kaggle dataset, 2018. [Online]. Available: https://www.kaggle.com/datasets/grassknoted/asl-alphabet</w:t>
      </w:r>
    </w:p>
    <w:p>
      <w:r>
        <w:rPr>
          <w:b/>
          <w:i w:val="0"/>
          <w:sz w:val="20"/>
        </w:rPr>
        <w:t xml:space="preserve">[12]  </w:t>
      </w:r>
      <w:r>
        <w:rPr>
          <w:b w:val="0"/>
          <w:i w:val="0"/>
          <w:sz w:val="20"/>
        </w:rPr>
        <w:t>DataMunge, "Sign Language MNIST," Kaggle dataset, 2017. [Online]. Available: https://www.kaggle.com/datasets/datamunge/sign-language-mnist</w:t>
      </w:r>
    </w:p>
    <w:p>
      <w:r>
        <w:rPr>
          <w:b/>
          <w:i w:val="0"/>
          <w:sz w:val="20"/>
        </w:rPr>
        <w:t xml:space="preserve">[13]  </w:t>
      </w:r>
      <w:r>
        <w:rPr>
          <w:b w:val="0"/>
          <w:i w:val="0"/>
          <w:sz w:val="20"/>
        </w:rPr>
        <w:t>G. Latif, N. Mohammad, J. Alghazo, R. AlKhalaf, and R. AlKhalaf, "ArASL: Arabic Alphabets Sign Language Dataset," Data in Brief, vol. 23, art. 103777, 2019. [Online]. Available: https://huggingface.co/datasets/pain/ArASL_Database_Grayscale</w:t>
      </w:r>
    </w:p>
    <w:p>
      <w:r>
        <w:rPr>
          <w:b/>
          <w:i w:val="0"/>
          <w:sz w:val="20"/>
        </w:rPr>
        <w:t xml:space="preserve">[14]  </w:t>
      </w:r>
      <w:r>
        <w:rPr>
          <w:b w:val="0"/>
          <w:i w:val="0"/>
          <w:sz w:val="20"/>
        </w:rPr>
        <w:t>D. Li, C. Rodriguez, X. Yu, and H. Li, "Word-level deep sign language recognition from video: A new large-scale dataset and methods comparison," in Proc. IEEE Winter Conf. Applications of Computer Vision (WACV), 2020, pp. 1459–1469.</w:t>
      </w:r>
    </w:p>
    <w:p>
      <w:r>
        <w:rPr>
          <w:b/>
          <w:i w:val="0"/>
          <w:sz w:val="20"/>
        </w:rPr>
        <w:t xml:space="preserve">[15]  </w:t>
      </w:r>
      <w:r>
        <w:rPr>
          <w:b w:val="0"/>
          <w:i w:val="0"/>
          <w:sz w:val="20"/>
        </w:rPr>
        <w:t>A. Paszke et al., "PyTorch: An imperative style, high-performance deep learning library," in Proc. Advances in Neural Information Processing Systems (NeurIPS), 2019, pp. 8024–8035.</w:t>
      </w:r>
    </w:p>
    <w:p>
      <w:r>
        <w:rPr>
          <w:b/>
          <w:i w:val="0"/>
          <w:sz w:val="20"/>
        </w:rPr>
        <w:t xml:space="preserve">[16]  </w:t>
      </w:r>
      <w:r>
        <w:rPr>
          <w:b w:val="0"/>
          <w:i w:val="0"/>
          <w:sz w:val="20"/>
        </w:rPr>
        <w:t>S. Ramírez, "FastAPI: Modern, fast (high-performance) web framework for building APIs with Python 3.7+ based on standard Python type hints," 2020. [Online]. Available: https://fastapi.tiangolo.com/</w:t>
      </w:r>
    </w:p>
    <w:p>
      <w:r>
        <w:rPr>
          <w:b/>
          <w:i w:val="0"/>
          <w:sz w:val="20"/>
        </w:rPr>
        <w:t xml:space="preserve">[17]  </w:t>
      </w:r>
      <w:r>
        <w:rPr>
          <w:b w:val="0"/>
          <w:i w:val="0"/>
          <w:sz w:val="20"/>
        </w:rPr>
        <w:t>Vercel, "Next.js – The React Framework for the Web," 2026. [Online]. Available: https://nextjs.org/</w:t>
      </w:r>
    </w:p>
    <w:p>
      <w:r>
        <w:rPr>
          <w:b/>
          <w:i w:val="0"/>
          <w:sz w:val="20"/>
        </w:rPr>
        <w:t xml:space="preserve">[18]  </w:t>
      </w:r>
      <w:r>
        <w:rPr>
          <w:b w:val="0"/>
          <w:i w:val="0"/>
          <w:sz w:val="20"/>
        </w:rPr>
        <w:t>A. Wathan, "Tailwind CSS – A utility-first CSS framework," 2026. [Online]. Available: https://tailwindcss.com/</w:t>
      </w:r>
    </w:p>
    <w:p>
      <w:r>
        <w:rPr>
          <w:b/>
          <w:i w:val="0"/>
          <w:sz w:val="20"/>
        </w:rPr>
        <w:t xml:space="preserve">[19]  </w:t>
      </w:r>
      <w:r>
        <w:rPr>
          <w:b w:val="0"/>
          <w:i w:val="0"/>
          <w:sz w:val="20"/>
        </w:rPr>
        <w:t>P. Mukala, "CSCI435 – Computer Vision Algorithms and Systems: Subject Outline, Spring 2026," University of Wollongong in Dubai, 2026.</w:t>
      </w:r>
    </w:p>
    <w:p>
      <w:r>
        <w:rPr>
          <w:b/>
          <w:i w:val="0"/>
          <w:sz w:val="20"/>
        </w:rPr>
        <w:t xml:space="preserve">[20]  </w:t>
      </w:r>
      <w:r>
        <w:rPr>
          <w:b w:val="0"/>
          <w:i w:val="0"/>
          <w:sz w:val="20"/>
        </w:rPr>
        <w:t>P. Mukala, "CSCI435 – Computer Vision Algorithms and Systems: Project Description, Spring 2026," University of Wollongong in Dubai,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