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20"/>
      </w:pPr>
      <w:r>
        <w:rPr>
          <w:rFonts w:ascii="Times New Roman" w:hAnsi="Times New Roman"/>
          <w:b/>
          <w:color w:val="000000"/>
          <w:sz w:val="36"/>
        </w:rPr>
        <w:t>Paper Explanation Guide — Formulas, Worked Numerical Examples &amp; Viva Defense Guide</w:t>
      </w:r>
    </w:p>
    <w:p>
      <w:pPr>
        <w:spacing w:after="120" w:line="276" w:lineRule="auto"/>
      </w:pPr>
      <w:r>
        <w:rPr>
          <w:rFonts w:ascii="Times New Roman" w:hAnsi="Times New Roman"/>
          <w:b/>
          <w:color w:val="000000"/>
          <w:sz w:val="22"/>
        </w:rPr>
        <w:t>Document Purpose</w:t>
      </w:r>
      <w:r>
        <w:rPr>
          <w:rFonts w:ascii="Times New Roman" w:hAnsi="Times New Roman"/>
          <w:color w:val="000000"/>
          <w:sz w:val="22"/>
        </w:rPr>
        <w:t>: For the author/student only. This guide explains every mathematical formula, variable, empirical number, and algorithm from the research paper (</w:t>
      </w:r>
      <w:r>
        <w:rPr>
          <w:rFonts w:ascii="Times New Roman" w:hAnsi="Times New Roman"/>
          <w:i/>
          <w:color w:val="000000"/>
          <w:sz w:val="22"/>
        </w:rPr>
        <w:t>research_paper_ieee.md</w:t>
      </w:r>
      <w:r>
        <w:rPr>
          <w:rFonts w:ascii="Times New Roman" w:hAnsi="Times New Roman"/>
          <w:color w:val="000000"/>
          <w:sz w:val="22"/>
        </w:rPr>
        <w:t>) with step-by-step real-world numerical examples so you can easily understand, present, and defend every part of the paper during your project viva or conference presentation.</w:t>
      </w:r>
    </w:p>
    <w:p>
      <w:pPr>
        <w:pStyle w:val="Heading2"/>
        <w:spacing w:before="240" w:after="80"/>
      </w:pPr>
      <w:r>
        <w:rPr>
          <w:rFonts w:ascii="Times New Roman" w:hAnsi="Times New Roman"/>
          <w:b/>
          <w:color w:val="000000"/>
          <w:sz w:val="28"/>
        </w:rPr>
        <w:t>1. Mathematical Formulas &amp; Worked Numerical Examples</w:t>
      </w:r>
    </w:p>
    <w:p>
      <w:pPr>
        <w:pStyle w:val="Heading3"/>
        <w:spacing w:before="200" w:after="60"/>
      </w:pPr>
      <w:r>
        <w:rPr>
          <w:rFonts w:ascii="Times New Roman" w:hAnsi="Times New Roman"/>
          <w:b/>
          <w:i/>
          <w:color w:val="000000"/>
          <w:sz w:val="24"/>
        </w:rPr>
        <w:t>Formula 1: New Tax Regime Income Tax Computation (Section 115BAC)</w:t>
      </w:r>
    </w:p>
    <w:p>
      <w:pPr>
        <w:spacing w:after="120" w:line="276" w:lineRule="auto"/>
      </w:pPr>
      <w:r>
        <w:rPr>
          <w:rFonts w:ascii="Times New Roman" w:hAnsi="Times New Roman"/>
          <w:color w:val="000000"/>
          <w:sz w:val="22"/>
        </w:rPr>
        <w:t xml:space="preserve">#### </w:t>
      </w:r>
      <w:r>
        <w:rPr>
          <w:rFonts w:ascii="Times New Roman" w:hAnsi="Times New Roman"/>
          <w:b/>
          <w:color w:val="000000"/>
          <w:sz w:val="22"/>
        </w:rPr>
        <w:t>The Formula</w:t>
      </w:r>
      <w:r>
        <w:rPr>
          <w:rFonts w:ascii="Times New Roman" w:hAnsi="Times New Roman"/>
          <w:color w:val="000000"/>
          <w:sz w:val="22"/>
        </w:rPr>
        <w:t>:</w:t>
      </w:r>
    </w:p>
    <w:p>
      <w:pPr>
        <w:pStyle w:val="ListBullet"/>
        <w:spacing w:after="60"/>
      </w:pPr>
      <w:r>
        <w:rPr>
          <w:rFonts w:ascii="Times New Roman" w:hAnsi="Times New Roman"/>
          <w:color w:val="000000"/>
          <w:sz w:val="22"/>
        </w:rPr>
        <w:t>Taxable Income = Max(0, Gross Income - Standard Deduction)</w:t>
      </w:r>
    </w:p>
    <w:p>
      <w:pPr>
        <w:pStyle w:val="ListBullet"/>
        <w:spacing w:after="60"/>
      </w:pPr>
      <w:r>
        <w:rPr>
          <w:rFonts w:ascii="Times New Roman" w:hAnsi="Times New Roman"/>
          <w:color w:val="000000"/>
          <w:sz w:val="22"/>
        </w:rPr>
        <w:t>Section 87A Rebate = Min(Slab Tax, ₹60,000) if Taxable Income &lt;= ₹12,00,000; else 0</w:t>
      </w:r>
    </w:p>
    <w:p>
      <w:pPr>
        <w:pStyle w:val="ListBullet"/>
        <w:spacing w:after="60"/>
      </w:pPr>
      <w:r>
        <w:rPr>
          <w:rFonts w:ascii="Times New Roman" w:hAnsi="Times New Roman"/>
          <w:color w:val="000000"/>
          <w:sz w:val="22"/>
        </w:rPr>
        <w:t>Total Tax Payable = Round((Slab Tax - Section 87A Rebate + Surcharge) × 1.04, 2)</w:t>
      </w:r>
    </w:p>
    <w:p>
      <w:pPr>
        <w:spacing w:after="120" w:line="276" w:lineRule="auto"/>
      </w:pPr>
      <w:r>
        <w:rPr>
          <w:rFonts w:ascii="Times New Roman" w:hAnsi="Times New Roman"/>
          <w:color w:val="000000"/>
          <w:sz w:val="22"/>
        </w:rPr>
        <w:t xml:space="preserve">#### </w:t>
      </w:r>
      <w:r>
        <w:rPr>
          <w:rFonts w:ascii="Times New Roman" w:hAnsi="Times New Roman"/>
          <w:b/>
          <w:color w:val="000000"/>
          <w:sz w:val="22"/>
        </w:rPr>
        <w:t>Step-by-Step Numerical Example</w:t>
      </w:r>
      <w:r>
        <w:rPr>
          <w:rFonts w:ascii="Times New Roman" w:hAnsi="Times New Roman"/>
          <w:color w:val="000000"/>
          <w:sz w:val="22"/>
        </w:rPr>
        <w:t>:</w:t>
      </w:r>
    </w:p>
    <w:p>
      <w:pPr>
        <w:spacing w:after="120" w:line="276" w:lineRule="auto"/>
      </w:pPr>
      <w:r>
        <w:rPr>
          <w:rFonts w:ascii="Times New Roman" w:hAnsi="Times New Roman"/>
          <w:color w:val="000000"/>
          <w:sz w:val="22"/>
        </w:rPr>
        <w:t xml:space="preserve">Imagine a salaried individual earning a </w:t>
      </w:r>
      <w:r>
        <w:rPr>
          <w:rFonts w:ascii="Times New Roman" w:hAnsi="Times New Roman"/>
          <w:b/>
          <w:color w:val="000000"/>
          <w:sz w:val="22"/>
        </w:rPr>
        <w:t>Gross Annual Salary of ₹12,75,000</w:t>
      </w:r>
      <w:r>
        <w:rPr>
          <w:rFonts w:ascii="Times New Roman" w:hAnsi="Times New Roman"/>
          <w:color w:val="000000"/>
          <w:sz w:val="22"/>
        </w:rPr>
        <w:t>.</w:t>
      </w:r>
    </w:p>
    <w:p>
      <w:pPr>
        <w:pStyle w:val="ListNumber"/>
        <w:spacing w:after="60"/>
      </w:pPr>
      <w:r>
        <w:rPr>
          <w:rFonts w:ascii="Times New Roman" w:hAnsi="Times New Roman"/>
          <w:b/>
          <w:color w:val="000000"/>
          <w:sz w:val="22"/>
        </w:rPr>
        <w:t>Step 1 — Standard Deduction</w:t>
      </w:r>
      <w:r>
        <w:rPr>
          <w:rFonts w:ascii="Times New Roman" w:hAnsi="Times New Roman"/>
          <w:color w:val="000000"/>
          <w:sz w:val="22"/>
        </w:rPr>
        <w:t>:</w:t>
      </w:r>
    </w:p>
    <w:p>
      <w:pPr>
        <w:pStyle w:val="ListBullet"/>
        <w:spacing w:after="60"/>
      </w:pPr>
      <w:r>
        <w:rPr>
          <w:rFonts w:ascii="Times New Roman" w:hAnsi="Times New Roman"/>
          <w:color w:val="000000"/>
          <w:sz w:val="22"/>
        </w:rPr>
        <w:t>Under CBDT Circular 04/2024, salaried employees get ₹75,000 standard deduction under the New Tax Regime.</w:t>
      </w:r>
    </w:p>
    <w:p>
      <w:pPr>
        <w:pStyle w:val="ListBullet"/>
        <w:spacing w:after="60"/>
      </w:pPr>
      <w:r>
        <w:rPr>
          <w:rFonts w:ascii="Times New Roman" w:hAnsi="Times New Roman"/>
          <w:color w:val="000000"/>
          <w:sz w:val="22"/>
        </w:rPr>
        <w:t>Taxable Income = ₹12,75,000 - ₹75,000 = ₹12,00,000.</w:t>
      </w:r>
    </w:p>
    <w:p>
      <w:pPr>
        <w:pStyle w:val="ListNumber"/>
        <w:spacing w:after="60"/>
      </w:pPr>
      <w:r>
        <w:rPr>
          <w:rFonts w:ascii="Times New Roman" w:hAnsi="Times New Roman"/>
          <w:b/>
          <w:color w:val="000000"/>
          <w:sz w:val="22"/>
        </w:rPr>
        <w:t>Step 2 — Slab Tax Computation</w:t>
      </w:r>
      <w:r>
        <w:rPr>
          <w:rFonts w:ascii="Times New Roman" w:hAnsi="Times New Roman"/>
          <w:color w:val="000000"/>
          <w:sz w:val="22"/>
        </w:rPr>
        <w:t>:</w:t>
      </w:r>
    </w:p>
    <w:p>
      <w:pPr>
        <w:pStyle w:val="ListBullet"/>
        <w:spacing w:after="60"/>
      </w:pPr>
      <w:r>
        <w:rPr>
          <w:rFonts w:ascii="Times New Roman" w:hAnsi="Times New Roman"/>
          <w:b/>
          <w:color w:val="000000"/>
          <w:sz w:val="22"/>
        </w:rPr>
        <w:t>Slab 1 (₹0 to ₹4,00,000 @ 0%)</w:t>
      </w:r>
      <w:r>
        <w:rPr>
          <w:rFonts w:ascii="Times New Roman" w:hAnsi="Times New Roman"/>
          <w:color w:val="000000"/>
          <w:sz w:val="22"/>
        </w:rPr>
        <w:t>: ₹0</w:t>
      </w:r>
    </w:p>
    <w:p>
      <w:pPr>
        <w:pStyle w:val="ListBullet"/>
        <w:spacing w:after="60"/>
      </w:pPr>
      <w:r>
        <w:rPr>
          <w:rFonts w:ascii="Times New Roman" w:hAnsi="Times New Roman"/>
          <w:b/>
          <w:color w:val="000000"/>
          <w:sz w:val="22"/>
        </w:rPr>
        <w:t>Slab 2 (₹4,00,001 to ₹8,00,000 @ 5%)</w:t>
      </w:r>
      <w:r>
        <w:rPr>
          <w:rFonts w:ascii="Times New Roman" w:hAnsi="Times New Roman"/>
          <w:color w:val="000000"/>
          <w:sz w:val="22"/>
        </w:rPr>
        <w:t>: ₹4,00,000 × 0.05 = ₹20,000</w:t>
      </w:r>
    </w:p>
    <w:p>
      <w:pPr>
        <w:pStyle w:val="ListBullet"/>
        <w:spacing w:after="60"/>
      </w:pPr>
      <w:r>
        <w:rPr>
          <w:rFonts w:ascii="Times New Roman" w:hAnsi="Times New Roman"/>
          <w:b/>
          <w:color w:val="000000"/>
          <w:sz w:val="22"/>
        </w:rPr>
        <w:t>Slab 3 (₹8,00,001 to ₹12,00,000 @ 10%)</w:t>
      </w:r>
      <w:r>
        <w:rPr>
          <w:rFonts w:ascii="Times New Roman" w:hAnsi="Times New Roman"/>
          <w:color w:val="000000"/>
          <w:sz w:val="22"/>
        </w:rPr>
        <w:t>: ₹4,00,000 × 0.10 = ₹40,000</w:t>
      </w:r>
    </w:p>
    <w:p>
      <w:pPr>
        <w:pStyle w:val="ListBullet"/>
        <w:spacing w:after="60"/>
      </w:pPr>
      <w:r>
        <w:rPr>
          <w:rFonts w:ascii="Times New Roman" w:hAnsi="Times New Roman"/>
          <w:b/>
          <w:color w:val="000000"/>
          <w:sz w:val="22"/>
        </w:rPr>
        <w:t>Total Slab Tax</w:t>
      </w:r>
      <w:r>
        <w:rPr>
          <w:rFonts w:ascii="Times New Roman" w:hAnsi="Times New Roman"/>
          <w:color w:val="000000"/>
          <w:sz w:val="22"/>
        </w:rPr>
        <w:t xml:space="preserve"> = ₹0 + ₹20,000 + ₹40,000 = ₹60,000.</w:t>
      </w:r>
    </w:p>
    <w:p>
      <w:pPr>
        <w:pStyle w:val="ListNumber"/>
        <w:spacing w:after="60"/>
      </w:pPr>
      <w:r>
        <w:rPr>
          <w:rFonts w:ascii="Times New Roman" w:hAnsi="Times New Roman"/>
          <w:b/>
          <w:color w:val="000000"/>
          <w:sz w:val="22"/>
        </w:rPr>
        <w:t>Step 3 — Section 87A Rebate</w:t>
      </w:r>
      <w:r>
        <w:rPr>
          <w:rFonts w:ascii="Times New Roman" w:hAnsi="Times New Roman"/>
          <w:color w:val="000000"/>
          <w:sz w:val="22"/>
        </w:rPr>
        <w:t>:</w:t>
      </w:r>
    </w:p>
    <w:p>
      <w:pPr>
        <w:pStyle w:val="ListBullet"/>
        <w:spacing w:after="60"/>
      </w:pPr>
      <w:r>
        <w:rPr>
          <w:rFonts w:ascii="Times New Roman" w:hAnsi="Times New Roman"/>
          <w:color w:val="000000"/>
          <w:sz w:val="22"/>
        </w:rPr>
        <w:t>Since Taxable Income = ₹12,00,000 (which is &lt;= ₹12,00,000), the taxpayer is eligible for Section 87A rebate up to ₹60,000.</w:t>
      </w:r>
    </w:p>
    <w:p>
      <w:pPr>
        <w:pStyle w:val="ListBullet"/>
        <w:spacing w:after="60"/>
      </w:pPr>
      <w:r>
        <w:rPr>
          <w:rFonts w:ascii="Times New Roman" w:hAnsi="Times New Roman"/>
          <w:color w:val="000000"/>
          <w:sz w:val="22"/>
        </w:rPr>
        <w:t>Rebate = Min(₹60,000, ₹60,000) = ₹60,000.</w:t>
      </w:r>
    </w:p>
    <w:p>
      <w:pPr>
        <w:pStyle w:val="ListBullet"/>
        <w:spacing w:after="60"/>
      </w:pPr>
      <w:r>
        <w:rPr>
          <w:rFonts w:ascii="Times New Roman" w:hAnsi="Times New Roman"/>
          <w:color w:val="000000"/>
          <w:sz w:val="22"/>
        </w:rPr>
        <w:t>Tax after rebate = ₹60,000 - ₹60,000 = ₹0.</w:t>
      </w:r>
    </w:p>
    <w:p>
      <w:pPr>
        <w:pStyle w:val="ListNumber"/>
        <w:spacing w:after="60"/>
      </w:pPr>
      <w:r>
        <w:rPr>
          <w:rFonts w:ascii="Times New Roman" w:hAnsi="Times New Roman"/>
          <w:b/>
          <w:color w:val="000000"/>
          <w:sz w:val="22"/>
        </w:rPr>
        <w:t>Step 4 — Final Tax Payable</w:t>
      </w:r>
      <w:r>
        <w:rPr>
          <w:rFonts w:ascii="Times New Roman" w:hAnsi="Times New Roman"/>
          <w:color w:val="000000"/>
          <w:sz w:val="22"/>
        </w:rPr>
        <w:t>:</w:t>
      </w:r>
    </w:p>
    <w:p>
      <w:pPr>
        <w:pStyle w:val="ListBullet"/>
        <w:spacing w:after="60"/>
      </w:pPr>
      <w:r>
        <w:rPr>
          <w:rFonts w:ascii="Times New Roman" w:hAnsi="Times New Roman"/>
          <w:color w:val="000000"/>
          <w:sz w:val="22"/>
        </w:rPr>
        <w:t>Cess = 4% of ₹0 = ₹0.</w:t>
      </w:r>
    </w:p>
    <w:p>
      <w:pPr>
        <w:pStyle w:val="ListBullet"/>
        <w:spacing w:after="60"/>
      </w:pPr>
      <w:r>
        <w:rPr>
          <w:rFonts w:ascii="Times New Roman" w:hAnsi="Times New Roman"/>
          <w:b/>
          <w:color w:val="000000"/>
          <w:sz w:val="22"/>
        </w:rPr>
        <w:t>Net Tax Payable = ₹0.00!</w:t>
      </w:r>
      <w:r>
        <w:rPr>
          <w:rFonts w:ascii="Times New Roman" w:hAnsi="Times New Roman"/>
          <w:color w:val="000000"/>
          <w:sz w:val="22"/>
        </w:rPr>
        <w:t xml:space="preserve"> (This proves why someone earning ₹12.75L pays zero tax under the New Tax Regime!).</w:t>
      </w:r>
    </w:p>
    <w:p>
      <w:pPr>
        <w:pStyle w:val="Heading3"/>
        <w:spacing w:before="200" w:after="60"/>
      </w:pPr>
      <w:r>
        <w:rPr>
          <w:rFonts w:ascii="Times New Roman" w:hAnsi="Times New Roman"/>
          <w:b/>
          <w:i/>
          <w:color w:val="000000"/>
          <w:sz w:val="24"/>
        </w:rPr>
        <w:t>Formula 2: GST Forward and Reverse Split Formulas</w:t>
      </w:r>
    </w:p>
    <w:p>
      <w:pPr>
        <w:spacing w:after="120" w:line="276" w:lineRule="auto"/>
      </w:pPr>
      <w:r>
        <w:rPr>
          <w:rFonts w:ascii="Times New Roman" w:hAnsi="Times New Roman"/>
          <w:color w:val="000000"/>
          <w:sz w:val="22"/>
        </w:rPr>
        <w:t xml:space="preserve">#### </w:t>
      </w:r>
      <w:r>
        <w:rPr>
          <w:rFonts w:ascii="Times New Roman" w:hAnsi="Times New Roman"/>
          <w:b/>
          <w:color w:val="000000"/>
          <w:sz w:val="22"/>
        </w:rPr>
        <w:t>Forward GST Formula</w:t>
      </w:r>
      <w:r>
        <w:rPr>
          <w:rFonts w:ascii="Times New Roman" w:hAnsi="Times New Roman"/>
          <w:color w:val="000000"/>
          <w:sz w:val="22"/>
        </w:rPr>
        <w:t>:</w:t>
      </w:r>
    </w:p>
    <w:p>
      <w:pPr>
        <w:pStyle w:val="ListBullet"/>
        <w:spacing w:after="60"/>
      </w:pPr>
      <w:r>
        <w:rPr>
          <w:rFonts w:ascii="Times New Roman" w:hAnsi="Times New Roman"/>
          <w:color w:val="000000"/>
          <w:sz w:val="22"/>
        </w:rPr>
        <w:t>Total GST Amount = Round(Base Amount × (GST Rate / 100), 2)</w:t>
      </w:r>
    </w:p>
    <w:p>
      <w:pPr>
        <w:pStyle w:val="ListBullet"/>
        <w:spacing w:after="60"/>
      </w:pPr>
      <w:r>
        <w:rPr>
          <w:rFonts w:ascii="Times New Roman" w:hAnsi="Times New Roman"/>
          <w:color w:val="000000"/>
          <w:sz w:val="22"/>
        </w:rPr>
        <w:t>Total Invoice Price = Base Amount + Total GST Amount</w:t>
      </w:r>
    </w:p>
    <w:p>
      <w:pPr>
        <w:spacing w:after="120" w:line="276" w:lineRule="auto"/>
      </w:pPr>
      <w:r>
        <w:rPr>
          <w:rFonts w:ascii="Times New Roman" w:hAnsi="Times New Roman"/>
          <w:color w:val="000000"/>
          <w:sz w:val="22"/>
        </w:rPr>
        <w:t xml:space="preserve">#### </w:t>
      </w:r>
      <w:r>
        <w:rPr>
          <w:rFonts w:ascii="Times New Roman" w:hAnsi="Times New Roman"/>
          <w:b/>
          <w:color w:val="000000"/>
          <w:sz w:val="22"/>
        </w:rPr>
        <w:t>Reverse GST Formula (Inclusive Invoice Total)</w:t>
      </w:r>
      <w:r>
        <w:rPr>
          <w:rFonts w:ascii="Times New Roman" w:hAnsi="Times New Roman"/>
          <w:color w:val="000000"/>
          <w:sz w:val="22"/>
        </w:rPr>
        <w:t>:</w:t>
      </w:r>
    </w:p>
    <w:p>
      <w:pPr>
        <w:pStyle w:val="ListBullet"/>
        <w:spacing w:after="60"/>
      </w:pPr>
      <w:r>
        <w:rPr>
          <w:rFonts w:ascii="Times New Roman" w:hAnsi="Times New Roman"/>
          <w:color w:val="000000"/>
          <w:sz w:val="22"/>
        </w:rPr>
        <w:t>Base Amount = Round(Invoice Total / (1 + GST Rate / 100), 2)</w:t>
      </w:r>
    </w:p>
    <w:p>
      <w:pPr>
        <w:pStyle w:val="ListBullet"/>
        <w:spacing w:after="60"/>
      </w:pPr>
      <w:r>
        <w:rPr>
          <w:rFonts w:ascii="Times New Roman" w:hAnsi="Times New Roman"/>
          <w:color w:val="000000"/>
          <w:sz w:val="22"/>
        </w:rPr>
        <w:t>Total GST Amount = Invoice Total - Base Amount</w:t>
      </w:r>
    </w:p>
    <w:p>
      <w:pPr>
        <w:spacing w:after="120" w:line="276" w:lineRule="auto"/>
      </w:pPr>
      <w:r>
        <w:rPr>
          <w:rFonts w:ascii="Times New Roman" w:hAnsi="Times New Roman"/>
          <w:color w:val="000000"/>
          <w:sz w:val="22"/>
        </w:rPr>
        <w:t xml:space="preserve">#### </w:t>
      </w:r>
      <w:r>
        <w:rPr>
          <w:rFonts w:ascii="Times New Roman" w:hAnsi="Times New Roman"/>
          <w:b/>
          <w:color w:val="000000"/>
          <w:sz w:val="22"/>
        </w:rPr>
        <w:t>Step-by-Step Numerical Example</w:t>
      </w:r>
      <w:r>
        <w:rPr>
          <w:rFonts w:ascii="Times New Roman" w:hAnsi="Times New Roman"/>
          <w:color w:val="000000"/>
          <w:sz w:val="22"/>
        </w:rPr>
        <w:t>:</w:t>
      </w:r>
    </w:p>
    <w:p>
      <w:pPr>
        <w:spacing w:after="120" w:line="276" w:lineRule="auto"/>
      </w:pPr>
      <w:r>
        <w:rPr>
          <w:rFonts w:ascii="Times New Roman" w:hAnsi="Times New Roman"/>
          <w:color w:val="000000"/>
          <w:sz w:val="22"/>
        </w:rPr>
        <w:t xml:space="preserve">Suppose a business buys laptop hardware for a total GST-inclusive receipt price of </w:t>
      </w:r>
      <w:r>
        <w:rPr>
          <w:rFonts w:ascii="Times New Roman" w:hAnsi="Times New Roman"/>
          <w:b/>
          <w:color w:val="000000"/>
          <w:sz w:val="22"/>
        </w:rPr>
        <w:t>₹1,18,000</w:t>
      </w:r>
      <w:r>
        <w:rPr>
          <w:rFonts w:ascii="Times New Roman" w:hAnsi="Times New Roman"/>
          <w:color w:val="000000"/>
          <w:sz w:val="22"/>
        </w:rPr>
        <w:t xml:space="preserve"> at </w:t>
      </w:r>
      <w:r>
        <w:rPr>
          <w:rFonts w:ascii="Times New Roman" w:hAnsi="Times New Roman"/>
          <w:b/>
          <w:color w:val="000000"/>
          <w:sz w:val="22"/>
        </w:rPr>
        <w:t>18% GST</w:t>
      </w:r>
      <w:r>
        <w:rPr>
          <w:rFonts w:ascii="Times New Roman" w:hAnsi="Times New Roman"/>
          <w:color w:val="000000"/>
          <w:sz w:val="22"/>
        </w:rPr>
        <w:t xml:space="preserve"> (Intrastate transaction).</w:t>
      </w:r>
    </w:p>
    <w:p>
      <w:pPr>
        <w:pStyle w:val="ListNumber"/>
        <w:spacing w:after="60"/>
      </w:pPr>
      <w:r>
        <w:rPr>
          <w:rFonts w:ascii="Times New Roman" w:hAnsi="Times New Roman"/>
          <w:b/>
          <w:color w:val="000000"/>
          <w:sz w:val="22"/>
        </w:rPr>
        <w:t>Calculate Base Price</w:t>
      </w:r>
      <w:r>
        <w:rPr>
          <w:rFonts w:ascii="Times New Roman" w:hAnsi="Times New Roman"/>
          <w:color w:val="000000"/>
          <w:sz w:val="22"/>
        </w:rPr>
        <w:t>:</w:t>
      </w:r>
    </w:p>
    <w:p>
      <w:pPr>
        <w:spacing w:after="120" w:line="276" w:lineRule="auto"/>
      </w:pPr>
      <w:r>
        <w:rPr>
          <w:rFonts w:ascii="Times New Roman" w:hAnsi="Times New Roman"/>
          <w:color w:val="000000"/>
          <w:sz w:val="22"/>
        </w:rPr>
        <w:t xml:space="preserve">   Base Amount = ₹1,18,000 / (1 + 18 / 100) = ₹1,18,000 / 1.18 = ₹1,00,000</w:t>
      </w:r>
    </w:p>
    <w:p>
      <w:pPr>
        <w:pStyle w:val="ListNumber"/>
        <w:spacing w:after="60"/>
      </w:pPr>
      <w:r>
        <w:rPr>
          <w:rFonts w:ascii="Times New Roman" w:hAnsi="Times New Roman"/>
          <w:b/>
          <w:color w:val="000000"/>
          <w:sz w:val="22"/>
        </w:rPr>
        <w:t>Calculate Total GST</w:t>
      </w:r>
      <w:r>
        <w:rPr>
          <w:rFonts w:ascii="Times New Roman" w:hAnsi="Times New Roman"/>
          <w:color w:val="000000"/>
          <w:sz w:val="22"/>
        </w:rPr>
        <w:t>:</w:t>
      </w:r>
    </w:p>
    <w:p>
      <w:pPr>
        <w:spacing w:after="120" w:line="276" w:lineRule="auto"/>
      </w:pPr>
      <w:r>
        <w:rPr>
          <w:rFonts w:ascii="Times New Roman" w:hAnsi="Times New Roman"/>
          <w:color w:val="000000"/>
          <w:sz w:val="22"/>
        </w:rPr>
        <w:t xml:space="preserve">   Total GST Amount = ₹1,18,000 - ₹1,00,000 = ₹18,000</w:t>
      </w:r>
    </w:p>
    <w:p>
      <w:pPr>
        <w:pStyle w:val="ListNumber"/>
        <w:spacing w:after="60"/>
      </w:pPr>
      <w:r>
        <w:rPr>
          <w:rFonts w:ascii="Times New Roman" w:hAnsi="Times New Roman"/>
          <w:b/>
          <w:color w:val="000000"/>
          <w:sz w:val="22"/>
        </w:rPr>
        <w:t>Intrastate CGST &amp; SGST Split</w:t>
      </w:r>
      <w:r>
        <w:rPr>
          <w:rFonts w:ascii="Times New Roman" w:hAnsi="Times New Roman"/>
          <w:color w:val="000000"/>
          <w:sz w:val="22"/>
        </w:rPr>
        <w:t>:</w:t>
      </w:r>
    </w:p>
    <w:p>
      <w:pPr>
        <w:spacing w:after="120" w:line="276" w:lineRule="auto"/>
      </w:pPr>
      <w:r>
        <w:rPr>
          <w:rFonts w:ascii="Times New Roman" w:hAnsi="Times New Roman"/>
          <w:color w:val="000000"/>
          <w:sz w:val="22"/>
        </w:rPr>
        <w:t xml:space="preserve">   CGST (9%) = ₹18,000 / 2 = ₹9,000</w:t>
      </w:r>
    </w:p>
    <w:p>
      <w:pPr>
        <w:spacing w:after="120" w:line="276" w:lineRule="auto"/>
      </w:pPr>
      <w:r>
        <w:rPr>
          <w:rFonts w:ascii="Times New Roman" w:hAnsi="Times New Roman"/>
          <w:color w:val="000000"/>
          <w:sz w:val="22"/>
        </w:rPr>
        <w:t xml:space="preserve">   SGST (9%) = ₹18,000 / 2 = ₹9,000</w:t>
      </w:r>
    </w:p>
    <w:p>
      <w:pPr>
        <w:pStyle w:val="ListBullet"/>
        <w:spacing w:after="60"/>
      </w:pPr>
      <w:r>
        <w:rPr>
          <w:rFonts w:ascii="Times New Roman" w:hAnsi="Times New Roman"/>
          <w:color w:val="000000"/>
          <w:sz w:val="22"/>
        </w:rPr>
        <w:t xml:space="preserve">The business can claim </w:t>
      </w:r>
      <w:r>
        <w:rPr>
          <w:rFonts w:ascii="Times New Roman" w:hAnsi="Times New Roman"/>
          <w:b/>
          <w:color w:val="000000"/>
          <w:sz w:val="22"/>
        </w:rPr>
        <w:t>₹18,000 as Input Tax Credit (ITC)</w:t>
      </w:r>
      <w:r>
        <w:rPr>
          <w:rFonts w:ascii="Times New Roman" w:hAnsi="Times New Roman"/>
          <w:color w:val="000000"/>
          <w:sz w:val="22"/>
        </w:rPr>
        <w:t xml:space="preserve"> against their output tax liability!</w:t>
      </w:r>
    </w:p>
    <w:p>
      <w:pPr>
        <w:pStyle w:val="Heading3"/>
        <w:spacing w:before="200" w:after="60"/>
      </w:pPr>
      <w:r>
        <w:rPr>
          <w:rFonts w:ascii="Times New Roman" w:hAnsi="Times New Roman"/>
          <w:b/>
          <w:i/>
          <w:color w:val="000000"/>
          <w:sz w:val="24"/>
        </w:rPr>
        <w:t>Formula 3: Equated Monthly Installment (EMI) Formula</w:t>
      </w:r>
    </w:p>
    <w:p>
      <w:pPr>
        <w:spacing w:after="120" w:line="276" w:lineRule="auto"/>
      </w:pPr>
      <w:r>
        <w:rPr>
          <w:rFonts w:ascii="Times New Roman" w:hAnsi="Times New Roman"/>
          <w:color w:val="000000"/>
          <w:sz w:val="22"/>
        </w:rPr>
        <w:t xml:space="preserve">#### </w:t>
      </w:r>
      <w:r>
        <w:rPr>
          <w:rFonts w:ascii="Times New Roman" w:hAnsi="Times New Roman"/>
          <w:b/>
          <w:color w:val="000000"/>
          <w:sz w:val="22"/>
        </w:rPr>
        <w:t>The Formula</w:t>
      </w:r>
      <w:r>
        <w:rPr>
          <w:rFonts w:ascii="Times New Roman" w:hAnsi="Times New Roman"/>
          <w:color w:val="000000"/>
          <w:sz w:val="22"/>
        </w:rPr>
        <w:t>:</w:t>
      </w:r>
    </w:p>
    <w:p>
      <w:pPr>
        <w:spacing w:after="120" w:line="276" w:lineRule="auto"/>
      </w:pPr>
      <w:r>
        <w:rPr>
          <w:rFonts w:ascii="Times New Roman" w:hAnsi="Times New Roman"/>
          <w:color w:val="000000"/>
          <w:sz w:val="22"/>
        </w:rPr>
        <w:t>EMI = Principal × [r(1+r)^n] / [(1+r)^n - 1]</w:t>
      </w:r>
    </w:p>
    <w:p>
      <w:pPr>
        <w:spacing w:after="120" w:line="276" w:lineRule="auto"/>
      </w:pPr>
      <w:r>
        <w:rPr>
          <w:rFonts w:ascii="Times New Roman" w:hAnsi="Times New Roman"/>
          <w:color w:val="000000"/>
          <w:sz w:val="22"/>
        </w:rPr>
        <w:t>where Principal is loan amount, r is monthly interest rate (Annual Rate / (12 × 100)), and n is tenure in months.</w:t>
      </w:r>
    </w:p>
    <w:p>
      <w:pPr>
        <w:spacing w:after="120" w:line="276" w:lineRule="auto"/>
      </w:pPr>
      <w:r>
        <w:rPr>
          <w:rFonts w:ascii="Times New Roman" w:hAnsi="Times New Roman"/>
          <w:color w:val="000000"/>
          <w:sz w:val="22"/>
        </w:rPr>
        <w:t xml:space="preserve">#### </w:t>
      </w:r>
      <w:r>
        <w:rPr>
          <w:rFonts w:ascii="Times New Roman" w:hAnsi="Times New Roman"/>
          <w:b/>
          <w:color w:val="000000"/>
          <w:sz w:val="22"/>
        </w:rPr>
        <w:t>Step-by-Step Numerical Example</w:t>
      </w:r>
      <w:r>
        <w:rPr>
          <w:rFonts w:ascii="Times New Roman" w:hAnsi="Times New Roman"/>
          <w:color w:val="000000"/>
          <w:sz w:val="22"/>
        </w:rPr>
        <w:t>:</w:t>
      </w:r>
    </w:p>
    <w:p>
      <w:pPr>
        <w:spacing w:after="120" w:line="276" w:lineRule="auto"/>
      </w:pPr>
      <w:r>
        <w:rPr>
          <w:rFonts w:ascii="Times New Roman" w:hAnsi="Times New Roman"/>
          <w:color w:val="000000"/>
          <w:sz w:val="22"/>
        </w:rPr>
        <w:t xml:space="preserve">Suppose a user takes a home loan of </w:t>
      </w:r>
      <w:r>
        <w:rPr>
          <w:rFonts w:ascii="Times New Roman" w:hAnsi="Times New Roman"/>
          <w:b/>
          <w:color w:val="000000"/>
          <w:sz w:val="22"/>
        </w:rPr>
        <w:t>₹10,00,000 (Principal)</w:t>
      </w:r>
      <w:r>
        <w:rPr>
          <w:rFonts w:ascii="Times New Roman" w:hAnsi="Times New Roman"/>
          <w:color w:val="000000"/>
          <w:sz w:val="22"/>
        </w:rPr>
        <w:t xml:space="preserve"> at </w:t>
      </w:r>
      <w:r>
        <w:rPr>
          <w:rFonts w:ascii="Times New Roman" w:hAnsi="Times New Roman"/>
          <w:b/>
          <w:color w:val="000000"/>
          <w:sz w:val="22"/>
        </w:rPr>
        <w:t>12% per annum</w:t>
      </w:r>
      <w:r>
        <w:rPr>
          <w:rFonts w:ascii="Times New Roman" w:hAnsi="Times New Roman"/>
          <w:color w:val="000000"/>
          <w:sz w:val="22"/>
        </w:rPr>
        <w:t xml:space="preserve"> for </w:t>
      </w:r>
      <w:r>
        <w:rPr>
          <w:rFonts w:ascii="Times New Roman" w:hAnsi="Times New Roman"/>
          <w:b/>
          <w:color w:val="000000"/>
          <w:sz w:val="22"/>
        </w:rPr>
        <w:t>1 year (n = 12 months)</w:t>
      </w:r>
      <w:r>
        <w:rPr>
          <w:rFonts w:ascii="Times New Roman" w:hAnsi="Times New Roman"/>
          <w:color w:val="000000"/>
          <w:sz w:val="22"/>
        </w:rPr>
        <w:t>.</w:t>
      </w:r>
    </w:p>
    <w:p>
      <w:pPr>
        <w:pStyle w:val="ListNumber"/>
        <w:spacing w:after="60"/>
      </w:pPr>
      <w:r>
        <w:rPr>
          <w:rFonts w:ascii="Times New Roman" w:hAnsi="Times New Roman"/>
          <w:b/>
          <w:color w:val="000000"/>
          <w:sz w:val="22"/>
        </w:rPr>
        <w:t>Monthly Interest Rate (r)</w:t>
      </w:r>
      <w:r>
        <w:rPr>
          <w:rFonts w:ascii="Times New Roman" w:hAnsi="Times New Roman"/>
          <w:color w:val="000000"/>
          <w:sz w:val="22"/>
        </w:rPr>
        <w:t>:</w:t>
      </w:r>
    </w:p>
    <w:p>
      <w:pPr>
        <w:spacing w:after="120" w:line="276" w:lineRule="auto"/>
      </w:pPr>
      <w:r>
        <w:rPr>
          <w:rFonts w:ascii="Times New Roman" w:hAnsi="Times New Roman"/>
          <w:color w:val="000000"/>
          <w:sz w:val="22"/>
        </w:rPr>
        <w:t xml:space="preserve">   r = 12 / (12 × 100) = 0.01</w:t>
      </w:r>
    </w:p>
    <w:p>
      <w:pPr>
        <w:pStyle w:val="ListNumber"/>
        <w:spacing w:after="60"/>
      </w:pPr>
      <w:r>
        <w:rPr>
          <w:rFonts w:ascii="Times New Roman" w:hAnsi="Times New Roman"/>
          <w:b/>
          <w:color w:val="000000"/>
          <w:sz w:val="22"/>
        </w:rPr>
        <w:t>Compute Compound Factor (1+r)^n</w:t>
      </w:r>
      <w:r>
        <w:rPr>
          <w:rFonts w:ascii="Times New Roman" w:hAnsi="Times New Roman"/>
          <w:color w:val="000000"/>
          <w:sz w:val="22"/>
        </w:rPr>
        <w:t>:</w:t>
      </w:r>
    </w:p>
    <w:p>
      <w:pPr>
        <w:spacing w:after="120" w:line="276" w:lineRule="auto"/>
      </w:pPr>
      <w:r>
        <w:rPr>
          <w:rFonts w:ascii="Times New Roman" w:hAnsi="Times New Roman"/>
          <w:color w:val="000000"/>
          <w:sz w:val="22"/>
        </w:rPr>
        <w:t xml:space="preserve">   (1.01)^12 = 1.126825</w:t>
      </w:r>
    </w:p>
    <w:p>
      <w:pPr>
        <w:pStyle w:val="ListNumber"/>
        <w:spacing w:after="60"/>
      </w:pPr>
      <w:r>
        <w:rPr>
          <w:rFonts w:ascii="Times New Roman" w:hAnsi="Times New Roman"/>
          <w:b/>
          <w:color w:val="000000"/>
          <w:sz w:val="22"/>
        </w:rPr>
        <w:t>Compute EMI</w:t>
      </w:r>
      <w:r>
        <w:rPr>
          <w:rFonts w:ascii="Times New Roman" w:hAnsi="Times New Roman"/>
          <w:color w:val="000000"/>
          <w:sz w:val="22"/>
        </w:rPr>
        <w:t>:</w:t>
      </w:r>
    </w:p>
    <w:p>
      <w:pPr>
        <w:spacing w:after="120" w:line="276" w:lineRule="auto"/>
      </w:pPr>
      <w:r>
        <w:rPr>
          <w:rFonts w:ascii="Times New Roman" w:hAnsi="Times New Roman"/>
          <w:color w:val="000000"/>
          <w:sz w:val="22"/>
        </w:rPr>
        <w:t xml:space="preserve">   EMI = 10,00,000 × (0.01 × 1.126825) / (1.126825 - 1) = 10,00,000 × 0.01126825 / 0.126825 = ₹88,848.79 per month</w:t>
      </w:r>
    </w:p>
    <w:p>
      <w:pPr>
        <w:pStyle w:val="Heading3"/>
        <w:spacing w:before="200" w:after="60"/>
      </w:pPr>
      <w:r>
        <w:rPr>
          <w:rFonts w:ascii="Times New Roman" w:hAnsi="Times New Roman"/>
          <w:b/>
          <w:i/>
          <w:color w:val="000000"/>
          <w:sz w:val="24"/>
        </w:rPr>
        <w:t>Formula 4: Offline FTS5 Statutory Keyword Retrieval Weighting</w:t>
      </w:r>
    </w:p>
    <w:p>
      <w:pPr>
        <w:spacing w:after="120" w:line="276" w:lineRule="auto"/>
      </w:pPr>
      <w:r>
        <w:rPr>
          <w:rFonts w:ascii="Times New Roman" w:hAnsi="Times New Roman"/>
          <w:color w:val="000000"/>
          <w:sz w:val="22"/>
        </w:rPr>
        <w:t xml:space="preserve">#### </w:t>
      </w:r>
      <w:r>
        <w:rPr>
          <w:rFonts w:ascii="Times New Roman" w:hAnsi="Times New Roman"/>
          <w:b/>
          <w:color w:val="000000"/>
          <w:sz w:val="22"/>
        </w:rPr>
        <w:t>The Formula</w:t>
      </w:r>
      <w:r>
        <w:rPr>
          <w:rFonts w:ascii="Times New Roman" w:hAnsi="Times New Roman"/>
          <w:color w:val="000000"/>
          <w:sz w:val="22"/>
        </w:rPr>
        <w:t>:</w:t>
      </w:r>
    </w:p>
    <w:p>
      <w:pPr>
        <w:spacing w:after="120" w:line="276" w:lineRule="auto"/>
      </w:pPr>
      <w:r>
        <w:rPr>
          <w:rFonts w:ascii="Times New Roman" w:hAnsi="Times New Roman"/>
          <w:color w:val="000000"/>
          <w:sz w:val="22"/>
        </w:rPr>
        <w:t>Score = Sum of (Body Matches + 2.0 × Section Header Matches + 1.5 × Topic Tag Matches)</w:t>
      </w:r>
    </w:p>
    <w:p>
      <w:pPr>
        <w:spacing w:after="120" w:line="276" w:lineRule="auto"/>
      </w:pPr>
      <w:r>
        <w:rPr>
          <w:rFonts w:ascii="Times New Roman" w:hAnsi="Times New Roman"/>
          <w:color w:val="000000"/>
          <w:sz w:val="22"/>
        </w:rPr>
        <w:t xml:space="preserve">#### </w:t>
      </w:r>
      <w:r>
        <w:rPr>
          <w:rFonts w:ascii="Times New Roman" w:hAnsi="Times New Roman"/>
          <w:b/>
          <w:color w:val="000000"/>
          <w:sz w:val="22"/>
        </w:rPr>
        <w:t>Step-by-Step Numerical Example</w:t>
      </w:r>
      <w:r>
        <w:rPr>
          <w:rFonts w:ascii="Times New Roman" w:hAnsi="Times New Roman"/>
          <w:color w:val="000000"/>
          <w:sz w:val="22"/>
        </w:rPr>
        <w:t>:</w:t>
      </w:r>
    </w:p>
    <w:p>
      <w:pPr>
        <w:spacing w:after="120" w:line="276" w:lineRule="auto"/>
      </w:pPr>
      <w:r>
        <w:rPr>
          <w:rFonts w:ascii="Times New Roman" w:hAnsi="Times New Roman"/>
          <w:color w:val="000000"/>
          <w:sz w:val="22"/>
        </w:rPr>
        <w:t xml:space="preserve">User searches query: </w:t>
      </w:r>
      <w:r>
        <w:rPr>
          <w:rFonts w:ascii="Times New Roman" w:hAnsi="Times New Roman"/>
          <w:i/>
          <w:color w:val="000000"/>
          <w:sz w:val="22"/>
        </w:rPr>
        <w:t>"What is Section 87A rebate limit?"</w:t>
      </w:r>
      <w:r>
        <w:rPr>
          <w:rFonts w:ascii="Times New Roman" w:hAnsi="Times New Roman"/>
          <w:color w:val="000000"/>
          <w:sz w:val="22"/>
        </w:rPr>
        <w:t xml:space="preserve">  </w:t>
      </w:r>
    </w:p>
    <w:p>
      <w:pPr>
        <w:spacing w:after="120" w:line="276" w:lineRule="auto"/>
      </w:pPr>
      <w:r>
        <w:rPr>
          <w:rFonts w:ascii="Times New Roman" w:hAnsi="Times New Roman"/>
          <w:color w:val="000000"/>
          <w:sz w:val="22"/>
        </w:rPr>
        <w:t xml:space="preserve">Query terms: </w:t>
      </w:r>
      <w:r>
        <w:rPr>
          <w:rFonts w:ascii="Times New Roman" w:hAnsi="Times New Roman"/>
          <w:color w:val="000000"/>
          <w:sz w:val="22"/>
        </w:rPr>
        <w:t>['section', '87a', 'rebate', 'limit']</w:t>
      </w:r>
    </w:p>
    <w:p>
      <w:pPr>
        <w:pStyle w:val="ListBullet"/>
        <w:spacing w:after="60"/>
      </w:pPr>
      <w:r>
        <w:rPr>
          <w:rFonts w:ascii="Times New Roman" w:hAnsi="Times New Roman"/>
          <w:b/>
          <w:color w:val="000000"/>
          <w:sz w:val="22"/>
        </w:rPr>
        <w:t>Document Chunk A (Section 87A Chunk)</w:t>
      </w:r>
      <w:r>
        <w:rPr>
          <w:rFonts w:ascii="Times New Roman" w:hAnsi="Times New Roman"/>
          <w:color w:val="000000"/>
          <w:sz w:val="22"/>
        </w:rPr>
        <w:t>:</w:t>
      </w:r>
    </w:p>
    <w:p>
      <w:pPr>
        <w:pStyle w:val="ListBullet"/>
        <w:spacing w:after="60"/>
      </w:pPr>
      <w:r>
        <w:rPr>
          <w:rFonts w:ascii="Times New Roman" w:hAnsi="Times New Roman"/>
          <w:color w:val="000000"/>
          <w:sz w:val="22"/>
        </w:rPr>
        <w:t>section</w:t>
      </w:r>
      <w:r>
        <w:rPr>
          <w:rFonts w:ascii="Times New Roman" w:hAnsi="Times New Roman"/>
          <w:color w:val="000000"/>
          <w:sz w:val="22"/>
        </w:rPr>
        <w:t xml:space="preserve"> matches Body (+1.0) and Section Header (+2.0) = 3.0</w:t>
      </w:r>
    </w:p>
    <w:p>
      <w:pPr>
        <w:pStyle w:val="ListBullet"/>
        <w:spacing w:after="60"/>
      </w:pPr>
      <w:r>
        <w:rPr>
          <w:rFonts w:ascii="Times New Roman" w:hAnsi="Times New Roman"/>
          <w:color w:val="000000"/>
          <w:sz w:val="22"/>
        </w:rPr>
        <w:t>87a</w:t>
      </w:r>
      <w:r>
        <w:rPr>
          <w:rFonts w:ascii="Times New Roman" w:hAnsi="Times New Roman"/>
          <w:color w:val="000000"/>
          <w:sz w:val="22"/>
        </w:rPr>
        <w:t xml:space="preserve"> matches Body (+1.0) and Section Header (+2.0) = 3.0</w:t>
      </w:r>
    </w:p>
    <w:p>
      <w:pPr>
        <w:pStyle w:val="ListBullet"/>
        <w:spacing w:after="60"/>
      </w:pPr>
      <w:r>
        <w:rPr>
          <w:rFonts w:ascii="Times New Roman" w:hAnsi="Times New Roman"/>
          <w:color w:val="000000"/>
          <w:sz w:val="22"/>
        </w:rPr>
        <w:t>rebate</w:t>
      </w:r>
      <w:r>
        <w:rPr>
          <w:rFonts w:ascii="Times New Roman" w:hAnsi="Times New Roman"/>
          <w:color w:val="000000"/>
          <w:sz w:val="22"/>
        </w:rPr>
        <w:t xml:space="preserve"> matches Body (+1.0) and Tag (+1.5) = 2.5</w:t>
      </w:r>
    </w:p>
    <w:p>
      <w:pPr>
        <w:pStyle w:val="ListBullet"/>
        <w:spacing w:after="60"/>
      </w:pPr>
      <w:r>
        <w:rPr>
          <w:rFonts w:ascii="Times New Roman" w:hAnsi="Times New Roman"/>
          <w:b/>
          <w:color w:val="000000"/>
          <w:sz w:val="22"/>
        </w:rPr>
        <w:t>Total Score Chunk A = 8.5</w:t>
      </w:r>
    </w:p>
    <w:p>
      <w:pPr>
        <w:pStyle w:val="ListBullet"/>
        <w:spacing w:after="60"/>
      </w:pPr>
      <w:r>
        <w:rPr>
          <w:rFonts w:ascii="Times New Roman" w:hAnsi="Times New Roman"/>
          <w:b/>
          <w:color w:val="000000"/>
          <w:sz w:val="22"/>
        </w:rPr>
        <w:t>Document Chunk B (Section 80C Chunk)</w:t>
      </w:r>
      <w:r>
        <w:rPr>
          <w:rFonts w:ascii="Times New Roman" w:hAnsi="Times New Roman"/>
          <w:color w:val="000000"/>
          <w:sz w:val="22"/>
        </w:rPr>
        <w:t>:</w:t>
      </w:r>
    </w:p>
    <w:p>
      <w:pPr>
        <w:pStyle w:val="ListBullet"/>
        <w:spacing w:after="60"/>
      </w:pPr>
      <w:r>
        <w:rPr>
          <w:rFonts w:ascii="Times New Roman" w:hAnsi="Times New Roman"/>
          <w:color w:val="000000"/>
          <w:sz w:val="22"/>
        </w:rPr>
        <w:t>section</w:t>
      </w:r>
      <w:r>
        <w:rPr>
          <w:rFonts w:ascii="Times New Roman" w:hAnsi="Times New Roman"/>
          <w:color w:val="000000"/>
          <w:sz w:val="22"/>
        </w:rPr>
        <w:t xml:space="preserve"> matches Body (+1.0) = 1.0</w:t>
      </w:r>
    </w:p>
    <w:p>
      <w:pPr>
        <w:pStyle w:val="ListBullet"/>
        <w:spacing w:after="60"/>
      </w:pPr>
      <w:r>
        <w:rPr>
          <w:rFonts w:ascii="Times New Roman" w:hAnsi="Times New Roman"/>
          <w:color w:val="000000"/>
          <w:sz w:val="22"/>
        </w:rPr>
        <w:t>rebate</w:t>
      </w:r>
      <w:r>
        <w:rPr>
          <w:rFonts w:ascii="Times New Roman" w:hAnsi="Times New Roman"/>
          <w:color w:val="000000"/>
          <w:sz w:val="22"/>
        </w:rPr>
        <w:t xml:space="preserve"> not present = 0</w:t>
      </w:r>
    </w:p>
    <w:p>
      <w:pPr>
        <w:pStyle w:val="ListBullet"/>
        <w:spacing w:after="60"/>
      </w:pPr>
      <w:r>
        <w:rPr>
          <w:rFonts w:ascii="Times New Roman" w:hAnsi="Times New Roman"/>
          <w:b/>
          <w:color w:val="000000"/>
          <w:sz w:val="22"/>
        </w:rPr>
        <w:t>Total Score Chunk B = 1.0</w:t>
      </w:r>
    </w:p>
    <w:p>
      <w:pPr>
        <w:pStyle w:val="ListBullet"/>
        <w:spacing w:after="60"/>
      </w:pPr>
      <w:r>
        <w:rPr>
          <w:rFonts w:ascii="Times New Roman" w:hAnsi="Times New Roman"/>
          <w:color w:val="000000"/>
          <w:sz w:val="22"/>
        </w:rPr>
        <w:t xml:space="preserve">Chunk A ranks #1 with score </w:t>
      </w:r>
      <w:r>
        <w:rPr>
          <w:rFonts w:ascii="Times New Roman" w:hAnsi="Times New Roman"/>
          <w:b/>
          <w:color w:val="000000"/>
          <w:sz w:val="22"/>
        </w:rPr>
        <w:t>8.5</w:t>
      </w:r>
      <w:r>
        <w:rPr>
          <w:rFonts w:ascii="Times New Roman" w:hAnsi="Times New Roman"/>
          <w:color w:val="000000"/>
          <w:sz w:val="22"/>
        </w:rPr>
        <w:t>, guaranteeing exact statutory provision retrieval!</w:t>
      </w:r>
    </w:p>
    <w:p>
      <w:pPr>
        <w:pStyle w:val="Heading3"/>
        <w:spacing w:before="200" w:after="60"/>
      </w:pPr>
      <w:r>
        <w:rPr>
          <w:rFonts w:ascii="Times New Roman" w:hAnsi="Times New Roman"/>
          <w:b/>
          <w:i/>
          <w:color w:val="000000"/>
          <w:sz w:val="24"/>
        </w:rPr>
        <w:t>Formula 5: Append-Only SHA-256 Hash-Chain Audit Ledger</w:t>
      </w:r>
    </w:p>
    <w:p>
      <w:pPr>
        <w:spacing w:after="120" w:line="276" w:lineRule="auto"/>
      </w:pPr>
      <w:r>
        <w:rPr>
          <w:rFonts w:ascii="Times New Roman" w:hAnsi="Times New Roman"/>
          <w:color w:val="000000"/>
          <w:sz w:val="22"/>
        </w:rPr>
        <w:t xml:space="preserve">#### </w:t>
      </w:r>
      <w:r>
        <w:rPr>
          <w:rFonts w:ascii="Times New Roman" w:hAnsi="Times New Roman"/>
          <w:b/>
          <w:color w:val="000000"/>
          <w:sz w:val="22"/>
        </w:rPr>
        <w:t>The Formula</w:t>
      </w:r>
      <w:r>
        <w:rPr>
          <w:rFonts w:ascii="Times New Roman" w:hAnsi="Times New Roman"/>
          <w:color w:val="000000"/>
          <w:sz w:val="22"/>
        </w:rPr>
        <w:t>:</w:t>
      </w:r>
    </w:p>
    <w:p>
      <w:pPr>
        <w:spacing w:after="120" w:line="276" w:lineRule="auto"/>
      </w:pPr>
      <w:r>
        <w:rPr>
          <w:rFonts w:ascii="Times New Roman" w:hAnsi="Times New Roman"/>
          <w:color w:val="000000"/>
          <w:sz w:val="22"/>
        </w:rPr>
        <w:t>Block Hash H_k = SHA-256(Previous Hash H_(k-1) + Timestamp + Rule ID + Serialized Inputs + Serialized Outputs)</w:t>
      </w:r>
    </w:p>
    <w:p>
      <w:pPr>
        <w:spacing w:after="120" w:line="276" w:lineRule="auto"/>
      </w:pPr>
      <w:r>
        <w:rPr>
          <w:rFonts w:ascii="Times New Roman" w:hAnsi="Times New Roman"/>
          <w:color w:val="000000"/>
          <w:sz w:val="22"/>
        </w:rPr>
        <w:t xml:space="preserve">#### </w:t>
      </w:r>
      <w:r>
        <w:rPr>
          <w:rFonts w:ascii="Times New Roman" w:hAnsi="Times New Roman"/>
          <w:b/>
          <w:color w:val="000000"/>
          <w:sz w:val="22"/>
        </w:rPr>
        <w:t>Step-by-Step Numerical Example</w:t>
      </w:r>
      <w:r>
        <w:rPr>
          <w:rFonts w:ascii="Times New Roman" w:hAnsi="Times New Roman"/>
          <w:color w:val="000000"/>
          <w:sz w:val="22"/>
        </w:rPr>
        <w:t>:</w:t>
      </w:r>
    </w:p>
    <w:p>
      <w:pPr>
        <w:pStyle w:val="ListNumber"/>
        <w:spacing w:after="60"/>
      </w:pPr>
      <w:r>
        <w:rPr>
          <w:rFonts w:ascii="Times New Roman" w:hAnsi="Times New Roman"/>
          <w:b/>
          <w:color w:val="000000"/>
          <w:sz w:val="22"/>
        </w:rPr>
        <w:t>Genesis Block B_0</w:t>
      </w:r>
      <w:r>
        <w:rPr>
          <w:rFonts w:ascii="Times New Roman" w:hAnsi="Times New Roman"/>
          <w:color w:val="000000"/>
          <w:sz w:val="22"/>
        </w:rPr>
        <w:t>: Hash H_0 = 64 Zeros ("0000000000000000000000000000000000000000000000000000000000000000")</w:t>
      </w:r>
    </w:p>
    <w:p>
      <w:pPr>
        <w:pStyle w:val="ListNumber"/>
        <w:spacing w:after="60"/>
      </w:pPr>
      <w:r>
        <w:rPr>
          <w:rFonts w:ascii="Times New Roman" w:hAnsi="Times New Roman"/>
          <w:b/>
          <w:color w:val="000000"/>
          <w:sz w:val="22"/>
        </w:rPr>
        <w:t>Block B_1 (First Tax Calculation)</w:t>
      </w:r>
      <w:r>
        <w:rPr>
          <w:rFonts w:ascii="Times New Roman" w:hAnsi="Times New Roman"/>
          <w:color w:val="000000"/>
          <w:sz w:val="22"/>
        </w:rPr>
        <w:t>:</w:t>
      </w:r>
    </w:p>
    <w:p>
      <w:pPr>
        <w:pStyle w:val="ListBullet"/>
        <w:spacing w:after="60"/>
      </w:pPr>
      <w:r>
        <w:rPr>
          <w:rFonts w:ascii="Times New Roman" w:hAnsi="Times New Roman"/>
          <w:color w:val="000000"/>
          <w:sz w:val="22"/>
        </w:rPr>
        <w:t>Input String: "00000...0000" + "2026-08-01T00:00:00" + "TAX_CALC_115BAC" + "income:1275000" + "tax:0"</w:t>
      </w:r>
    </w:p>
    <w:p>
      <w:pPr>
        <w:pStyle w:val="ListBullet"/>
        <w:spacing w:after="60"/>
      </w:pPr>
      <w:r>
        <w:rPr>
          <w:rFonts w:ascii="Times New Roman" w:hAnsi="Times New Roman"/>
          <w:color w:val="000000"/>
          <w:sz w:val="22"/>
        </w:rPr>
        <w:t>Compute SHA-256 digest =&gt; H_1 = "a591a6d40bf...c9".</w:t>
      </w:r>
    </w:p>
    <w:p>
      <w:pPr>
        <w:pStyle w:val="ListNumber"/>
        <w:spacing w:after="60"/>
      </w:pPr>
      <w:r>
        <w:rPr>
          <w:rFonts w:ascii="Times New Roman" w:hAnsi="Times New Roman"/>
          <w:b/>
          <w:color w:val="000000"/>
          <w:sz w:val="22"/>
        </w:rPr>
        <w:t>Block B_2 (Second Calculation)</w:t>
      </w:r>
      <w:r>
        <w:rPr>
          <w:rFonts w:ascii="Times New Roman" w:hAnsi="Times New Roman"/>
          <w:color w:val="000000"/>
          <w:sz w:val="22"/>
        </w:rPr>
        <w:t>:</w:t>
      </w:r>
    </w:p>
    <w:p>
      <w:pPr>
        <w:pStyle w:val="ListBullet"/>
        <w:spacing w:after="60"/>
      </w:pPr>
      <w:r>
        <w:rPr>
          <w:rFonts w:ascii="Times New Roman" w:hAnsi="Times New Roman"/>
          <w:color w:val="000000"/>
          <w:sz w:val="22"/>
        </w:rPr>
        <w:t>Uses H_1 as previous hash input! H_2 = SHA-256(H_1 + Timestamp + ...)</w:t>
      </w:r>
    </w:p>
    <w:p>
      <w:pPr>
        <w:pStyle w:val="ListBullet"/>
        <w:spacing w:after="60"/>
      </w:pPr>
      <w:r>
        <w:rPr>
          <w:rFonts w:ascii="Times New Roman" w:hAnsi="Times New Roman"/>
          <w:color w:val="000000"/>
          <w:sz w:val="22"/>
        </w:rPr>
        <w:t>If an attacker tampers with Block B_1 data in SQLite database, H_1 changes, causing all subsequent hashes H_2, H_3 to fail validation immediately!</w:t>
      </w:r>
    </w:p>
    <w:p>
      <w:pPr>
        <w:pStyle w:val="Heading2"/>
        <w:spacing w:before="240" w:after="80"/>
      </w:pPr>
      <w:r>
        <w:rPr>
          <w:rFonts w:ascii="Times New Roman" w:hAnsi="Times New Roman"/>
          <w:b/>
          <w:color w:val="000000"/>
          <w:sz w:val="28"/>
        </w:rPr>
        <w:t>2. Empirical Benchmark Numbers Explained (Table II)</w:t>
      </w:r>
    </w:p>
    <w:tbl>
      <w:tblPr>
        <w:tblW w:type="auto" w:w="0"/>
        <w:jc w:val="center"/>
        <w:tblLook w:firstColumn="1" w:firstRow="1" w:lastColumn="0" w:lastRow="0" w:noHBand="0" w:noVBand="1" w:val="04A0"/>
        <w:tblBorders>
          <w:top w:val="single" w:sz="8" w:space="0" w:color="000000"/>
          <w:left w:val="single" w:sz="4" w:space="0" w:color="CBD5E1"/>
          <w:bottom w:val="single" w:sz="8" w:space="0" w:color="000000"/>
          <w:right w:val="single" w:sz="4" w:space="0" w:color="CBD5E1"/>
          <w:insideH w:val="single" w:sz="4" w:space="0" w:color="CBD5E1"/>
          <w:insideV w:val="single" w:sz="4" w:space="0" w:color="CBD5E1"/>
        </w:tblBorders>
      </w:tblPr>
      <w:tblGrid>
        <w:gridCol w:w="3120"/>
        <w:gridCol w:w="3120"/>
        <w:gridCol w:w="3120"/>
      </w:tblGrid>
      <w:tr>
        <w:tc>
          <w:tcPr>
            <w:tcW w:type="dxa" w:w="3120"/>
            <w:tcMar>
              <w:top w:w="100" w:type="dxa"/>
              <w:bottom w:w="100" w:type="dxa"/>
              <w:left w:w="120" w:type="dxa"/>
              <w:right w:w="120" w:type="dxa"/>
            </w:tcMar>
            <w:shd w:fill="E2E8F0"/>
          </w:tcPr>
          <w:p>
            <w:pPr>
              <w:spacing w:before="40" w:after="40"/>
            </w:pPr>
            <w:r>
              <w:rPr>
                <w:rFonts w:ascii="Times New Roman" w:hAnsi="Times New Roman"/>
                <w:b/>
                <w:color w:val="000000"/>
                <w:sz w:val="20"/>
              </w:rPr>
              <w:t>Metric</w:t>
            </w:r>
          </w:p>
        </w:tc>
        <w:tc>
          <w:tcPr>
            <w:tcW w:type="dxa" w:w="3120"/>
            <w:tcMar>
              <w:top w:w="100" w:type="dxa"/>
              <w:bottom w:w="100" w:type="dxa"/>
              <w:left w:w="120" w:type="dxa"/>
              <w:right w:w="120" w:type="dxa"/>
            </w:tcMar>
            <w:shd w:fill="E2E8F0"/>
          </w:tcPr>
          <w:p>
            <w:pPr>
              <w:spacing w:before="40" w:after="40"/>
            </w:pPr>
            <w:r>
              <w:rPr>
                <w:rFonts w:ascii="Times New Roman" w:hAnsi="Times New Roman"/>
                <w:b/>
                <w:color w:val="000000"/>
                <w:sz w:val="20"/>
              </w:rPr>
              <w:t>Paper Value</w:t>
            </w:r>
          </w:p>
        </w:tc>
        <w:tc>
          <w:tcPr>
            <w:tcW w:type="dxa" w:w="3120"/>
            <w:tcMar>
              <w:top w:w="100" w:type="dxa"/>
              <w:bottom w:w="100" w:type="dxa"/>
              <w:left w:w="120" w:type="dxa"/>
              <w:right w:w="120" w:type="dxa"/>
            </w:tcMar>
            <w:shd w:fill="E2E8F0"/>
          </w:tcPr>
          <w:p>
            <w:pPr>
              <w:spacing w:before="40" w:after="40"/>
            </w:pPr>
            <w:r>
              <w:rPr>
                <w:rFonts w:ascii="Times New Roman" w:hAnsi="Times New Roman"/>
                <w:b/>
                <w:color w:val="000000"/>
                <w:sz w:val="20"/>
              </w:rPr>
              <w:t>What It Means in Simple Terms</w:t>
            </w:r>
          </w:p>
        </w:tc>
      </w:tr>
      <w:tr>
        <w:tc>
          <w:tcPr>
            <w:tcW w:type="dxa" w:w="3120"/>
            <w:tcMar>
              <w:top w:w="100" w:type="dxa"/>
              <w:bottom w:w="100" w:type="dxa"/>
              <w:left w:w="120" w:type="dxa"/>
              <w:right w:w="120" w:type="dxa"/>
            </w:tcMar>
          </w:tcPr>
          <w:p>
            <w:pPr>
              <w:spacing w:before="40" w:after="40"/>
            </w:pPr>
            <w:r>
              <w:rPr>
                <w:rFonts w:ascii="Times New Roman" w:hAnsi="Times New Roman"/>
                <w:color w:val="000000"/>
                <w:sz w:val="20"/>
              </w:rPr>
              <w:t>Total Test Questions</w:t>
            </w:r>
          </w:p>
        </w:tc>
        <w:tc>
          <w:tcPr>
            <w:tcW w:type="dxa" w:w="3120"/>
            <w:tcMar>
              <w:top w:w="100" w:type="dxa"/>
              <w:bottom w:w="100" w:type="dxa"/>
              <w:left w:w="120" w:type="dxa"/>
              <w:right w:w="120" w:type="dxa"/>
            </w:tcMar>
          </w:tcPr>
          <w:p>
            <w:pPr>
              <w:spacing w:before="40" w:after="40"/>
            </w:pPr>
            <w:r>
              <w:rPr>
                <w:rFonts w:ascii="Times New Roman" w:hAnsi="Times New Roman"/>
                <w:color w:val="000000"/>
                <w:sz w:val="20"/>
              </w:rPr>
              <w:t>15 Questions</w:t>
            </w:r>
          </w:p>
        </w:tc>
        <w:tc>
          <w:tcPr>
            <w:tcW w:type="dxa" w:w="3120"/>
            <w:tcMar>
              <w:top w:w="100" w:type="dxa"/>
              <w:bottom w:w="100" w:type="dxa"/>
              <w:left w:w="120" w:type="dxa"/>
              <w:right w:w="120" w:type="dxa"/>
            </w:tcMar>
          </w:tcPr>
          <w:p>
            <w:pPr>
              <w:spacing w:before="40" w:after="40"/>
            </w:pPr>
            <w:r>
              <w:rPr>
                <w:rFonts w:ascii="Times New Roman" w:hAnsi="Times New Roman"/>
                <w:color w:val="000000"/>
                <w:sz w:val="20"/>
              </w:rPr>
              <w:t>A benchmark set of 15 ground-truth legal/tax queries tested automatically.</w:t>
            </w:r>
          </w:p>
        </w:tc>
      </w:tr>
      <w:tr>
        <w:tc>
          <w:tcPr>
            <w:tcW w:type="dxa" w:w="3120"/>
            <w:tcMar>
              <w:top w:w="100" w:type="dxa"/>
              <w:bottom w:w="100" w:type="dxa"/>
              <w:left w:w="120" w:type="dxa"/>
              <w:right w:w="120" w:type="dxa"/>
            </w:tcMar>
          </w:tcPr>
          <w:p>
            <w:pPr>
              <w:spacing w:before="40" w:after="40"/>
            </w:pPr>
            <w:r>
              <w:rPr>
                <w:rFonts w:ascii="Times New Roman" w:hAnsi="Times New Roman"/>
                <w:color w:val="000000"/>
                <w:sz w:val="20"/>
              </w:rPr>
              <w:t>Top-1 Retrieval Precision (P@1)</w:t>
            </w:r>
          </w:p>
        </w:tc>
        <w:tc>
          <w:tcPr>
            <w:tcW w:type="dxa" w:w="3120"/>
            <w:tcMar>
              <w:top w:w="100" w:type="dxa"/>
              <w:bottom w:w="100" w:type="dxa"/>
              <w:left w:w="120" w:type="dxa"/>
              <w:right w:w="120" w:type="dxa"/>
            </w:tcMar>
          </w:tcPr>
          <w:p>
            <w:pPr>
              <w:spacing w:before="40" w:after="40"/>
            </w:pPr>
            <w:r>
              <w:rPr>
                <w:rFonts w:ascii="Times New Roman" w:hAnsi="Times New Roman"/>
                <w:color w:val="000000"/>
                <w:sz w:val="20"/>
              </w:rPr>
              <w:t>100.0% (15/15)</w:t>
            </w:r>
          </w:p>
        </w:tc>
        <w:tc>
          <w:tcPr>
            <w:tcW w:type="dxa" w:w="3120"/>
            <w:tcMar>
              <w:top w:w="100" w:type="dxa"/>
              <w:bottom w:w="100" w:type="dxa"/>
              <w:left w:w="120" w:type="dxa"/>
              <w:right w:w="120" w:type="dxa"/>
            </w:tcMar>
          </w:tcPr>
          <w:p>
            <w:pPr>
              <w:spacing w:before="40" w:after="40"/>
            </w:pPr>
            <w:r>
              <w:rPr>
                <w:rFonts w:ascii="Times New Roman" w:hAnsi="Times New Roman"/>
                <w:color w:val="000000"/>
                <w:sz w:val="20"/>
              </w:rPr>
              <w:t>In all 15 test queries, the #1 retrieved chunk was the exact statutory section required.</w:t>
            </w:r>
          </w:p>
        </w:tc>
      </w:tr>
      <w:tr>
        <w:tc>
          <w:tcPr>
            <w:tcW w:type="dxa" w:w="3120"/>
            <w:tcMar>
              <w:top w:w="100" w:type="dxa"/>
              <w:bottom w:w="100" w:type="dxa"/>
              <w:left w:w="120" w:type="dxa"/>
              <w:right w:w="120" w:type="dxa"/>
            </w:tcMar>
          </w:tcPr>
          <w:p>
            <w:pPr>
              <w:spacing w:before="40" w:after="40"/>
            </w:pPr>
            <w:r>
              <w:rPr>
                <w:rFonts w:ascii="Times New Roman" w:hAnsi="Times New Roman"/>
                <w:color w:val="000000"/>
                <w:sz w:val="20"/>
              </w:rPr>
              <w:t>Top-3 Retrieval Recall (R@3)</w:t>
            </w:r>
          </w:p>
        </w:tc>
        <w:tc>
          <w:tcPr>
            <w:tcW w:type="dxa" w:w="3120"/>
            <w:tcMar>
              <w:top w:w="100" w:type="dxa"/>
              <w:bottom w:w="100" w:type="dxa"/>
              <w:left w:w="120" w:type="dxa"/>
              <w:right w:w="120" w:type="dxa"/>
            </w:tcMar>
          </w:tcPr>
          <w:p>
            <w:pPr>
              <w:spacing w:before="40" w:after="40"/>
            </w:pPr>
            <w:r>
              <w:rPr>
                <w:rFonts w:ascii="Times New Roman" w:hAnsi="Times New Roman"/>
                <w:color w:val="000000"/>
                <w:sz w:val="20"/>
              </w:rPr>
              <w:t>100.0% (15/15)</w:t>
            </w:r>
          </w:p>
        </w:tc>
        <w:tc>
          <w:tcPr>
            <w:tcW w:type="dxa" w:w="3120"/>
            <w:tcMar>
              <w:top w:w="100" w:type="dxa"/>
              <w:bottom w:w="100" w:type="dxa"/>
              <w:left w:w="120" w:type="dxa"/>
              <w:right w:w="120" w:type="dxa"/>
            </w:tcMar>
          </w:tcPr>
          <w:p>
            <w:pPr>
              <w:spacing w:before="40" w:after="40"/>
            </w:pPr>
            <w:r>
              <w:rPr>
                <w:rFonts w:ascii="Times New Roman" w:hAnsi="Times New Roman"/>
                <w:color w:val="000000"/>
                <w:sz w:val="20"/>
              </w:rPr>
              <w:t>The target statutory section appeared in the top 3 results 100% of the time.</w:t>
            </w:r>
          </w:p>
        </w:tc>
      </w:tr>
      <w:tr>
        <w:tc>
          <w:tcPr>
            <w:tcW w:type="dxa" w:w="3120"/>
            <w:tcMar>
              <w:top w:w="100" w:type="dxa"/>
              <w:bottom w:w="100" w:type="dxa"/>
              <w:left w:w="120" w:type="dxa"/>
              <w:right w:w="120" w:type="dxa"/>
            </w:tcMar>
          </w:tcPr>
          <w:p>
            <w:pPr>
              <w:spacing w:before="40" w:after="40"/>
            </w:pPr>
            <w:r>
              <w:rPr>
                <w:rFonts w:ascii="Times New Roman" w:hAnsi="Times New Roman"/>
                <w:color w:val="000000"/>
                <w:sz w:val="20"/>
              </w:rPr>
              <w:t>Statutory Citation Accuracy</w:t>
            </w:r>
          </w:p>
        </w:tc>
        <w:tc>
          <w:tcPr>
            <w:tcW w:type="dxa" w:w="3120"/>
            <w:tcMar>
              <w:top w:w="100" w:type="dxa"/>
              <w:bottom w:w="100" w:type="dxa"/>
              <w:left w:w="120" w:type="dxa"/>
              <w:right w:w="120" w:type="dxa"/>
            </w:tcMar>
          </w:tcPr>
          <w:p>
            <w:pPr>
              <w:spacing w:before="40" w:after="40"/>
            </w:pPr>
            <w:r>
              <w:rPr>
                <w:rFonts w:ascii="Times New Roman" w:hAnsi="Times New Roman"/>
                <w:color w:val="000000"/>
                <w:sz w:val="20"/>
              </w:rPr>
              <w:t>100.0% (15/15)</w:t>
            </w:r>
          </w:p>
        </w:tc>
        <w:tc>
          <w:tcPr>
            <w:tcW w:type="dxa" w:w="3120"/>
            <w:tcMar>
              <w:top w:w="100" w:type="dxa"/>
              <w:bottom w:w="100" w:type="dxa"/>
              <w:left w:w="120" w:type="dxa"/>
              <w:right w:w="120" w:type="dxa"/>
            </w:tcMar>
          </w:tcPr>
          <w:p>
            <w:pPr>
              <w:spacing w:before="40" w:after="40"/>
            </w:pPr>
            <w:r>
              <w:rPr>
                <w:rFonts w:ascii="Times New Roman" w:hAnsi="Times New Roman"/>
                <w:color w:val="000000"/>
                <w:sz w:val="20"/>
              </w:rPr>
              <w:t>The AI assistant accurately cited the exact statute name and section number.</w:t>
            </w:r>
          </w:p>
        </w:tc>
      </w:tr>
      <w:tr>
        <w:tc>
          <w:tcPr>
            <w:tcW w:type="dxa" w:w="3120"/>
            <w:tcMar>
              <w:top w:w="100" w:type="dxa"/>
              <w:bottom w:w="100" w:type="dxa"/>
              <w:left w:w="120" w:type="dxa"/>
              <w:right w:w="120" w:type="dxa"/>
            </w:tcMar>
          </w:tcPr>
          <w:p>
            <w:pPr>
              <w:spacing w:before="40" w:after="40"/>
            </w:pPr>
            <w:r>
              <w:rPr>
                <w:rFonts w:ascii="Times New Roman" w:hAnsi="Times New Roman"/>
                <w:color w:val="000000"/>
                <w:sz w:val="20"/>
              </w:rPr>
              <w:t>Symbolic Verification Rate</w:t>
            </w:r>
          </w:p>
        </w:tc>
        <w:tc>
          <w:tcPr>
            <w:tcW w:type="dxa" w:w="3120"/>
            <w:tcMar>
              <w:top w:w="100" w:type="dxa"/>
              <w:bottom w:w="100" w:type="dxa"/>
              <w:left w:w="120" w:type="dxa"/>
              <w:right w:w="120" w:type="dxa"/>
            </w:tcMar>
          </w:tcPr>
          <w:p>
            <w:pPr>
              <w:spacing w:before="40" w:after="40"/>
            </w:pPr>
            <w:r>
              <w:rPr>
                <w:rFonts w:ascii="Times New Roman" w:hAnsi="Times New Roman"/>
                <w:color w:val="000000"/>
                <w:sz w:val="20"/>
              </w:rPr>
              <w:t>100.0% (15/15)</w:t>
            </w:r>
          </w:p>
        </w:tc>
        <w:tc>
          <w:tcPr>
            <w:tcW w:type="dxa" w:w="3120"/>
            <w:tcMar>
              <w:top w:w="100" w:type="dxa"/>
              <w:bottom w:w="100" w:type="dxa"/>
              <w:left w:w="120" w:type="dxa"/>
              <w:right w:w="120" w:type="dxa"/>
            </w:tcMar>
          </w:tcPr>
          <w:p>
            <w:pPr>
              <w:spacing w:before="40" w:after="40"/>
            </w:pPr>
            <w:r>
              <w:rPr>
                <w:rFonts w:ascii="Times New Roman" w:hAnsi="Times New Roman"/>
                <w:color w:val="000000"/>
                <w:sz w:val="20"/>
              </w:rPr>
              <w:t>100% of numeric tax calculations were cross-checked and verified by Python rule scripts.</w:t>
            </w:r>
          </w:p>
        </w:tc>
      </w:tr>
      <w:tr>
        <w:tc>
          <w:tcPr>
            <w:tcW w:type="dxa" w:w="3120"/>
            <w:tcMar>
              <w:top w:w="100" w:type="dxa"/>
              <w:bottom w:w="100" w:type="dxa"/>
              <w:left w:w="120" w:type="dxa"/>
              <w:right w:w="120" w:type="dxa"/>
            </w:tcMar>
          </w:tcPr>
          <w:p>
            <w:pPr>
              <w:spacing w:before="40" w:after="40"/>
            </w:pPr>
            <w:r>
              <w:rPr>
                <w:rFonts w:ascii="Times New Roman" w:hAnsi="Times New Roman"/>
                <w:color w:val="000000"/>
                <w:sz w:val="20"/>
              </w:rPr>
              <w:t>Mean Retrieval Latency</w:t>
            </w:r>
          </w:p>
        </w:tc>
        <w:tc>
          <w:tcPr>
            <w:tcW w:type="dxa" w:w="3120"/>
            <w:tcMar>
              <w:top w:w="100" w:type="dxa"/>
              <w:bottom w:w="100" w:type="dxa"/>
              <w:left w:w="120" w:type="dxa"/>
              <w:right w:w="120" w:type="dxa"/>
            </w:tcMar>
          </w:tcPr>
          <w:p>
            <w:pPr>
              <w:spacing w:before="40" w:after="40"/>
            </w:pPr>
            <w:r>
              <w:rPr>
                <w:rFonts w:ascii="Times New Roman" w:hAnsi="Times New Roman"/>
                <w:color w:val="000000"/>
                <w:sz w:val="20"/>
              </w:rPr>
              <w:t>0.23 ms</w:t>
            </w:r>
          </w:p>
        </w:tc>
        <w:tc>
          <w:tcPr>
            <w:tcW w:type="dxa" w:w="3120"/>
            <w:tcMar>
              <w:top w:w="100" w:type="dxa"/>
              <w:bottom w:w="100" w:type="dxa"/>
              <w:left w:w="120" w:type="dxa"/>
              <w:right w:w="120" w:type="dxa"/>
            </w:tcMar>
          </w:tcPr>
          <w:p>
            <w:pPr>
              <w:spacing w:before="40" w:after="40"/>
            </w:pPr>
            <w:r>
              <w:rPr>
                <w:rFonts w:ascii="Times New Roman" w:hAnsi="Times New Roman"/>
                <w:color w:val="000000"/>
                <w:sz w:val="20"/>
              </w:rPr>
              <w:t>Retrieval executes in 0.23 milliseconds locally (over 100x faster than cloud network APIs!).</w:t>
            </w:r>
          </w:p>
        </w:tc>
      </w:tr>
    </w:tbl>
    <w:p/>
    <w:p>
      <w:pPr>
        <w:pStyle w:val="Heading2"/>
        <w:spacing w:before="240" w:after="80"/>
      </w:pPr>
      <w:r>
        <w:rPr>
          <w:rFonts w:ascii="Times New Roman" w:hAnsi="Times New Roman"/>
          <w:b/>
          <w:color w:val="000000"/>
          <w:sz w:val="28"/>
        </w:rPr>
        <w:t>3. Viva &amp; Presentation Defense Guide</w:t>
      </w:r>
    </w:p>
    <w:p>
      <w:pPr>
        <w:pStyle w:val="Heading3"/>
        <w:spacing w:before="200" w:after="60"/>
      </w:pPr>
      <w:r>
        <w:rPr>
          <w:rFonts w:ascii="Times New Roman" w:hAnsi="Times New Roman"/>
          <w:b/>
          <w:i/>
          <w:color w:val="000000"/>
          <w:sz w:val="24"/>
        </w:rPr>
        <w:t>Q1: "Why did you use SQLite FTS5 instead of vector databases like FAISS or ChromaDB?"</w:t>
      </w:r>
    </w:p>
    <w:p>
      <w:pPr>
        <w:spacing w:after="120" w:line="276" w:lineRule="auto"/>
      </w:pPr>
      <w:r>
        <w:rPr>
          <w:rFonts w:ascii="Times New Roman" w:hAnsi="Times New Roman"/>
          <w:color w:val="000000"/>
          <w:sz w:val="22"/>
        </w:rPr>
        <w:t xml:space="preserve">&gt; </w:t>
      </w:r>
      <w:r>
        <w:rPr>
          <w:rFonts w:ascii="Times New Roman" w:hAnsi="Times New Roman"/>
          <w:b/>
          <w:color w:val="000000"/>
          <w:sz w:val="22"/>
        </w:rPr>
        <w:t>Answer</w:t>
      </w:r>
      <w:r>
        <w:rPr>
          <w:rFonts w:ascii="Times New Roman" w:hAnsi="Times New Roman"/>
          <w:color w:val="000000"/>
          <w:sz w:val="22"/>
        </w:rPr>
        <w:t xml:space="preserve">:  </w:t>
      </w:r>
    </w:p>
    <w:p>
      <w:pPr>
        <w:spacing w:after="120" w:line="276" w:lineRule="auto"/>
      </w:pPr>
      <w:r>
        <w:rPr>
          <w:rFonts w:ascii="Times New Roman" w:hAnsi="Times New Roman"/>
          <w:color w:val="000000"/>
          <w:sz w:val="22"/>
        </w:rPr>
        <w:t xml:space="preserve">&gt; </w:t>
      </w:r>
      <w:r>
        <w:rPr>
          <w:rFonts w:ascii="Times New Roman" w:hAnsi="Times New Roman"/>
          <w:i/>
          <w:color w:val="000000"/>
          <w:sz w:val="22"/>
        </w:rPr>
        <w:t>"FAISS and vector embeddings are great for general semantic similarity, but for Indian legal and tax compliance, queries contain exact statutory numbers like 'Section 87A' or 'Section 16'. Vector embeddings suffer from vector drift—often confusing Section 87A with Section 80C because both talk about tax savings. SQLite FTS5 with term weighting gives 100% exact section precision, requires zero heavy PyTorch/VRAM dependencies, runs 100% offline, and achieves a sub-millisecond retrieval latency of 0.23 ms."</w:t>
      </w:r>
    </w:p>
    <w:p>
      <w:pPr>
        <w:pStyle w:val="Heading3"/>
        <w:spacing w:before="200" w:after="60"/>
      </w:pPr>
      <w:r>
        <w:rPr>
          <w:rFonts w:ascii="Times New Roman" w:hAnsi="Times New Roman"/>
          <w:b/>
          <w:i/>
          <w:color w:val="000000"/>
          <w:sz w:val="24"/>
        </w:rPr>
        <w:t>Q2: "What is your main unique contribution compared to published papers like TaxFlow or LawPal?"</w:t>
      </w:r>
    </w:p>
    <w:p>
      <w:pPr>
        <w:spacing w:after="120" w:line="276" w:lineRule="auto"/>
      </w:pPr>
      <w:r>
        <w:rPr>
          <w:rFonts w:ascii="Times New Roman" w:hAnsi="Times New Roman"/>
          <w:color w:val="000000"/>
          <w:sz w:val="22"/>
        </w:rPr>
        <w:t xml:space="preserve">&gt; </w:t>
      </w:r>
      <w:r>
        <w:rPr>
          <w:rFonts w:ascii="Times New Roman" w:hAnsi="Times New Roman"/>
          <w:b/>
          <w:color w:val="000000"/>
          <w:sz w:val="22"/>
        </w:rPr>
        <w:t>Answer</w:t>
      </w:r>
      <w:r>
        <w:rPr>
          <w:rFonts w:ascii="Times New Roman" w:hAnsi="Times New Roman"/>
          <w:color w:val="000000"/>
          <w:sz w:val="22"/>
        </w:rPr>
        <w:t xml:space="preserve">:  </w:t>
      </w:r>
    </w:p>
    <w:p>
      <w:pPr>
        <w:spacing w:after="120" w:line="276" w:lineRule="auto"/>
      </w:pPr>
      <w:r>
        <w:rPr>
          <w:rFonts w:ascii="Times New Roman" w:hAnsi="Times New Roman"/>
          <w:color w:val="000000"/>
          <w:sz w:val="22"/>
        </w:rPr>
        <w:t xml:space="preserve">&gt; </w:t>
      </w:r>
      <w:r>
        <w:rPr>
          <w:rFonts w:ascii="Times New Roman" w:hAnsi="Times New Roman"/>
          <w:i/>
          <w:color w:val="000000"/>
          <w:sz w:val="22"/>
        </w:rPr>
        <w:t xml:space="preserve">"TaxFlow and LawPal focus on general cloud-hosted legal QA using FAISS and remote LLaMA/DeepSeek servers. FinAI's unique contribution is a </w:t>
      </w:r>
      <w:r>
        <w:rPr>
          <w:rFonts w:ascii="Times New Roman" w:hAnsi="Times New Roman"/>
          <w:i/>
          <w:color w:val="000000"/>
          <w:sz w:val="22"/>
        </w:rPr>
        <w:t>privacy-preserving neuro-symbolic architecture</w:t>
      </w:r>
      <w:r>
        <w:rPr>
          <w:rFonts w:ascii="Times New Roman" w:hAnsi="Times New Roman"/>
          <w:i/>
          <w:color w:val="000000"/>
          <w:sz w:val="22"/>
        </w:rPr>
        <w:t>: (1) It runs 100% offline on a local PC with zero cloud telemetry, (2) It cross-checks AI responses against a 100% deterministic Python rule engine with an append-only SHA-256 hash-chain audit trail, and (3) It is embedded directly in an end-to-end personal finance workflow linking receipt OCR, expense tracking, and GST ITC."</w:t>
      </w:r>
    </w:p>
    <w:p>
      <w:pPr>
        <w:pStyle w:val="Heading3"/>
        <w:spacing w:before="200" w:after="60"/>
      </w:pPr>
      <w:r>
        <w:rPr>
          <w:rFonts w:ascii="Times New Roman" w:hAnsi="Times New Roman"/>
          <w:b/>
          <w:i/>
          <w:color w:val="000000"/>
          <w:sz w:val="24"/>
        </w:rPr>
        <w:t>Q3: "How do you guarantee that FinAI won't hallucinate tax numbers?"</w:t>
      </w:r>
    </w:p>
    <w:p>
      <w:pPr>
        <w:spacing w:after="120" w:line="276" w:lineRule="auto"/>
      </w:pPr>
      <w:r>
        <w:rPr>
          <w:rFonts w:ascii="Times New Roman" w:hAnsi="Times New Roman"/>
          <w:color w:val="000000"/>
          <w:sz w:val="22"/>
        </w:rPr>
        <w:t xml:space="preserve">&gt; </w:t>
      </w:r>
      <w:r>
        <w:rPr>
          <w:rFonts w:ascii="Times New Roman" w:hAnsi="Times New Roman"/>
          <w:b/>
          <w:color w:val="000000"/>
          <w:sz w:val="22"/>
        </w:rPr>
        <w:t>Answer</w:t>
      </w:r>
      <w:r>
        <w:rPr>
          <w:rFonts w:ascii="Times New Roman" w:hAnsi="Times New Roman"/>
          <w:color w:val="000000"/>
          <w:sz w:val="22"/>
        </w:rPr>
        <w:t xml:space="preserve">:  </w:t>
      </w:r>
    </w:p>
    <w:p>
      <w:pPr>
        <w:spacing w:after="120" w:line="276" w:lineRule="auto"/>
      </w:pPr>
      <w:r>
        <w:rPr>
          <w:rFonts w:ascii="Times New Roman" w:hAnsi="Times New Roman"/>
          <w:color w:val="000000"/>
          <w:sz w:val="22"/>
        </w:rPr>
        <w:t xml:space="preserve">&gt; </w:t>
      </w:r>
      <w:r>
        <w:rPr>
          <w:rFonts w:ascii="Times New Roman" w:hAnsi="Times New Roman"/>
          <w:i/>
          <w:color w:val="000000"/>
          <w:sz w:val="22"/>
        </w:rPr>
        <w:t>"We separate natural language explanation from calculation logic. The LLM provides textual explanation, but all numerical figures (tax slabs, Section 87A rebate, GST splits, EMI installments) are computed by our deterministic Python domain engines (`tax_rules.py`, `gst_rules.py`). If the LLM generates a number, our system recomputes and verifies it symbolically before displaying it to the user."</w:t>
      </w:r>
    </w:p>
    <w:p>
      <w:pPr>
        <w:pStyle w:val="Heading3"/>
        <w:spacing w:before="200" w:after="60"/>
      </w:pPr>
      <w:r>
        <w:rPr>
          <w:rFonts w:ascii="Times New Roman" w:hAnsi="Times New Roman"/>
          <w:b/>
          <w:i/>
          <w:color w:val="000000"/>
          <w:sz w:val="24"/>
        </w:rPr>
        <w:t>Q4: "What is your plan for the next 5 months?"</w:t>
      </w:r>
    </w:p>
    <w:p>
      <w:pPr>
        <w:spacing w:after="120" w:line="276" w:lineRule="auto"/>
      </w:pPr>
      <w:r>
        <w:rPr>
          <w:rFonts w:ascii="Times New Roman" w:hAnsi="Times New Roman"/>
          <w:color w:val="000000"/>
          <w:sz w:val="22"/>
        </w:rPr>
        <w:t xml:space="preserve">&gt; </w:t>
      </w:r>
      <w:r>
        <w:rPr>
          <w:rFonts w:ascii="Times New Roman" w:hAnsi="Times New Roman"/>
          <w:b/>
          <w:color w:val="000000"/>
          <w:sz w:val="22"/>
        </w:rPr>
        <w:t>Answer</w:t>
      </w:r>
      <w:r>
        <w:rPr>
          <w:rFonts w:ascii="Times New Roman" w:hAnsi="Times New Roman"/>
          <w:color w:val="000000"/>
          <w:sz w:val="22"/>
        </w:rPr>
        <w:t xml:space="preserve">:  </w:t>
      </w:r>
    </w:p>
    <w:p>
      <w:pPr>
        <w:spacing w:after="120" w:line="276" w:lineRule="auto"/>
      </w:pPr>
      <w:r>
        <w:rPr>
          <w:rFonts w:ascii="Times New Roman" w:hAnsi="Times New Roman"/>
          <w:color w:val="000000"/>
          <w:sz w:val="22"/>
        </w:rPr>
        <w:t xml:space="preserve">&gt; </w:t>
      </w:r>
      <w:r>
        <w:rPr>
          <w:rFonts w:ascii="Times New Roman" w:hAnsi="Times New Roman"/>
          <w:i/>
          <w:color w:val="000000"/>
          <w:sz w:val="22"/>
        </w:rPr>
        <w:t>"Over the next 5 months, we will expand our statutory legal corpus from 12 seed documents to 60+ comprehensive statutory files, implement a local ONNX vector hybrid index for conceptual queries, and conduct a formal double-blind evaluation with a panel of practicing Chartered Accountants."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