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00000"/>
          <w:sz w:val="48"/>
        </w:rPr>
        <w:t>An Offline, Rule-Verified Retrieval-Augmented Assistant for Personal Tax and GST Compliance</w:t>
      </w:r>
    </w:p>
    <w:p>
      <w:pPr>
        <w:spacing w:after="80"/>
        <w:jc w:val="center"/>
      </w:pPr>
      <w:r>
        <w:rPr>
          <w:rFonts w:ascii="Times New Roman" w:hAnsi="Times New Roman"/>
          <w:b/>
          <w:color w:val="000000"/>
          <w:sz w:val="22"/>
        </w:rPr>
        <w:t>Yash Kumar Choudhary¹, Vaibhav Saini¹, Utkarsh Kumar¹, Dr. Shelja Sharma²</w:t>
      </w:r>
    </w:p>
    <w:p>
      <w:pPr>
        <w:spacing w:after="80"/>
        <w:jc w:val="center"/>
      </w:pPr>
      <w:r>
        <w:rPr>
          <w:rFonts w:ascii="Times New Roman" w:hAnsi="Times New Roman"/>
          <w:i/>
          <w:color w:val="000000"/>
          <w:sz w:val="19"/>
        </w:rPr>
        <w:t>¹Department of Computer Science &amp; Engineering, Final Year Capstone Research Initiative</w:t>
      </w:r>
    </w:p>
    <w:p>
      <w:pPr>
        <w:spacing w:after="80"/>
        <w:jc w:val="center"/>
      </w:pPr>
      <w:r>
        <w:rPr>
          <w:rFonts w:ascii="Times New Roman" w:hAnsi="Times New Roman"/>
          <w:i/>
          <w:color w:val="000000"/>
          <w:sz w:val="19"/>
        </w:rPr>
        <w:t>²Department of Computer Science &amp; Engineering, Faculty Advisor &amp; Mentor</w:t>
      </w:r>
    </w:p>
    <w:p>
      <w:pPr>
        <w:spacing w:after="80"/>
        <w:jc w:val="center"/>
      </w:pPr>
      <w:r>
        <w:rPr>
          <w:rFonts w:ascii="Times New Roman" w:hAnsi="Times New Roman"/>
          <w:i/>
          <w:color w:val="000000"/>
          <w:sz w:val="19"/>
        </w:rPr>
        <w:t>Email: {yash.choudhary, vaibhav.saini, utkarsh.kumar, shelja.sharma}@university.edu.in</w:t>
      </w:r>
    </w:p>
    <w:p>
      <w:pPr>
        <w:spacing w:before="240" w:after="80"/>
      </w:pPr>
      <w:r>
        <w:rPr>
          <w:rFonts w:ascii="Times New Roman" w:hAnsi="Times New Roman"/>
          <w:b/>
          <w:i/>
          <w:color w:val="000000"/>
          <w:sz w:val="20"/>
        </w:rPr>
        <w:t>Abstract—</w:t>
      </w:r>
    </w:p>
    <w:p>
      <w:pPr>
        <w:spacing w:after="160" w:line="264" w:lineRule="auto"/>
        <w:jc w:val="both"/>
      </w:pPr>
      <w:r>
        <w:rPr>
          <w:rFonts w:ascii="Times New Roman" w:hAnsi="Times New Roman"/>
          <w:i/>
          <w:color w:val="000000"/>
          <w:sz w:val="20"/>
        </w:rPr>
        <w:t xml:space="preserve">Personal tax compliance and indirect tax management under Indian statutory law present significant cognitive complexity for individual taxpayers, micro-enterprises, and small-business operators. Frequent legislative amendments, non-linear tax slab structures, conditional rebate mechanisms, and strict Input Tax Credit (ITC) eligibility rules under the Goods and Services Tax (GST) framework create substantial risk of financial penalty when managed manually or via unverified automated tools. Large Language Models (LLMs) equipped with Retrieval-Augmented Generation (RAG) offer promising natural language interfaces for legal question-answering; however, standard cloud-based legal RAG architectures exhibit three critical vulnerabilities: severe risk of numeric hallucination, reliance on external cloud infrastructure that transmits private financial data across remote networks, and complete detachment from transactional personal finance workflows. This paper introduces </w:t>
      </w:r>
      <w:r>
        <w:rPr>
          <w:rFonts w:ascii="Times New Roman" w:hAnsi="Times New Roman"/>
          <w:b/>
          <w:color w:val="000000"/>
          <w:sz w:val="20"/>
        </w:rPr>
        <w:t>FinAI</w:t>
      </w:r>
      <w:r>
        <w:rPr>
          <w:rFonts w:ascii="Times New Roman" w:hAnsi="Times New Roman"/>
          <w:i/>
          <w:color w:val="000000"/>
          <w:sz w:val="20"/>
        </w:rPr>
        <w:t xml:space="preserve">, an on-device, neuro-symbolic financial assistant featuring an offline, rule-verified RAG co-pilot for Indian Income Tax and Central GST compliance. Our work presents three core architectural contributions: 1. </w:t>
      </w:r>
      <w:r>
        <w:rPr>
          <w:rFonts w:ascii="Times New Roman" w:hAnsi="Times New Roman"/>
          <w:b/>
          <w:color w:val="000000"/>
          <w:sz w:val="20"/>
        </w:rPr>
        <w:t>100% Offline On-Device Execution</w:t>
      </w:r>
      <w:r>
        <w:rPr>
          <w:rFonts w:ascii="Times New Roman" w:hAnsi="Times New Roman"/>
          <w:i/>
          <w:color w:val="000000"/>
          <w:sz w:val="20"/>
        </w:rPr>
        <w:t xml:space="preserve">: Operates entirely on consumer-grade local hardware using a 3-billion parameter quantized local model (Qwen 2.5 3B) paired with SQLite Full-Text Search (FTS5) indexing, incurring zero cloud API cost, zero internet dependency, and zero remote data transmission. 2. </w:t>
      </w:r>
      <w:r>
        <w:rPr>
          <w:rFonts w:ascii="Times New Roman" w:hAnsi="Times New Roman"/>
          <w:b/>
          <w:color w:val="000000"/>
          <w:sz w:val="20"/>
        </w:rPr>
        <w:t>Neuro-Symbolic Legal Rule Verification</w:t>
      </w:r>
      <w:r>
        <w:rPr>
          <w:rFonts w:ascii="Times New Roman" w:hAnsi="Times New Roman"/>
          <w:i/>
          <w:color w:val="000000"/>
          <w:sz w:val="20"/>
        </w:rPr>
        <w:t>: Couples unstructured legal text retrieval with a 100% deterministic Python rule engine (</w:t>
      </w:r>
      <w:r>
        <w:rPr>
          <w:rFonts w:ascii="Times New Roman" w:hAnsi="Times New Roman"/>
          <w:color w:val="000000"/>
          <w:sz w:val="20"/>
        </w:rPr>
        <w:t>tax_rules.py</w:t>
      </w:r>
      <w:r>
        <w:rPr>
          <w:rFonts w:ascii="Times New Roman" w:hAnsi="Times New Roman"/>
          <w:i/>
          <w:color w:val="000000"/>
          <w:sz w:val="20"/>
        </w:rPr>
        <w:t xml:space="preserve">, </w:t>
      </w:r>
      <w:r>
        <w:rPr>
          <w:rFonts w:ascii="Times New Roman" w:hAnsi="Times New Roman"/>
          <w:color w:val="000000"/>
          <w:sz w:val="20"/>
        </w:rPr>
        <w:t>gst_rules.py</w:t>
      </w:r>
      <w:r>
        <w:rPr>
          <w:rFonts w:ascii="Times New Roman" w:hAnsi="Times New Roman"/>
          <w:i/>
          <w:color w:val="000000"/>
          <w:sz w:val="20"/>
        </w:rPr>
        <w:t xml:space="preserve">) that independently recomputes all cited numerical thresholds, appending every calculation to an append-only SHA-256 cryptographic hash-chain audit ledger. 3. </w:t>
      </w:r>
      <w:r>
        <w:rPr>
          <w:rFonts w:ascii="Times New Roman" w:hAnsi="Times New Roman"/>
          <w:b/>
          <w:color w:val="000000"/>
          <w:sz w:val="20"/>
        </w:rPr>
        <w:t>Unified Personal Finance Workflow Integration</w:t>
      </w:r>
      <w:r>
        <w:rPr>
          <w:rFonts w:ascii="Times New Roman" w:hAnsi="Times New Roman"/>
          <w:i/>
          <w:color w:val="000000"/>
          <w:sz w:val="20"/>
        </w:rPr>
        <w:t xml:space="preserve">: Embeds statutory legal retrieval within an end-to-end transaction pipeline linking optical character recognition (OCR) invoice parsing, automatic expense categorization, GST ITC tracking, and interactive tax planning. In an empirical benchmark evaluation over 15 statutory test scenarios covering the </w:t>
      </w:r>
      <w:r>
        <w:rPr>
          <w:rFonts w:ascii="Times New Roman" w:hAnsi="Times New Roman"/>
          <w:i/>
          <w:color w:val="000000"/>
          <w:sz w:val="20"/>
        </w:rPr>
        <w:t>Income Tax Act, 1961</w:t>
      </w:r>
      <w:r>
        <w:rPr>
          <w:rFonts w:ascii="Times New Roman" w:hAnsi="Times New Roman"/>
          <w:i/>
          <w:color w:val="000000"/>
          <w:sz w:val="20"/>
        </w:rPr>
        <w:t xml:space="preserve">, the </w:t>
      </w:r>
      <w:r>
        <w:rPr>
          <w:rFonts w:ascii="Times New Roman" w:hAnsi="Times New Roman"/>
          <w:i/>
          <w:color w:val="000000"/>
          <w:sz w:val="20"/>
        </w:rPr>
        <w:t>CGST Act, 2017</w:t>
      </w:r>
      <w:r>
        <w:rPr>
          <w:rFonts w:ascii="Times New Roman" w:hAnsi="Times New Roman"/>
          <w:i/>
          <w:color w:val="000000"/>
          <w:sz w:val="20"/>
        </w:rPr>
        <w:t xml:space="preserve">, CBDT/CBIC circulars, and landmark Supreme Court rulings, FinAI achieved </w:t>
      </w:r>
      <w:r>
        <w:rPr>
          <w:rFonts w:ascii="Times New Roman" w:hAnsi="Times New Roman"/>
          <w:b/>
          <w:color w:val="000000"/>
          <w:sz w:val="20"/>
        </w:rPr>
        <w:t>100.0% Top-1 Retrieval Precision</w:t>
      </w:r>
      <w:r>
        <w:rPr>
          <w:rFonts w:ascii="Times New Roman" w:hAnsi="Times New Roman"/>
          <w:i/>
          <w:color w:val="000000"/>
          <w:sz w:val="20"/>
        </w:rPr>
        <w:t xml:space="preserve">, </w:t>
      </w:r>
      <w:r>
        <w:rPr>
          <w:rFonts w:ascii="Times New Roman" w:hAnsi="Times New Roman"/>
          <w:b/>
          <w:color w:val="000000"/>
          <w:sz w:val="20"/>
        </w:rPr>
        <w:t>100.0% Statutory Citation Accuracy</w:t>
      </w:r>
      <w:r>
        <w:rPr>
          <w:rFonts w:ascii="Times New Roman" w:hAnsi="Times New Roman"/>
          <w:i/>
          <w:color w:val="000000"/>
          <w:sz w:val="20"/>
        </w:rPr>
        <w:t xml:space="preserve">, and </w:t>
      </w:r>
      <w:r>
        <w:rPr>
          <w:rFonts w:ascii="Times New Roman" w:hAnsi="Times New Roman"/>
          <w:b/>
          <w:color w:val="000000"/>
          <w:sz w:val="20"/>
        </w:rPr>
        <w:t>100.0% Symbolic Rule Verification</w:t>
      </w:r>
      <w:r>
        <w:rPr>
          <w:rFonts w:ascii="Times New Roman" w:hAnsi="Times New Roman"/>
          <w:i/>
          <w:color w:val="000000"/>
          <w:sz w:val="20"/>
        </w:rPr>
        <w:t xml:space="preserve">, with a mean offline retrieval latency of </w:t>
      </w:r>
      <w:r>
        <w:rPr>
          <w:rFonts w:ascii="Times New Roman" w:hAnsi="Times New Roman"/>
          <w:b/>
          <w:color w:val="000000"/>
          <w:sz w:val="20"/>
        </w:rPr>
        <w:t>0.23 milliseconds</w:t>
      </w:r>
      <w:r>
        <w:rPr>
          <w:rFonts w:ascii="Times New Roman" w:hAnsi="Times New Roman"/>
          <w:i/>
          <w:color w:val="000000"/>
          <w:sz w:val="20"/>
        </w:rPr>
        <w:t>. Finally, we present an architectural roadmap detailing the expansion of the statutory corpus to 60+ primary legal documents and a planned qualitative evaluation panel with practicing Chartered Accountants.</w:t>
      </w:r>
    </w:p>
    <w:p>
      <w:pPr>
        <w:spacing w:after="280"/>
        <w:jc w:val="both"/>
      </w:pPr>
      <w:r>
        <w:rPr>
          <w:rFonts w:ascii="Times New Roman" w:hAnsi="Times New Roman"/>
          <w:b/>
          <w:i/>
          <w:color w:val="000000"/>
          <w:sz w:val="20"/>
        </w:rPr>
        <w:t>Index Terms—</w:t>
      </w:r>
      <w:r>
        <w:rPr>
          <w:rFonts w:ascii="Times New Roman" w:hAnsi="Times New Roman"/>
          <w:b/>
          <w:color w:val="000000"/>
          <w:sz w:val="20"/>
        </w:rPr>
        <w:t>Retrieval-Augmented Generation (RAG), Neuro-Symbolic AI, Indian Tax Compliance, GST Input Tax Credit, On-Device AI, Cryptographic Audit Trail, Personal Finance Automation.</w:t>
      </w:r>
    </w:p>
    <w:p>
      <w:pPr>
        <w:sectPr>
          <w:pgSz w:w="12240" w:h="15840"/>
          <w:pgMar w:top="1080" w:right="907" w:bottom="1080" w:left="907" w:header="720" w:footer="720" w:gutter="0"/>
          <w:cols w:space="720"/>
          <w:docGrid w:linePitch="360"/>
        </w:sectPr>
      </w:pPr>
    </w:p>
    <w:p>
      <w:pPr>
        <w:spacing w:before="240" w:after="120"/>
        <w:jc w:val="center"/>
      </w:pPr>
      <w:r>
        <w:rPr>
          <w:rFonts w:ascii="Times New Roman" w:hAnsi="Times New Roman"/>
          <w:b/>
          <w:color w:val="000000"/>
          <w:sz w:val="21"/>
        </w:rPr>
        <w:t>I. INTRODUCTION</w:t>
      </w:r>
    </w:p>
    <w:p>
      <w:pPr>
        <w:spacing w:after="120" w:line="264" w:lineRule="auto"/>
        <w:jc w:val="both"/>
      </w:pPr>
      <w:r>
        <w:rPr>
          <w:rFonts w:ascii="Times New Roman" w:hAnsi="Times New Roman"/>
          <w:color w:val="000000"/>
          <w:sz w:val="20"/>
        </w:rPr>
        <w:t xml:space="preserve">Statutory tax compliance under the Indian legal framework requires navigating two extensive legislative regimes: direct personal income taxation governed by the </w:t>
      </w:r>
      <w:r>
        <w:rPr>
          <w:rFonts w:ascii="Times New Roman" w:hAnsi="Times New Roman"/>
          <w:i/>
          <w:color w:val="000000"/>
          <w:sz w:val="20"/>
        </w:rPr>
        <w:t>Income Tax Act, 1961</w:t>
      </w:r>
      <w:r>
        <w:rPr>
          <w:rFonts w:ascii="Times New Roman" w:hAnsi="Times New Roman"/>
          <w:color w:val="000000"/>
          <w:sz w:val="20"/>
        </w:rPr>
        <w:t xml:space="preserve"> and indirect commodity taxation governed by the </w:t>
      </w:r>
      <w:r>
        <w:rPr>
          <w:rFonts w:ascii="Times New Roman" w:hAnsi="Times New Roman"/>
          <w:i/>
          <w:color w:val="000000"/>
          <w:sz w:val="20"/>
        </w:rPr>
        <w:t>Central Goods and Services Tax (CGST) Act, 2017</w:t>
      </w:r>
      <w:r>
        <w:rPr>
          <w:rFonts w:ascii="Times New Roman" w:hAnsi="Times New Roman"/>
          <w:color w:val="000000"/>
          <w:sz w:val="20"/>
        </w:rPr>
        <w:t>. The continuous evolution of these statutes—exemplified by the transition to the default New Tax Regime under Section 115BAC (enhanced by CBDT Circular 04/2024) and rigid B2B invoice validation rules under CGST Section 16 and Section 17(5)—creates substantial operational burden for individual earners and micro, small, and medium enterprises (MSMEs).</w:t>
      </w:r>
    </w:p>
    <w:p>
      <w:pPr>
        <w:spacing w:after="120" w:line="264" w:lineRule="auto"/>
        <w:jc w:val="both"/>
      </w:pPr>
      <w:r>
        <w:rPr>
          <w:rFonts w:ascii="Times New Roman" w:hAnsi="Times New Roman"/>
          <w:color w:val="000000"/>
          <w:sz w:val="20"/>
        </w:rPr>
        <w:t>Recent advances in natural language processing have spurred interest in Retrieval-Augmented Generation (RAG) for legal domain assistance. By retrieving relevant passages from a document repository and supplying them as context to a Large Language Model (LLM), RAG mitigates pure generative hallucinations. However, existing legal RAG implementations suffer from fundamental design limitations when applied to personal financial compliance:</w:t>
      </w:r>
    </w:p>
    <w:p>
      <w:pPr>
        <w:pStyle w:val="ListNumber"/>
        <w:spacing w:after="80"/>
        <w:jc w:val="both"/>
      </w:pPr>
      <w:r>
        <w:rPr>
          <w:rFonts w:ascii="Times New Roman" w:hAnsi="Times New Roman"/>
          <w:b/>
          <w:color w:val="000000"/>
          <w:sz w:val="20"/>
        </w:rPr>
        <w:t>Numeric Hallucination and Symbolic Blindness</w:t>
      </w:r>
      <w:r>
        <w:rPr>
          <w:rFonts w:ascii="Times New Roman" w:hAnsi="Times New Roman"/>
          <w:color w:val="000000"/>
          <w:sz w:val="20"/>
        </w:rPr>
        <w:t>: Standard vector-similarity retrieval models operate on dense semantic embeddings. While effective at capturing conceptual intent, they cannot perform mathematical calculations or enforce exact conditional logic. An LLM may correctly retrieve Section 87A legal text yet hallucinate net tax payable by failing to apply the ₹60,000 rebate ceiling accurately.</w:t>
      </w:r>
    </w:p>
    <w:p>
      <w:pPr>
        <w:pStyle w:val="ListNumber"/>
        <w:spacing w:after="80"/>
        <w:jc w:val="both"/>
      </w:pPr>
      <w:r>
        <w:rPr>
          <w:rFonts w:ascii="Times New Roman" w:hAnsi="Times New Roman"/>
          <w:b/>
          <w:color w:val="000000"/>
          <w:sz w:val="20"/>
        </w:rPr>
        <w:t>Privacy Vulnerabilities in Cloud Architecture</w:t>
      </w:r>
      <w:r>
        <w:rPr>
          <w:rFonts w:ascii="Times New Roman" w:hAnsi="Times New Roman"/>
          <w:color w:val="000000"/>
          <w:sz w:val="20"/>
        </w:rPr>
        <w:t>: Virtually all published legal RAG systems depend on cloud-hosted language models (e.g., OpenAI GPT-4, server-hosted LLaMA-3) and hosted vector databases. Transmitting income details, receipt amounts, and expense histories to third-party cloud endpoints violates personal data privacy and compromises enterprise trade secrecy.</w:t>
      </w:r>
    </w:p>
    <w:p>
      <w:pPr>
        <w:pStyle w:val="ListNumber"/>
        <w:spacing w:after="80"/>
        <w:jc w:val="both"/>
      </w:pPr>
      <w:r>
        <w:rPr>
          <w:rFonts w:ascii="Times New Roman" w:hAnsi="Times New Roman"/>
          <w:b/>
          <w:color w:val="000000"/>
          <w:sz w:val="20"/>
        </w:rPr>
        <w:t>Isolation from Transactional Workflows</w:t>
      </w:r>
      <w:r>
        <w:rPr>
          <w:rFonts w:ascii="Times New Roman" w:hAnsi="Times New Roman"/>
          <w:color w:val="000000"/>
          <w:sz w:val="20"/>
        </w:rPr>
        <w:t>: Conventional legal chatbots function as standalone textual query boxes. They lack direct integration with user bank statements, receipt scans, or expense registers, requiring users to manually copy numerical figures into the chat interface.</w:t>
      </w:r>
    </w:p>
    <w:p>
      <w:pPr>
        <w:spacing w:after="120" w:line="264" w:lineRule="auto"/>
        <w:jc w:val="both"/>
      </w:pPr>
      <w:r>
        <w:rPr>
          <w:rFonts w:ascii="Times New Roman" w:hAnsi="Times New Roman"/>
          <w:color w:val="000000"/>
          <w:sz w:val="20"/>
        </w:rPr>
        <w:t xml:space="preserve">To address these limitations, we propose </w:t>
      </w:r>
      <w:r>
        <w:rPr>
          <w:rFonts w:ascii="Times New Roman" w:hAnsi="Times New Roman"/>
          <w:b/>
          <w:color w:val="000000"/>
          <w:sz w:val="20"/>
        </w:rPr>
        <w:t>FinAI</w:t>
      </w:r>
      <w:r>
        <w:rPr>
          <w:rFonts w:ascii="Times New Roman" w:hAnsi="Times New Roman"/>
          <w:color w:val="000000"/>
          <w:sz w:val="20"/>
        </w:rPr>
        <w:t>, an architecture designed specifically for on-device personal tax and financial compliance. FinAI pairs local FTS5 statutory retrieval with a 100% deterministic Python rule engine. Generative explanations are strictly cross-checked against symbolic calculation modules, and every result is cryptographically anchored in an append-only SHA-256 hash chain.</w:t>
      </w:r>
    </w:p>
    <w:p>
      <w:pPr>
        <w:spacing w:after="120" w:line="264" w:lineRule="auto"/>
        <w:jc w:val="both"/>
      </w:pPr>
      <w:r>
        <w:rPr>
          <w:rFonts w:ascii="Times New Roman" w:hAnsi="Times New Roman"/>
          <w:color w:val="000000"/>
          <w:sz w:val="20"/>
        </w:rPr>
        <w:t>The remainder of this paper is organized as follows: Section II reviews related literature and establishes a comparative matrix. Section III details the system architecture, component design, and mathematical foundations. Section IV presents empirical evaluation metrics. Section V addresses limitations and ethical disclaimers. Section VI outlines future directions and system evolution, and Section VII concludes.</w:t>
      </w:r>
    </w:p>
    <w:p>
      <w:pPr>
        <w:spacing w:before="240" w:after="120"/>
        <w:jc w:val="center"/>
      </w:pPr>
      <w:r>
        <w:rPr>
          <w:rFonts w:ascii="Times New Roman" w:hAnsi="Times New Roman"/>
          <w:b/>
          <w:color w:val="000000"/>
          <w:sz w:val="21"/>
        </w:rPr>
        <w:t>II. RELATED WORK &amp; COMPARATIVE ANALYSIS</w:t>
      </w:r>
    </w:p>
    <w:p>
      <w:pPr>
        <w:spacing w:after="120" w:line="264" w:lineRule="auto"/>
        <w:jc w:val="both"/>
      </w:pPr>
      <w:r>
        <w:rPr>
          <w:rFonts w:ascii="Times New Roman" w:hAnsi="Times New Roman"/>
          <w:color w:val="000000"/>
          <w:sz w:val="20"/>
        </w:rPr>
        <w:t>Automated legal question-answering and financial document analysis have attracted substantial research in recent years. However, prior work has focused primarily on cloud-hosted general legal QA or enterprise transfer pricing, leaving on-device personal compliance unaddressed.</w:t>
      </w:r>
    </w:p>
    <w:p>
      <w:pPr>
        <w:spacing w:before="200" w:after="80"/>
        <w:jc w:val="left"/>
      </w:pPr>
      <w:r>
        <w:rPr>
          <w:rFonts w:ascii="Times New Roman" w:hAnsi="Times New Roman"/>
          <w:b/>
          <w:i/>
          <w:color w:val="000000"/>
          <w:sz w:val="20"/>
        </w:rPr>
        <w:t>A. Existing Legal &amp; Tax AI Frameworks</w:t>
      </w:r>
    </w:p>
    <w:p>
      <w:pPr>
        <w:pStyle w:val="ListNumber"/>
        <w:spacing w:after="80"/>
        <w:jc w:val="both"/>
      </w:pPr>
      <w:r>
        <w:rPr>
          <w:rFonts w:ascii="Times New Roman" w:hAnsi="Times New Roman"/>
          <w:b/>
          <w:color w:val="000000"/>
          <w:sz w:val="20"/>
        </w:rPr>
        <w:t>TaxFlow (2026)</w:t>
      </w:r>
      <w:r>
        <w:rPr>
          <w:rFonts w:ascii="Times New Roman" w:hAnsi="Times New Roman"/>
          <w:color w:val="000000"/>
          <w:sz w:val="20"/>
        </w:rPr>
        <w:t>: Sharma and Verma [1] proposed a hybrid RAG framework employing FAISS vector indexing and a cloud-hosted LLaMA-3 model for Indian statutory tax Q&amp;A. The authors introduced temporal validity filtering to handle legislative amendments. However, TaxFlow relies on server infrastructure and lacks deterministic calculation verification.</w:t>
      </w:r>
    </w:p>
    <w:p>
      <w:pPr>
        <w:pStyle w:val="ListNumber"/>
        <w:spacing w:after="80"/>
        <w:jc w:val="both"/>
      </w:pPr>
      <w:r>
        <w:rPr>
          <w:rFonts w:ascii="Times New Roman" w:hAnsi="Times New Roman"/>
          <w:b/>
          <w:color w:val="000000"/>
          <w:sz w:val="20"/>
        </w:rPr>
        <w:t>LawPal (2025)</w:t>
      </w:r>
      <w:r>
        <w:rPr>
          <w:rFonts w:ascii="Times New Roman" w:hAnsi="Times New Roman"/>
          <w:color w:val="000000"/>
          <w:sz w:val="20"/>
        </w:rPr>
        <w:t>: Patel et al. [2] presented an arXiv pre-print introducing LawPal, a FAISS-based RAG legal assistant powered by DeepSeek-R1:5B. LawPal indexes the Constitution of India and general statutory codes to democratize legal literacy. It is designed for general legal inquiries and does not support numerical tax computation or offline execution.</w:t>
      </w:r>
    </w:p>
    <w:p>
      <w:pPr>
        <w:pStyle w:val="ListNumber"/>
        <w:spacing w:after="80"/>
        <w:jc w:val="both"/>
      </w:pPr>
      <w:r>
        <w:rPr>
          <w:rFonts w:ascii="Times New Roman" w:hAnsi="Times New Roman"/>
          <w:b/>
          <w:color w:val="000000"/>
          <w:sz w:val="20"/>
        </w:rPr>
        <w:t>Domain-Partitioned Hybrid RAG (2026)</w:t>
      </w:r>
      <w:r>
        <w:rPr>
          <w:rFonts w:ascii="Times New Roman" w:hAnsi="Times New Roman"/>
          <w:color w:val="000000"/>
          <w:sz w:val="20"/>
        </w:rPr>
        <w:t>: Kumar and Nair [3] explored domain-partitioned legal retrieval over Indian court judgments using hybrid dense-sparse search. Their architecture targets legal research for advocates rather than personal finance management.</w:t>
      </w:r>
    </w:p>
    <w:p>
      <w:pPr>
        <w:pStyle w:val="ListNumber"/>
        <w:spacing w:after="80"/>
        <w:jc w:val="both"/>
      </w:pPr>
      <w:r>
        <w:rPr>
          <w:rFonts w:ascii="Times New Roman" w:hAnsi="Times New Roman"/>
          <w:b/>
          <w:color w:val="000000"/>
          <w:sz w:val="20"/>
        </w:rPr>
        <w:t>FinLLaMA-RAG (2026)</w:t>
      </w:r>
      <w:r>
        <w:rPr>
          <w:rFonts w:ascii="Times New Roman" w:hAnsi="Times New Roman"/>
          <w:color w:val="000000"/>
          <w:sz w:val="20"/>
        </w:rPr>
        <w:t>: Deshmukh et al. [4] fine-tuned LLaMA-3 for enterprise corporate tax compliance and transfer pricing strategy. The system operates on enterprise cloud servers and targets corporate financial officers rather than individual taxpayers.</w:t>
      </w:r>
    </w:p>
    <w:p>
      <w:pPr>
        <w:pStyle w:val="ListNumber"/>
        <w:spacing w:after="80"/>
        <w:jc w:val="both"/>
      </w:pPr>
      <w:r>
        <w:rPr>
          <w:rFonts w:ascii="Times New Roman" w:hAnsi="Times New Roman"/>
          <w:b/>
          <w:color w:val="000000"/>
          <w:sz w:val="20"/>
        </w:rPr>
        <w:t>GST Digital Assistant (2026)</w:t>
      </w:r>
      <w:r>
        <w:rPr>
          <w:rFonts w:ascii="Times New Roman" w:hAnsi="Times New Roman"/>
          <w:color w:val="000000"/>
          <w:sz w:val="20"/>
        </w:rPr>
        <w:t>: Gupta and Rao [5] developed an invoice OCR pipeline to automate GST classification in accounting software. While relevant to invoice parsing, their tool lacks a legal RAG explanation layer and does not verify legal claims against a cryptographic ledger.</w:t>
      </w:r>
    </w:p>
    <w:p>
      <w:pPr>
        <w:pStyle w:val="ListNumber"/>
        <w:spacing w:after="80"/>
        <w:jc w:val="both"/>
      </w:pPr>
      <w:r>
        <w:rPr>
          <w:rFonts w:ascii="Times New Roman" w:hAnsi="Times New Roman"/>
          <w:b/>
          <w:color w:val="000000"/>
          <w:sz w:val="20"/>
        </w:rPr>
        <w:t>Commercial Landscape</w:t>
      </w:r>
      <w:r>
        <w:rPr>
          <w:rFonts w:ascii="Times New Roman" w:hAnsi="Times New Roman"/>
          <w:color w:val="000000"/>
          <w:sz w:val="20"/>
        </w:rPr>
        <w:t>: Existing commercial products—including ICAI's Custom GST GPT [6], TaxGPT, Thomson Reuters CoCounsel Tax, and Taxmann.ai—rely on proprietary cloud APIs, incurring recurring subscription fees while requiring users to transmit sensitive tax records over the internet.</w:t>
      </w:r>
    </w:p>
    <w:p>
      <w:pPr>
        <w:spacing w:before="200" w:after="80"/>
        <w:jc w:val="left"/>
      </w:pPr>
      <w:r>
        <w:rPr>
          <w:rFonts w:ascii="Times New Roman" w:hAnsi="Times New Roman"/>
          <w:b/>
          <w:i/>
          <w:color w:val="000000"/>
          <w:sz w:val="20"/>
        </w:rPr>
        <w:t>B. Comparative Matrix</w:t>
      </w:r>
    </w:p>
    <w:p>
      <w:pPr>
        <w:spacing w:after="120" w:line="264" w:lineRule="auto"/>
        <w:jc w:val="both"/>
      </w:pPr>
      <w:r>
        <w:rPr>
          <w:rFonts w:ascii="Times New Roman" w:hAnsi="Times New Roman"/>
          <w:color w:val="000000"/>
          <w:sz w:val="20"/>
        </w:rPr>
        <w:t>Table I presents a systematic comparison between FinAI and existing state-of-the-art systems across six critical architectural dimensions.</w:t>
      </w:r>
    </w:p>
    <w:p>
      <w:pPr>
        <w:spacing w:before="160" w:after="60"/>
        <w:jc w:val="left"/>
      </w:pPr>
      <w:r>
        <w:rPr>
          <w:rFonts w:ascii="Times New Roman" w:hAnsi="Times New Roman"/>
          <w:i/>
          <w:color w:val="000000"/>
          <w:sz w:val="19"/>
        </w:rPr>
        <w:t>TABLE I: Comparative Architectural Analysis of Legal &amp; Tax AI Systems</w:t>
      </w:r>
    </w:p>
    <w:tbl>
      <w:tblPr>
        <w:tblW w:type="auto" w:w="0"/>
        <w:jc w:val="center"/>
        <w:tblLayout w:type="autofit"/>
        <w:tblLook w:firstColumn="1" w:firstRow="1" w:lastColumn="0" w:lastRow="0" w:noHBand="0" w:noVBand="1" w:val="04A0"/>
        <w:tblBorders>
          <w:top w:val="single" w:sz="8" w:space="0" w:color="000000"/>
          <w:left w:val="single" w:sz="4" w:space="0" w:color="CBD5E1"/>
          <w:bottom w:val="single" w:sz="8" w:space="0" w:color="000000"/>
          <w:right w:val="single" w:sz="4" w:space="0" w:color="CBD5E1"/>
          <w:insideH w:val="single" w:sz="4" w:space="0" w:color="CBD5E1"/>
          <w:insideV w:val="single" w:sz="4" w:space="0" w:color="CBD5E1"/>
        </w:tblBorders>
      </w:tblPr>
      <w:tblGrid>
        <w:gridCol w:w="1489"/>
        <w:gridCol w:w="1489"/>
        <w:gridCol w:w="1489"/>
        <w:gridCol w:w="1489"/>
        <w:gridCol w:w="1489"/>
        <w:gridCol w:w="1489"/>
        <w:gridCol w:w="1489"/>
      </w:tblGrid>
      <w:tr>
        <w:tc>
          <w:tcPr>
            <w:tcW w:type="dxa" w:w="1489"/>
            <w:tcMar>
              <w:top w:w="100" w:type="dxa"/>
              <w:bottom w:w="100" w:type="dxa"/>
              <w:left w:w="120" w:type="dxa"/>
              <w:right w:w="120" w:type="dxa"/>
            </w:tcMar>
            <w:shd w:fill="E2E8F0"/>
          </w:tcPr>
          <w:p>
            <w:pPr>
              <w:spacing w:before="60" w:after="60"/>
              <w:jc w:val="center"/>
            </w:pPr>
            <w:r>
              <w:rPr>
                <w:rFonts w:ascii="Times New Roman" w:hAnsi="Times New Roman"/>
                <w:b/>
                <w:color w:val="000000"/>
                <w:sz w:val="18"/>
              </w:rPr>
              <w:t>System / Citation</w:t>
            </w:r>
          </w:p>
        </w:tc>
        <w:tc>
          <w:tcPr>
            <w:tcW w:type="dxa" w:w="1489"/>
            <w:tcMar>
              <w:top w:w="100" w:type="dxa"/>
              <w:bottom w:w="100" w:type="dxa"/>
              <w:left w:w="120" w:type="dxa"/>
              <w:right w:w="120" w:type="dxa"/>
            </w:tcMar>
            <w:shd w:fill="E2E8F0"/>
          </w:tcPr>
          <w:p>
            <w:pPr>
              <w:spacing w:before="60" w:after="60"/>
              <w:jc w:val="center"/>
            </w:pPr>
            <w:r>
              <w:rPr>
                <w:rFonts w:ascii="Times New Roman" w:hAnsi="Times New Roman"/>
                <w:b/>
                <w:color w:val="000000"/>
                <w:sz w:val="18"/>
              </w:rPr>
              <w:t>Primary Target Domain</w:t>
            </w:r>
          </w:p>
        </w:tc>
        <w:tc>
          <w:tcPr>
            <w:tcW w:type="dxa" w:w="1489"/>
            <w:tcMar>
              <w:top w:w="100" w:type="dxa"/>
              <w:bottom w:w="100" w:type="dxa"/>
              <w:left w:w="120" w:type="dxa"/>
              <w:right w:w="120" w:type="dxa"/>
            </w:tcMar>
            <w:shd w:fill="E2E8F0"/>
          </w:tcPr>
          <w:p>
            <w:pPr>
              <w:spacing w:before="60" w:after="60"/>
              <w:jc w:val="center"/>
            </w:pPr>
            <w:r>
              <w:rPr>
                <w:rFonts w:ascii="Times New Roman" w:hAnsi="Times New Roman"/>
                <w:b/>
                <w:color w:val="000000"/>
                <w:sz w:val="18"/>
              </w:rPr>
              <w:t>Execution &amp; Deployment</w:t>
            </w:r>
          </w:p>
        </w:tc>
        <w:tc>
          <w:tcPr>
            <w:tcW w:type="dxa" w:w="1489"/>
            <w:tcMar>
              <w:top w:w="100" w:type="dxa"/>
              <w:bottom w:w="100" w:type="dxa"/>
              <w:left w:w="120" w:type="dxa"/>
              <w:right w:w="120" w:type="dxa"/>
            </w:tcMar>
            <w:shd w:fill="E2E8F0"/>
          </w:tcPr>
          <w:p>
            <w:pPr>
              <w:spacing w:before="60" w:after="60"/>
              <w:jc w:val="center"/>
            </w:pPr>
            <w:r>
              <w:rPr>
                <w:rFonts w:ascii="Times New Roman" w:hAnsi="Times New Roman"/>
                <w:b/>
                <w:color w:val="000000"/>
                <w:sz w:val="18"/>
              </w:rPr>
              <w:t>Retrieval Mechanism</w:t>
            </w:r>
          </w:p>
        </w:tc>
        <w:tc>
          <w:tcPr>
            <w:tcW w:type="dxa" w:w="1489"/>
            <w:tcMar>
              <w:top w:w="100" w:type="dxa"/>
              <w:bottom w:w="100" w:type="dxa"/>
              <w:left w:w="120" w:type="dxa"/>
              <w:right w:w="120" w:type="dxa"/>
            </w:tcMar>
            <w:shd w:fill="E2E8F0"/>
          </w:tcPr>
          <w:p>
            <w:pPr>
              <w:spacing w:before="60" w:after="60"/>
              <w:jc w:val="center"/>
            </w:pPr>
            <w:r>
              <w:rPr>
                <w:rFonts w:ascii="Times New Roman" w:hAnsi="Times New Roman"/>
                <w:b/>
                <w:color w:val="000000"/>
                <w:sz w:val="18"/>
              </w:rPr>
              <w:t>Symbolic Rule Verification</w:t>
            </w:r>
          </w:p>
        </w:tc>
        <w:tc>
          <w:tcPr>
            <w:tcW w:type="dxa" w:w="1489"/>
            <w:tcMar>
              <w:top w:w="100" w:type="dxa"/>
              <w:bottom w:w="100" w:type="dxa"/>
              <w:left w:w="120" w:type="dxa"/>
              <w:right w:w="120" w:type="dxa"/>
            </w:tcMar>
            <w:shd w:fill="E2E8F0"/>
          </w:tcPr>
          <w:p>
            <w:pPr>
              <w:spacing w:before="60" w:after="60"/>
              <w:jc w:val="center"/>
            </w:pPr>
            <w:r>
              <w:rPr>
                <w:rFonts w:ascii="Times New Roman" w:hAnsi="Times New Roman"/>
                <w:b/>
                <w:color w:val="000000"/>
                <w:sz w:val="18"/>
              </w:rPr>
              <w:t>Cryptographic Audit Trail</w:t>
            </w:r>
          </w:p>
        </w:tc>
        <w:tc>
          <w:tcPr>
            <w:tcW w:type="dxa" w:w="1489"/>
            <w:tcMar>
              <w:top w:w="100" w:type="dxa"/>
              <w:bottom w:w="100" w:type="dxa"/>
              <w:left w:w="120" w:type="dxa"/>
              <w:right w:w="120" w:type="dxa"/>
            </w:tcMar>
            <w:shd w:fill="E2E8F0"/>
          </w:tcPr>
          <w:p>
            <w:pPr>
              <w:spacing w:before="60" w:after="60"/>
              <w:jc w:val="center"/>
            </w:pPr>
            <w:r>
              <w:rPr>
                <w:rFonts w:ascii="Times New Roman" w:hAnsi="Times New Roman"/>
                <w:b/>
                <w:color w:val="000000"/>
                <w:sz w:val="18"/>
              </w:rPr>
              <w:t>End-to-End Finance Workflow</w:t>
            </w:r>
          </w:p>
        </w:tc>
      </w:tr>
      <w:tr>
        <w:tc>
          <w:tcPr>
            <w:tcW w:type="dxa" w:w="1489"/>
            <w:tcMar>
              <w:top w:w="100" w:type="dxa"/>
              <w:bottom w:w="100" w:type="dxa"/>
              <w:left w:w="120" w:type="dxa"/>
              <w:right w:w="120" w:type="dxa"/>
            </w:tcMar>
            <w:shd w:fill="F8FAFC"/>
          </w:tcPr>
          <w:p>
            <w:pPr>
              <w:spacing w:before="60" w:after="60"/>
              <w:jc w:val="left"/>
            </w:pPr>
            <w:r>
              <w:rPr>
                <w:rFonts w:ascii="Times New Roman" w:hAnsi="Times New Roman"/>
                <w:color w:val="000000"/>
                <w:sz w:val="18"/>
              </w:rPr>
              <w:t>TaxFlow [1]</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Indian Statutory Tax</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Cloud / Remote Server</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FAISS + Dense Embeddings</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No</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No</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Isolated Chat Box</w:t>
            </w:r>
          </w:p>
        </w:tc>
      </w:tr>
      <w:tr>
        <w:tc>
          <w:tcPr>
            <w:tcW w:type="dxa" w:w="1489"/>
            <w:tcMar>
              <w:top w:w="100" w:type="dxa"/>
              <w:bottom w:w="100" w:type="dxa"/>
              <w:left w:w="120" w:type="dxa"/>
              <w:right w:w="120" w:type="dxa"/>
            </w:tcMar>
            <w:shd w:fill="FFFFFF"/>
          </w:tcPr>
          <w:p>
            <w:pPr>
              <w:spacing w:before="60" w:after="60"/>
              <w:jc w:val="left"/>
            </w:pPr>
            <w:r>
              <w:rPr>
                <w:rFonts w:ascii="Times New Roman" w:hAnsi="Times New Roman"/>
                <w:color w:val="000000"/>
                <w:sz w:val="18"/>
              </w:rPr>
              <w:t>LawPal [2]</w:t>
            </w:r>
          </w:p>
        </w:tc>
        <w:tc>
          <w:tcPr>
            <w:tcW w:type="dxa" w:w="1489"/>
            <w:tcMar>
              <w:top w:w="100" w:type="dxa"/>
              <w:bottom w:w="100" w:type="dxa"/>
              <w:left w:w="120" w:type="dxa"/>
              <w:right w:w="120" w:type="dxa"/>
            </w:tcMar>
            <w:shd w:fill="FFFFFF"/>
          </w:tcPr>
          <w:p>
            <w:pPr>
              <w:spacing w:before="60" w:after="60"/>
              <w:jc w:val="center"/>
            </w:pPr>
            <w:r>
              <w:rPr>
                <w:rFonts w:ascii="Times New Roman" w:hAnsi="Times New Roman"/>
                <w:color w:val="000000"/>
                <w:sz w:val="18"/>
              </w:rPr>
              <w:t>General Indian Law</w:t>
            </w:r>
          </w:p>
        </w:tc>
        <w:tc>
          <w:tcPr>
            <w:tcW w:type="dxa" w:w="1489"/>
            <w:tcMar>
              <w:top w:w="100" w:type="dxa"/>
              <w:bottom w:w="100" w:type="dxa"/>
              <w:left w:w="120" w:type="dxa"/>
              <w:right w:w="120" w:type="dxa"/>
            </w:tcMar>
            <w:shd w:fill="FFFFFF"/>
          </w:tcPr>
          <w:p>
            <w:pPr>
              <w:spacing w:before="60" w:after="60"/>
              <w:jc w:val="center"/>
            </w:pPr>
            <w:r>
              <w:rPr>
                <w:rFonts w:ascii="Times New Roman" w:hAnsi="Times New Roman"/>
                <w:color w:val="000000"/>
                <w:sz w:val="18"/>
              </w:rPr>
              <w:t>Cloud Hosted API</w:t>
            </w:r>
          </w:p>
        </w:tc>
        <w:tc>
          <w:tcPr>
            <w:tcW w:type="dxa" w:w="1489"/>
            <w:tcMar>
              <w:top w:w="100" w:type="dxa"/>
              <w:bottom w:w="100" w:type="dxa"/>
              <w:left w:w="120" w:type="dxa"/>
              <w:right w:w="120" w:type="dxa"/>
            </w:tcMar>
            <w:shd w:fill="FFFFFF"/>
          </w:tcPr>
          <w:p>
            <w:pPr>
              <w:spacing w:before="60" w:after="60"/>
              <w:jc w:val="center"/>
            </w:pPr>
            <w:r>
              <w:rPr>
                <w:rFonts w:ascii="Times New Roman" w:hAnsi="Times New Roman"/>
                <w:color w:val="000000"/>
                <w:sz w:val="18"/>
              </w:rPr>
              <w:t>FAISS + DeepSeek-R1</w:t>
            </w:r>
          </w:p>
        </w:tc>
        <w:tc>
          <w:tcPr>
            <w:tcW w:type="dxa" w:w="1489"/>
            <w:tcMar>
              <w:top w:w="100" w:type="dxa"/>
              <w:bottom w:w="100" w:type="dxa"/>
              <w:left w:w="120" w:type="dxa"/>
              <w:right w:w="120" w:type="dxa"/>
            </w:tcMar>
            <w:shd w:fill="FFFFFF"/>
          </w:tcPr>
          <w:p>
            <w:pPr>
              <w:spacing w:before="60" w:after="60"/>
              <w:jc w:val="center"/>
            </w:pPr>
            <w:r>
              <w:rPr>
                <w:rFonts w:ascii="Times New Roman" w:hAnsi="Times New Roman"/>
                <w:color w:val="000000"/>
                <w:sz w:val="18"/>
              </w:rPr>
              <w:t>No</w:t>
            </w:r>
          </w:p>
        </w:tc>
        <w:tc>
          <w:tcPr>
            <w:tcW w:type="dxa" w:w="1489"/>
            <w:tcMar>
              <w:top w:w="100" w:type="dxa"/>
              <w:bottom w:w="100" w:type="dxa"/>
              <w:left w:w="120" w:type="dxa"/>
              <w:right w:w="120" w:type="dxa"/>
            </w:tcMar>
            <w:shd w:fill="FFFFFF"/>
          </w:tcPr>
          <w:p>
            <w:pPr>
              <w:spacing w:before="60" w:after="60"/>
              <w:jc w:val="center"/>
            </w:pPr>
            <w:r>
              <w:rPr>
                <w:rFonts w:ascii="Times New Roman" w:hAnsi="Times New Roman"/>
                <w:color w:val="000000"/>
                <w:sz w:val="18"/>
              </w:rPr>
              <w:t>No</w:t>
            </w:r>
          </w:p>
        </w:tc>
        <w:tc>
          <w:tcPr>
            <w:tcW w:type="dxa" w:w="1489"/>
            <w:tcMar>
              <w:top w:w="100" w:type="dxa"/>
              <w:bottom w:w="100" w:type="dxa"/>
              <w:left w:w="120" w:type="dxa"/>
              <w:right w:w="120" w:type="dxa"/>
            </w:tcMar>
            <w:shd w:fill="FFFFFF"/>
          </w:tcPr>
          <w:p>
            <w:pPr>
              <w:spacing w:before="60" w:after="60"/>
              <w:jc w:val="center"/>
            </w:pPr>
            <w:r>
              <w:rPr>
                <w:rFonts w:ascii="Times New Roman" w:hAnsi="Times New Roman"/>
                <w:color w:val="000000"/>
                <w:sz w:val="18"/>
              </w:rPr>
              <w:t>Standalone Legal QA</w:t>
            </w:r>
          </w:p>
        </w:tc>
      </w:tr>
      <w:tr>
        <w:tc>
          <w:tcPr>
            <w:tcW w:type="dxa" w:w="1489"/>
            <w:tcMar>
              <w:top w:w="100" w:type="dxa"/>
              <w:bottom w:w="100" w:type="dxa"/>
              <w:left w:w="120" w:type="dxa"/>
              <w:right w:w="120" w:type="dxa"/>
            </w:tcMar>
            <w:shd w:fill="F8FAFC"/>
          </w:tcPr>
          <w:p>
            <w:pPr>
              <w:spacing w:before="60" w:after="60"/>
              <w:jc w:val="left"/>
            </w:pPr>
            <w:r>
              <w:rPr>
                <w:rFonts w:ascii="Times New Roman" w:hAnsi="Times New Roman"/>
                <w:color w:val="000000"/>
                <w:sz w:val="18"/>
              </w:rPr>
              <w:t>Domain-Partitioned RAG [3]</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Judicial Case Law</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Enterprise Cloud</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Hybrid Dense-Sparse</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No</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No</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Case Search Tool</w:t>
            </w:r>
          </w:p>
        </w:tc>
      </w:tr>
      <w:tr>
        <w:tc>
          <w:tcPr>
            <w:tcW w:type="dxa" w:w="1489"/>
            <w:tcMar>
              <w:top w:w="100" w:type="dxa"/>
              <w:bottom w:w="100" w:type="dxa"/>
              <w:left w:w="120" w:type="dxa"/>
              <w:right w:w="120" w:type="dxa"/>
            </w:tcMar>
            <w:shd w:fill="FFFFFF"/>
          </w:tcPr>
          <w:p>
            <w:pPr>
              <w:spacing w:before="60" w:after="60"/>
              <w:jc w:val="left"/>
            </w:pPr>
            <w:r>
              <w:rPr>
                <w:rFonts w:ascii="Times New Roman" w:hAnsi="Times New Roman"/>
                <w:color w:val="000000"/>
                <w:sz w:val="18"/>
              </w:rPr>
              <w:t>FinLLaMA-RAG [4]</w:t>
            </w:r>
          </w:p>
        </w:tc>
        <w:tc>
          <w:tcPr>
            <w:tcW w:type="dxa" w:w="1489"/>
            <w:tcMar>
              <w:top w:w="100" w:type="dxa"/>
              <w:bottom w:w="100" w:type="dxa"/>
              <w:left w:w="120" w:type="dxa"/>
              <w:right w:w="120" w:type="dxa"/>
            </w:tcMar>
            <w:shd w:fill="FFFFFF"/>
          </w:tcPr>
          <w:p>
            <w:pPr>
              <w:spacing w:before="60" w:after="60"/>
              <w:jc w:val="center"/>
            </w:pPr>
            <w:r>
              <w:rPr>
                <w:rFonts w:ascii="Times New Roman" w:hAnsi="Times New Roman"/>
                <w:color w:val="000000"/>
                <w:sz w:val="18"/>
              </w:rPr>
              <w:t>Corporate Transfer Pricing</w:t>
            </w:r>
          </w:p>
        </w:tc>
        <w:tc>
          <w:tcPr>
            <w:tcW w:type="dxa" w:w="1489"/>
            <w:tcMar>
              <w:top w:w="100" w:type="dxa"/>
              <w:bottom w:w="100" w:type="dxa"/>
              <w:left w:w="120" w:type="dxa"/>
              <w:right w:w="120" w:type="dxa"/>
            </w:tcMar>
            <w:shd w:fill="FFFFFF"/>
          </w:tcPr>
          <w:p>
            <w:pPr>
              <w:spacing w:before="60" w:after="60"/>
              <w:jc w:val="center"/>
            </w:pPr>
            <w:r>
              <w:rPr>
                <w:rFonts w:ascii="Times New Roman" w:hAnsi="Times New Roman"/>
                <w:color w:val="000000"/>
                <w:sz w:val="18"/>
              </w:rPr>
              <w:t>Enterprise Server</w:t>
            </w:r>
          </w:p>
        </w:tc>
        <w:tc>
          <w:tcPr>
            <w:tcW w:type="dxa" w:w="1489"/>
            <w:tcMar>
              <w:top w:w="100" w:type="dxa"/>
              <w:bottom w:w="100" w:type="dxa"/>
              <w:left w:w="120" w:type="dxa"/>
              <w:right w:w="120" w:type="dxa"/>
            </w:tcMar>
            <w:shd w:fill="FFFFFF"/>
          </w:tcPr>
          <w:p>
            <w:pPr>
              <w:spacing w:before="60" w:after="60"/>
              <w:jc w:val="center"/>
            </w:pPr>
            <w:r>
              <w:rPr>
                <w:rFonts w:ascii="Times New Roman" w:hAnsi="Times New Roman"/>
                <w:color w:val="000000"/>
                <w:sz w:val="18"/>
              </w:rPr>
              <w:t>Vector Dense RAG</w:t>
            </w:r>
          </w:p>
        </w:tc>
        <w:tc>
          <w:tcPr>
            <w:tcW w:type="dxa" w:w="1489"/>
            <w:tcMar>
              <w:top w:w="100" w:type="dxa"/>
              <w:bottom w:w="100" w:type="dxa"/>
              <w:left w:w="120" w:type="dxa"/>
              <w:right w:w="120" w:type="dxa"/>
            </w:tcMar>
            <w:shd w:fill="FFFFFF"/>
          </w:tcPr>
          <w:p>
            <w:pPr>
              <w:spacing w:before="60" w:after="60"/>
              <w:jc w:val="center"/>
            </w:pPr>
            <w:r>
              <w:rPr>
                <w:rFonts w:ascii="Times New Roman" w:hAnsi="Times New Roman"/>
                <w:color w:val="000000"/>
                <w:sz w:val="18"/>
              </w:rPr>
              <w:t>No</w:t>
            </w:r>
          </w:p>
        </w:tc>
        <w:tc>
          <w:tcPr>
            <w:tcW w:type="dxa" w:w="1489"/>
            <w:tcMar>
              <w:top w:w="100" w:type="dxa"/>
              <w:bottom w:w="100" w:type="dxa"/>
              <w:left w:w="120" w:type="dxa"/>
              <w:right w:w="120" w:type="dxa"/>
            </w:tcMar>
            <w:shd w:fill="FFFFFF"/>
          </w:tcPr>
          <w:p>
            <w:pPr>
              <w:spacing w:before="60" w:after="60"/>
              <w:jc w:val="center"/>
            </w:pPr>
            <w:r>
              <w:rPr>
                <w:rFonts w:ascii="Times New Roman" w:hAnsi="Times New Roman"/>
                <w:color w:val="000000"/>
                <w:sz w:val="18"/>
              </w:rPr>
              <w:t>No</w:t>
            </w:r>
          </w:p>
        </w:tc>
        <w:tc>
          <w:tcPr>
            <w:tcW w:type="dxa" w:w="1489"/>
            <w:tcMar>
              <w:top w:w="100" w:type="dxa"/>
              <w:bottom w:w="100" w:type="dxa"/>
              <w:left w:w="120" w:type="dxa"/>
              <w:right w:w="120" w:type="dxa"/>
            </w:tcMar>
            <w:shd w:fill="FFFFFF"/>
          </w:tcPr>
          <w:p>
            <w:pPr>
              <w:spacing w:before="60" w:after="60"/>
              <w:jc w:val="center"/>
            </w:pPr>
            <w:r>
              <w:rPr>
                <w:rFonts w:ascii="Times New Roman" w:hAnsi="Times New Roman"/>
                <w:color w:val="000000"/>
                <w:sz w:val="18"/>
              </w:rPr>
              <w:t>Corporate Tax Tool</w:t>
            </w:r>
          </w:p>
        </w:tc>
      </w:tr>
      <w:tr>
        <w:tc>
          <w:tcPr>
            <w:tcW w:type="dxa" w:w="1489"/>
            <w:tcMar>
              <w:top w:w="100" w:type="dxa"/>
              <w:bottom w:w="100" w:type="dxa"/>
              <w:left w:w="120" w:type="dxa"/>
              <w:right w:w="120" w:type="dxa"/>
            </w:tcMar>
            <w:shd w:fill="F8FAFC"/>
          </w:tcPr>
          <w:p>
            <w:pPr>
              <w:spacing w:before="60" w:after="60"/>
              <w:jc w:val="left"/>
            </w:pPr>
            <w:r>
              <w:rPr>
                <w:rFonts w:ascii="Times New Roman" w:hAnsi="Times New Roman"/>
                <w:color w:val="000000"/>
                <w:sz w:val="18"/>
              </w:rPr>
              <w:t>GST Digital Assistant [5]</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Invoice GST Classification</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On-Premise / Server</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Rule Automation</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Partial</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No</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Invoice Parsing Only</w:t>
            </w:r>
          </w:p>
        </w:tc>
      </w:tr>
      <w:tr>
        <w:tc>
          <w:tcPr>
            <w:tcW w:type="dxa" w:w="1489"/>
            <w:tcMar>
              <w:top w:w="100" w:type="dxa"/>
              <w:bottom w:w="100" w:type="dxa"/>
              <w:left w:w="120" w:type="dxa"/>
              <w:right w:w="120" w:type="dxa"/>
            </w:tcMar>
            <w:shd w:fill="FFFFFF"/>
          </w:tcPr>
          <w:p>
            <w:pPr>
              <w:spacing w:before="60" w:after="60"/>
              <w:jc w:val="left"/>
            </w:pPr>
            <w:r>
              <w:rPr>
                <w:rFonts w:ascii="Times New Roman" w:hAnsi="Times New Roman"/>
                <w:color w:val="000000"/>
                <w:sz w:val="18"/>
              </w:rPr>
              <w:t>CoCounsel Tax / Commercial [6]</w:t>
            </w:r>
          </w:p>
        </w:tc>
        <w:tc>
          <w:tcPr>
            <w:tcW w:type="dxa" w:w="1489"/>
            <w:tcMar>
              <w:top w:w="100" w:type="dxa"/>
              <w:bottom w:w="100" w:type="dxa"/>
              <w:left w:w="120" w:type="dxa"/>
              <w:right w:w="120" w:type="dxa"/>
            </w:tcMar>
            <w:shd w:fill="FFFFFF"/>
          </w:tcPr>
          <w:p>
            <w:pPr>
              <w:spacing w:before="60" w:after="60"/>
              <w:jc w:val="center"/>
            </w:pPr>
            <w:r>
              <w:rPr>
                <w:rFonts w:ascii="Times New Roman" w:hAnsi="Times New Roman"/>
                <w:color w:val="000000"/>
                <w:sz w:val="18"/>
              </w:rPr>
              <w:t>Professional Tax Research</w:t>
            </w:r>
          </w:p>
        </w:tc>
        <w:tc>
          <w:tcPr>
            <w:tcW w:type="dxa" w:w="1489"/>
            <w:tcMar>
              <w:top w:w="100" w:type="dxa"/>
              <w:bottom w:w="100" w:type="dxa"/>
              <w:left w:w="120" w:type="dxa"/>
              <w:right w:w="120" w:type="dxa"/>
            </w:tcMar>
            <w:shd w:fill="FFFFFF"/>
          </w:tcPr>
          <w:p>
            <w:pPr>
              <w:spacing w:before="60" w:after="60"/>
              <w:jc w:val="center"/>
            </w:pPr>
            <w:r>
              <w:rPr>
                <w:rFonts w:ascii="Times New Roman" w:hAnsi="Times New Roman"/>
                <w:color w:val="000000"/>
                <w:sz w:val="18"/>
              </w:rPr>
              <w:t>Closed Proprietary API</w:t>
            </w:r>
          </w:p>
        </w:tc>
        <w:tc>
          <w:tcPr>
            <w:tcW w:type="dxa" w:w="1489"/>
            <w:tcMar>
              <w:top w:w="100" w:type="dxa"/>
              <w:bottom w:w="100" w:type="dxa"/>
              <w:left w:w="120" w:type="dxa"/>
              <w:right w:w="120" w:type="dxa"/>
            </w:tcMar>
            <w:shd w:fill="FFFFFF"/>
          </w:tcPr>
          <w:p>
            <w:pPr>
              <w:spacing w:before="60" w:after="60"/>
              <w:jc w:val="center"/>
            </w:pPr>
            <w:r>
              <w:rPr>
                <w:rFonts w:ascii="Times New Roman" w:hAnsi="Times New Roman"/>
                <w:color w:val="000000"/>
                <w:sz w:val="18"/>
              </w:rPr>
              <w:t>Enterprise Vector RAG</w:t>
            </w:r>
          </w:p>
        </w:tc>
        <w:tc>
          <w:tcPr>
            <w:tcW w:type="dxa" w:w="1489"/>
            <w:tcMar>
              <w:top w:w="100" w:type="dxa"/>
              <w:bottom w:w="100" w:type="dxa"/>
              <w:left w:w="120" w:type="dxa"/>
              <w:right w:w="120" w:type="dxa"/>
            </w:tcMar>
            <w:shd w:fill="FFFFFF"/>
          </w:tcPr>
          <w:p>
            <w:pPr>
              <w:spacing w:before="60" w:after="60"/>
              <w:jc w:val="center"/>
            </w:pPr>
            <w:r>
              <w:rPr>
                <w:rFonts w:ascii="Times New Roman" w:hAnsi="Times New Roman"/>
                <w:color w:val="000000"/>
                <w:sz w:val="18"/>
              </w:rPr>
              <w:t>Hidden / None</w:t>
            </w:r>
          </w:p>
        </w:tc>
        <w:tc>
          <w:tcPr>
            <w:tcW w:type="dxa" w:w="1489"/>
            <w:tcMar>
              <w:top w:w="100" w:type="dxa"/>
              <w:bottom w:w="100" w:type="dxa"/>
              <w:left w:w="120" w:type="dxa"/>
              <w:right w:w="120" w:type="dxa"/>
            </w:tcMar>
            <w:shd w:fill="FFFFFF"/>
          </w:tcPr>
          <w:p>
            <w:pPr>
              <w:spacing w:before="60" w:after="60"/>
              <w:jc w:val="center"/>
            </w:pPr>
            <w:r>
              <w:rPr>
                <w:rFonts w:ascii="Times New Roman" w:hAnsi="Times New Roman"/>
                <w:color w:val="000000"/>
                <w:sz w:val="18"/>
              </w:rPr>
              <w:t>No</w:t>
            </w:r>
          </w:p>
        </w:tc>
        <w:tc>
          <w:tcPr>
            <w:tcW w:type="dxa" w:w="1489"/>
            <w:tcMar>
              <w:top w:w="100" w:type="dxa"/>
              <w:bottom w:w="100" w:type="dxa"/>
              <w:left w:w="120" w:type="dxa"/>
              <w:right w:w="120" w:type="dxa"/>
            </w:tcMar>
            <w:shd w:fill="FFFFFF"/>
          </w:tcPr>
          <w:p>
            <w:pPr>
              <w:spacing w:before="60" w:after="60"/>
              <w:jc w:val="center"/>
            </w:pPr>
            <w:r>
              <w:rPr>
                <w:rFonts w:ascii="Times New Roman" w:hAnsi="Times New Roman"/>
                <w:color w:val="000000"/>
                <w:sz w:val="18"/>
              </w:rPr>
              <w:t>Standalone Reference</w:t>
            </w:r>
          </w:p>
        </w:tc>
      </w:tr>
      <w:tr>
        <w:tc>
          <w:tcPr>
            <w:tcW w:type="dxa" w:w="1489"/>
            <w:tcMar>
              <w:top w:w="100" w:type="dxa"/>
              <w:bottom w:w="100" w:type="dxa"/>
              <w:left w:w="120" w:type="dxa"/>
              <w:right w:w="120" w:type="dxa"/>
            </w:tcMar>
            <w:shd w:fill="F8FAFC"/>
          </w:tcPr>
          <w:p>
            <w:pPr>
              <w:spacing w:before="60" w:after="60"/>
              <w:jc w:val="left"/>
            </w:pPr>
            <w:r>
              <w:rPr>
                <w:rFonts w:ascii="Times New Roman" w:hAnsi="Times New Roman"/>
                <w:color w:val="000000"/>
                <w:sz w:val="18"/>
              </w:rPr>
              <w:t>FinAI (Ours)</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Personal Tax &amp; GST</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100% Offline Local PC</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SQLite FTS5 + Term Weighting</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Yes (100% Deterministic)</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Yes (SHA-256 Chain)</w:t>
            </w:r>
          </w:p>
        </w:tc>
        <w:tc>
          <w:tcPr>
            <w:tcW w:type="dxa" w:w="1489"/>
            <w:tcMar>
              <w:top w:w="100" w:type="dxa"/>
              <w:bottom w:w="100" w:type="dxa"/>
              <w:left w:w="120" w:type="dxa"/>
              <w:right w:w="120" w:type="dxa"/>
            </w:tcMar>
            <w:shd w:fill="F8FAFC"/>
          </w:tcPr>
          <w:p>
            <w:pPr>
              <w:spacing w:before="60" w:after="60"/>
              <w:jc w:val="center"/>
            </w:pPr>
            <w:r>
              <w:rPr>
                <w:rFonts w:ascii="Times New Roman" w:hAnsi="Times New Roman"/>
                <w:color w:val="000000"/>
                <w:sz w:val="18"/>
              </w:rPr>
              <w:t>Yes (Full Personal Finance)</w:t>
            </w:r>
          </w:p>
        </w:tc>
      </w:tr>
    </w:tbl>
    <w:p/>
    <w:p>
      <w:pPr>
        <w:spacing w:before="200" w:after="80"/>
        <w:jc w:val="left"/>
      </w:pPr>
      <w:r>
        <w:rPr>
          <w:rFonts w:ascii="Times New Roman" w:hAnsi="Times New Roman"/>
          <w:b/>
          <w:i/>
          <w:color w:val="000000"/>
          <w:sz w:val="20"/>
        </w:rPr>
        <w:t>C. FinAI's Point of Difference</w:t>
      </w:r>
    </w:p>
    <w:p>
      <w:pPr>
        <w:spacing w:after="120" w:line="264" w:lineRule="auto"/>
        <w:jc w:val="both"/>
      </w:pPr>
      <w:r>
        <w:rPr>
          <w:rFonts w:ascii="Times New Roman" w:hAnsi="Times New Roman"/>
          <w:color w:val="000000"/>
          <w:sz w:val="20"/>
        </w:rPr>
        <w:t xml:space="preserve">FinAI's primary scientific contribution is not the application of RAG to legal text in abstract terms, but rather the construction of a </w:t>
      </w:r>
      <w:r>
        <w:rPr>
          <w:rFonts w:ascii="Times New Roman" w:hAnsi="Times New Roman"/>
          <w:b/>
          <w:color w:val="000000"/>
          <w:sz w:val="20"/>
        </w:rPr>
        <w:t>privacy-preserving, neuro-symbolic hybrid architecture</w:t>
      </w:r>
      <w:r>
        <w:rPr>
          <w:rFonts w:ascii="Times New Roman" w:hAnsi="Times New Roman"/>
          <w:color w:val="000000"/>
          <w:sz w:val="20"/>
        </w:rPr>
        <w:t>. By enforcing that every generative legal statement is bound to a deterministic Python rule check and logged into a tamper-evident SHA-256 ledger, FinAI provides verifiable mathematical guarantees that standard LLM pipelines cannot offer.</w:t>
      </w:r>
    </w:p>
    <w:p>
      <w:pPr>
        <w:spacing w:before="240" w:after="120"/>
        <w:jc w:val="center"/>
      </w:pPr>
      <w:r>
        <w:rPr>
          <w:rFonts w:ascii="Times New Roman" w:hAnsi="Times New Roman"/>
          <w:b/>
          <w:color w:val="000000"/>
          <w:sz w:val="21"/>
        </w:rPr>
        <w:t>III. SYSTEM ARCHITECTURE &amp; METHODOLOGY</w:t>
      </w:r>
    </w:p>
    <w:p>
      <w:pPr>
        <w:spacing w:before="200" w:after="80"/>
        <w:jc w:val="left"/>
      </w:pPr>
      <w:r>
        <w:rPr>
          <w:rFonts w:ascii="Times New Roman" w:hAnsi="Times New Roman"/>
          <w:b/>
          <w:i/>
          <w:color w:val="000000"/>
          <w:sz w:val="20"/>
        </w:rPr>
        <w:t>A. Primary Legal Corpus Curation &amp; Copyright Rationale</w:t>
      </w:r>
    </w:p>
    <w:p>
      <w:pPr>
        <w:spacing w:after="120" w:line="264" w:lineRule="auto"/>
        <w:jc w:val="both"/>
      </w:pPr>
      <w:r>
        <w:rPr>
          <w:rFonts w:ascii="Times New Roman" w:hAnsi="Times New Roman"/>
          <w:color w:val="000000"/>
          <w:sz w:val="20"/>
        </w:rPr>
        <w:t>To eliminate intellectual property infringement risks associated with proprietary commercial tax textbooks and subscription commentary, FinAI relies exclusively on a curated seed repository of 12 primary statutory text documents:</w:t>
      </w:r>
    </w:p>
    <w:p>
      <w:pPr>
        <w:pStyle w:val="ListBullet"/>
        <w:spacing w:after="80"/>
        <w:jc w:val="both"/>
      </w:pPr>
      <w:r>
        <w:rPr>
          <w:rFonts w:ascii="Times New Roman" w:hAnsi="Times New Roman"/>
          <w:b/>
          <w:color w:val="000000"/>
          <w:sz w:val="20"/>
        </w:rPr>
        <w:t>Direct Taxation Statutes</w:t>
      </w:r>
      <w:r>
        <w:rPr>
          <w:rFonts w:ascii="Times New Roman" w:hAnsi="Times New Roman"/>
          <w:color w:val="000000"/>
          <w:sz w:val="20"/>
        </w:rPr>
        <w:t xml:space="preserve">: </w:t>
      </w:r>
      <w:r>
        <w:rPr>
          <w:rFonts w:ascii="Times New Roman" w:hAnsi="Times New Roman"/>
          <w:i/>
          <w:color w:val="000000"/>
          <w:sz w:val="20"/>
        </w:rPr>
        <w:t>Income Tax Act, 1961</w:t>
      </w:r>
      <w:r>
        <w:rPr>
          <w:rFonts w:ascii="Times New Roman" w:hAnsi="Times New Roman"/>
          <w:color w:val="000000"/>
          <w:sz w:val="20"/>
        </w:rPr>
        <w:t xml:space="preserve"> provisions including Section 87A (tax rebate), Section 115BAC (default New Tax Regime slabs), Section 80C (deductions for PPF/ELSS), and Section 24(b) (housing loan interest deduction).</w:t>
      </w:r>
    </w:p>
    <w:p>
      <w:pPr>
        <w:pStyle w:val="ListBullet"/>
        <w:spacing w:after="80"/>
        <w:jc w:val="both"/>
      </w:pPr>
      <w:r>
        <w:rPr>
          <w:rFonts w:ascii="Times New Roman" w:hAnsi="Times New Roman"/>
          <w:b/>
          <w:color w:val="000000"/>
          <w:sz w:val="20"/>
        </w:rPr>
        <w:t>Indirect Taxation Statutes</w:t>
      </w:r>
      <w:r>
        <w:rPr>
          <w:rFonts w:ascii="Times New Roman" w:hAnsi="Times New Roman"/>
          <w:color w:val="000000"/>
          <w:sz w:val="20"/>
        </w:rPr>
        <w:t xml:space="preserve">: </w:t>
      </w:r>
      <w:r>
        <w:rPr>
          <w:rFonts w:ascii="Times New Roman" w:hAnsi="Times New Roman"/>
          <w:i/>
          <w:color w:val="000000"/>
          <w:sz w:val="20"/>
        </w:rPr>
        <w:t>CGST Act, 2017</w:t>
      </w:r>
      <w:r>
        <w:rPr>
          <w:rFonts w:ascii="Times New Roman" w:hAnsi="Times New Roman"/>
          <w:color w:val="000000"/>
          <w:sz w:val="20"/>
        </w:rPr>
        <w:t xml:space="preserve"> provisions including Section 16 (ITC eligibility criteria), Section 17(5) (blocked credit restrictions), Section 31 (tax invoice mandates), and Section 54 (inverted duty refund procedures).</w:t>
      </w:r>
    </w:p>
    <w:p>
      <w:pPr>
        <w:pStyle w:val="ListBullet"/>
        <w:spacing w:after="80"/>
        <w:jc w:val="both"/>
      </w:pPr>
      <w:r>
        <w:rPr>
          <w:rFonts w:ascii="Times New Roman" w:hAnsi="Times New Roman"/>
          <w:b/>
          <w:color w:val="000000"/>
          <w:sz w:val="20"/>
        </w:rPr>
        <w:t>Government Circulars</w:t>
      </w:r>
      <w:r>
        <w:rPr>
          <w:rFonts w:ascii="Times New Roman" w:hAnsi="Times New Roman"/>
          <w:color w:val="000000"/>
          <w:sz w:val="20"/>
        </w:rPr>
        <w:t>: CBDT Circular No. 04/2024 (enhancing standard deduction to ₹75,000 for FY 2024-25 / AY 2025-26) and CBIC Circular No. 186/18/2022-GST (dynamic QR code and e-invoice mandates).</w:t>
      </w:r>
    </w:p>
    <w:p>
      <w:pPr>
        <w:pStyle w:val="ListBullet"/>
        <w:spacing w:after="80"/>
        <w:jc w:val="both"/>
      </w:pPr>
      <w:r>
        <w:rPr>
          <w:rFonts w:ascii="Times New Roman" w:hAnsi="Times New Roman"/>
          <w:b/>
          <w:color w:val="000000"/>
          <w:sz w:val="20"/>
        </w:rPr>
        <w:t>Judicial Precedents</w:t>
      </w:r>
      <w:r>
        <w:rPr>
          <w:rFonts w:ascii="Times New Roman" w:hAnsi="Times New Roman"/>
          <w:color w:val="000000"/>
          <w:sz w:val="20"/>
        </w:rPr>
        <w:t>: Landmark rulings of the Supreme Court of India (</w:t>
      </w:r>
      <w:r>
        <w:rPr>
          <w:rFonts w:ascii="Times New Roman" w:hAnsi="Times New Roman"/>
          <w:i/>
          <w:color w:val="000000"/>
          <w:sz w:val="20"/>
        </w:rPr>
        <w:t>Chief Commissioner of CGST v. Safari Retreats Pvt Ltd</w:t>
      </w:r>
      <w:r>
        <w:rPr>
          <w:rFonts w:ascii="Times New Roman" w:hAnsi="Times New Roman"/>
          <w:color w:val="000000"/>
          <w:sz w:val="20"/>
        </w:rPr>
        <w:t xml:space="preserve">, Civil Appeal No. 2948/2023 on functionality tests for building ITC; </w:t>
      </w:r>
      <w:r>
        <w:rPr>
          <w:rFonts w:ascii="Times New Roman" w:hAnsi="Times New Roman"/>
          <w:i/>
          <w:color w:val="000000"/>
          <w:sz w:val="20"/>
        </w:rPr>
        <w:t>Union of India v. Bharti Airtel Ltd</w:t>
      </w:r>
      <w:r>
        <w:rPr>
          <w:rFonts w:ascii="Times New Roman" w:hAnsi="Times New Roman"/>
          <w:color w:val="000000"/>
          <w:sz w:val="20"/>
        </w:rPr>
        <w:t>, Civil Appeal No. 6520/2021 on statutory GSTR-3B rectification limits).</w:t>
      </w:r>
    </w:p>
    <w:p>
      <w:pPr>
        <w:spacing w:after="120" w:line="264" w:lineRule="auto"/>
        <w:jc w:val="both"/>
      </w:pPr>
      <w:r>
        <w:rPr>
          <w:rFonts w:ascii="Times New Roman" w:hAnsi="Times New Roman"/>
          <w:color w:val="000000"/>
          <w:sz w:val="20"/>
        </w:rPr>
        <w:t>Each legal chunk C_i is stored with structured metadata:</w:t>
      </w:r>
    </w:p>
    <w:p>
      <w:pPr>
        <w:spacing w:after="120" w:line="264" w:lineRule="auto"/>
        <w:jc w:val="both"/>
      </w:pPr>
      <w:r>
        <w:rPr>
          <w:rFonts w:ascii="Times New Roman" w:hAnsi="Times New Roman"/>
          <w:color w:val="000000"/>
          <w:sz w:val="20"/>
        </w:rPr>
        <w:t>Chunk Data = {Chunk ID, Statute Name, Section Number, Effective Date, Title, Body Text, Topic Tags}</w:t>
      </w:r>
    </w:p>
    <w:p>
      <w:pPr>
        <w:spacing w:before="200" w:after="80"/>
        <w:jc w:val="left"/>
      </w:pPr>
      <w:r>
        <w:rPr>
          <w:rFonts w:ascii="Times New Roman" w:hAnsi="Times New Roman"/>
          <w:b/>
          <w:i/>
          <w:color w:val="000000"/>
          <w:sz w:val="20"/>
        </w:rPr>
        <w:t>B. Lightweight On-Device Retrieval Mechanics</w:t>
      </w:r>
    </w:p>
    <w:p>
      <w:pPr>
        <w:spacing w:after="120" w:line="264" w:lineRule="auto"/>
        <w:jc w:val="both"/>
      </w:pPr>
      <w:r>
        <w:rPr>
          <w:rFonts w:ascii="Times New Roman" w:hAnsi="Times New Roman"/>
          <w:color w:val="000000"/>
          <w:sz w:val="20"/>
        </w:rPr>
        <w:t>Rather than requiring heavy vector embedding models that consume gigabytes of VRAM, FinAI implements a weighted term-matching retrieval score across candidate statutory chunks:</w:t>
      </w:r>
    </w:p>
    <w:p>
      <w:pPr>
        <w:spacing w:after="120" w:line="264" w:lineRule="auto"/>
        <w:jc w:val="both"/>
      </w:pPr>
      <w:r>
        <w:rPr>
          <w:rFonts w:ascii="Times New Roman" w:hAnsi="Times New Roman"/>
          <w:color w:val="000000"/>
          <w:sz w:val="20"/>
        </w:rPr>
        <w:t>Chunk Retrieval Score = Sum of (Body Text Term Matches + 2.0 × Section Header Matches + 1.5 × Topic Tag Matches)</w:t>
      </w:r>
    </w:p>
    <w:p>
      <w:pPr>
        <w:spacing w:after="120" w:line="264" w:lineRule="auto"/>
        <w:jc w:val="both"/>
      </w:pPr>
      <w:r>
        <w:rPr>
          <w:rFonts w:ascii="Times New Roman" w:hAnsi="Times New Roman"/>
          <w:color w:val="000000"/>
          <w:sz w:val="20"/>
        </w:rPr>
        <w:t>Matches occurring within statutory section headers or metadata tags receive explicit weight multipliers to prioritize exact provision lookups.</w:t>
      </w:r>
    </w:p>
    <w:p>
      <w:pPr>
        <w:spacing w:before="200" w:after="80"/>
        <w:jc w:val="left"/>
      </w:pPr>
      <w:r>
        <w:rPr>
          <w:rFonts w:ascii="Times New Roman" w:hAnsi="Times New Roman"/>
          <w:b/>
          <w:i/>
          <w:color w:val="000000"/>
          <w:sz w:val="20"/>
        </w:rPr>
        <w:t>C. Deterministic Tax &amp; GST Mathematical Rules</w:t>
      </w:r>
    </w:p>
    <w:p>
      <w:pPr>
        <w:spacing w:after="120" w:line="264" w:lineRule="auto"/>
        <w:jc w:val="both"/>
      </w:pPr>
      <w:r>
        <w:rPr>
          <w:rFonts w:ascii="Times New Roman" w:hAnsi="Times New Roman"/>
          <w:color w:val="000000"/>
          <w:sz w:val="20"/>
        </w:rPr>
        <w:t xml:space="preserve">When a legal query involves numerical computation, the generative output is strictly bound to symbolic rule functions defined in </w:t>
      </w:r>
      <w:r>
        <w:rPr>
          <w:rFonts w:ascii="Times New Roman" w:hAnsi="Times New Roman"/>
          <w:color w:val="000000"/>
          <w:sz w:val="20"/>
        </w:rPr>
        <w:t>tax_rules.py</w:t>
      </w:r>
      <w:r>
        <w:rPr>
          <w:rFonts w:ascii="Times New Roman" w:hAnsi="Times New Roman"/>
          <w:color w:val="000000"/>
          <w:sz w:val="20"/>
        </w:rPr>
        <w:t xml:space="preserve"> and </w:t>
      </w:r>
      <w:r>
        <w:rPr>
          <w:rFonts w:ascii="Times New Roman" w:hAnsi="Times New Roman"/>
          <w:color w:val="000000"/>
          <w:sz w:val="20"/>
        </w:rPr>
        <w:t>gst_rules.py</w:t>
      </w:r>
      <w:r>
        <w:rPr>
          <w:rFonts w:ascii="Times New Roman" w:hAnsi="Times New Roman"/>
          <w:color w:val="000000"/>
          <w:sz w:val="20"/>
        </w:rPr>
        <w:t>.</w:t>
      </w:r>
    </w:p>
    <w:p>
      <w:pPr>
        <w:spacing w:before="160" w:after="60"/>
        <w:jc w:val="left"/>
      </w:pPr>
      <w:r>
        <w:rPr>
          <w:rFonts w:ascii="Times New Roman" w:hAnsi="Times New Roman"/>
          <w:i/>
          <w:color w:val="000000"/>
          <w:sz w:val="19"/>
        </w:rPr>
        <w:t>1) New Tax Regime Computation (Section 115BAC)</w:t>
      </w:r>
    </w:p>
    <w:p>
      <w:pPr>
        <w:spacing w:after="120" w:line="264" w:lineRule="auto"/>
        <w:jc w:val="both"/>
      </w:pPr>
      <w:r>
        <w:rPr>
          <w:rFonts w:ascii="Times New Roman" w:hAnsi="Times New Roman"/>
          <w:color w:val="000000"/>
          <w:sz w:val="20"/>
        </w:rPr>
        <w:t>Taxable income (I_tax) for a salaried individual with gross income (I_gross) is defined as:</w:t>
      </w:r>
    </w:p>
    <w:p>
      <w:pPr>
        <w:spacing w:after="120" w:line="264" w:lineRule="auto"/>
        <w:jc w:val="both"/>
      </w:pPr>
      <w:r>
        <w:rPr>
          <w:rFonts w:ascii="Times New Roman" w:hAnsi="Times New Roman"/>
          <w:color w:val="000000"/>
          <w:sz w:val="20"/>
        </w:rPr>
        <w:t>Taxable Income = Max(0, Gross Income - Standard Deduction)</w:t>
      </w:r>
    </w:p>
    <w:p>
      <w:pPr>
        <w:spacing w:after="120" w:line="264" w:lineRule="auto"/>
        <w:jc w:val="both"/>
      </w:pPr>
      <w:r>
        <w:rPr>
          <w:rFonts w:ascii="Times New Roman" w:hAnsi="Times New Roman"/>
          <w:color w:val="000000"/>
          <w:sz w:val="20"/>
        </w:rPr>
        <w:t>where Standard Deduction = ₹75,000 per CBDT Circular 04/2024.</w:t>
      </w:r>
    </w:p>
    <w:p>
      <w:pPr>
        <w:spacing w:after="120" w:line="264" w:lineRule="auto"/>
        <w:jc w:val="both"/>
      </w:pPr>
      <w:r>
        <w:rPr>
          <w:rFonts w:ascii="Times New Roman" w:hAnsi="Times New Roman"/>
          <w:color w:val="000000"/>
          <w:sz w:val="20"/>
        </w:rPr>
        <w:t>Slab tax is computed across non-linear tax brackets for Assessment Year 2026-27 (FY 2025-26):</w:t>
      </w:r>
    </w:p>
    <w:p>
      <w:pPr>
        <w:pStyle w:val="ListBullet"/>
        <w:spacing w:after="80"/>
        <w:jc w:val="both"/>
      </w:pPr>
      <w:r>
        <w:rPr>
          <w:rFonts w:ascii="Times New Roman" w:hAnsi="Times New Roman"/>
          <w:color w:val="000000"/>
          <w:sz w:val="20"/>
        </w:rPr>
        <w:t>₹0 to ₹4,00,000 : 0% (Nil)</w:t>
      </w:r>
    </w:p>
    <w:p>
      <w:pPr>
        <w:pStyle w:val="ListBullet"/>
        <w:spacing w:after="80"/>
        <w:jc w:val="both"/>
      </w:pPr>
      <w:r>
        <w:rPr>
          <w:rFonts w:ascii="Times New Roman" w:hAnsi="Times New Roman"/>
          <w:color w:val="000000"/>
          <w:sz w:val="20"/>
        </w:rPr>
        <w:t>₹4,00,001 to ₹8,00,000 : 5%</w:t>
      </w:r>
    </w:p>
    <w:p>
      <w:pPr>
        <w:pStyle w:val="ListBullet"/>
        <w:spacing w:after="80"/>
        <w:jc w:val="both"/>
      </w:pPr>
      <w:r>
        <w:rPr>
          <w:rFonts w:ascii="Times New Roman" w:hAnsi="Times New Roman"/>
          <w:color w:val="000000"/>
          <w:sz w:val="20"/>
        </w:rPr>
        <w:t>₹8,00,001 to ₹12,00,000 : 10%</w:t>
      </w:r>
    </w:p>
    <w:p>
      <w:pPr>
        <w:pStyle w:val="ListBullet"/>
        <w:spacing w:after="80"/>
        <w:jc w:val="both"/>
      </w:pPr>
      <w:r>
        <w:rPr>
          <w:rFonts w:ascii="Times New Roman" w:hAnsi="Times New Roman"/>
          <w:color w:val="000000"/>
          <w:sz w:val="20"/>
        </w:rPr>
        <w:t>₹12,00,001 to ₹16,00,000 : 15%</w:t>
      </w:r>
    </w:p>
    <w:p>
      <w:pPr>
        <w:pStyle w:val="ListBullet"/>
        <w:spacing w:after="80"/>
        <w:jc w:val="both"/>
      </w:pPr>
      <w:r>
        <w:rPr>
          <w:rFonts w:ascii="Times New Roman" w:hAnsi="Times New Roman"/>
          <w:color w:val="000000"/>
          <w:sz w:val="20"/>
        </w:rPr>
        <w:t>₹16,00,001 to ₹20,00,000 : 20%</w:t>
      </w:r>
    </w:p>
    <w:p>
      <w:pPr>
        <w:pStyle w:val="ListBullet"/>
        <w:spacing w:after="80"/>
        <w:jc w:val="both"/>
      </w:pPr>
      <w:r>
        <w:rPr>
          <w:rFonts w:ascii="Times New Roman" w:hAnsi="Times New Roman"/>
          <w:color w:val="000000"/>
          <w:sz w:val="20"/>
        </w:rPr>
        <w:t>₹20,00,001 to ₹24,00,000 : 25%</w:t>
      </w:r>
    </w:p>
    <w:p>
      <w:pPr>
        <w:pStyle w:val="ListBullet"/>
        <w:spacing w:after="80"/>
        <w:jc w:val="both"/>
      </w:pPr>
      <w:r>
        <w:rPr>
          <w:rFonts w:ascii="Times New Roman" w:hAnsi="Times New Roman"/>
          <w:color w:val="000000"/>
          <w:sz w:val="20"/>
        </w:rPr>
        <w:t>Above ₹24,00,000 : 30%</w:t>
      </w:r>
    </w:p>
    <w:p>
      <w:pPr>
        <w:spacing w:after="120" w:line="264" w:lineRule="auto"/>
        <w:jc w:val="both"/>
      </w:pPr>
      <w:r>
        <w:rPr>
          <w:rFonts w:ascii="Times New Roman" w:hAnsi="Times New Roman"/>
          <w:color w:val="000000"/>
          <w:sz w:val="20"/>
        </w:rPr>
        <w:t>Rebate under Section 87A (R_87A) is evaluated deterministically:</w:t>
      </w:r>
    </w:p>
    <w:p>
      <w:pPr>
        <w:spacing w:after="120" w:line="264" w:lineRule="auto"/>
        <w:jc w:val="both"/>
      </w:pPr>
      <w:r>
        <w:rPr>
          <w:rFonts w:ascii="Times New Roman" w:hAnsi="Times New Roman"/>
          <w:color w:val="000000"/>
          <w:sz w:val="20"/>
        </w:rPr>
        <w:t>Section 87A Rebate = Min(Slab Tax, ₹60,000) if Taxable Income &lt;= ₹12,00,000; else 0</w:t>
      </w:r>
    </w:p>
    <w:p>
      <w:pPr>
        <w:spacing w:after="120" w:line="264" w:lineRule="auto"/>
        <w:jc w:val="both"/>
      </w:pPr>
      <w:r>
        <w:rPr>
          <w:rFonts w:ascii="Times New Roman" w:hAnsi="Times New Roman"/>
          <w:color w:val="000000"/>
          <w:sz w:val="20"/>
        </w:rPr>
        <w:t>Including the 4% Health &amp; Education Cess, total tax payable is:</w:t>
      </w:r>
    </w:p>
    <w:p>
      <w:pPr>
        <w:spacing w:after="120" w:line="264" w:lineRule="auto"/>
        <w:jc w:val="both"/>
      </w:pPr>
      <w:r>
        <w:rPr>
          <w:rFonts w:ascii="Times New Roman" w:hAnsi="Times New Roman"/>
          <w:color w:val="000000"/>
          <w:sz w:val="20"/>
        </w:rPr>
        <w:t>Total Tax Payable = Round((Slab Tax - Section 87A Rebate + Surcharge) × 1.04, 2)</w:t>
      </w:r>
    </w:p>
    <w:p>
      <w:pPr>
        <w:spacing w:before="160" w:after="60"/>
        <w:jc w:val="left"/>
      </w:pPr>
      <w:r>
        <w:rPr>
          <w:rFonts w:ascii="Times New Roman" w:hAnsi="Times New Roman"/>
          <w:i/>
          <w:color w:val="000000"/>
          <w:sz w:val="19"/>
        </w:rPr>
        <w:t>2) GST Forward and Reverse Split Formulas</w:t>
      </w:r>
    </w:p>
    <w:p>
      <w:pPr>
        <w:spacing w:after="120" w:line="264" w:lineRule="auto"/>
        <w:jc w:val="both"/>
      </w:pPr>
      <w:r>
        <w:rPr>
          <w:rFonts w:ascii="Times New Roman" w:hAnsi="Times New Roman"/>
          <w:color w:val="000000"/>
          <w:sz w:val="20"/>
        </w:rPr>
        <w:t>For intrastate transactions (where IGST = 0), total GST amount for base price A_base and GST rate r_gst is:</w:t>
      </w:r>
    </w:p>
    <w:p>
      <w:pPr>
        <w:spacing w:after="120" w:line="264" w:lineRule="auto"/>
        <w:jc w:val="both"/>
      </w:pPr>
      <w:r>
        <w:rPr>
          <w:rFonts w:ascii="Times New Roman" w:hAnsi="Times New Roman"/>
          <w:color w:val="000000"/>
          <w:sz w:val="20"/>
        </w:rPr>
        <w:t>Total GST Amount = Round(Base Amount × (GST Rate / 100), 2)</w:t>
      </w:r>
    </w:p>
    <w:p>
      <w:pPr>
        <w:spacing w:after="120" w:line="264" w:lineRule="auto"/>
        <w:jc w:val="both"/>
      </w:pPr>
      <w:r>
        <w:rPr>
          <w:rFonts w:ascii="Times New Roman" w:hAnsi="Times New Roman"/>
          <w:color w:val="000000"/>
          <w:sz w:val="20"/>
        </w:rPr>
        <w:t>CGST = SGST = Total GST Amount / 2</w:t>
      </w:r>
    </w:p>
    <w:p>
      <w:pPr>
        <w:spacing w:after="120" w:line="264" w:lineRule="auto"/>
        <w:jc w:val="both"/>
      </w:pPr>
      <w:r>
        <w:rPr>
          <w:rFonts w:ascii="Times New Roman" w:hAnsi="Times New Roman"/>
          <w:color w:val="000000"/>
          <w:sz w:val="20"/>
        </w:rPr>
        <w:t>For reverse calculation from a GST-inclusive invoice total A_total:</w:t>
      </w:r>
    </w:p>
    <w:p>
      <w:pPr>
        <w:spacing w:after="120" w:line="264" w:lineRule="auto"/>
        <w:jc w:val="both"/>
      </w:pPr>
      <w:r>
        <w:rPr>
          <w:rFonts w:ascii="Times New Roman" w:hAnsi="Times New Roman"/>
          <w:color w:val="000000"/>
          <w:sz w:val="20"/>
        </w:rPr>
        <w:t>Base Amount = Round(Invoice Total / (1 + GST Rate / 100), 2)</w:t>
      </w:r>
    </w:p>
    <w:p>
      <w:pPr>
        <w:spacing w:after="120" w:line="264" w:lineRule="auto"/>
        <w:jc w:val="both"/>
      </w:pPr>
      <w:r>
        <w:rPr>
          <w:rFonts w:ascii="Times New Roman" w:hAnsi="Times New Roman"/>
          <w:color w:val="000000"/>
          <w:sz w:val="20"/>
        </w:rPr>
        <w:t>Total GST Amount = Invoice Total - Base Amount</w:t>
      </w:r>
    </w:p>
    <w:p>
      <w:pPr>
        <w:spacing w:before="200" w:after="80"/>
        <w:jc w:val="left"/>
      </w:pPr>
      <w:r>
        <w:rPr>
          <w:rFonts w:ascii="Times New Roman" w:hAnsi="Times New Roman"/>
          <w:b/>
          <w:i/>
          <w:color w:val="000000"/>
          <w:sz w:val="20"/>
        </w:rPr>
        <w:t>D. Cryptographic Hash-Chain Ledger</w:t>
      </w:r>
    </w:p>
    <w:p>
      <w:pPr>
        <w:spacing w:after="120" w:line="264" w:lineRule="auto"/>
        <w:jc w:val="both"/>
      </w:pPr>
      <w:r>
        <w:rPr>
          <w:rFonts w:ascii="Times New Roman" w:hAnsi="Times New Roman"/>
          <w:color w:val="000000"/>
          <w:sz w:val="20"/>
        </w:rPr>
        <w:t>To guarantee anti-tamper security for verified rule outputs, every execution logs a block B_k into an append-only ledger:</w:t>
      </w:r>
    </w:p>
    <w:p>
      <w:pPr>
        <w:spacing w:after="120" w:line="264" w:lineRule="auto"/>
        <w:jc w:val="both"/>
      </w:pPr>
      <w:r>
        <w:rPr>
          <w:rFonts w:ascii="Times New Roman" w:hAnsi="Times New Roman"/>
          <w:color w:val="000000"/>
          <w:sz w:val="20"/>
        </w:rPr>
        <w:t>Block B_k = (Index, Timestamp, Rule ID, Inputs, Outputs, Previous Hash H_(k-1), Current Hash H_k)</w:t>
      </w:r>
    </w:p>
    <w:p>
      <w:pPr>
        <w:spacing w:after="120" w:line="264" w:lineRule="auto"/>
        <w:jc w:val="both"/>
      </w:pPr>
      <w:r>
        <w:rPr>
          <w:rFonts w:ascii="Times New Roman" w:hAnsi="Times New Roman"/>
          <w:color w:val="000000"/>
          <w:sz w:val="20"/>
        </w:rPr>
        <w:t>Where the block hash H_k is generated via SHA-256 cryptographic hashing:</w:t>
      </w:r>
    </w:p>
    <w:p>
      <w:pPr>
        <w:spacing w:after="120" w:line="264" w:lineRule="auto"/>
        <w:jc w:val="both"/>
      </w:pPr>
      <w:r>
        <w:rPr>
          <w:rFonts w:ascii="Times New Roman" w:hAnsi="Times New Roman"/>
          <w:color w:val="000000"/>
          <w:sz w:val="20"/>
        </w:rPr>
        <w:t>Genesis Hash H_0 = 64 Zeros</w:t>
      </w:r>
    </w:p>
    <w:p>
      <w:pPr>
        <w:spacing w:after="120" w:line="264" w:lineRule="auto"/>
        <w:jc w:val="both"/>
      </w:pPr>
      <w:r>
        <w:rPr>
          <w:rFonts w:ascii="Times New Roman" w:hAnsi="Times New Roman"/>
          <w:color w:val="000000"/>
          <w:sz w:val="20"/>
        </w:rPr>
        <w:t>Block Hash H_k = SHA-256(Previous Hash H_(k-1) + Timestamp + Rule ID + Serialized Inputs + Serialized Outputs)</w:t>
      </w:r>
    </w:p>
    <w:p>
      <w:pPr>
        <w:spacing w:after="120" w:line="264" w:lineRule="auto"/>
        <w:jc w:val="both"/>
      </w:pPr>
      <w:r>
        <w:rPr>
          <w:rFonts w:ascii="Times New Roman" w:hAnsi="Times New Roman"/>
          <w:color w:val="000000"/>
          <w:sz w:val="20"/>
        </w:rPr>
        <w:t>If any historical record is modified locally, recomputing the chain from H_0 to H_k detects tampering instantly.</w:t>
      </w:r>
    </w:p>
    <w:p>
      <w:pPr>
        <w:spacing w:before="240" w:after="120"/>
        <w:jc w:val="center"/>
      </w:pPr>
      <w:r>
        <w:rPr>
          <w:rFonts w:ascii="Times New Roman" w:hAnsi="Times New Roman"/>
          <w:b/>
          <w:color w:val="000000"/>
          <w:sz w:val="21"/>
        </w:rPr>
        <w:t>IV. PRELIMINARY EMPIRICAL RESULTS</w:t>
      </w:r>
    </w:p>
    <w:p>
      <w:pPr>
        <w:spacing w:after="120" w:line="264" w:lineRule="auto"/>
        <w:jc w:val="both"/>
      </w:pPr>
      <w:r>
        <w:rPr>
          <w:rFonts w:ascii="Times New Roman" w:hAnsi="Times New Roman"/>
          <w:color w:val="000000"/>
          <w:sz w:val="20"/>
        </w:rPr>
        <w:t>To establish an empirical baseline, we implemented an automated evaluation harness (</w:t>
      </w:r>
      <w:r>
        <w:rPr>
          <w:rFonts w:ascii="Times New Roman" w:hAnsi="Times New Roman"/>
          <w:color w:val="000000"/>
          <w:sz w:val="20"/>
        </w:rPr>
        <w:t>tests/test_eval_rag_legal.py</w:t>
      </w:r>
      <w:r>
        <w:rPr>
          <w:rFonts w:ascii="Times New Roman" w:hAnsi="Times New Roman"/>
          <w:color w:val="000000"/>
          <w:sz w:val="20"/>
        </w:rPr>
        <w:t>) comprising 15 benchmark questions spanning direct tax, indirect tax, circulars, and judicial precedents.</w:t>
      </w:r>
    </w:p>
    <w:p>
      <w:pPr>
        <w:spacing w:before="200" w:after="80"/>
        <w:jc w:val="left"/>
      </w:pPr>
      <w:r>
        <w:rPr>
          <w:rFonts w:ascii="Times New Roman" w:hAnsi="Times New Roman"/>
          <w:b/>
          <w:i/>
          <w:color w:val="000000"/>
          <w:sz w:val="20"/>
        </w:rPr>
        <w:t>A. Evaluation Metrics</w:t>
      </w:r>
    </w:p>
    <w:p>
      <w:pPr>
        <w:pStyle w:val="ListNumber"/>
        <w:spacing w:after="80"/>
        <w:jc w:val="both"/>
      </w:pPr>
      <w:r>
        <w:rPr>
          <w:rFonts w:ascii="Times New Roman" w:hAnsi="Times New Roman"/>
          <w:b/>
          <w:color w:val="000000"/>
          <w:sz w:val="20"/>
        </w:rPr>
        <w:t>Top-1 Retrieval Precision (P@1)</w:t>
      </w:r>
      <w:r>
        <w:rPr>
          <w:rFonts w:ascii="Times New Roman" w:hAnsi="Times New Roman"/>
          <w:color w:val="000000"/>
          <w:sz w:val="20"/>
        </w:rPr>
        <w:t>: Percentage of queries where the highest-ranked retrieved chunk corresponds to the exact statutory section required.</w:t>
      </w:r>
    </w:p>
    <w:p>
      <w:pPr>
        <w:pStyle w:val="ListNumber"/>
        <w:spacing w:after="80"/>
        <w:jc w:val="both"/>
      </w:pPr>
      <w:r>
        <w:rPr>
          <w:rFonts w:ascii="Times New Roman" w:hAnsi="Times New Roman"/>
          <w:b/>
          <w:color w:val="000000"/>
          <w:sz w:val="20"/>
        </w:rPr>
        <w:t>Top-3 Retrieval Recall (R@3)</w:t>
      </w:r>
      <w:r>
        <w:rPr>
          <w:rFonts w:ascii="Times New Roman" w:hAnsi="Times New Roman"/>
          <w:color w:val="000000"/>
          <w:sz w:val="20"/>
        </w:rPr>
        <w:t>: Percentage of queries where the target statutory chunk appears within the top 3 retrieved results.</w:t>
      </w:r>
    </w:p>
    <w:p>
      <w:pPr>
        <w:pStyle w:val="ListNumber"/>
        <w:spacing w:after="80"/>
        <w:jc w:val="both"/>
      </w:pPr>
      <w:r>
        <w:rPr>
          <w:rFonts w:ascii="Times New Roman" w:hAnsi="Times New Roman"/>
          <w:b/>
          <w:color w:val="000000"/>
          <w:sz w:val="20"/>
        </w:rPr>
        <w:t>Statutory Citation Accuracy (A_cite)</w:t>
      </w:r>
      <w:r>
        <w:rPr>
          <w:rFonts w:ascii="Times New Roman" w:hAnsi="Times New Roman"/>
          <w:color w:val="000000"/>
          <w:sz w:val="20"/>
        </w:rPr>
        <w:t>: Percentage of assistant responses that accurately extract and display the statute name and section number.</w:t>
      </w:r>
    </w:p>
    <w:p>
      <w:pPr>
        <w:pStyle w:val="ListNumber"/>
        <w:spacing w:after="80"/>
        <w:jc w:val="both"/>
      </w:pPr>
      <w:r>
        <w:rPr>
          <w:rFonts w:ascii="Times New Roman" w:hAnsi="Times New Roman"/>
          <w:b/>
          <w:color w:val="000000"/>
          <w:sz w:val="20"/>
        </w:rPr>
        <w:t>Symbolic Verification Rate (V_sym)</w:t>
      </w:r>
      <w:r>
        <w:rPr>
          <w:rFonts w:ascii="Times New Roman" w:hAnsi="Times New Roman"/>
          <w:color w:val="000000"/>
          <w:sz w:val="20"/>
        </w:rPr>
        <w:t>: Percentage of numerical claims successfully validated by the deterministic rule engine.</w:t>
      </w:r>
    </w:p>
    <w:p>
      <w:pPr>
        <w:pStyle w:val="ListNumber"/>
        <w:spacing w:after="80"/>
        <w:jc w:val="both"/>
      </w:pPr>
      <w:r>
        <w:rPr>
          <w:rFonts w:ascii="Times New Roman" w:hAnsi="Times New Roman"/>
          <w:b/>
          <w:color w:val="000000"/>
          <w:sz w:val="20"/>
        </w:rPr>
        <w:t>Mean Retrieval Latency (L_mean)</w:t>
      </w:r>
      <w:r>
        <w:rPr>
          <w:rFonts w:ascii="Times New Roman" w:hAnsi="Times New Roman"/>
          <w:color w:val="000000"/>
          <w:sz w:val="20"/>
        </w:rPr>
        <w:t>: Average time required to execute the retrieval function locally, measured in milliseconds.</w:t>
      </w:r>
    </w:p>
    <w:p>
      <w:pPr>
        <w:spacing w:before="200" w:after="80"/>
        <w:jc w:val="left"/>
      </w:pPr>
      <w:r>
        <w:rPr>
          <w:rFonts w:ascii="Times New Roman" w:hAnsi="Times New Roman"/>
          <w:b/>
          <w:i/>
          <w:color w:val="000000"/>
          <w:sz w:val="20"/>
        </w:rPr>
        <w:t>B. Empirical Benchmark Performance</w:t>
      </w:r>
    </w:p>
    <w:p>
      <w:pPr>
        <w:spacing w:after="120" w:line="264" w:lineRule="auto"/>
        <w:jc w:val="both"/>
      </w:pPr>
      <w:r>
        <w:rPr>
          <w:rFonts w:ascii="Times New Roman" w:hAnsi="Times New Roman"/>
          <w:color w:val="000000"/>
          <w:sz w:val="20"/>
        </w:rPr>
        <w:t>Table II summarizes the empirical results achieved across the benchmark evaluation suite.</w:t>
      </w:r>
    </w:p>
    <w:p>
      <w:pPr>
        <w:spacing w:before="160" w:after="60"/>
        <w:jc w:val="left"/>
      </w:pPr>
      <w:r>
        <w:rPr>
          <w:rFonts w:ascii="Times New Roman" w:hAnsi="Times New Roman"/>
          <w:i/>
          <w:color w:val="000000"/>
          <w:sz w:val="19"/>
        </w:rPr>
        <w:t>TABLE II: Empirical Legal RAG Benchmark Evaluation Results</w:t>
      </w:r>
    </w:p>
    <w:tbl>
      <w:tblPr>
        <w:tblW w:type="auto" w:w="0"/>
        <w:jc w:val="center"/>
        <w:tblLayout w:type="autofit"/>
        <w:tblLook w:firstColumn="1" w:firstRow="1" w:lastColumn="0" w:lastRow="0" w:noHBand="0" w:noVBand="1" w:val="04A0"/>
        <w:tblBorders>
          <w:top w:val="single" w:sz="8" w:space="0" w:color="000000"/>
          <w:left w:val="single" w:sz="4" w:space="0" w:color="CBD5E1"/>
          <w:bottom w:val="single" w:sz="8" w:space="0" w:color="000000"/>
          <w:right w:val="single" w:sz="4" w:space="0" w:color="CBD5E1"/>
          <w:insideH w:val="single" w:sz="4" w:space="0" w:color="CBD5E1"/>
          <w:insideV w:val="single" w:sz="4" w:space="0" w:color="CBD5E1"/>
        </w:tblBorders>
      </w:tblPr>
      <w:tblGrid>
        <w:gridCol w:w="2606"/>
        <w:gridCol w:w="2606"/>
        <w:gridCol w:w="2606"/>
        <w:gridCol w:w="2606"/>
      </w:tblGrid>
      <w:tr>
        <w:tc>
          <w:tcPr>
            <w:tcW w:type="dxa" w:w="2606"/>
            <w:tcMar>
              <w:top w:w="100" w:type="dxa"/>
              <w:bottom w:w="100" w:type="dxa"/>
              <w:left w:w="120" w:type="dxa"/>
              <w:right w:w="120" w:type="dxa"/>
            </w:tcMar>
            <w:shd w:fill="E2E8F0"/>
          </w:tcPr>
          <w:p>
            <w:pPr>
              <w:spacing w:before="60" w:after="60"/>
              <w:jc w:val="center"/>
            </w:pPr>
            <w:r>
              <w:rPr>
                <w:rFonts w:ascii="Times New Roman" w:hAnsi="Times New Roman"/>
                <w:b/>
                <w:color w:val="000000"/>
                <w:sz w:val="18"/>
              </w:rPr>
              <w:t>Benchmark Metric</w:t>
            </w:r>
          </w:p>
        </w:tc>
        <w:tc>
          <w:tcPr>
            <w:tcW w:type="dxa" w:w="2606"/>
            <w:tcMar>
              <w:top w:w="100" w:type="dxa"/>
              <w:bottom w:w="100" w:type="dxa"/>
              <w:left w:w="120" w:type="dxa"/>
              <w:right w:w="120" w:type="dxa"/>
            </w:tcMar>
            <w:shd w:fill="E2E8F0"/>
          </w:tcPr>
          <w:p>
            <w:pPr>
              <w:spacing w:before="60" w:after="60"/>
              <w:jc w:val="center"/>
            </w:pPr>
            <w:r>
              <w:rPr>
                <w:rFonts w:ascii="Times New Roman" w:hAnsi="Times New Roman"/>
                <w:b/>
                <w:color w:val="000000"/>
                <w:sz w:val="18"/>
              </w:rPr>
              <w:t>Empirical Value</w:t>
            </w:r>
          </w:p>
        </w:tc>
        <w:tc>
          <w:tcPr>
            <w:tcW w:type="dxa" w:w="2606"/>
            <w:tcMar>
              <w:top w:w="100" w:type="dxa"/>
              <w:bottom w:w="100" w:type="dxa"/>
              <w:left w:w="120" w:type="dxa"/>
              <w:right w:w="120" w:type="dxa"/>
            </w:tcMar>
            <w:shd w:fill="E2E8F0"/>
          </w:tcPr>
          <w:p>
            <w:pPr>
              <w:spacing w:before="60" w:after="60"/>
              <w:jc w:val="center"/>
            </w:pPr>
            <w:r>
              <w:rPr>
                <w:rFonts w:ascii="Times New Roman" w:hAnsi="Times New Roman"/>
                <w:b/>
                <w:color w:val="000000"/>
                <w:sz w:val="18"/>
              </w:rPr>
              <w:t>Target Specification</w:t>
            </w:r>
          </w:p>
        </w:tc>
        <w:tc>
          <w:tcPr>
            <w:tcW w:type="dxa" w:w="2606"/>
            <w:tcMar>
              <w:top w:w="100" w:type="dxa"/>
              <w:bottom w:w="100" w:type="dxa"/>
              <w:left w:w="120" w:type="dxa"/>
              <w:right w:w="120" w:type="dxa"/>
            </w:tcMar>
            <w:shd w:fill="E2E8F0"/>
          </w:tcPr>
          <w:p>
            <w:pPr>
              <w:spacing w:before="60" w:after="60"/>
              <w:jc w:val="center"/>
            </w:pPr>
            <w:r>
              <w:rPr>
                <w:rFonts w:ascii="Times New Roman" w:hAnsi="Times New Roman"/>
                <w:b/>
                <w:color w:val="000000"/>
                <w:sz w:val="18"/>
              </w:rPr>
              <w:t>Status</w:t>
            </w:r>
          </w:p>
        </w:tc>
      </w:tr>
      <w:tr>
        <w:tc>
          <w:tcPr>
            <w:tcW w:type="dxa" w:w="2606"/>
            <w:tcMar>
              <w:top w:w="100" w:type="dxa"/>
              <w:bottom w:w="100" w:type="dxa"/>
              <w:left w:w="120" w:type="dxa"/>
              <w:right w:w="120" w:type="dxa"/>
            </w:tcMar>
            <w:shd w:fill="F8FAFC"/>
          </w:tcPr>
          <w:p>
            <w:pPr>
              <w:spacing w:before="60" w:after="60"/>
              <w:jc w:val="left"/>
            </w:pPr>
            <w:r>
              <w:rPr>
                <w:rFonts w:ascii="Times New Roman" w:hAnsi="Times New Roman"/>
                <w:color w:val="000000"/>
                <w:sz w:val="18"/>
              </w:rPr>
              <w:t>Total Benchmark Test Queries</w:t>
            </w:r>
          </w:p>
        </w:tc>
        <w:tc>
          <w:tcPr>
            <w:tcW w:type="dxa" w:w="2606"/>
            <w:tcMar>
              <w:top w:w="100" w:type="dxa"/>
              <w:bottom w:w="100" w:type="dxa"/>
              <w:left w:w="120" w:type="dxa"/>
              <w:right w:w="120" w:type="dxa"/>
            </w:tcMar>
            <w:shd w:fill="F8FAFC"/>
          </w:tcPr>
          <w:p>
            <w:pPr>
              <w:spacing w:before="60" w:after="60"/>
              <w:jc w:val="center"/>
            </w:pPr>
            <w:r>
              <w:rPr>
                <w:rFonts w:ascii="Times New Roman" w:hAnsi="Times New Roman"/>
                <w:color w:val="000000"/>
                <w:sz w:val="18"/>
              </w:rPr>
              <w:t>15 Questions</w:t>
            </w:r>
          </w:p>
        </w:tc>
        <w:tc>
          <w:tcPr>
            <w:tcW w:type="dxa" w:w="2606"/>
            <w:tcMar>
              <w:top w:w="100" w:type="dxa"/>
              <w:bottom w:w="100" w:type="dxa"/>
              <w:left w:w="120" w:type="dxa"/>
              <w:right w:w="120" w:type="dxa"/>
            </w:tcMar>
            <w:shd w:fill="F8FAFC"/>
          </w:tcPr>
          <w:p>
            <w:pPr>
              <w:spacing w:before="60" w:after="60"/>
              <w:jc w:val="center"/>
            </w:pPr>
            <w:r>
              <w:rPr>
                <w:rFonts w:ascii="Times New Roman" w:hAnsi="Times New Roman"/>
                <w:color w:val="000000"/>
                <w:sz w:val="18"/>
              </w:rPr>
              <w:t>15 Questions</w:t>
            </w:r>
          </w:p>
        </w:tc>
        <w:tc>
          <w:tcPr>
            <w:tcW w:type="dxa" w:w="2606"/>
            <w:tcMar>
              <w:top w:w="100" w:type="dxa"/>
              <w:bottom w:w="100" w:type="dxa"/>
              <w:left w:w="120" w:type="dxa"/>
              <w:right w:w="120" w:type="dxa"/>
            </w:tcMar>
            <w:shd w:fill="F8FAFC"/>
          </w:tcPr>
          <w:p>
            <w:pPr>
              <w:spacing w:before="60" w:after="60"/>
              <w:jc w:val="center"/>
            </w:pPr>
            <w:r>
              <w:rPr>
                <w:rFonts w:ascii="Times New Roman" w:hAnsi="Times New Roman"/>
                <w:color w:val="000000"/>
                <w:sz w:val="18"/>
              </w:rPr>
              <w:t>Complete</w:t>
            </w:r>
          </w:p>
        </w:tc>
      </w:tr>
      <w:tr>
        <w:tc>
          <w:tcPr>
            <w:tcW w:type="dxa" w:w="2606"/>
            <w:tcMar>
              <w:top w:w="100" w:type="dxa"/>
              <w:bottom w:w="100" w:type="dxa"/>
              <w:left w:w="120" w:type="dxa"/>
              <w:right w:w="120" w:type="dxa"/>
            </w:tcMar>
            <w:shd w:fill="FFFFFF"/>
          </w:tcPr>
          <w:p>
            <w:pPr>
              <w:spacing w:before="60" w:after="60"/>
              <w:jc w:val="left"/>
            </w:pPr>
            <w:r>
              <w:rPr>
                <w:rFonts w:ascii="Times New Roman" w:hAnsi="Times New Roman"/>
                <w:color w:val="000000"/>
                <w:sz w:val="18"/>
              </w:rPr>
              <w:t>Top-1 Retrieval Precision (P@1)</w:t>
            </w:r>
          </w:p>
        </w:tc>
        <w:tc>
          <w:tcPr>
            <w:tcW w:type="dxa" w:w="2606"/>
            <w:tcMar>
              <w:top w:w="100" w:type="dxa"/>
              <w:bottom w:w="100" w:type="dxa"/>
              <w:left w:w="120" w:type="dxa"/>
              <w:right w:w="120" w:type="dxa"/>
            </w:tcMar>
            <w:shd w:fill="FFFFFF"/>
          </w:tcPr>
          <w:p>
            <w:pPr>
              <w:spacing w:before="60" w:after="60"/>
              <w:jc w:val="center"/>
            </w:pPr>
            <w:r>
              <w:rPr>
                <w:rFonts w:ascii="Times New Roman" w:hAnsi="Times New Roman"/>
                <w:color w:val="000000"/>
                <w:sz w:val="18"/>
              </w:rPr>
              <w:t>100.0% (15/15)</w:t>
            </w:r>
          </w:p>
        </w:tc>
        <w:tc>
          <w:tcPr>
            <w:tcW w:type="dxa" w:w="2606"/>
            <w:tcMar>
              <w:top w:w="100" w:type="dxa"/>
              <w:bottom w:w="100" w:type="dxa"/>
              <w:left w:w="120" w:type="dxa"/>
              <w:right w:w="120" w:type="dxa"/>
            </w:tcMar>
            <w:shd w:fill="FFFFFF"/>
          </w:tcPr>
          <w:p>
            <w:pPr>
              <w:spacing w:before="60" w:after="60"/>
              <w:jc w:val="center"/>
            </w:pPr>
            <w:r>
              <w:rPr>
                <w:rFonts w:ascii="Times New Roman" w:hAnsi="Times New Roman"/>
                <w:color w:val="000000"/>
                <w:sz w:val="18"/>
              </w:rPr>
              <w:t>&gt;= 80.0%</w:t>
            </w:r>
          </w:p>
        </w:tc>
        <w:tc>
          <w:tcPr>
            <w:tcW w:type="dxa" w:w="2606"/>
            <w:tcMar>
              <w:top w:w="100" w:type="dxa"/>
              <w:bottom w:w="100" w:type="dxa"/>
              <w:left w:w="120" w:type="dxa"/>
              <w:right w:w="120" w:type="dxa"/>
            </w:tcMar>
            <w:shd w:fill="FFFFFF"/>
          </w:tcPr>
          <w:p>
            <w:pPr>
              <w:spacing w:before="60" w:after="60"/>
              <w:jc w:val="center"/>
            </w:pPr>
            <w:r>
              <w:rPr>
                <w:rFonts w:ascii="Times New Roman" w:hAnsi="Times New Roman"/>
                <w:color w:val="000000"/>
                <w:sz w:val="18"/>
              </w:rPr>
              <w:t>Passed</w:t>
            </w:r>
          </w:p>
        </w:tc>
      </w:tr>
      <w:tr>
        <w:tc>
          <w:tcPr>
            <w:tcW w:type="dxa" w:w="2606"/>
            <w:tcMar>
              <w:top w:w="100" w:type="dxa"/>
              <w:bottom w:w="100" w:type="dxa"/>
              <w:left w:w="120" w:type="dxa"/>
              <w:right w:w="120" w:type="dxa"/>
            </w:tcMar>
            <w:shd w:fill="F8FAFC"/>
          </w:tcPr>
          <w:p>
            <w:pPr>
              <w:spacing w:before="60" w:after="60"/>
              <w:jc w:val="left"/>
            </w:pPr>
            <w:r>
              <w:rPr>
                <w:rFonts w:ascii="Times New Roman" w:hAnsi="Times New Roman"/>
                <w:color w:val="000000"/>
                <w:sz w:val="18"/>
              </w:rPr>
              <w:t>Top-3 Retrieval Recall (R@3)</w:t>
            </w:r>
          </w:p>
        </w:tc>
        <w:tc>
          <w:tcPr>
            <w:tcW w:type="dxa" w:w="2606"/>
            <w:tcMar>
              <w:top w:w="100" w:type="dxa"/>
              <w:bottom w:w="100" w:type="dxa"/>
              <w:left w:w="120" w:type="dxa"/>
              <w:right w:w="120" w:type="dxa"/>
            </w:tcMar>
            <w:shd w:fill="F8FAFC"/>
          </w:tcPr>
          <w:p>
            <w:pPr>
              <w:spacing w:before="60" w:after="60"/>
              <w:jc w:val="center"/>
            </w:pPr>
            <w:r>
              <w:rPr>
                <w:rFonts w:ascii="Times New Roman" w:hAnsi="Times New Roman"/>
                <w:color w:val="000000"/>
                <w:sz w:val="18"/>
              </w:rPr>
              <w:t>100.0% (15/15)</w:t>
            </w:r>
          </w:p>
        </w:tc>
        <w:tc>
          <w:tcPr>
            <w:tcW w:type="dxa" w:w="2606"/>
            <w:tcMar>
              <w:top w:w="100" w:type="dxa"/>
              <w:bottom w:w="100" w:type="dxa"/>
              <w:left w:w="120" w:type="dxa"/>
              <w:right w:w="120" w:type="dxa"/>
            </w:tcMar>
            <w:shd w:fill="F8FAFC"/>
          </w:tcPr>
          <w:p>
            <w:pPr>
              <w:spacing w:before="60" w:after="60"/>
              <w:jc w:val="center"/>
            </w:pPr>
            <w:r>
              <w:rPr>
                <w:rFonts w:ascii="Times New Roman" w:hAnsi="Times New Roman"/>
                <w:color w:val="000000"/>
                <w:sz w:val="18"/>
              </w:rPr>
              <w:t>&gt;= 90.0%</w:t>
            </w:r>
          </w:p>
        </w:tc>
        <w:tc>
          <w:tcPr>
            <w:tcW w:type="dxa" w:w="2606"/>
            <w:tcMar>
              <w:top w:w="100" w:type="dxa"/>
              <w:bottom w:w="100" w:type="dxa"/>
              <w:left w:w="120" w:type="dxa"/>
              <w:right w:w="120" w:type="dxa"/>
            </w:tcMar>
            <w:shd w:fill="F8FAFC"/>
          </w:tcPr>
          <w:p>
            <w:pPr>
              <w:spacing w:before="60" w:after="60"/>
              <w:jc w:val="center"/>
            </w:pPr>
            <w:r>
              <w:rPr>
                <w:rFonts w:ascii="Times New Roman" w:hAnsi="Times New Roman"/>
                <w:color w:val="000000"/>
                <w:sz w:val="18"/>
              </w:rPr>
              <w:t>Passed</w:t>
            </w:r>
          </w:p>
        </w:tc>
      </w:tr>
      <w:tr>
        <w:tc>
          <w:tcPr>
            <w:tcW w:type="dxa" w:w="2606"/>
            <w:tcMar>
              <w:top w:w="100" w:type="dxa"/>
              <w:bottom w:w="100" w:type="dxa"/>
              <w:left w:w="120" w:type="dxa"/>
              <w:right w:w="120" w:type="dxa"/>
            </w:tcMar>
            <w:shd w:fill="FFFFFF"/>
          </w:tcPr>
          <w:p>
            <w:pPr>
              <w:spacing w:before="60" w:after="60"/>
              <w:jc w:val="left"/>
            </w:pPr>
            <w:r>
              <w:rPr>
                <w:rFonts w:ascii="Times New Roman" w:hAnsi="Times New Roman"/>
                <w:color w:val="000000"/>
                <w:sz w:val="18"/>
              </w:rPr>
              <w:t>Statutory Citation Accuracy (A_cite)</w:t>
            </w:r>
          </w:p>
        </w:tc>
        <w:tc>
          <w:tcPr>
            <w:tcW w:type="dxa" w:w="2606"/>
            <w:tcMar>
              <w:top w:w="100" w:type="dxa"/>
              <w:bottom w:w="100" w:type="dxa"/>
              <w:left w:w="120" w:type="dxa"/>
              <w:right w:w="120" w:type="dxa"/>
            </w:tcMar>
            <w:shd w:fill="FFFFFF"/>
          </w:tcPr>
          <w:p>
            <w:pPr>
              <w:spacing w:before="60" w:after="60"/>
              <w:jc w:val="center"/>
            </w:pPr>
            <w:r>
              <w:rPr>
                <w:rFonts w:ascii="Times New Roman" w:hAnsi="Times New Roman"/>
                <w:color w:val="000000"/>
                <w:sz w:val="18"/>
              </w:rPr>
              <w:t>100.0% (15/15)</w:t>
            </w:r>
          </w:p>
        </w:tc>
        <w:tc>
          <w:tcPr>
            <w:tcW w:type="dxa" w:w="2606"/>
            <w:tcMar>
              <w:top w:w="100" w:type="dxa"/>
              <w:bottom w:w="100" w:type="dxa"/>
              <w:left w:w="120" w:type="dxa"/>
              <w:right w:w="120" w:type="dxa"/>
            </w:tcMar>
            <w:shd w:fill="FFFFFF"/>
          </w:tcPr>
          <w:p>
            <w:pPr>
              <w:spacing w:before="60" w:after="60"/>
              <w:jc w:val="center"/>
            </w:pPr>
            <w:r>
              <w:rPr>
                <w:rFonts w:ascii="Times New Roman" w:hAnsi="Times New Roman"/>
                <w:color w:val="000000"/>
                <w:sz w:val="18"/>
              </w:rPr>
              <w:t>100.0%</w:t>
            </w:r>
          </w:p>
        </w:tc>
        <w:tc>
          <w:tcPr>
            <w:tcW w:type="dxa" w:w="2606"/>
            <w:tcMar>
              <w:top w:w="100" w:type="dxa"/>
              <w:bottom w:w="100" w:type="dxa"/>
              <w:left w:w="120" w:type="dxa"/>
              <w:right w:w="120" w:type="dxa"/>
            </w:tcMar>
            <w:shd w:fill="FFFFFF"/>
          </w:tcPr>
          <w:p>
            <w:pPr>
              <w:spacing w:before="60" w:after="60"/>
              <w:jc w:val="center"/>
            </w:pPr>
            <w:r>
              <w:rPr>
                <w:rFonts w:ascii="Times New Roman" w:hAnsi="Times New Roman"/>
                <w:color w:val="000000"/>
                <w:sz w:val="18"/>
              </w:rPr>
              <w:t>Passed</w:t>
            </w:r>
          </w:p>
        </w:tc>
      </w:tr>
      <w:tr>
        <w:tc>
          <w:tcPr>
            <w:tcW w:type="dxa" w:w="2606"/>
            <w:tcMar>
              <w:top w:w="100" w:type="dxa"/>
              <w:bottom w:w="100" w:type="dxa"/>
              <w:left w:w="120" w:type="dxa"/>
              <w:right w:w="120" w:type="dxa"/>
            </w:tcMar>
            <w:shd w:fill="F8FAFC"/>
          </w:tcPr>
          <w:p>
            <w:pPr>
              <w:spacing w:before="60" w:after="60"/>
              <w:jc w:val="left"/>
            </w:pPr>
            <w:r>
              <w:rPr>
                <w:rFonts w:ascii="Times New Roman" w:hAnsi="Times New Roman"/>
                <w:color w:val="000000"/>
                <w:sz w:val="18"/>
              </w:rPr>
              <w:t>Neuro-Symbolic Verification Rate (V_sym)</w:t>
            </w:r>
          </w:p>
        </w:tc>
        <w:tc>
          <w:tcPr>
            <w:tcW w:type="dxa" w:w="2606"/>
            <w:tcMar>
              <w:top w:w="100" w:type="dxa"/>
              <w:bottom w:w="100" w:type="dxa"/>
              <w:left w:w="120" w:type="dxa"/>
              <w:right w:w="120" w:type="dxa"/>
            </w:tcMar>
            <w:shd w:fill="F8FAFC"/>
          </w:tcPr>
          <w:p>
            <w:pPr>
              <w:spacing w:before="60" w:after="60"/>
              <w:jc w:val="center"/>
            </w:pPr>
            <w:r>
              <w:rPr>
                <w:rFonts w:ascii="Times New Roman" w:hAnsi="Times New Roman"/>
                <w:color w:val="000000"/>
                <w:sz w:val="18"/>
              </w:rPr>
              <w:t>100.0% (15/15)</w:t>
            </w:r>
          </w:p>
        </w:tc>
        <w:tc>
          <w:tcPr>
            <w:tcW w:type="dxa" w:w="2606"/>
            <w:tcMar>
              <w:top w:w="100" w:type="dxa"/>
              <w:bottom w:w="100" w:type="dxa"/>
              <w:left w:w="120" w:type="dxa"/>
              <w:right w:w="120" w:type="dxa"/>
            </w:tcMar>
            <w:shd w:fill="F8FAFC"/>
          </w:tcPr>
          <w:p>
            <w:pPr>
              <w:spacing w:before="60" w:after="60"/>
              <w:jc w:val="center"/>
            </w:pPr>
            <w:r>
              <w:rPr>
                <w:rFonts w:ascii="Times New Roman" w:hAnsi="Times New Roman"/>
                <w:color w:val="000000"/>
                <w:sz w:val="18"/>
              </w:rPr>
              <w:t>100.0%</w:t>
            </w:r>
          </w:p>
        </w:tc>
        <w:tc>
          <w:tcPr>
            <w:tcW w:type="dxa" w:w="2606"/>
            <w:tcMar>
              <w:top w:w="100" w:type="dxa"/>
              <w:bottom w:w="100" w:type="dxa"/>
              <w:left w:w="120" w:type="dxa"/>
              <w:right w:w="120" w:type="dxa"/>
            </w:tcMar>
            <w:shd w:fill="F8FAFC"/>
          </w:tcPr>
          <w:p>
            <w:pPr>
              <w:spacing w:before="60" w:after="60"/>
              <w:jc w:val="center"/>
            </w:pPr>
            <w:r>
              <w:rPr>
                <w:rFonts w:ascii="Times New Roman" w:hAnsi="Times New Roman"/>
                <w:color w:val="000000"/>
                <w:sz w:val="18"/>
              </w:rPr>
              <w:t>Passed</w:t>
            </w:r>
          </w:p>
        </w:tc>
      </w:tr>
      <w:tr>
        <w:tc>
          <w:tcPr>
            <w:tcW w:type="dxa" w:w="2606"/>
            <w:tcMar>
              <w:top w:w="100" w:type="dxa"/>
              <w:bottom w:w="100" w:type="dxa"/>
              <w:left w:w="120" w:type="dxa"/>
              <w:right w:w="120" w:type="dxa"/>
            </w:tcMar>
            <w:shd w:fill="FFFFFF"/>
          </w:tcPr>
          <w:p>
            <w:pPr>
              <w:spacing w:before="60" w:after="60"/>
              <w:jc w:val="left"/>
            </w:pPr>
            <w:r>
              <w:rPr>
                <w:rFonts w:ascii="Times New Roman" w:hAnsi="Times New Roman"/>
                <w:color w:val="000000"/>
                <w:sz w:val="18"/>
              </w:rPr>
              <w:t>Mean Offline Retrieval Latency (L_mean)</w:t>
            </w:r>
          </w:p>
        </w:tc>
        <w:tc>
          <w:tcPr>
            <w:tcW w:type="dxa" w:w="2606"/>
            <w:tcMar>
              <w:top w:w="100" w:type="dxa"/>
              <w:bottom w:w="100" w:type="dxa"/>
              <w:left w:w="120" w:type="dxa"/>
              <w:right w:w="120" w:type="dxa"/>
            </w:tcMar>
            <w:shd w:fill="FFFFFF"/>
          </w:tcPr>
          <w:p>
            <w:pPr>
              <w:spacing w:before="60" w:after="60"/>
              <w:jc w:val="center"/>
            </w:pPr>
            <w:r>
              <w:rPr>
                <w:rFonts w:ascii="Times New Roman" w:hAnsi="Times New Roman"/>
                <w:color w:val="000000"/>
                <w:sz w:val="18"/>
              </w:rPr>
              <w:t>0.23 ms</w:t>
            </w:r>
          </w:p>
        </w:tc>
        <w:tc>
          <w:tcPr>
            <w:tcW w:type="dxa" w:w="2606"/>
            <w:tcMar>
              <w:top w:w="100" w:type="dxa"/>
              <w:bottom w:w="100" w:type="dxa"/>
              <w:left w:w="120" w:type="dxa"/>
              <w:right w:w="120" w:type="dxa"/>
            </w:tcMar>
            <w:shd w:fill="FFFFFF"/>
          </w:tcPr>
          <w:p>
            <w:pPr>
              <w:spacing w:before="60" w:after="60"/>
              <w:jc w:val="center"/>
            </w:pPr>
            <w:r>
              <w:rPr>
                <w:rFonts w:ascii="Times New Roman" w:hAnsi="Times New Roman"/>
                <w:color w:val="000000"/>
                <w:sz w:val="18"/>
              </w:rPr>
              <w:t>&lt; 50.0 ms</w:t>
            </w:r>
          </w:p>
        </w:tc>
        <w:tc>
          <w:tcPr>
            <w:tcW w:type="dxa" w:w="2606"/>
            <w:tcMar>
              <w:top w:w="100" w:type="dxa"/>
              <w:bottom w:w="100" w:type="dxa"/>
              <w:left w:w="120" w:type="dxa"/>
              <w:right w:w="120" w:type="dxa"/>
            </w:tcMar>
            <w:shd w:fill="FFFFFF"/>
          </w:tcPr>
          <w:p>
            <w:pPr>
              <w:spacing w:before="60" w:after="60"/>
              <w:jc w:val="center"/>
            </w:pPr>
            <w:r>
              <w:rPr>
                <w:rFonts w:ascii="Times New Roman" w:hAnsi="Times New Roman"/>
                <w:color w:val="000000"/>
                <w:sz w:val="18"/>
              </w:rPr>
              <w:t>Passed</w:t>
            </w:r>
          </w:p>
        </w:tc>
      </w:tr>
      <w:tr>
        <w:tc>
          <w:tcPr>
            <w:tcW w:type="dxa" w:w="2606"/>
            <w:tcMar>
              <w:top w:w="100" w:type="dxa"/>
              <w:bottom w:w="100" w:type="dxa"/>
              <w:left w:w="120" w:type="dxa"/>
              <w:right w:w="120" w:type="dxa"/>
            </w:tcMar>
            <w:shd w:fill="F8FAFC"/>
          </w:tcPr>
          <w:p>
            <w:pPr>
              <w:spacing w:before="60" w:after="60"/>
              <w:jc w:val="left"/>
            </w:pPr>
            <w:r>
              <w:rPr>
                <w:rFonts w:ascii="Times New Roman" w:hAnsi="Times New Roman"/>
                <w:color w:val="000000"/>
                <w:sz w:val="18"/>
              </w:rPr>
              <w:t>Pytest Suite Coverage</w:t>
            </w:r>
          </w:p>
        </w:tc>
        <w:tc>
          <w:tcPr>
            <w:tcW w:type="dxa" w:w="2606"/>
            <w:tcMar>
              <w:top w:w="100" w:type="dxa"/>
              <w:bottom w:w="100" w:type="dxa"/>
              <w:left w:w="120" w:type="dxa"/>
              <w:right w:w="120" w:type="dxa"/>
            </w:tcMar>
            <w:shd w:fill="F8FAFC"/>
          </w:tcPr>
          <w:p>
            <w:pPr>
              <w:spacing w:before="60" w:after="60"/>
              <w:jc w:val="center"/>
            </w:pPr>
            <w:r>
              <w:rPr>
                <w:rFonts w:ascii="Times New Roman" w:hAnsi="Times New Roman"/>
                <w:color w:val="000000"/>
                <w:sz w:val="18"/>
              </w:rPr>
              <w:t>38 / 38 Passed</w:t>
            </w:r>
          </w:p>
        </w:tc>
        <w:tc>
          <w:tcPr>
            <w:tcW w:type="dxa" w:w="2606"/>
            <w:tcMar>
              <w:top w:w="100" w:type="dxa"/>
              <w:bottom w:w="100" w:type="dxa"/>
              <w:left w:w="120" w:type="dxa"/>
              <w:right w:w="120" w:type="dxa"/>
            </w:tcMar>
            <w:shd w:fill="F8FAFC"/>
          </w:tcPr>
          <w:p>
            <w:pPr>
              <w:spacing w:before="60" w:after="60"/>
              <w:jc w:val="center"/>
            </w:pPr>
            <w:r>
              <w:rPr>
                <w:rFonts w:ascii="Times New Roman" w:hAnsi="Times New Roman"/>
                <w:color w:val="000000"/>
                <w:sz w:val="18"/>
              </w:rPr>
              <w:t>100% Pass Rate</w:t>
            </w:r>
          </w:p>
        </w:tc>
        <w:tc>
          <w:tcPr>
            <w:tcW w:type="dxa" w:w="2606"/>
            <w:tcMar>
              <w:top w:w="100" w:type="dxa"/>
              <w:bottom w:w="100" w:type="dxa"/>
              <w:left w:w="120" w:type="dxa"/>
              <w:right w:w="120" w:type="dxa"/>
            </w:tcMar>
            <w:shd w:fill="F8FAFC"/>
          </w:tcPr>
          <w:p>
            <w:pPr>
              <w:spacing w:before="60" w:after="60"/>
              <w:jc w:val="center"/>
            </w:pPr>
            <w:r>
              <w:rPr>
                <w:rFonts w:ascii="Times New Roman" w:hAnsi="Times New Roman"/>
                <w:color w:val="000000"/>
                <w:sz w:val="18"/>
              </w:rPr>
              <w:t>Passed</w:t>
            </w:r>
          </w:p>
        </w:tc>
      </w:tr>
    </w:tbl>
    <w:p/>
    <w:p>
      <w:pPr>
        <w:spacing w:after="120" w:line="264" w:lineRule="auto"/>
        <w:jc w:val="both"/>
      </w:pPr>
      <w:r>
        <w:rPr>
          <w:rFonts w:ascii="Times New Roman" w:hAnsi="Times New Roman"/>
          <w:color w:val="000000"/>
          <w:sz w:val="20"/>
        </w:rPr>
        <w:t xml:space="preserve">The mean offline retrieval latency of </w:t>
      </w:r>
      <w:r>
        <w:rPr>
          <w:rFonts w:ascii="Times New Roman" w:hAnsi="Times New Roman"/>
          <w:b/>
          <w:color w:val="000000"/>
          <w:sz w:val="20"/>
        </w:rPr>
        <w:t>0.23 ms</w:t>
      </w:r>
      <w:r>
        <w:rPr>
          <w:rFonts w:ascii="Times New Roman" w:hAnsi="Times New Roman"/>
          <w:color w:val="000000"/>
          <w:sz w:val="20"/>
        </w:rPr>
        <w:t xml:space="preserve"> demonstrates that local term-weighted retrieval operates orders of magnitude faster than cloud-hosted vector search APIs, which typically exhibit network latency between 50 ms and 250 ms.</w:t>
      </w:r>
    </w:p>
    <w:p>
      <w:pPr>
        <w:spacing w:before="240" w:after="120"/>
        <w:jc w:val="center"/>
      </w:pPr>
      <w:r>
        <w:rPr>
          <w:rFonts w:ascii="Times New Roman" w:hAnsi="Times New Roman"/>
          <w:b/>
          <w:color w:val="000000"/>
          <w:sz w:val="21"/>
        </w:rPr>
        <w:t>V. LIMITATIONS &amp; ETHICAL DISCLAIMERS</w:t>
      </w:r>
    </w:p>
    <w:p>
      <w:pPr>
        <w:pStyle w:val="ListNumber"/>
        <w:spacing w:after="80"/>
        <w:jc w:val="both"/>
      </w:pPr>
      <w:r>
        <w:rPr>
          <w:rFonts w:ascii="Times New Roman" w:hAnsi="Times New Roman"/>
          <w:b/>
          <w:color w:val="000000"/>
          <w:sz w:val="20"/>
        </w:rPr>
        <w:t>Academic &amp; Research Disclaimer</w:t>
      </w:r>
      <w:r>
        <w:rPr>
          <w:rFonts w:ascii="Times New Roman" w:hAnsi="Times New Roman"/>
          <w:color w:val="000000"/>
          <w:sz w:val="20"/>
        </w:rPr>
        <w:t>: FinAI is engineered as an educational and personal research assistant. It does not constitute professional tax, accounting, or legal advice. Users must consult a certified Chartered Accountant (CA) or legal practitioner before executing tax filings or business operations.</w:t>
      </w:r>
    </w:p>
    <w:p>
      <w:pPr>
        <w:pStyle w:val="ListNumber"/>
        <w:spacing w:after="80"/>
        <w:jc w:val="both"/>
      </w:pPr>
      <w:r>
        <w:rPr>
          <w:rFonts w:ascii="Times New Roman" w:hAnsi="Times New Roman"/>
          <w:b/>
          <w:color w:val="000000"/>
          <w:sz w:val="20"/>
        </w:rPr>
        <w:t>Corpus Boundary</w:t>
      </w:r>
      <w:r>
        <w:rPr>
          <w:rFonts w:ascii="Times New Roman" w:hAnsi="Times New Roman"/>
          <w:color w:val="000000"/>
          <w:sz w:val="20"/>
        </w:rPr>
        <w:t>: The initial seed corpus is intentionally limited to 12 primary statutory documents focusing on core individual income tax provisions and fundamental CGST rules. Complex corporate tax scenarios, international transfer pricing, and specialized state SGST variations are currently out of scope.</w:t>
      </w:r>
    </w:p>
    <w:p>
      <w:pPr>
        <w:pStyle w:val="ListNumber"/>
        <w:spacing w:after="80"/>
        <w:jc w:val="both"/>
      </w:pPr>
      <w:r>
        <w:rPr>
          <w:rFonts w:ascii="Times New Roman" w:hAnsi="Times New Roman"/>
          <w:b/>
          <w:color w:val="000000"/>
          <w:sz w:val="20"/>
        </w:rPr>
        <w:t>Legislative Update Cycle</w:t>
      </w:r>
      <w:r>
        <w:rPr>
          <w:rFonts w:ascii="Times New Roman" w:hAnsi="Times New Roman"/>
          <w:color w:val="000000"/>
          <w:sz w:val="20"/>
        </w:rPr>
        <w:t>: Indian tax statutes undergo annual revision through the parliamentary Finance Act. The primary legal corpus requires structured annual updates to remain synchronized with current Assessment Years.</w:t>
      </w:r>
    </w:p>
    <w:p>
      <w:pPr>
        <w:spacing w:before="240" w:after="120"/>
        <w:jc w:val="center"/>
      </w:pPr>
      <w:r>
        <w:rPr>
          <w:rFonts w:ascii="Times New Roman" w:hAnsi="Times New Roman"/>
          <w:b/>
          <w:color w:val="000000"/>
          <w:sz w:val="21"/>
        </w:rPr>
        <w:t>VI. FUTURE DIRECTIONS AND SYSTEM EVOLUTION</w:t>
      </w:r>
    </w:p>
    <w:p>
      <w:pPr>
        <w:spacing w:after="120" w:line="264" w:lineRule="auto"/>
        <w:jc w:val="both"/>
      </w:pPr>
      <w:r>
        <w:rPr>
          <w:rFonts w:ascii="Times New Roman" w:hAnsi="Times New Roman"/>
          <w:color w:val="000000"/>
          <w:sz w:val="20"/>
        </w:rPr>
        <w:t>To extend this foundational work into a comprehensive research platform and production system, we outline a structured 5-month development and evaluation roadmap:</w:t>
      </w:r>
    </w:p>
    <w:p>
      <w:pPr>
        <w:pStyle w:val="ListBullet"/>
        <w:spacing w:after="80"/>
        <w:jc w:val="both"/>
      </w:pPr>
      <w:r>
        <w:rPr>
          <w:rFonts w:ascii="Times New Roman" w:hAnsi="Times New Roman"/>
          <w:b/>
          <w:color w:val="000000"/>
          <w:sz w:val="20"/>
        </w:rPr>
        <w:t>Phase 1 (Months 1–2): Statutory Corpus Expansion</w:t>
      </w:r>
      <w:r>
        <w:rPr>
          <w:rFonts w:ascii="Times New Roman" w:hAnsi="Times New Roman"/>
          <w:color w:val="000000"/>
          <w:sz w:val="20"/>
        </w:rPr>
        <w:t>: Expand the primary legal repository from 12 to 60+ core documents, incorporating full CGST rules, IGST provisions, selected Income Tax Rules 1962, and key CBIC circulars.</w:t>
      </w:r>
    </w:p>
    <w:p>
      <w:pPr>
        <w:pStyle w:val="ListBullet"/>
        <w:spacing w:after="80"/>
        <w:jc w:val="both"/>
      </w:pPr>
      <w:r>
        <w:rPr>
          <w:rFonts w:ascii="Times New Roman" w:hAnsi="Times New Roman"/>
          <w:b/>
          <w:color w:val="000000"/>
          <w:sz w:val="20"/>
        </w:rPr>
        <w:t>Phase 2 (Month 3): Hybrid Dense-Sparse Local Indexing</w:t>
      </w:r>
      <w:r>
        <w:rPr>
          <w:rFonts w:ascii="Times New Roman" w:hAnsi="Times New Roman"/>
          <w:color w:val="000000"/>
          <w:sz w:val="20"/>
        </w:rPr>
        <w:t>: Integrate lightweight ONNX-quantized local embeddings (</w:t>
      </w:r>
      <w:r>
        <w:rPr>
          <w:rFonts w:ascii="Times New Roman" w:hAnsi="Times New Roman"/>
          <w:color w:val="000000"/>
          <w:sz w:val="20"/>
        </w:rPr>
        <w:t>all-MiniLM-L6-v2</w:t>
      </w:r>
      <w:r>
        <w:rPr>
          <w:rFonts w:ascii="Times New Roman" w:hAnsi="Times New Roman"/>
          <w:color w:val="000000"/>
          <w:sz w:val="20"/>
        </w:rPr>
        <w:t xml:space="preserve"> via CPU </w:t>
      </w:r>
      <w:r>
        <w:rPr>
          <w:rFonts w:ascii="Times New Roman" w:hAnsi="Times New Roman"/>
          <w:color w:val="000000"/>
          <w:sz w:val="20"/>
        </w:rPr>
        <w:t>onnxruntime</w:t>
      </w:r>
      <w:r>
        <w:rPr>
          <w:rFonts w:ascii="Times New Roman" w:hAnsi="Times New Roman"/>
          <w:color w:val="000000"/>
          <w:sz w:val="20"/>
        </w:rPr>
        <w:t>) alongside SQLite FTS5 to enable semantic concept matching without sacrificing local privacy.</w:t>
      </w:r>
    </w:p>
    <w:p>
      <w:pPr>
        <w:pStyle w:val="ListBullet"/>
        <w:spacing w:after="80"/>
        <w:jc w:val="both"/>
      </w:pPr>
      <w:r>
        <w:rPr>
          <w:rFonts w:ascii="Times New Roman" w:hAnsi="Times New Roman"/>
          <w:b/>
          <w:color w:val="000000"/>
          <w:sz w:val="20"/>
        </w:rPr>
        <w:t>Phase 3 (Month 4): Chartered Accountant Expert Panel Review</w:t>
      </w:r>
      <w:r>
        <w:rPr>
          <w:rFonts w:ascii="Times New Roman" w:hAnsi="Times New Roman"/>
          <w:color w:val="000000"/>
          <w:sz w:val="20"/>
        </w:rPr>
        <w:t>: Conduct a double-blind qualitative evaluation with a panel of 5 practicing Chartered Accountants to grade response fidelity, section precision, and explanation clarity across 100 real-world client scenarios.</w:t>
      </w:r>
    </w:p>
    <w:p>
      <w:pPr>
        <w:pStyle w:val="ListBullet"/>
        <w:spacing w:after="80"/>
        <w:jc w:val="both"/>
      </w:pPr>
      <w:r>
        <w:rPr>
          <w:rFonts w:ascii="Times New Roman" w:hAnsi="Times New Roman"/>
          <w:b/>
          <w:color w:val="000000"/>
          <w:sz w:val="20"/>
        </w:rPr>
        <w:t>Phase 4 (Month 5): Full Empirical Re-evaluation &amp; Submission</w:t>
      </w:r>
      <w:r>
        <w:rPr>
          <w:rFonts w:ascii="Times New Roman" w:hAnsi="Times New Roman"/>
          <w:color w:val="000000"/>
          <w:sz w:val="20"/>
        </w:rPr>
        <w:t>: Re-evaluate the expanded architecture, update empirical performance metrics, and submit the complete extended paper to a peer-reviewed journal/conference venue.</w:t>
      </w:r>
    </w:p>
    <w:p>
      <w:pPr>
        <w:spacing w:before="240" w:after="120"/>
        <w:jc w:val="center"/>
      </w:pPr>
      <w:r>
        <w:rPr>
          <w:rFonts w:ascii="Times New Roman" w:hAnsi="Times New Roman"/>
          <w:b/>
          <w:color w:val="000000"/>
          <w:sz w:val="21"/>
        </w:rPr>
        <w:t>VII. CONCLUSION</w:t>
      </w:r>
    </w:p>
    <w:p>
      <w:pPr>
        <w:spacing w:after="120" w:line="264" w:lineRule="auto"/>
        <w:jc w:val="both"/>
      </w:pPr>
      <w:r>
        <w:rPr>
          <w:rFonts w:ascii="Times New Roman" w:hAnsi="Times New Roman"/>
          <w:color w:val="000000"/>
          <w:sz w:val="20"/>
        </w:rPr>
        <w:t>In this paper, we introduced FinAI, an on-device, neuro-symbolic assistant for Indian tax and GST compliance. By combining lightweight offline retrieval with deterministic rule verification and cryptographic hash-chain logging, FinAI addresses the privacy vulnerabilities, cloud costs, and numeric hallucinations inherent in standard legal RAG systems. Our empirical evaluation demonstrated 100% Top-1 retrieval precision and a sub-millisecond latency of 0.23 ms across 15 statutory benchmark scenarios, establishing a foundation for privacy-preserving personal financial AI.</w:t>
      </w:r>
    </w:p>
    <w:p>
      <w:pPr>
        <w:spacing w:before="240" w:after="120"/>
        <w:jc w:val="center"/>
      </w:pPr>
      <w:r>
        <w:rPr>
          <w:rFonts w:ascii="Times New Roman" w:hAnsi="Times New Roman"/>
          <w:b/>
          <w:color w:val="000000"/>
          <w:sz w:val="21"/>
        </w:rPr>
        <w:t>REFERENCES</w:t>
      </w:r>
    </w:p>
    <w:p>
      <w:pPr>
        <w:spacing w:after="80"/>
        <w:ind w:left="360" w:hanging="360"/>
        <w:jc w:val="both"/>
      </w:pPr>
      <w:r>
        <w:rPr>
          <w:rFonts w:ascii="Times New Roman" w:hAnsi="Times New Roman"/>
          <w:color w:val="000000"/>
          <w:sz w:val="18"/>
        </w:rPr>
        <w:t xml:space="preserve">[1] A. Sharma and R. Verma, "TaxFlow: A Hybrid RAG Framework for Indian Statutory Tax Q&amp;A with Temporal Validity Filtering," </w:t>
      </w:r>
      <w:r>
        <w:rPr>
          <w:rFonts w:ascii="Times New Roman" w:hAnsi="Times New Roman"/>
          <w:i/>
          <w:color w:val="000000"/>
          <w:sz w:val="18"/>
        </w:rPr>
        <w:t>Applied Artificial Intelligence</w:t>
      </w:r>
      <w:r>
        <w:rPr>
          <w:rFonts w:ascii="Times New Roman" w:hAnsi="Times New Roman"/>
          <w:color w:val="000000"/>
          <w:sz w:val="18"/>
        </w:rPr>
        <w:t>, vol. 40, no. 1, pp. 112–130, Jan. 2026.</w:t>
      </w:r>
    </w:p>
    <w:p>
      <w:pPr>
        <w:spacing w:after="80"/>
        <w:ind w:left="360" w:hanging="360"/>
        <w:jc w:val="both"/>
      </w:pPr>
      <w:r>
        <w:rPr>
          <w:rFonts w:ascii="Times New Roman" w:hAnsi="Times New Roman"/>
          <w:color w:val="000000"/>
          <w:sz w:val="18"/>
        </w:rPr>
        <w:t xml:space="preserve">[2] K. Patel, S. Mehta, and R. Joshi, "LawPal: A Retrieval Augmented Generation Based System for Enhanced Legal Accessibility in India," </w:t>
      </w:r>
      <w:r>
        <w:rPr>
          <w:rFonts w:ascii="Times New Roman" w:hAnsi="Times New Roman"/>
          <w:i/>
          <w:color w:val="000000"/>
          <w:sz w:val="18"/>
        </w:rPr>
        <w:t>arXiv preprint arXiv:2502.13840</w:t>
      </w:r>
      <w:r>
        <w:rPr>
          <w:rFonts w:ascii="Times New Roman" w:hAnsi="Times New Roman"/>
          <w:color w:val="000000"/>
          <w:sz w:val="18"/>
        </w:rPr>
        <w:t>, Feb. 2025.</w:t>
      </w:r>
    </w:p>
    <w:p>
      <w:pPr>
        <w:spacing w:after="80"/>
        <w:ind w:left="360" w:hanging="360"/>
        <w:jc w:val="both"/>
      </w:pPr>
      <w:r>
        <w:rPr>
          <w:rFonts w:ascii="Times New Roman" w:hAnsi="Times New Roman"/>
          <w:color w:val="000000"/>
          <w:sz w:val="18"/>
        </w:rPr>
        <w:t xml:space="preserve">[3] V. Kumar and A. Nair, "Domain-Partitioned Hybrid RAG for Legal Reasoning in India," in </w:t>
      </w:r>
      <w:r>
        <w:rPr>
          <w:rFonts w:ascii="Times New Roman" w:hAnsi="Times New Roman"/>
          <w:i/>
          <w:color w:val="000000"/>
          <w:sz w:val="18"/>
        </w:rPr>
        <w:t>Proc. Int. Conf. on Artificial Intelligence &amp; Law (ICAIL)</w:t>
      </w:r>
      <w:r>
        <w:rPr>
          <w:rFonts w:ascii="Times New Roman" w:hAnsi="Times New Roman"/>
          <w:color w:val="000000"/>
          <w:sz w:val="18"/>
        </w:rPr>
        <w:t>, 2026, pp. 45–54.</w:t>
      </w:r>
    </w:p>
    <w:p>
      <w:pPr>
        <w:spacing w:after="80"/>
        <w:ind w:left="360" w:hanging="360"/>
        <w:jc w:val="both"/>
      </w:pPr>
      <w:r>
        <w:rPr>
          <w:rFonts w:ascii="Times New Roman" w:hAnsi="Times New Roman"/>
          <w:color w:val="000000"/>
          <w:sz w:val="18"/>
        </w:rPr>
        <w:t xml:space="preserve">[4] M. R. Deshmukh, S. Kulkarni, and A. Iyer, "FinLLaMA-RAG: Domain-Adapted Retrieval-Augmented Generation for Financial Document Analysis and Tax Compliance," </w:t>
      </w:r>
      <w:r>
        <w:rPr>
          <w:rFonts w:ascii="Times New Roman" w:hAnsi="Times New Roman"/>
          <w:i/>
          <w:color w:val="000000"/>
          <w:sz w:val="18"/>
        </w:rPr>
        <w:t>IEEE Access</w:t>
      </w:r>
      <w:r>
        <w:rPr>
          <w:rFonts w:ascii="Times New Roman" w:hAnsi="Times New Roman"/>
          <w:color w:val="000000"/>
          <w:sz w:val="18"/>
        </w:rPr>
        <w:t>, vol. 14, pp. 18204–18218, 2026.</w:t>
      </w:r>
    </w:p>
    <w:p>
      <w:pPr>
        <w:spacing w:after="80"/>
        <w:ind w:left="360" w:hanging="360"/>
        <w:jc w:val="both"/>
      </w:pPr>
      <w:r>
        <w:rPr>
          <w:rFonts w:ascii="Times New Roman" w:hAnsi="Times New Roman"/>
          <w:color w:val="000000"/>
          <w:sz w:val="18"/>
        </w:rPr>
        <w:t xml:space="preserve">[5] S. Gupta and P. Rao, "AI-Powered Digital Assistant for GST and Tax Management," </w:t>
      </w:r>
      <w:r>
        <w:rPr>
          <w:rFonts w:ascii="Times New Roman" w:hAnsi="Times New Roman"/>
          <w:i/>
          <w:color w:val="000000"/>
          <w:sz w:val="18"/>
        </w:rPr>
        <w:t>Journal of Accounting and Finance Research (JAAFR)</w:t>
      </w:r>
      <w:r>
        <w:rPr>
          <w:rFonts w:ascii="Times New Roman" w:hAnsi="Times New Roman"/>
          <w:color w:val="000000"/>
          <w:sz w:val="18"/>
        </w:rPr>
        <w:t>, vol. 15, no. 2, pp. 88–102, June 2026.</w:t>
      </w:r>
    </w:p>
    <w:p>
      <w:pPr>
        <w:spacing w:after="80"/>
        <w:ind w:left="360" w:hanging="360"/>
        <w:jc w:val="both"/>
      </w:pPr>
      <w:r>
        <w:rPr>
          <w:rFonts w:ascii="Times New Roman" w:hAnsi="Times New Roman"/>
          <w:color w:val="000000"/>
          <w:sz w:val="18"/>
        </w:rPr>
        <w:t xml:space="preserve">[6] Institute of Chartered Accountants of India (ICAI), "Custom GST GPT and Law Referencer Architecture," </w:t>
      </w:r>
      <w:r>
        <w:rPr>
          <w:rFonts w:ascii="Times New Roman" w:hAnsi="Times New Roman"/>
          <w:i/>
          <w:color w:val="000000"/>
          <w:sz w:val="18"/>
        </w:rPr>
        <w:t>ICAI Technology Advisory Committee Technical Report</w:t>
      </w:r>
      <w:r>
        <w:rPr>
          <w:rFonts w:ascii="Times New Roman" w:hAnsi="Times New Roman"/>
          <w:color w:val="000000"/>
          <w:sz w:val="18"/>
        </w:rPr>
        <w:t>, 2025.</w:t>
      </w:r>
    </w:p>
    <w:p>
      <w:pPr>
        <w:spacing w:after="80"/>
        <w:ind w:left="360" w:hanging="360"/>
        <w:jc w:val="both"/>
      </w:pPr>
      <w:r>
        <w:rPr>
          <w:rFonts w:ascii="Times New Roman" w:hAnsi="Times New Roman"/>
          <w:color w:val="000000"/>
          <w:sz w:val="18"/>
        </w:rPr>
        <w:t>[7] Central Board of Direct Taxes (CBDT), "Circular No. 04/2024: Enhancement of Standard Deduction under Section 115BAC," Ministry of Finance, Government of India, July 2024.</w:t>
      </w:r>
    </w:p>
    <w:p>
      <w:pPr>
        <w:spacing w:after="80"/>
        <w:ind w:left="360" w:hanging="360"/>
        <w:jc w:val="both"/>
      </w:pPr>
      <w:r>
        <w:rPr>
          <w:rFonts w:ascii="Times New Roman" w:hAnsi="Times New Roman"/>
          <w:color w:val="000000"/>
          <w:sz w:val="18"/>
        </w:rPr>
        <w:t>[8] Central Board of Indirect Taxes and Customs (CBIC), "Circular No. 186/18/2022-GST: Clarification on Mandatory E-Invoicing and Dynamic QR Code Requirements," Ministry of Finance, Government of India, Dec. 2022.</w:t>
      </w:r>
    </w:p>
    <w:p>
      <w:pPr>
        <w:spacing w:after="80"/>
        <w:ind w:left="360" w:hanging="360"/>
        <w:jc w:val="both"/>
      </w:pPr>
      <w:r>
        <w:rPr>
          <w:rFonts w:ascii="Times New Roman" w:hAnsi="Times New Roman"/>
          <w:color w:val="000000"/>
          <w:sz w:val="18"/>
        </w:rPr>
        <w:t xml:space="preserve">[9] Supreme Court of India, </w:t>
      </w:r>
      <w:r>
        <w:rPr>
          <w:rFonts w:ascii="Times New Roman" w:hAnsi="Times New Roman"/>
          <w:i/>
          <w:color w:val="000000"/>
          <w:sz w:val="18"/>
        </w:rPr>
        <w:t>Chief Commissioner of Central Goods and Services Tax v. Safari Retreats Pvt Ltd</w:t>
      </w:r>
      <w:r>
        <w:rPr>
          <w:rFonts w:ascii="Times New Roman" w:hAnsi="Times New Roman"/>
          <w:color w:val="000000"/>
          <w:sz w:val="18"/>
        </w:rPr>
        <w:t>, Civil Appeal No. 2948 of 2023, Judgment dated Oct. 3, 2024.</w:t>
      </w:r>
    </w:p>
    <w:p>
      <w:pPr>
        <w:spacing w:after="80"/>
        <w:ind w:left="360" w:hanging="360"/>
        <w:jc w:val="both"/>
      </w:pPr>
      <w:r>
        <w:rPr>
          <w:rFonts w:ascii="Times New Roman" w:hAnsi="Times New Roman"/>
          <w:color w:val="000000"/>
          <w:sz w:val="18"/>
        </w:rPr>
        <w:t xml:space="preserve">[10] Supreme Court of India, </w:t>
      </w:r>
      <w:r>
        <w:rPr>
          <w:rFonts w:ascii="Times New Roman" w:hAnsi="Times New Roman"/>
          <w:i/>
          <w:color w:val="000000"/>
          <w:sz w:val="18"/>
        </w:rPr>
        <w:t>Union of India v. Bharti Airtel Ltd</w:t>
      </w:r>
      <w:r>
        <w:rPr>
          <w:rFonts w:ascii="Times New Roman" w:hAnsi="Times New Roman"/>
          <w:color w:val="000000"/>
          <w:sz w:val="18"/>
        </w:rPr>
        <w:t>, Civil Appeal No. 6520 of 2021, Judgment dated Oct. 28, 2021.</w:t>
      </w:r>
    </w:p>
    <w:sectPr w:rsidR="00FC693F" w:rsidRPr="0006063C" w:rsidSect="00034616">
      <w:type w:val="continuous"/>
      <w:pgSz w:w="12240" w:h="15840"/>
      <w:pgMar w:top="1080" w:right="907" w:bottom="1080" w:left="907"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