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It takes some getting used to.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You use the default servemux when you pass nil into ListenAndServe: http.ListenAndServe(":8080", nil)​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1231900"/>
            <wp:effectExtent b="25400" l="25400" r="25400" t="254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2319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 &amp; http.HandleFunc are used when you are using the default servemux.​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222500"/>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225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 asks for a pattern and a HANDLER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http.HandleFunc asks for a pattern and a FUNC(REPONSEWRITER, *REQUEST)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For http.Handle you need to pass an argument into it which is a VALUE of type HANDLER.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For http.HandleFunc​ you need to pass an argument into it which is a VALUE of type FUNC(REPONSEWRITER, *REQUEST)​.​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how you would use http.HandleFunc</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1968500"/>
            <wp:effectExtent b="25400" l="25400" r="25400" t="254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685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Notice how the variable with the identifier "index" is storing a value of type FUNC(REPONSEWRITER, *REQUEST)​. That is just what http.HandleFunc wants.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one of the ways you could use http.Handle: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209800"/>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098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Notice how the variable with the identifier "foo" is of type "hotdog" and how type "hotdog" has the method "ServeHTTP(ResponsWriter, *Request)" attached to it? This is what makes something type HANDLER (which is what http.Handle wants). Type HOTDOG is ALSO of type HANDLER. Any TYPE that has the methods listed in an INTERFACE implicitly fulfills that interface and IS ALSO OF THAT TYPE.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So "FOO" is of type HOTDOG and ALSO of type HANDLER.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the HANDLER interface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032000"/>
            <wp:effectExtent b="25400" l="25400" r="25400" t="254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320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You see how the HANDLER INTERFACE says you must have this method to also be my type?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My joke: An interface says, "Hey baby, if you have these methods, then you're my type."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VALUES CAN BE OF MORE THAN ONE TYPE. </w:t>
      </w:r>
    </w:p>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