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CB81" w14:textId="6B1FDF2D" w:rsidR="006F4CEA" w:rsidRDefault="006F4CEA" w:rsidP="006F4CEA">
      <w:pPr>
        <w:rPr>
          <w:b/>
          <w:u w:val="single"/>
        </w:rPr>
      </w:pPr>
      <w:r>
        <w:rPr>
          <w:b/>
          <w:u w:val="single"/>
        </w:rPr>
        <w:t>Policy Work</w:t>
      </w:r>
    </w:p>
    <w:p w14:paraId="6A4902E8" w14:textId="77777777" w:rsidR="006F4CEA" w:rsidRDefault="006F4CEA" w:rsidP="006F4CEA">
      <w:pPr>
        <w:rPr>
          <w:bCs/>
        </w:rPr>
      </w:pPr>
      <w:r>
        <w:rPr>
          <w:bCs/>
        </w:rPr>
        <w:t xml:space="preserve">(1) </w:t>
      </w:r>
      <w:hyperlink r:id="rId4" w:history="1">
        <w:r w:rsidRPr="00C077E3">
          <w:rPr>
            <w:rStyle w:val="Hyperlink"/>
            <w:bCs/>
          </w:rPr>
          <w:t>International Monetary Fund (2026). Unlocking the Potential: AI in Sub-Saharan Africa. Departmental Paper No 2026/013</w:t>
        </w:r>
      </w:hyperlink>
      <w:r>
        <w:rPr>
          <w:bCs/>
        </w:rPr>
        <w:t xml:space="preserve">  </w:t>
      </w:r>
    </w:p>
    <w:p w14:paraId="0E015F77" w14:textId="77777777" w:rsidR="006F4CEA" w:rsidRDefault="006F4CEA" w:rsidP="006F4CEA">
      <w:pPr>
        <w:rPr>
          <w:bCs/>
        </w:rPr>
      </w:pPr>
      <w:r>
        <w:rPr>
          <w:bCs/>
        </w:rPr>
        <w:t xml:space="preserve">(2) </w:t>
      </w:r>
      <w:hyperlink r:id="rId5" w:history="1">
        <w:r w:rsidRPr="00B11916">
          <w:rPr>
            <w:rStyle w:val="Hyperlink"/>
            <w:bCs/>
          </w:rPr>
          <w:t>Fiscal Monitor: “Fiscal Policy in the Great Election Year” April 2024</w:t>
        </w:r>
      </w:hyperlink>
    </w:p>
    <w:p w14:paraId="65B82242" w14:textId="77777777" w:rsidR="006F4CEA" w:rsidRDefault="006F4CEA" w:rsidP="006F4CEA">
      <w:pPr>
        <w:rPr>
          <w:bCs/>
        </w:rPr>
      </w:pPr>
      <w:r>
        <w:rPr>
          <w:bCs/>
        </w:rPr>
        <w:t xml:space="preserve">(3) </w:t>
      </w:r>
      <w:hyperlink r:id="rId6" w:history="1">
        <w:r w:rsidRPr="00C077E3">
          <w:rPr>
            <w:rStyle w:val="Hyperlink"/>
            <w:bCs/>
          </w:rPr>
          <w:t>International Monetary Fund (2024). Republic of Congo: 2024 Article IV Consultation. Washington DC</w:t>
        </w:r>
      </w:hyperlink>
    </w:p>
    <w:p w14:paraId="6407297F" w14:textId="77777777" w:rsidR="006F4CEA" w:rsidRDefault="006F4CEA" w:rsidP="006F4CEA">
      <w:pPr>
        <w:rPr>
          <w:bCs/>
        </w:rPr>
      </w:pPr>
      <w:r>
        <w:rPr>
          <w:bCs/>
        </w:rPr>
        <w:t xml:space="preserve">(4) </w:t>
      </w:r>
      <w:hyperlink r:id="rId7" w:history="1">
        <w:r w:rsidRPr="00B81C1F">
          <w:rPr>
            <w:rStyle w:val="Hyperlink"/>
            <w:bCs/>
            <w:i/>
            <w:iCs/>
          </w:rPr>
          <w:t>Boosting Tax Revenue in the Republic of Congo</w:t>
        </w:r>
        <w:r w:rsidRPr="00B81C1F">
          <w:rPr>
            <w:rStyle w:val="Hyperlink"/>
            <w:bCs/>
          </w:rPr>
          <w:t>. IMF Selected Issues Paper.</w:t>
        </w:r>
      </w:hyperlink>
      <w:r>
        <w:rPr>
          <w:bCs/>
        </w:rPr>
        <w:t xml:space="preserve"> </w:t>
      </w:r>
    </w:p>
    <w:p w14:paraId="01CFE015" w14:textId="77777777" w:rsidR="006F4CEA" w:rsidRDefault="006F4CEA" w:rsidP="006F4CEA">
      <w:pPr>
        <w:rPr>
          <w:bCs/>
        </w:rPr>
      </w:pPr>
      <w:r>
        <w:rPr>
          <w:bCs/>
        </w:rPr>
        <w:t xml:space="preserve">(5) </w:t>
      </w:r>
      <w:hyperlink r:id="rId8" w:history="1">
        <w:r w:rsidRPr="00C077E3">
          <w:rPr>
            <w:rStyle w:val="Hyperlink"/>
            <w:bCs/>
          </w:rPr>
          <w:t>International Monetary Fund (2023). Mali: 2023 Article IV Consultation. Washington DC</w:t>
        </w:r>
      </w:hyperlink>
    </w:p>
    <w:p w14:paraId="1ED42B2C" w14:textId="77777777" w:rsidR="006F4CEA" w:rsidRPr="001A16D4" w:rsidRDefault="006F4CEA" w:rsidP="006F4CEA">
      <w:pPr>
        <w:rPr>
          <w:bCs/>
        </w:rPr>
      </w:pPr>
      <w:r>
        <w:rPr>
          <w:bCs/>
        </w:rPr>
        <w:t xml:space="preserve">(6) </w:t>
      </w:r>
      <w:hyperlink r:id="rId9" w:history="1">
        <w:r w:rsidRPr="00B11916">
          <w:rPr>
            <w:rStyle w:val="Hyperlink"/>
            <w:bCs/>
            <w:i/>
            <w:iCs/>
          </w:rPr>
          <w:t>Public Wage Bill in Mali</w:t>
        </w:r>
        <w:r w:rsidRPr="00B11916">
          <w:rPr>
            <w:rStyle w:val="Hyperlink"/>
            <w:bCs/>
          </w:rPr>
          <w:t>. IMF Selected Issues Paper No. 2023/056</w:t>
        </w:r>
      </w:hyperlink>
    </w:p>
    <w:p w14:paraId="4C88EA89" w14:textId="77777777" w:rsidR="006F4CEA" w:rsidRDefault="006F4CEA" w:rsidP="006F4CEA">
      <w:pPr>
        <w:rPr>
          <w:bCs/>
        </w:rPr>
      </w:pPr>
      <w:r>
        <w:rPr>
          <w:bCs/>
        </w:rPr>
        <w:t xml:space="preserve">(7) </w:t>
      </w:r>
      <w:hyperlink r:id="rId10" w:history="1">
        <w:r w:rsidRPr="00B11916">
          <w:rPr>
            <w:rStyle w:val="Hyperlink"/>
            <w:bCs/>
          </w:rPr>
          <w:t>2023 Global Debt Database and Monitor. September 2023</w:t>
        </w:r>
      </w:hyperlink>
    </w:p>
    <w:p w14:paraId="3B9A796A" w14:textId="77777777" w:rsidR="006F4CEA" w:rsidRDefault="006F4CEA" w:rsidP="006F4CEA">
      <w:pPr>
        <w:rPr>
          <w:bCs/>
        </w:rPr>
      </w:pPr>
      <w:r>
        <w:rPr>
          <w:bCs/>
        </w:rPr>
        <w:t xml:space="preserve">(8) </w:t>
      </w:r>
      <w:hyperlink r:id="rId11" w:history="1">
        <w:r w:rsidRPr="00B11916">
          <w:rPr>
            <w:rStyle w:val="Hyperlink"/>
            <w:bCs/>
          </w:rPr>
          <w:t>2022 Global Debt Database and Monitor. November 2022</w:t>
        </w:r>
      </w:hyperlink>
    </w:p>
    <w:p w14:paraId="3030A3B6" w14:textId="77777777" w:rsidR="006F4CEA" w:rsidRDefault="006F4CEA" w:rsidP="006F4CEA">
      <w:pPr>
        <w:rPr>
          <w:bCs/>
        </w:rPr>
      </w:pPr>
      <w:r>
        <w:rPr>
          <w:bCs/>
        </w:rPr>
        <w:t xml:space="preserve">(9) </w:t>
      </w:r>
      <w:hyperlink r:id="rId12" w:history="1">
        <w:r w:rsidRPr="00B11916">
          <w:rPr>
            <w:rStyle w:val="Hyperlink"/>
            <w:bCs/>
          </w:rPr>
          <w:t>Fiscal Monitor: “</w:t>
        </w:r>
        <w:r w:rsidRPr="00B11916">
          <w:rPr>
            <w:rStyle w:val="Hyperlink"/>
            <w:bCs/>
            <w:i/>
            <w:iCs/>
          </w:rPr>
          <w:t>Helping People Bounce Back</w:t>
        </w:r>
        <w:r w:rsidRPr="00B11916">
          <w:rPr>
            <w:rStyle w:val="Hyperlink"/>
            <w:bCs/>
          </w:rPr>
          <w:t>”, October 2022</w:t>
        </w:r>
      </w:hyperlink>
    </w:p>
    <w:p w14:paraId="55054C8A" w14:textId="77777777" w:rsidR="006F4CEA" w:rsidRDefault="006F4CEA" w:rsidP="006F4CEA">
      <w:pPr>
        <w:rPr>
          <w:bCs/>
        </w:rPr>
      </w:pPr>
      <w:r w:rsidRPr="004E03D6">
        <w:rPr>
          <w:bCs/>
        </w:rPr>
        <w:t>(</w:t>
      </w:r>
      <w:r>
        <w:rPr>
          <w:bCs/>
        </w:rPr>
        <w:t>10</w:t>
      </w:r>
      <w:r w:rsidRPr="004E03D6">
        <w:rPr>
          <w:bCs/>
        </w:rPr>
        <w:t xml:space="preserve">) </w:t>
      </w:r>
      <w:r w:rsidRPr="00A02101">
        <w:rPr>
          <w:bCs/>
        </w:rPr>
        <w:t>An Analysis of Successful Episodes of Public Debt Deleveraging</w:t>
      </w:r>
      <w:r>
        <w:rPr>
          <w:bCs/>
        </w:rPr>
        <w:t xml:space="preserve">. Forthcoming (with </w:t>
      </w:r>
      <w:r w:rsidRPr="00A02101">
        <w:rPr>
          <w:bCs/>
        </w:rPr>
        <w:t>Marcos Poplawski Ribeiro</w:t>
      </w:r>
      <w:r>
        <w:rPr>
          <w:bCs/>
        </w:rPr>
        <w:t xml:space="preserve">, </w:t>
      </w:r>
      <w:proofErr w:type="spellStart"/>
      <w:r w:rsidRPr="00A02101">
        <w:rPr>
          <w:bCs/>
        </w:rPr>
        <w:t>Jiae</w:t>
      </w:r>
      <w:proofErr w:type="spellEnd"/>
      <w:r w:rsidRPr="00A02101">
        <w:rPr>
          <w:bCs/>
        </w:rPr>
        <w:t xml:space="preserve"> Yoo</w:t>
      </w:r>
      <w:r>
        <w:rPr>
          <w:bCs/>
        </w:rPr>
        <w:t xml:space="preserve"> and </w:t>
      </w:r>
      <w:r w:rsidRPr="00A02101">
        <w:rPr>
          <w:bCs/>
        </w:rPr>
        <w:t>Roberto Perrelli</w:t>
      </w:r>
      <w:r>
        <w:rPr>
          <w:bCs/>
        </w:rPr>
        <w:t>)</w:t>
      </w:r>
    </w:p>
    <w:p w14:paraId="475638A7" w14:textId="77777777" w:rsidR="006F4CEA" w:rsidRPr="004E03D6" w:rsidRDefault="006F4CEA" w:rsidP="006F4CEA">
      <w:pPr>
        <w:rPr>
          <w:bCs/>
        </w:rPr>
      </w:pPr>
      <w:r>
        <w:rPr>
          <w:bCs/>
        </w:rPr>
        <w:t xml:space="preserve">(11) Customs Administration: Quantifying Compliance Gap using Transaction-Level data from ASYCUDA </w:t>
      </w:r>
    </w:p>
    <w:p w14:paraId="51C8356F" w14:textId="77777777" w:rsidR="006F4CEA" w:rsidRDefault="006F4CEA" w:rsidP="006F4CEA">
      <w:pPr>
        <w:rPr>
          <w:bCs/>
        </w:rPr>
      </w:pPr>
      <w:r w:rsidRPr="004E03D6">
        <w:rPr>
          <w:bCs/>
        </w:rPr>
        <w:t>(</w:t>
      </w:r>
      <w:r>
        <w:rPr>
          <w:bCs/>
        </w:rPr>
        <w:t>12</w:t>
      </w:r>
      <w:r w:rsidRPr="004E03D6">
        <w:rPr>
          <w:bCs/>
        </w:rPr>
        <w:t xml:space="preserve">) </w:t>
      </w:r>
      <w:hyperlink r:id="rId13" w:history="1">
        <w:r w:rsidRPr="00B81C1F">
          <w:rPr>
            <w:rStyle w:val="Hyperlink"/>
            <w:bCs/>
          </w:rPr>
          <w:t>Middle East and North Africa Economic Monitor. “</w:t>
        </w:r>
        <w:r w:rsidRPr="00B81C1F">
          <w:rPr>
            <w:rStyle w:val="Hyperlink"/>
            <w:bCs/>
            <w:i/>
            <w:iCs/>
          </w:rPr>
          <w:t>Economic transformation</w:t>
        </w:r>
        <w:r w:rsidRPr="00B81C1F">
          <w:rPr>
            <w:rStyle w:val="Hyperlink"/>
            <w:bCs/>
          </w:rPr>
          <w:t>”, Chief Economist Office for MENA, World Bank</w:t>
        </w:r>
      </w:hyperlink>
    </w:p>
    <w:p w14:paraId="08B6CA34" w14:textId="77777777" w:rsidR="006F4CEA" w:rsidRDefault="006F4CEA" w:rsidP="006F4CEA">
      <w:r>
        <w:t>(13) Contributor to the book on “</w:t>
      </w:r>
      <w:hyperlink r:id="rId14" w:history="1">
        <w:r w:rsidRPr="00B81C1F">
          <w:rPr>
            <w:rStyle w:val="Hyperlink"/>
          </w:rPr>
          <w:t>Eruptions of Popular Anger: The Economics of the Arab Spring and Its Aftermath</w:t>
        </w:r>
      </w:hyperlink>
      <w:r>
        <w:t xml:space="preserve">”, edited by </w:t>
      </w:r>
      <w:r w:rsidRPr="00506CBA">
        <w:t xml:space="preserve">Elena </w:t>
      </w:r>
      <w:r w:rsidRPr="002F654E">
        <w:t>IANCHOVICHINA</w:t>
      </w:r>
    </w:p>
    <w:p w14:paraId="6777EF6D" w14:textId="77777777" w:rsidR="006F4CEA" w:rsidRPr="004E03D6" w:rsidRDefault="006F4CEA" w:rsidP="006F4CEA">
      <w:pPr>
        <w:rPr>
          <w:bCs/>
        </w:rPr>
      </w:pPr>
      <w:r w:rsidRPr="00390CE9">
        <w:t>(</w:t>
      </w:r>
      <w:r>
        <w:t>14</w:t>
      </w:r>
      <w:r w:rsidRPr="00390CE9">
        <w:t xml:space="preserve">) </w:t>
      </w:r>
      <w:hyperlink r:id="rId15" w:history="1">
        <w:r w:rsidRPr="00B81C1F">
          <w:rPr>
            <w:rStyle w:val="Hyperlink"/>
          </w:rPr>
          <w:t>MENA Data Book (2014), The World Bank</w:t>
        </w:r>
      </w:hyperlink>
    </w:p>
    <w:p w14:paraId="5C36A547" w14:textId="77777777" w:rsidR="00DF6B2F" w:rsidRDefault="00DF6B2F"/>
    <w:sectPr w:rsidR="00DF6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2F"/>
    <w:rsid w:val="00123DE1"/>
    <w:rsid w:val="006F4CEA"/>
    <w:rsid w:val="00DF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AB870C-F2B2-4AD2-8D5C-C2CB6922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CEA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B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B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B2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B2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B2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B2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B2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B2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B2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B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B2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B2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B2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6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B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nhideWhenUsed/>
    <w:rsid w:val="006F4C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f.org/en/publications/cr/issues/2023/06/14/mali-2023-article-iv-consultation-press-release-staff-report-staff-supplement-and-statement-534760" TargetMode="External"/><Relationship Id="rId13" Type="http://schemas.openxmlformats.org/officeDocument/2006/relationships/hyperlink" Target="https://documents.worldbank.org/en/publication/documents-reports/documentdetail/14673152330232410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mf.org/en/publications/cr/issues/2024/07/30/republic-of-congo-selected-issues-552770" TargetMode="External"/><Relationship Id="rId12" Type="http://schemas.openxmlformats.org/officeDocument/2006/relationships/hyperlink" Target="https://www.imf.org/en/publications/fm/issues/2022/10/09/fiscal-monitor-october-22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imf.org/en/publications/cr/issues/2024/07/30/republic-of-congo-2024-article-iv-fourth-review-under-the-three-year-arrangement-under-the-552765" TargetMode="External"/><Relationship Id="rId11" Type="http://schemas.openxmlformats.org/officeDocument/2006/relationships/hyperlink" Target="https://www.imf.org/bg/news/seminars/conferences/2022/12/12/2022-update-of-the-imf-global-debt-database-launch" TargetMode="External"/><Relationship Id="rId5" Type="http://schemas.openxmlformats.org/officeDocument/2006/relationships/hyperlink" Target="https://www.imf.org/en/publications/fm/issues/2024/04/17/fiscal-monitor-april-2024" TargetMode="External"/><Relationship Id="rId15" Type="http://schemas.openxmlformats.org/officeDocument/2006/relationships/hyperlink" Target="https://documents.worldbank.org/pt/publication/documents-reports/documentdetail/356391468299194045" TargetMode="External"/><Relationship Id="rId10" Type="http://schemas.openxmlformats.org/officeDocument/2006/relationships/hyperlink" Target="https://www.imf.org/en/news/seminars/conferences/2023/09/13/back-to-the-trend-global-debt-evolution" TargetMode="External"/><Relationship Id="rId4" Type="http://schemas.openxmlformats.org/officeDocument/2006/relationships/hyperlink" Target="https://www.imf.org/en/publications/departmental-papers-policy-papers/issues/2026/07/13/unlocking-the-potential-ai-in-sub-saharan-africa-576489" TargetMode="External"/><Relationship Id="rId9" Type="http://schemas.openxmlformats.org/officeDocument/2006/relationships/hyperlink" Target="https://www.imf.org/en/publications/selected-issues-papers/issues/2023/07/19/public-sector-wage-bill-in-mali-536707" TargetMode="External"/><Relationship Id="rId14" Type="http://schemas.openxmlformats.org/officeDocument/2006/relationships/hyperlink" Target="https://www.amazon.com/dp/1464811520?lv=shuf&amp;channelId=500&amp;plpRedirect=mhFallb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Youssouf Kiendrebeogo</dc:creator>
  <cp:keywords/>
  <dc:description/>
  <cp:lastModifiedBy>Youssouf Kiendrebeogo</cp:lastModifiedBy>
  <cp:revision>2</cp:revision>
  <dcterms:created xsi:type="dcterms:W3CDTF">2026-09-13T14:07:00Z</dcterms:created>
  <dcterms:modified xsi:type="dcterms:W3CDTF">2026-09-13T14:07:00Z</dcterms:modified>
</cp:coreProperties>
</file>