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Token</w:t>
      </w:r>
      <w:r>
        <w:rPr>
          <w:rFonts w:hint="eastAsia"/>
        </w:rPr>
        <w:t xml:space="preserve"> </w:t>
      </w:r>
      <w:r>
        <w:rPr>
          <w:rFonts w:hint="eastAsia"/>
        </w:rPr>
        <w:t>Plan</w:t>
      </w:r>
      <w:r>
        <w:rPr>
          <w:rFonts w:hint="eastAsia"/>
        </w:rPr>
        <w:t>方案</w:t>
      </w:r>
    </w:p>
    <w:p>
      <w:pPr>
        <w:pStyle w:val="ablt93"/>
        <w:pBdr/>
        <w:ind w:left="0"/>
        <w:rPr/>
      </w:pPr>
      <w:r>
        <w:rPr/>
        <w:t>1.后台「模型 Tokens–积分」换算设置：支持新增不同模型，并分别配置每个模型的积分消耗（区分输入/输出 Token 单价，单次消耗积分保留两位小数）；设置一个默认模型，用户不可自行选择。</w:t>
      </w:r>
    </w:p>
    <w:p>
      <w:pPr>
        <w:pStyle w:val="ablt93"/>
        <w:pBdr/>
        <w:ind w:left="0"/>
        <w:rPr/>
      </w:pPr>
      <w:r>
        <w:rPr/>
        <w:t>2.「人民币 → 积分 → Tokens」计费链路：客户充值获得积分，后台配置充值汇率（默认 1 元 = 100 积分）；积分再按各模型计费规则抵扣 Tokens 消耗。</w:t>
      </w:r>
    </w:p>
    <w:p>
      <w:pPr>
        <w:pStyle w:val="ablt93"/>
        <w:pBdr/>
        <w:ind w:left="0"/>
        <w:rPr/>
      </w:pPr>
      <w:r>
        <w:rPr/>
        <w:t>3.充值档位与积分有效期：用户仅通过充值档位购买积分，不提供套餐购买、不限购买次数；后台可配置充值档位；积分设有效期，到期未用清零，多次购买顺延。</w:t>
      </w:r>
    </w:p>
    <w:p>
      <w:pPr>
        <w:pStyle w:val="ablt93"/>
        <w:pBdr/>
        <w:ind w:left="0"/>
        <w:rPr/>
      </w:pPr>
      <w:r>
        <w:rPr/>
        <w:t>4.用户额度与充值：每个用户积分额度有限，临近用尽或用尽时可自助充值（积分概念）；运营也可在运营后台为用户代充值。</w:t>
      </w:r>
    </w:p>
    <w:p>
      <w:pPr>
        <w:pStyle w:val="ablt93"/>
        <w:pBdr/>
        <w:ind w:left="0"/>
        <w:rPr/>
      </w:pPr>
      <w:r>
        <w:rPr/>
        <w:t>5.小程序「我的」积分充值：用户在小程序「我的」页面完成积分充值，并查看余额、有效期与积分明细。</w:t>
      </w:r>
    </w:p>
    <w:p>
      <w:pPr>
        <w:pStyle w:val="ablt93"/>
        <w:pBdr/>
        <w:ind w:left="0"/>
        <w:rPr/>
      </w:pPr>
      <w:r>
        <w:rPr/>
        <w:t>6.统一流量池：平台拥有统一的大流量池，可查看整体流量情况与总 Token 消耗（含每个用户消耗）；本期仅做监控与统计，不做流量管控。</w:t>
      </w:r>
    </w:p>
    <w:p>
      <w:pPr>
        <w:pStyle w:val="ablt93"/>
        <w:pBdr/>
        <w:ind w:left="0"/>
        <w:rPr/>
      </w:pPr>
    </w:p>
    <w:p>
      <w:pPr>
        <w:pStyle w:val="maph3f"/>
        <w:numPr>
          <w:ilvl w:val="0"/>
          <w:numId w:val="1"/>
        </w:numPr>
        <w:pBdr/>
        <w:snapToGrid/>
        <w:spacing w:before="280" w:after="160" w:line="240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  <w:t>概述</w:t>
      </w:r>
    </w:p>
    <w:p>
      <w:pPr>
        <w:pStyle w:val="6rj02q"/>
        <w:numPr>
          <w:ilvl w:val="1"/>
          <w:numId w:val="1"/>
        </w:numPr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背景与目标</w:t>
      </w:r>
    </w:p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平台对外以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积分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作为统一计费货币，底层以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Tokens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计量 AI 模型的真实消耗。用户通过购买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套餐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或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充值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获得积分，在调用模型时按各模型的换算规则扣减相应积分。平台侧维护统一的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流量池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，用于监控并管控整体 Token 消耗。</w:t>
      </w:r>
    </w:p>
    <w:p>
      <w:pPr>
        <w:pBdr/>
        <w:snapToGrid/>
        <w:spacing w:before="0" w:after="120" w:line="240"/>
        <w:ind w:left="0" w:right="0"/>
        <w:jc w:val="both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</w:p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本需求要达成的目标：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1.建立“人民币 → 积分 → Tokens”清晰、可配置的计费链路；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2.支持套餐化运营（如 199 元/月）与充值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积分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3.运营后台可自助配置套餐、充值档位与各模型计费规则；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4.平台可对整体及单用户的 Token / 积分消耗进行全局监控与管控。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</w:t>
      </w:r>
    </w:p>
    <w:p>
      <w:pPr>
        <w:pStyle w:val="w0z7vr"/>
        <w:pBdr/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核心概念定义</w:t>
      </w:r>
    </w:p>
    <w:tbl>
      <w:tblPr>
        <w:tblStyle w:val="tgzmjx"/>
        <w:tblLayout w:type="fixed"/>
      </w:tblPr>
      <w:tblGrid>
        <w:gridCol w:w="2415"/>
        <w:gridCol w:w="6600"/>
      </w:tblGrid>
      <w:tr>
        <w:trPr/>
        <w:tc>
          <w:tcPr>
            <w:tcW w:w="241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概念</w:t>
            </w:r>
          </w:p>
        </w:tc>
        <w:tc>
          <w:tcPr>
            <w:tcW w:w="66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面向用户的计费单位，用户充值/购买套餐后获得，调用模型时扣减。用户侧主要感知积分。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Tokens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模型计量单位（输入+输出），用于平台统计真实消耗成本，不直接对用户结算。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运营预置的“价格+赠送积分+有效期”组合，如 199 元/月赠 20000 积分。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充值档位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按金额充值获得积分的档位，如充 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0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0 元得 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0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0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00 积分。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充值汇率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人民币与积分的基础兑换比例，默认 1 元 = 100 积分，后台可配。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模型计费规则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某模型每消耗一定 Tokens 所扣减的积分数，逐模型可配，可区分输入/输出。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流量池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平台维度的 Token 总消耗与配额视图，支持总量与单用户监控、管控。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积分账户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记录单个用户的积分余额、累计充值/消耗、有效期等。</w:t>
            </w:r>
          </w:p>
        </w:tc>
      </w:tr>
      <w:tr>
        <w:trPr/>
        <w:tc>
          <w:tcPr>
            <w:tcW w:w="241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积分流水</w:t>
            </w:r>
          </w:p>
        </w:tc>
        <w:tc>
          <w:tcPr>
            <w:tcW w:w="66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用户每一笔积分变动（充值、赠送、消耗、过期等）的明细记录。</w:t>
            </w:r>
          </w:p>
        </w:tc>
      </w:tr>
    </w:tbl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计费链路</w:t>
      </w:r>
    </w:p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整体资金与消耗链路如下：</w:t>
      </w:r>
    </w:p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人民币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──（充值汇率：1 元 = 100 积分）──▶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积分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──（模型计费规则：每千 Tokens 扣 N 积分）──▶ 抵扣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Tokens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消耗</w:t>
      </w:r>
    </w:p>
    <w:p>
      <w:pPr>
        <w:pBdr/>
        <w:snapToGrid/>
        <w:spacing w:before="0" w:after="120" w:line="240"/>
        <w:ind w:left="0" w:right="0"/>
        <w:jc w:val="both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同时，所有用户的真实 Token 消耗汇入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流量池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，供平台做总量统计、成本核算与流量管控。</w:t>
      </w:r>
    </w:p>
    <w:p>
      <w:pPr>
        <w:snapToGrid/>
        <w:spacing w:before="0" w:after="120" w:line="240"/>
        <w:ind w:left="0" w:right="0"/>
        <w:jc w:val="both"/>
        <w:rPr/>
      </w:pPr>
    </w:p>
    <w:p>
      <w:pPr>
        <w:pStyle w:val="w0z7vr"/>
        <w:numPr>
          <w:ilvl w:val="1"/>
          <w:numId w:val="1"/>
        </w:numPr>
        <w:pBdr>
          <w:bottom/>
        </w:pBd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关键换算关系（默认值，均可后台配置）</w:t>
      </w:r>
    </w:p>
    <w:p>
      <w:pPr>
        <w:numPr>
          <w:ilvl w:val="0"/>
          <w:numId w:val="2"/>
        </w:numPr>
        <w:pBdr/>
        <w:snapToGrid/>
        <w:spacing w:before="0" w:after="120" w:line="240"/>
        <w:ind/>
        <w:rPr>
          <w:rFonts w:hint="eastAsia"/>
        </w:rPr>
      </w:pPr>
      <w:r>
        <w:rPr>
          <w:rFonts w:hint="eastAsia"/>
        </w:rPr>
        <w:t xml:space="preserve">tokens 与 人民币的计费（成本）  </w:t>
      </w:r>
    </w:p>
    <w:p>
      <w:pPr>
        <w:numPr>
          <w:ilvl w:val="0"/>
          <w:numId w:val="2"/>
        </w:numPr>
        <w:pBdr/>
        <w:snapToGrid/>
        <w:spacing w:before="0" w:after="120" w:line="240"/>
        <w:ind/>
        <w:rPr>
          <w:rFonts w:hint="eastAsia"/>
        </w:rPr>
      </w:pPr>
      <w:r>
        <w:rPr>
          <w:rFonts w:hint="eastAsia"/>
        </w:rPr>
        <w:t>人民币成本  到  人民币 收入</w:t>
      </w:r>
    </w:p>
    <w:p>
      <w:pPr>
        <w:numPr>
          <w:ilvl w:val="0"/>
          <w:numId w:val="2"/>
        </w:numPr>
        <w:pBdr>
          <w:bottom/>
        </w:pBdr>
        <w:snapToGrid/>
        <w:spacing w:before="0" w:after="120" w:line="240"/>
        <w:ind/>
        <w:rPr>
          <w:rFonts w:hint="eastAsia"/>
        </w:rPr>
      </w:pPr>
      <w:r>
        <w:rPr>
          <w:rFonts w:hint="eastAsia"/>
        </w:rPr>
        <w:t>人民币收入 到 积分</w:t>
      </w:r>
    </w:p>
    <w:tbl>
      <w:tblPr>
        <w:tblStyle w:val="b22ojz"/>
        <w:tblLayout w:type="fixed"/>
      </w:tblPr>
      <w:tblGrid>
        <w:gridCol w:w="3600"/>
        <w:gridCol w:w="3150"/>
        <w:gridCol w:w="2250"/>
      </w:tblGrid>
      <w:tr>
        <w:trPr/>
        <w:tc>
          <w:tcPr>
            <w:tcW w:w="360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项目</w:t>
            </w:r>
          </w:p>
        </w:tc>
        <w:tc>
          <w:tcPr>
            <w:tcW w:w="31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默认值</w:t>
            </w:r>
          </w:p>
        </w:tc>
        <w:tc>
          <w:tcPr>
            <w:tcW w:w="22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是否可后台配置</w:t>
            </w:r>
          </w:p>
        </w:tc>
      </w:tr>
      <w:tr>
        <w:trPr/>
        <w:tc>
          <w:tcPr>
            <w:tcW w:w="36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充值汇率</w:t>
            </w:r>
          </w:p>
        </w:tc>
        <w:tc>
          <w:tcPr>
            <w:tcW w:w="31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 元 = 100 积分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</w:tr>
      <w:tr>
        <w:trPr/>
        <w:tc>
          <w:tcPr>
            <w:tcW w:w="36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默认套餐</w:t>
            </w:r>
          </w:p>
        </w:tc>
        <w:tc>
          <w:tcPr>
            <w:tcW w:w="31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199 元 / 月，赠送 20000 积分，有效期 30 天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</w:tr>
      <w:tr>
        <w:trPr/>
        <w:tc>
          <w:tcPr>
            <w:tcW w:w="36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模型计费</w:t>
            </w:r>
          </w:p>
        </w:tc>
        <w:tc>
          <w:tcPr>
            <w:tcW w:w="31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按模型设定“每 1000 Tokens 扣减积分数”（区分输入/输出）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</w:tr>
      <w:tr>
        <w:trPr/>
        <w:tc>
          <w:tcPr>
            <w:tcW w:w="360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积分取整规则</w:t>
            </w:r>
          </w:p>
        </w:tc>
        <w:tc>
          <w:tcPr>
            <w:tcW w:w="31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单次消耗积分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保留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两位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小数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</w:t>
            </w:r>
          </w:p>
        </w:tc>
      </w:tr>
    </w:tbl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注：199 元按基础汇率应得 19900 积分，套餐额外赠送 100 积分凑整为 20000，体现套餐相对零散充值的优惠；具体数值以运营后台配置为准。</w:t>
      </w:r>
    </w:p>
    <w:p>
      <w:pPr>
        <w:pStyle w:val="maph3f"/>
        <w:numPr>
          <w:ilvl w:val="0"/>
          <w:numId w:val="1"/>
        </w:numPr>
        <w:pBdr/>
        <w:snapToGrid/>
        <w:spacing w:before="280" w:after="160" w:line="240"/>
        <w:ind/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  <w:t>角色与使用端</w:t>
      </w:r>
    </w:p>
    <w:tbl>
      <w:tblPr>
        <w:tblStyle w:val="n4gkjb"/>
        <w:tblLayout w:type="fixed"/>
      </w:tblPr>
      <w:tblGrid>
        <w:gridCol w:w="2040"/>
        <w:gridCol w:w="2460"/>
        <w:gridCol w:w="4500"/>
      </w:tblGrid>
      <w:tr>
        <w:trPr/>
        <w:tc>
          <w:tcPr>
            <w:tcW w:w="204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角色</w:t>
            </w:r>
          </w:p>
        </w:tc>
        <w:tc>
          <w:tcPr>
            <w:tcW w:w="246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使用端</w:t>
            </w:r>
          </w:p>
        </w:tc>
        <w:tc>
          <w:tcPr>
            <w:tcW w:w="450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主要职责</w:t>
            </w:r>
          </w:p>
        </w:tc>
      </w:tr>
      <w:tr>
        <w:trPr/>
        <w:tc>
          <w:tcPr>
            <w:tcW w:w="20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普通用户</w:t>
            </w:r>
          </w:p>
        </w:tc>
        <w:tc>
          <w:tcPr>
            <w:tcW w:w="24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小程序</w:t>
            </w:r>
          </w:p>
        </w:tc>
        <w:tc>
          <w:tcPr>
            <w:tcW w:w="45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充值积分、查看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余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额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。</w:t>
            </w:r>
          </w:p>
        </w:tc>
      </w:tr>
      <w:tr>
        <w:trPr/>
        <w:tc>
          <w:tcPr>
            <w:tcW w:w="20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运营人员</w:t>
            </w:r>
          </w:p>
        </w:tc>
        <w:tc>
          <w:tcPr>
            <w:tcW w:w="24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运营管理后台</w:t>
            </w:r>
          </w:p>
        </w:tc>
        <w:tc>
          <w:tcPr>
            <w:tcW w:w="45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配置套餐与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充值档位、配置模型计费、为用户充值、监控与管控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token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s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、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成本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到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收入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的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换算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、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收入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到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的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换算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。</w:t>
            </w:r>
          </w:p>
        </w:tc>
      </w:tr>
      <w:tr>
        <w:trPr/>
        <w:tc>
          <w:tcPr>
            <w:tcW w:w="204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平台（系统）</w:t>
            </w:r>
          </w:p>
        </w:tc>
        <w:tc>
          <w:tcPr>
            <w:tcW w:w="246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后台 + 服务</w:t>
            </w:r>
          </w:p>
        </w:tc>
        <w:tc>
          <w:tcPr>
            <w:tcW w:w="450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维护流量池、计费扣减、统计与告警。</w:t>
            </w:r>
          </w:p>
        </w:tc>
      </w:tr>
    </w:tbl>
    <w:p>
      <w:pPr>
        <w:pStyle w:val="maph3f"/>
        <w:numPr>
          <w:ilvl w:val="0"/>
          <w:numId w:val="1"/>
        </w:numPr>
        <w:pBdr/>
        <w:snapToGrid/>
        <w:spacing w:before="280" w:after="160" w:line="240"/>
        <w:ind/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  <w:t>功能需求</w:t>
      </w: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模型Tokens-积分换算设置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后台可设置每个模型的“Tokens →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人民币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”换算规则，并支持新增不同模型、配置不同的积分消耗。</w:t>
      </w:r>
    </w:p>
    <w:p>
      <w:pPr>
        <w:pStyle w:val="qjjosn"/>
        <w:numPr>
          <w:ilvl w:val="2"/>
          <w:numId w:val="1"/>
        </w:numP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功能点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•模型列表：展示已接入模型及其计费规则与状态。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•新增模型：录入模型标识与计费单价，启用后即可计费。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•编辑/启停：调整单价或上/下线模型；下线后不可被调用。</w:t>
      </w:r>
    </w:p>
    <w:p>
      <w:pPr>
        <w:numPr/>
        <w:pBdr/>
        <w:snapToGrid/>
        <w:spacing w:before="0" w:after="40" w:line="240"/>
        <w:ind w:left="600" w:right="0" w:hanging="36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•生效时间：支持配置规则生效时间，便于价格调整过渡。</w:t>
      </w:r>
    </w:p>
    <w:p>
      <w:pPr>
        <w:pStyle w:val="qjjosn"/>
        <w:numPr>
          <w:ilvl w:val="2"/>
          <w:numId w:val="1"/>
        </w:numPr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模型计费字段</w:t>
      </w:r>
    </w:p>
    <w:tbl>
      <w:tblPr>
        <w:tblStyle w:val="0u4uzd"/>
        <w:tblLayout w:type="fixed"/>
      </w:tblPr>
      <w:tblGrid>
        <w:gridCol w:w="2625"/>
        <w:gridCol w:w="4125"/>
        <w:gridCol w:w="2250"/>
      </w:tblGrid>
      <w:tr>
        <w:trPr>
          <w:wBefore/>
          <w:trHeight/>
        </w:trPr>
        <w:tc>
          <w:tcPr>
            <w:tcW w:w="262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字段</w:t>
            </w:r>
          </w:p>
        </w:tc>
        <w:tc>
          <w:tcPr>
            <w:tcW w:w="412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说明</w:t>
            </w:r>
          </w:p>
        </w:tc>
        <w:tc>
          <w:tcPr>
            <w:tcW w:w="225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示例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模型名称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展示名称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高级对话模型 A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模型标识(code)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系统调用标识，唯一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model-a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输入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单价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 1000 输入 Tokens 扣减积分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2 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/ 1K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输出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单价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 1000 输出 Tokens 扣减积分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6 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人民币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/ 1K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取整规则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单次消耗取整方式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z w:val="21"/>
                <w:u w:val="none"/>
              </w:rPr>
              <w:t>保留两位小数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状态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启用 / 停用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启用</w:t>
            </w:r>
          </w:p>
        </w:tc>
      </w:tr>
      <w:tr>
        <w:trPr>
          <w:wBefore/>
          <w:trHeight/>
        </w:trPr>
        <w:tc>
          <w:tcPr>
            <w:tcW w:w="262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生效时间</w:t>
            </w:r>
          </w:p>
        </w:tc>
        <w:tc>
          <w:tcPr>
            <w:tcW w:w="412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规则生效时间</w:t>
            </w:r>
          </w:p>
        </w:tc>
        <w:tc>
          <w:tcPr>
            <w:tcW w:w="225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2026-06-15</w:t>
            </w:r>
          </w:p>
        </w:tc>
      </w:tr>
    </w:tbl>
    <w:p>
      <w:pPr>
        <w:pStyle w:val="qjjosn"/>
        <w:numPr>
          <w:ilvl w:val="2"/>
          <w:numId w:val="1"/>
        </w:numPr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计费示例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以模型 A（输入 2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人民币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/1K、输出 6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人民币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/1K）为例，某次对话输入 1500 Tokens、输出 800 Tokens：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扣减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人民币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= 1.5 × 2 + 0.8 × 6 = 3 + 4.8 = 7.8，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保留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两位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小数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pStyle w:val="ablt93"/>
        <w:numPr/>
        <w:rPr/>
      </w:pPr>
      <w:r>
        <w:rPr/>
        <w:drawing>
          <wp:inline distT="0" distB="0" distL="0" distR="0">
            <wp:extent cx="9610725" cy="600670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9610725" cy="600670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before="200" w:after="120" w:line="240"/>
        <w:ind/>
        <w:rPr/>
      </w:pPr>
    </w:p>
    <w:p>
      <w:pPr>
        <w:pStyle w:val="ablt93"/>
        <w:pBdr/>
        <w:snapToGrid/>
        <w:spacing w:before="280" w:after="160" w:line="240"/>
        <w:ind/>
        <w:rPr/>
      </w:pPr>
      <w:r>
        <w:rPr/>
        <w:drawing>
          <wp:inline distT="0" distB="0" distL="0" distR="0">
            <wp:extent cx="9629775" cy="601860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629775" cy="601860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充值-积分设置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用户充值获得积分；后台可配置“充值 → 积分”的汇率与档位，并明确 Tokens 与积分的关系。</w:t>
      </w:r>
    </w:p>
    <w:p>
      <w:pPr>
        <w:pStyle w:val="qjjosn"/>
        <w:numPr>
          <w:ilvl w:val="2"/>
          <w:numId w:val="1"/>
        </w:numPr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充值汇率配置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•全局充值汇率：默认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1 元 = 100 积分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，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仅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研发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可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配置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pStyle w:val="qjjosn"/>
        <w:numPr>
          <w:ilvl w:val="2"/>
          <w:numId w:val="1"/>
        </w:numPr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充值档位（充值）配置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除按汇率自由充值外，运营可配置固定档位以引导消费，并可设置赠送积分。</w:t>
      </w:r>
    </w:p>
    <w:tbl>
      <w:tblPr>
        <w:tblStyle w:val="0u4uzd"/>
        <w:tblLayout w:type="fixed"/>
      </w:tblPr>
      <w:tblGrid>
        <w:gridCol w:w="2490"/>
        <w:gridCol w:w="1920"/>
        <w:gridCol w:w="1920"/>
      </w:tblGrid>
      <w:tr>
        <w:trPr>
          <w:wBefore/>
          <w:trHeight/>
        </w:trPr>
        <w:tc>
          <w:tcPr>
            <w:tcW w:w="2490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档位名称</w:t>
            </w:r>
          </w:p>
        </w:tc>
        <w:tc>
          <w:tcPr>
            <w:tcW w:w="192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金额（元）</w:t>
            </w:r>
          </w:p>
        </w:tc>
        <w:tc>
          <w:tcPr>
            <w:tcW w:w="192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基础积分</w:t>
            </w:r>
          </w:p>
        </w:tc>
      </w:tr>
      <w:tr>
        <w:trPr>
          <w:wBefore/>
          <w:trHeight/>
        </w:trPr>
        <w:tc>
          <w:tcPr>
            <w:tcW w:w="24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100标准档</w:t>
            </w:r>
          </w:p>
        </w:tc>
        <w:tc>
          <w:tcPr>
            <w:tcW w:w="192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92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10000</w:t>
            </w:r>
          </w:p>
        </w:tc>
      </w:tr>
      <w:tr>
        <w:trPr>
          <w:wBefore/>
          <w:trHeight/>
        </w:trPr>
        <w:tc>
          <w:tcPr>
            <w:tcW w:w="2490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1000档</w:t>
            </w:r>
          </w:p>
        </w:tc>
        <w:tc>
          <w:tcPr>
            <w:tcW w:w="192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1000</w:t>
            </w:r>
          </w:p>
        </w:tc>
        <w:tc>
          <w:tcPr>
            <w:tcW w:w="192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100000</w:t>
            </w:r>
          </w:p>
        </w:tc>
      </w:tr>
    </w:tbl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（以上为示例，实际档位由运营在后台增删改。）</w:t>
      </w:r>
    </w:p>
    <w:p>
      <w:pPr>
        <w:pStyle w:val="qjjosn"/>
        <w:numPr>
          <w:ilvl w:val="2"/>
          <w:numId w:val="1"/>
        </w:numPr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Tokens 与积分的关系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充值环节只涉及“人民币 → 积分”；“积分 → 抵扣 Tokens 消耗”的换算在模块五（模型计费）中配置，二者共同构成完整计费链路。</w:t>
      </w:r>
    </w:p>
    <w:p>
      <w:pPr>
        <w:pStyle w:val="ablt93"/>
        <w:numPr/>
        <w:rPr/>
      </w:pPr>
      <w:r>
        <w:rPr/>
        <w:drawing>
          <wp:inline distT="0" distB="0" distL="0" distR="0">
            <wp:extent cx="9715500" cy="607218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9715500" cy="60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snapToGrid/>
        <w:spacing w:before="200" w:after="120" w:line="240"/>
        <w:ind/>
        <w:rPr>
          <w:rFonts w:hint="eastAsia"/>
          <w:b/>
          <w:color w:val="FF0000"/>
        </w:rPr>
      </w:pPr>
    </w:p>
    <w:p>
      <w:pPr>
        <w:pStyle w:val="ablt93"/>
        <w:numPr/>
        <w:pBdr/>
        <w:snapToGrid/>
        <w:spacing w:before="200" w:after="120" w:line="240"/>
        <w:ind/>
        <w:rPr/>
      </w:pPr>
      <w:r>
        <w:rPr/>
        <w:drawing>
          <wp:inline distT="0" distB="0" distL="0" distR="0">
            <wp:extent cx="9715500" cy="607218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9715500" cy="60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120" w:line="240"/>
        <w:ind w:left="0" w:right="0"/>
        <w:jc w:val="both"/>
        <w:rPr/>
      </w:pPr>
    </w:p>
    <w:p>
      <w:pPr>
        <w:pBdr/>
        <w:snapToGrid/>
        <w:spacing w:before="0" w:after="120" w:line="240"/>
        <w:ind w:left="0" w:right="0"/>
        <w:jc w:val="both"/>
        <w:rPr/>
      </w:pP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用户额度与充值</w:t>
      </w:r>
    </w:p>
    <w:p>
      <w:pPr>
        <w:numPr/>
        <w:pBdr>
          <w:bottom/>
        </w:pBdr>
        <w:snapToGrid/>
        <w:spacing w:before="0" w:after="120" w:line="240"/>
        <w:ind w:left="0" w:right="0"/>
        <w:jc w:val="both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每个用户的积分额度有限，临近用尽或用尽时可由用户自助充值，运营也可在后台代为充值。</w:t>
      </w:r>
    </w:p>
    <w:p>
      <w:pPr>
        <w:numPr/>
        <w:snapToGrid/>
        <w:spacing w:before="0" w:after="120" w:line="240"/>
        <w:ind w:left="0" w:right="0"/>
        <w:jc w:val="both"/>
        <w:rPr/>
      </w:pP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功能点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•额度展示：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用户与后台均可查看当前积分余额、累计消耗、有效期。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•余额预警：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当余额低于阈值（如剩余 &lt;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0% 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，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可配）时，小程序内提示并引导充值；余额为 0 时拦截模型调用并提示充值。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•用户自助充值：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用户在小程序选择充值档位并完成支付，积分实时到账（详见模块六）。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•运营后台代充值：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运营可对指定用户充值积分（用于补偿、客诉处理、线下成交），需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选择充值的档位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与备注，并记录操作人与流水。</w:t>
      </w:r>
    </w:p>
    <w:p>
      <w:pPr>
        <w:pStyle w:val="w0z7vr"/>
        <w:numPr/>
        <w:pBdr/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</w:p>
    <w:p>
      <w:pPr>
        <w:pStyle w:val="ablt93"/>
        <w:numPr/>
        <w:pBdr/>
        <w:snapToGrid/>
        <w:spacing w:before="200" w:after="120" w:line="240"/>
        <w:ind/>
        <w:rPr/>
      </w:pPr>
      <w:r>
        <w:rPr/>
        <w:drawing>
          <wp:inline distT="0" distB="0" distL="0" distR="0">
            <wp:extent cx="9629775" cy="601860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629775" cy="601860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snapToGrid/>
        <w:spacing w:before="200" w:after="120" w:line="240"/>
        <w:ind/>
        <w:rPr/>
      </w:pPr>
      <w:r>
        <w:rPr/>
        <w:drawing>
          <wp:inline distT="0" distB="0" distL="0" distR="0">
            <wp:extent cx="9629775" cy="601860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629775" cy="601860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snapToGrid/>
        <w:spacing w:before="200" w:after="120" w:line="240"/>
        <w:ind/>
        <w:rPr/>
      </w:pP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积分数据模型</w:t>
      </w:r>
    </w:p>
    <w:p>
      <w:pPr>
        <w:numPr/>
        <w:snapToGrid/>
        <w:spacing w:before="0" w:after="80" w:line="30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积分相关的字段其实分属两个维度，先把它们分清楚，页面才不会乱：来源构成回答“钱从哪来”（都是加项），去向流水回答“账怎么花掉”（都是减项）。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numPr/>
        <w:pBdr>
          <w:bottom/>
        </w:pBdr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维度 A — 余额的「来源构成」（都是 +）</w:t>
      </w:r>
    </w:p>
    <w:p>
      <w:pPr>
        <w:numPr/>
        <w:pBdr>
          <w:bottom/>
        </w:pBdr>
        <w:snapToGrid/>
        <w:spacing w:before="0" w:after="80" w:line="30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描述积分余额的组成，是“当下状态”，三类来源相加即为当前可用总积分。</w:t>
      </w:r>
    </w:p>
    <w:tbl>
      <w:tblPr>
        <w:tblStyle w:val="5zz4xk"/>
        <w:tblLayout w:type="fixed"/>
      </w:tblPr>
      <w:tblGrid>
        <w:gridCol w:w="1695"/>
        <w:gridCol w:w="3555"/>
        <w:gridCol w:w="4095"/>
      </w:tblGrid>
      <w:tr>
        <w:trPr>
          <w:wBefore/>
          <w:trHeight/>
        </w:trPr>
        <w:tc>
          <w:tcPr>
            <w:tcW w:w="169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类型</w:t>
            </w:r>
          </w:p>
        </w:tc>
        <w:tc>
          <w:tcPr>
            <w:tcW w:w="3555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含义</w:t>
            </w:r>
          </w:p>
        </w:tc>
        <w:tc>
          <w:tcPr>
            <w:tcW w:w="4095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通常特点</w:t>
            </w:r>
          </w:p>
        </w:tc>
      </w:tr>
      <w:tr>
        <w:trPr>
          <w:wBefore/>
          <w:trHeight/>
        </w:trPr>
        <w:tc>
          <w:tcPr>
            <w:tcW w:w="1695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赠送积分</w:t>
            </w:r>
          </w:p>
        </w:tc>
        <w:tc>
          <w:tcPr>
            <w:tcW w:w="355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注册 / 活动 / 补偿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 xml:space="preserve"> / 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赠送</w:t>
            </w:r>
          </w:p>
        </w:tc>
        <w:tc>
          <w:tcPr>
            <w:tcW w:w="409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有效期短，优先扣减</w:t>
            </w:r>
          </w:p>
        </w:tc>
      </w:tr>
      <w:tr>
        <w:trPr>
          <w:wBefore/>
          <w:trHeight/>
        </w:trPr>
        <w:tc>
          <w:tcPr>
            <w:tcW w:w="1695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套餐积分</w:t>
            </w:r>
          </w:p>
        </w:tc>
        <w:tc>
          <w:tcPr>
            <w:tcW w:w="355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订阅套餐每周期发放</w:t>
            </w:r>
          </w:p>
        </w:tc>
        <w:tc>
          <w:tcPr>
            <w:tcW w:w="409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跟随套餐周期，到期清零</w:t>
            </w:r>
          </w:p>
        </w:tc>
      </w:tr>
      <w:tr>
        <w:trPr>
          <w:wBefore/>
          <w:trHeight/>
        </w:trPr>
        <w:tc>
          <w:tcPr>
            <w:tcW w:w="1695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充值积分</w:t>
            </w:r>
          </w:p>
        </w:tc>
        <w:tc>
          <w:tcPr>
            <w:tcW w:w="355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用户实付购买</w:t>
            </w:r>
          </w:p>
        </w:tc>
        <w:tc>
          <w:tcPr>
            <w:tcW w:w="409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有效期长 ，最后扣减</w:t>
            </w:r>
          </w:p>
        </w:tc>
      </w:tr>
    </w:tbl>
    <w:p>
      <w:pPr>
        <w:numPr/>
        <w:snapToGrid/>
        <w:spacing w:before="0" w:after="10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numPr/>
        <w:pBdr/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当前可用总积分 = 赠送余额 + 套餐余额 + 充值余额</w:t>
      </w:r>
    </w:p>
    <w:p>
      <w:pPr>
        <w:numPr/>
        <w:pBdr>
          <w:bottom/>
        </w:pBdr>
        <w:snapToGrid/>
        <w:spacing w:before="0" w:after="80" w:line="300"/>
        <w:ind w:left="0" w:right="0"/>
        <w:jc w:val="both"/>
        <w:rPr/>
      </w:pPr>
    </w:p>
    <w:p>
      <w:pPr>
        <w:numPr/>
        <w:pBdr>
          <w:bottom/>
        </w:pBdr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维度 B — 积分的「去向流水」（都是 -）</w:t>
      </w:r>
    </w:p>
    <w:p>
      <w:pPr>
        <w:numPr/>
        <w:pBdr>
          <w:bottom/>
        </w:pBdr>
        <w:snapToGrid/>
        <w:spacing w:before="0" w:after="80" w:line="30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描述积分如何被花掉，是“历史累计”（流量数据），不参与当前余额的加减。</w:t>
      </w:r>
    </w:p>
    <w:tbl>
      <w:tblPr>
        <w:tblStyle w:val="5zz4xk"/>
        <w:tblLayout w:type="fixed"/>
      </w:tblPr>
      <w:tblGrid>
        <w:gridCol w:w="1695"/>
        <w:gridCol w:w="7650"/>
      </w:tblGrid>
      <w:tr>
        <w:trPr>
          <w:wBefore/>
          <w:trHeight/>
        </w:trPr>
        <w:tc>
          <w:tcPr>
            <w:tcW w:w="1695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类型</w:t>
            </w:r>
          </w:p>
        </w:tc>
        <w:tc>
          <w:tcPr>
            <w:tcW w:w="765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含义</w:t>
            </w:r>
          </w:p>
        </w:tc>
      </w:tr>
      <w:tr>
        <w:trPr>
          <w:wBefore/>
          <w:trHeight/>
        </w:trPr>
        <w:tc>
          <w:tcPr>
            <w:tcW w:w="1695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已消费</w:t>
            </w:r>
          </w:p>
        </w:tc>
        <w:tc>
          <w:tcPr>
            <w:tcW w:w="765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调用模型 / 技能扣掉的积分</w:t>
            </w:r>
          </w:p>
        </w:tc>
      </w:tr>
      <w:tr>
        <w:trPr>
          <w:wBefore/>
          <w:trHeight/>
        </w:trPr>
        <w:tc>
          <w:tcPr>
            <w:tcW w:w="1695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已过期</w:t>
            </w:r>
          </w:p>
        </w:tc>
        <w:tc>
          <w:tcPr>
            <w:tcW w:w="765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到期未用、被系统清掉的积分</w:t>
            </w:r>
          </w:p>
        </w:tc>
      </w:tr>
    </w:tbl>
    <w:p>
      <w:pPr>
        <w:numPr/>
        <w:pBdr>
          <w:bottom/>
        </w:pBdr>
        <w:snapToGrid/>
        <w:spacing w:before="0" w:after="14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pStyle w:val="v88tb8"/>
        <w:numPr>
          <w:ilvl w:val="2"/>
          <w:numId w:val="1"/>
        </w:numPr>
        <w:pBdr>
          <w:bottom/>
        </w:pBd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页面结构</w:t>
      </w:r>
    </w:p>
    <w:p>
      <w:pPr>
        <w:numPr/>
        <w:pBdr/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① 页头 pageHead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•返回入口：← 返回用户积分管理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•用户信息块：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头像 / 手机号 · UID / 当前套餐标签 / 状态标签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•右上角主操作：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「积分充值」按钮 → 复用已有的 代充值弹窗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numPr/>
        <w:pBdr/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② 总积分概览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•当前可用总积分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（大号数字突出展示）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•旁边小字：最近一笔即将过期提示，如「2,000 将于 6 月 30 日过期」，并附低余额预警标识。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numPr/>
        <w:pBdr/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③ 积分构成 — 来源拆分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•三张并排卡片：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赠送 / 套餐 / 充值，每张显示「余额 + 有效期 + 占比」。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•卡片上方可加一条</w:t>
      </w: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堆叠占比条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，一眼看出三类比例。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•本区块直接回答「总积分由什么构成」。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numPr/>
        <w:pBdr/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④ 累计流水概览（去向）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•两个小 KPI：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累计消费 · 已过期。</w:t>
      </w: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•可按需再加「累计获得」一项。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 </w:t>
      </w:r>
    </w:p>
    <w:p>
      <w:pPr>
        <w:numPr/>
        <w:pBdr/>
        <w:snapToGrid/>
        <w:spacing w:before="0" w:after="80" w:line="300"/>
        <w:ind w:left="0" w:right="0"/>
        <w:jc w:val="both"/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A88"/>
          <w:sz w:val="22"/>
          <w:u w:val="none"/>
        </w:rPr>
        <w:t>⑤ 积分明细流水表</w:t>
      </w:r>
    </w:p>
    <w:p>
      <w:pPr>
        <w:numPr/>
        <w:snapToGrid/>
        <w:spacing w:before="0" w:after="80" w:line="30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表格列：</w:t>
      </w:r>
    </w:p>
    <w:tbl>
      <w:tblPr>
        <w:tblStyle w:val="5zz4xk"/>
        <w:tblLayout w:type="fixed"/>
        <w:tblLook/>
      </w:tblPr>
      <w:tblGrid>
        <w:gridCol w:w="1500"/>
        <w:gridCol w:w="1290"/>
        <w:gridCol w:w="1290"/>
        <w:gridCol w:w="1890"/>
        <w:gridCol w:w="1650"/>
        <w:gridCol w:w="1695"/>
      </w:tblGrid>
      <w:tr>
        <w:trPr>
          <w:wBefore/>
          <w:trHeight/>
        </w:trPr>
        <w:tc>
          <w:tcPr>
            <w:tcW w:w="1500" w:type="dxa"/>
            <w:tcBorders>
              <w:top w:val="single" w:color="d9d9d9" w:sz="8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29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类型</w:t>
            </w:r>
          </w:p>
        </w:tc>
        <w:tc>
          <w:tcPr>
            <w:tcW w:w="129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来源</w:t>
            </w:r>
          </w:p>
        </w:tc>
        <w:tc>
          <w:tcPr>
            <w:tcW w:w="189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变动 (+/-)</w:t>
            </w:r>
          </w:p>
        </w:tc>
        <w:tc>
          <w:tcPr>
            <w:tcW w:w="1650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操作后余额</w:t>
            </w:r>
          </w:p>
        </w:tc>
        <w:tc>
          <w:tcPr>
            <w:tcW w:w="1695" w:type="dxa"/>
            <w:tcBorders>
              <w:top w:val="single" w:color="d9d9d9" w:sz="8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2E5A8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1500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2025-06-12 14:30</w:t>
            </w:r>
          </w:p>
        </w:tc>
        <w:tc>
          <w:tcPr>
            <w:tcW w:w="12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消费</w:t>
            </w:r>
          </w:p>
        </w:tc>
        <w:tc>
          <w:tcPr>
            <w:tcW w:w="12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—</w:t>
            </w:r>
          </w:p>
        </w:tc>
        <w:tc>
          <w:tcPr>
            <w:tcW w:w="18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-120</w:t>
            </w:r>
          </w:p>
        </w:tc>
        <w:tc>
          <w:tcPr>
            <w:tcW w:w="165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8,420</w:t>
            </w:r>
          </w:p>
        </w:tc>
        <w:tc>
          <w:tcPr>
            <w:tcW w:w="169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调用模型</w:t>
            </w:r>
          </w:p>
        </w:tc>
      </w:tr>
      <w:tr>
        <w:trPr>
          <w:wBefore/>
          <w:trHeight/>
        </w:trPr>
        <w:tc>
          <w:tcPr>
            <w:tcW w:w="1500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2025-06-10 09:00</w:t>
            </w:r>
          </w:p>
        </w:tc>
        <w:tc>
          <w:tcPr>
            <w:tcW w:w="12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充值</w:t>
            </w:r>
          </w:p>
        </w:tc>
        <w:tc>
          <w:tcPr>
            <w:tcW w:w="12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充值积分</w:t>
            </w:r>
          </w:p>
        </w:tc>
        <w:tc>
          <w:tcPr>
            <w:tcW w:w="18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+5,000</w:t>
            </w:r>
          </w:p>
        </w:tc>
        <w:tc>
          <w:tcPr>
            <w:tcW w:w="165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8,540</w:t>
            </w:r>
          </w:p>
        </w:tc>
        <w:tc>
          <w:tcPr>
            <w:tcW w:w="169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shd w:val="clear" w:color="auto" w:fill="F4F7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用户实付</w:t>
            </w:r>
          </w:p>
        </w:tc>
      </w:tr>
      <w:tr>
        <w:trPr>
          <w:wBefore/>
          <w:trHeight/>
        </w:trPr>
        <w:tc>
          <w:tcPr>
            <w:tcW w:w="1500" w:type="dxa"/>
            <w:tcBorders>
              <w:top w:val="single" w:color="d9d9d9" w:sz="0" w:space="0"/>
              <w:left w:val="single" w:color="d9d9d9" w:sz="8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2025-06-01 00:00</w:t>
            </w:r>
          </w:p>
        </w:tc>
        <w:tc>
          <w:tcPr>
            <w:tcW w:w="12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获得</w:t>
            </w:r>
          </w:p>
        </w:tc>
        <w:tc>
          <w:tcPr>
            <w:tcW w:w="12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套餐积分</w:t>
            </w:r>
          </w:p>
        </w:tc>
        <w:tc>
          <w:tcPr>
            <w:tcW w:w="189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+3,000</w:t>
            </w:r>
          </w:p>
        </w:tc>
        <w:tc>
          <w:tcPr>
            <w:tcW w:w="1650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3,540</w:t>
            </w:r>
          </w:p>
        </w:tc>
        <w:tc>
          <w:tcPr>
            <w:tcW w:w="1695" w:type="dxa"/>
            <w:tcBorders>
              <w:top w:val="single" w:color="d9d9d9" w:sz="0" w:space="0"/>
              <w:left w:val="single" w:color="d9d9d9" w:sz="0" w:space="0"/>
              <w:bottom w:val="single" w:color="d9d9d9" w:sz="8" w:space="0"/>
              <w:right w:val="single" w:color="d9d9d9" w:sz="8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pacing w:val="0"/>
                <w:sz w:val="21"/>
                <w:u w:val="none"/>
              </w:rPr>
              <w:t>套餐周期发放</w:t>
            </w:r>
          </w:p>
        </w:tc>
      </w:tr>
    </w:tbl>
    <w:p>
      <w:pPr>
        <w:numPr/>
        <w:snapToGrid/>
        <w:spacing w:before="0" w:after="120" w:line="240"/>
        <w:ind w:left="0" w:right="0"/>
        <w:jc w:val="both"/>
        <w:rPr/>
      </w:pPr>
    </w:p>
    <w:p>
      <w:pPr>
        <w:numPr/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•变动列用颜色区分：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加项（获得 / 充值）与减项（消费 / 过期）。</w:t>
      </w:r>
    </w:p>
    <w:p>
      <w:pPr>
        <w:numPr/>
        <w:pBdr>
          <w:bottom/>
        </w:pBdr>
        <w:snapToGrid/>
        <w:spacing w:before="0" w:after="60" w:line="300"/>
        <w:ind w:left="460" w:right="0" w:hanging="2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33333"/>
          <w:sz w:val="22"/>
          <w:u w:val="none"/>
        </w:rPr>
        <w:t>•类型筛选分段：</w:t>
      </w:r>
      <w:r>
        <w:rPr>
          <w:rFonts w:ascii="微软雅黑" w:hAnsi="微软雅黑" w:eastAsia="微软雅黑" w:cs="微软雅黑"/>
          <w:i w:val="false"/>
          <w:strike w:val="false"/>
          <w:color w:val="333333"/>
          <w:sz w:val="22"/>
          <w:u w:val="none"/>
        </w:rPr>
        <w:t>全部 / 获得 / 消费 / 过期 / 充值。</w:t>
      </w:r>
    </w:p>
    <w:p>
      <w:pPr>
        <w:numPr/>
        <w:pBdr/>
        <w:snapToGrid/>
        <w:spacing w:before="0" w:after="120" w:line="240"/>
        <w:ind w:left="0" w:right="0"/>
        <w:jc w:val="both"/>
        <w:rPr/>
      </w:pPr>
      <w:r>
        <w:rPr/>
        <w:drawing>
          <wp:inline distT="0" distB="0" distL="0" distR="0">
            <wp:extent cx="9715500" cy="661193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9715500" cy="661193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snapToGrid/>
        <w:spacing w:before="200" w:after="120" w:line="240"/>
        <w:ind/>
        <w:rPr/>
      </w:pP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套餐管理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运营可在后台维护多种套餐，并向用户售卖。默认提供“199 元/月，20000 积分”套餐。</w:t>
      </w: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功能点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•套餐列表：分页展示全部套餐，支持按状态、名称筛选。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•新增 / 编辑套餐：维护价格、赠送积分、有效期等字段。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•上架 / 下架：下架后用户端不可购买，已购买不受影响。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•删除 / 排序：删除有售卖记录的套餐建议改为“下架”而非物理删除；支持展示排序。</w:t>
      </w: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套餐字段</w:t>
      </w:r>
    </w:p>
    <w:tbl>
      <w:tblPr>
        <w:tblStyle w:val="0u4uzd"/>
        <w:tblLayout w:type="fixed"/>
        <w:tblLook/>
      </w:tblPr>
      <w:tblGrid>
        <w:gridCol w:w="2355"/>
        <w:gridCol w:w="3915"/>
        <w:gridCol w:w="2745"/>
      </w:tblGrid>
      <w:tr>
        <w:trPr>
          <w:wBefore/>
          <w:trHeight/>
        </w:trPr>
        <w:tc>
          <w:tcPr>
            <w:tcW w:w="235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字段</w:t>
            </w:r>
          </w:p>
        </w:tc>
        <w:tc>
          <w:tcPr>
            <w:tcW w:w="391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说明</w:t>
            </w:r>
          </w:p>
        </w:tc>
        <w:tc>
          <w:tcPr>
            <w:tcW w:w="274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示例</w:t>
            </w:r>
          </w:p>
        </w:tc>
      </w:tr>
      <w:tr>
        <w:trPr>
          <w:wBefore/>
          <w:trHeight/>
        </w:trPr>
        <w:tc>
          <w:tcPr>
            <w:tcW w:w="235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套餐名称</w:t>
            </w:r>
          </w:p>
        </w:tc>
        <w:tc>
          <w:tcPr>
            <w:tcW w:w="39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展示名称</w:t>
            </w:r>
          </w:p>
        </w:tc>
        <w:tc>
          <w:tcPr>
            <w:tcW w:w="27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标准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</w:t>
            </w:r>
          </w:p>
        </w:tc>
      </w:tr>
      <w:tr>
        <w:trPr>
          <w:wBefore/>
          <w:trHeight/>
        </w:trPr>
        <w:tc>
          <w:tcPr>
            <w:tcW w:w="235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套餐价格（元）</w:t>
            </w:r>
          </w:p>
        </w:tc>
        <w:tc>
          <w:tcPr>
            <w:tcW w:w="39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用户支付金额</w:t>
            </w:r>
          </w:p>
        </w:tc>
        <w:tc>
          <w:tcPr>
            <w:tcW w:w="27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199</w:t>
            </w:r>
          </w:p>
        </w:tc>
      </w:tr>
      <w:tr>
        <w:trPr>
          <w:wBefore/>
          <w:trHeight/>
        </w:trPr>
        <w:tc>
          <w:tcPr>
            <w:tcW w:w="235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赠送积分</w:t>
            </w:r>
          </w:p>
        </w:tc>
        <w:tc>
          <w:tcPr>
            <w:tcW w:w="39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购买后到账的积分数</w:t>
            </w:r>
          </w:p>
        </w:tc>
        <w:tc>
          <w:tcPr>
            <w:tcW w:w="27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4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0000</w:t>
            </w:r>
          </w:p>
        </w:tc>
      </w:tr>
      <w:tr>
        <w:trPr>
          <w:wBefore/>
          <w:trHeight/>
        </w:trPr>
        <w:tc>
          <w:tcPr>
            <w:tcW w:w="235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有效期</w:t>
            </w:r>
          </w:p>
        </w:tc>
        <w:tc>
          <w:tcPr>
            <w:tcW w:w="39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积分有效天数/周期</w:t>
            </w:r>
          </w:p>
        </w:tc>
        <w:tc>
          <w:tcPr>
            <w:tcW w:w="27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30 天 / 1 个月</w:t>
            </w:r>
          </w:p>
        </w:tc>
      </w:tr>
      <w:tr>
        <w:trPr>
          <w:wBefore/>
          <w:trHeight/>
        </w:trPr>
        <w:tc>
          <w:tcPr>
            <w:tcW w:w="235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套餐类型</w:t>
            </w:r>
          </w:p>
        </w:tc>
        <w:tc>
          <w:tcPr>
            <w:tcW w:w="39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一次性 / 周期续费（可选）</w:t>
            </w:r>
          </w:p>
        </w:tc>
        <w:tc>
          <w:tcPr>
            <w:tcW w:w="27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月度</w:t>
            </w:r>
          </w:p>
        </w:tc>
      </w:tr>
      <w:tr>
        <w:trPr>
          <w:wBefore/>
          <w:trHeight/>
        </w:trPr>
        <w:tc>
          <w:tcPr>
            <w:tcW w:w="235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套餐说明</w:t>
            </w:r>
          </w:p>
        </w:tc>
        <w:tc>
          <w:tcPr>
            <w:tcW w:w="391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卖点文案</w:t>
            </w:r>
          </w:p>
        </w:tc>
        <w:tc>
          <w:tcPr>
            <w:tcW w:w="27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每日畅用，过期清零</w:t>
            </w:r>
          </w:p>
        </w:tc>
      </w:tr>
    </w:tbl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业务规则</w:t>
      </w:r>
    </w:p>
    <w:p>
      <w:pPr>
        <w:numPr/>
        <w:pBdr/>
        <w:snapToGrid/>
        <w:spacing w:before="0" w:after="40" w:line="240"/>
        <w:ind w:left="600" w:right="0" w:hanging="36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•有效期到期后剩余积分的处理方式（清零）需在套餐或全局策略中明确。</w:t>
      </w:r>
    </w:p>
    <w:p>
      <w:pPr>
        <w:numPr/>
        <w:pBdr/>
        <w:snapToGrid/>
        <w:spacing w:before="0" w:after="40" w:line="240"/>
        <w:ind w:left="600" w:right="0" w:hanging="360"/>
        <w:rPr/>
      </w:pPr>
    </w:p>
    <w:p>
      <w:pPr>
        <w:numPr/>
        <w:pBdr>
          <w:bottom/>
        </w:pBdr>
        <w:snapToGrid/>
        <w:spacing w:before="0" w:after="40" w:line="240"/>
        <w:ind w:left="600" w:right="0" w:hanging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把 规则  预警    </w:t>
      </w:r>
      <w:r>
        <w:rPr>
          <w:rFonts w:hint="eastAsia"/>
          <w:b/>
          <w:color w:val="FF0000"/>
        </w:rPr>
        <w:t>各种</w:t>
      </w:r>
      <w:r>
        <w:rPr>
          <w:rFonts w:hint="eastAsia"/>
          <w:b/>
          <w:color w:val="FF0000"/>
        </w:rPr>
        <w:t>配置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  <w:b/>
          <w:color w:val="FF0000"/>
        </w:rPr>
        <w:t>放在</w:t>
      </w:r>
      <w:r>
        <w:rPr>
          <w:rFonts w:hint="eastAsia"/>
          <w:b/>
          <w:color w:val="FF0000"/>
        </w:rPr>
        <w:t>一个</w:t>
      </w:r>
      <w:r>
        <w:rPr>
          <w:rFonts w:hint="eastAsia"/>
          <w:b/>
          <w:color w:val="FF0000"/>
        </w:rPr>
        <w:t>统一</w:t>
      </w:r>
      <w:r>
        <w:rPr>
          <w:rFonts w:hint="eastAsia"/>
          <w:b/>
          <w:color w:val="FF0000"/>
        </w:rPr>
        <w:t>设置</w:t>
      </w:r>
      <w:r>
        <w:rPr>
          <w:rFonts w:hint="eastAsia"/>
          <w:b/>
          <w:color w:val="FF0000"/>
        </w:rPr>
        <w:t>的</w:t>
      </w:r>
      <w:r>
        <w:rPr>
          <w:rFonts w:hint="eastAsia"/>
          <w:b/>
          <w:color w:val="FF0000"/>
        </w:rPr>
        <w:t>地方</w:t>
      </w:r>
    </w:p>
    <w:p>
      <w:pPr>
        <w:numPr/>
        <w:pBdr/>
        <w:snapToGrid/>
        <w:spacing w:before="0" w:after="40" w:line="240"/>
        <w:ind w:left="0" w:right="0"/>
        <w:rPr/>
      </w:pPr>
      <w:r>
        <w:rPr/>
        <w:drawing>
          <wp:inline distT="0" distB="0" distL="0" distR="0">
            <wp:extent cx="9715500" cy="607218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9715500" cy="60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before="0" w:after="40" w:line="240"/>
        <w:ind w:left="0" w:right="0"/>
        <w:rPr/>
      </w:pPr>
    </w:p>
    <w:p>
      <w:pPr>
        <w:numPr/>
        <w:pBdr/>
        <w:snapToGrid/>
        <w:spacing w:before="0" w:after="40" w:line="240"/>
        <w:ind w:left="0" w:right="0"/>
        <w:rPr/>
      </w:pPr>
    </w:p>
    <w:p>
      <w:pPr>
        <w:numPr/>
        <w:pBdr/>
        <w:snapToGrid/>
        <w:spacing w:before="0" w:after="40" w:line="240"/>
        <w:ind w:left="0" w:right="0"/>
        <w:rPr/>
      </w:pPr>
      <w:r>
        <w:rPr/>
        <w:drawing>
          <wp:inline distT="0" distB="0" distL="0" distR="0">
            <wp:extent cx="9715500" cy="607218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9715500" cy="607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snapToGrid/>
        <w:spacing w:before="0" w:after="40" w:line="240"/>
        <w:ind w:left="0" w:right="0"/>
        <w:rPr/>
      </w:pPr>
    </w:p>
    <w:p>
      <w:pPr>
        <w:pStyle w:val="ablt93"/>
        <w:pBdr/>
        <w:snapToGrid/>
        <w:spacing w:before="200" w:after="120" w:line="240"/>
        <w:ind/>
        <w:rPr/>
      </w:pP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小程序“我的”积分充值</w:t>
      </w:r>
    </w:p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用户可在小程序“我的”页面完成积分充值与查看。</w:t>
      </w: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页面内容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•积分概览：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当前积分余额、有效期、当前套餐名称。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•充值入口：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展示可购买的充值档位，选择后唤起支付，到账后刷新余额。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•积分明细：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充值/消耗/赠送/过期等流水记录，支持按类型与时间筛选。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•余额不足提醒：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余额低于阈值时在“我的”及调用入口处提示并引导充值。</w:t>
      </w: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充值流程（用户视角）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1.进入“我的” → 点击“积分充值”；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2.选择充值档位；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3.确认订单并唤起支付（微信支付等）；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4.支付成功 → 积分到账 → 余额与流水实时更新；</w:t>
      </w:r>
    </w:p>
    <w:p>
      <w:pPr>
        <w:numPr>
          <w:ilvl w:val="0"/>
          <w:numId w:val="3"/>
        </w:numPr>
        <w:pBdr/>
        <w:snapToGrid/>
        <w:spacing w:before="0" w:after="4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支付失败/取消 → 订单关闭，余额不变。</w:t>
      </w:r>
    </w:p>
    <w:p>
      <w:pPr>
        <w:pBdr/>
        <w:snapToGrid/>
        <w:spacing w:before="0" w:after="40" w:line="240"/>
        <w:ind w:left="240"/>
        <w:rPr/>
      </w:pPr>
    </w:p>
    <w:p>
      <w:pPr>
        <w:pStyle w:val="ablt93"/>
        <w:pBdr>
          <w:bottom/>
        </w:pBdr>
        <w:ind/>
        <w:rPr/>
      </w:pPr>
      <w:r>
        <w:rPr/>
        <w:drawing>
          <wp:inline distT="0" distB="0" distL="0" distR="0">
            <wp:extent cx="3026416" cy="655320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026416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/>
        <w:t xml:space="preserve"> </w:t>
      </w:r>
      <w:r>
        <w:rPr/>
        <w:drawing>
          <wp:inline distT="0" distB="0" distL="0" distR="0">
            <wp:extent cx="3026416" cy="655320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026416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before="280" w:after="160" w:line="240"/>
        <w:ind/>
        <w:rPr/>
      </w:pPr>
    </w:p>
    <w:p>
      <w:pPr>
        <w:pStyle w:val="ablt93"/>
        <w:pBdr/>
        <w:snapToGrid/>
        <w:spacing w:before="280" w:after="160" w:line="240"/>
        <w:ind/>
        <w:rPr>
          <w:rFonts w:hint="eastAsia"/>
        </w:rPr>
      </w:pPr>
      <w:r>
        <w:rPr/>
        <w:drawing>
          <wp:inline distT="0" distB="0" distL="0" distR="0">
            <wp:extent cx="3031859" cy="656498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031859" cy="656498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3026417" cy="655320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026417" cy="655320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before="280" w:after="160" w:line="240"/>
        <w:ind/>
        <w:rPr/>
      </w:pPr>
    </w:p>
    <w:p>
      <w:pPr>
        <w:pStyle w:val="w0z7vr"/>
        <w:numPr>
          <w:ilvl w:val="1"/>
          <w:numId w:val="1"/>
        </w:numPr>
        <w:snapToGrid/>
        <w:spacing w:before="200" w:after="120" w:line="240"/>
        <w:ind/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流量池运营看板</w:t>
      </w:r>
    </w:p>
    <w:p>
      <w:pPr>
        <w:numPr/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平台拥有统一的“大流量池”，可查看整体流量情况、管控整体流量，可查看总 Token 消耗及每个用户的 Token 消耗。</w:t>
      </w: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监控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•总览仪表盘：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总 Token 消耗、总积分消耗、对应成本估算、累计充值金额、用户总数/活跃数。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•多维统计：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支持按时间（日/周/月）、按模型、按用户三个维度查看消耗趋势与排行。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•用户明细：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列表展示每个用户的 Token 消耗、积分消耗、积分余额，可下钻到该用户的消耗流水。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•模型明细：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各模型的调用次数、Token 消耗、积分消耗占比。</w:t>
      </w:r>
    </w:p>
    <w:p>
      <w:pPr>
        <w:numPr/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•数据导出：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支持按筛选条件导出统计与明细（Excel/CSV）。</w:t>
      </w:r>
    </w:p>
    <w:p>
      <w:pPr>
        <w:pStyle w:val="v88tb8"/>
        <w:numPr>
          <w:ilvl w:val="2"/>
          <w:numId w:val="1"/>
        </w:numPr>
        <w:snapToGrid/>
        <w:spacing w:before="140" w:after="80" w:line="240"/>
        <w:ind/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05496"/>
          <w:sz w:val="23"/>
          <w:u w:val="none"/>
        </w:rPr>
        <w:t>管控</w:t>
      </w:r>
    </w:p>
    <w:tbl>
      <w:tblPr>
        <w:tblStyle w:val="0u4uzd"/>
        <w:tblLayout w:type="fixed"/>
      </w:tblPr>
      <w:tblGrid>
        <w:gridCol w:w="3484"/>
        <w:gridCol w:w="7253"/>
      </w:tblGrid>
      <w:tr>
        <w:trPr>
          <w:wBefore/>
          <w:trHeight w:val="584" w:hRule="atLeast"/>
        </w:trPr>
        <w:tc>
          <w:tcPr>
            <w:tcW w:w="3484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管控能力</w:t>
            </w:r>
          </w:p>
        </w:tc>
        <w:tc>
          <w:tcPr>
            <w:tcW w:w="7253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说明</w:t>
            </w:r>
          </w:p>
        </w:tc>
      </w:tr>
      <w:tr>
        <w:trPr>
          <w:wBefore/>
          <w:trHeight w:val="584" w:hRule="atLeast"/>
        </w:trPr>
        <w:tc>
          <w:tcPr>
            <w:tcW w:w="3484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总流量上限/告警阈值</w:t>
            </w:r>
          </w:p>
        </w:tc>
        <w:tc>
          <w:tcPr>
            <w:tcW w:w="725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设置平台整体 Token 消耗的告警线与上限，达到阈值触发告警。</w:t>
            </w:r>
          </w:p>
        </w:tc>
      </w:tr>
      <w:tr>
        <w:trPr>
          <w:wBefore/>
          <w:trHeight w:val="584" w:hRule="atLeast"/>
        </w:trPr>
        <w:tc>
          <w:tcPr>
            <w:tcW w:w="3484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单用户限额</w:t>
            </w:r>
          </w:p>
        </w:tc>
        <w:tc>
          <w:tcPr>
            <w:tcW w:w="725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限制单用户单位时间（如每日）最大 Token/积分消耗，防滥用。</w:t>
            </w:r>
          </w:p>
        </w:tc>
      </w:tr>
      <w:tr>
        <w:trPr>
          <w:wBefore/>
          <w:trHeight w:val="717" w:hRule="atLeast"/>
        </w:trPr>
        <w:tc>
          <w:tcPr>
            <w:tcW w:w="3484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暂停</w:t>
            </w:r>
          </w:p>
        </w:tc>
        <w:tc>
          <w:tcPr>
            <w:tcW w:w="725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可一键暂停某模型或全部模型的调用（如成本异常、上游故障）。</w:t>
            </w:r>
          </w:p>
        </w:tc>
      </w:tr>
      <w:tr>
        <w:trPr>
          <w:wBefore/>
          <w:trHeight w:val="584" w:hRule="atLeast"/>
        </w:trPr>
        <w:tc>
          <w:tcPr>
            <w:tcW w:w="3484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黑/白名单</w:t>
            </w:r>
          </w:p>
        </w:tc>
        <w:tc>
          <w:tcPr>
            <w:tcW w:w="7253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对异常用户进行限制或加白（可选）。</w:t>
            </w:r>
          </w:p>
        </w:tc>
      </w:tr>
    </w:tbl>
    <w:p>
      <w:pPr>
        <w:numPr/>
        <w:pBdr/>
        <w:snapToGrid/>
        <w:spacing w:before="0" w:after="120" w:line="240"/>
        <w:ind w:left="0" w:right="0"/>
        <w:jc w:val="both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说明：监控数据来源于每次模型调用的 Token 计量与积分扣减记录，需保证调用日志与流水的一致性。</w:t>
      </w:r>
    </w:p>
    <w:p>
      <w:pPr>
        <w:numPr/>
        <w:pBdr/>
        <w:snapToGrid/>
        <w:spacing w:before="0" w:after="120" w:line="240"/>
        <w:ind w:left="0" w:right="0"/>
        <w:jc w:val="both"/>
        <w:rPr/>
      </w:pPr>
    </w:p>
    <w:p>
      <w:pPr>
        <w:numPr/>
        <w:pBdr/>
        <w:snapToGrid/>
        <w:spacing w:before="0" w:after="120" w:line="240"/>
        <w:ind w:left="0" w:right="0"/>
        <w:jc w:val="both"/>
        <w:rPr/>
      </w:pPr>
      <w:r>
        <w:rPr/>
        <w:drawing>
          <wp:inline distT="0" distB="0" distL="0" distR="0">
            <wp:extent cx="9715500" cy="485775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9715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before="280" w:after="160" w:line="240"/>
        <w:ind/>
        <w:rPr/>
      </w:pPr>
    </w:p>
    <w:p>
      <w:pPr>
        <w:pStyle w:val="maph3f"/>
        <w:numPr>
          <w:ilvl w:val="0"/>
          <w:numId w:val="1"/>
        </w:numPr>
        <w:pBdr/>
        <w:snapToGrid/>
        <w:spacing w:before="280" w:after="160" w:line="240"/>
        <w:ind/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  <w:t>关键业务流程</w:t>
      </w:r>
    </w:p>
    <w:p>
      <w:pPr>
        <w:pStyle w:val="drf33i"/>
        <w:snapToGrid/>
        <w:spacing w:before="200" w:after="120" w:line="240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4.1 购买套餐 / 充值流程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1.用户选择充值档位；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2.生成充值订单（记录金额、应得积分、赠送积分）；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3.调起支付并等待支付回调；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4.支付成功后按积分并入账；</w:t>
      </w:r>
    </w:p>
    <w:p>
      <w:pPr>
        <w:numPr>
          <w:ilvl w:val="0"/>
          <w:numId w:val="4"/>
        </w:numPr>
        <w:pBdr/>
        <w:snapToGrid/>
        <w:spacing w:before="0" w:after="4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写入积分流水（类型=充值/购买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积分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档位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），更新积分余额与有效期。</w:t>
      </w:r>
    </w:p>
    <w:p>
      <w:pPr>
        <w:pBdr/>
        <w:snapToGrid/>
        <w:spacing w:before="0" w:after="40" w:line="240"/>
        <w:ind w:left="0"/>
        <w:rPr/>
      </w:pPr>
    </w:p>
    <w:p>
      <w:pPr>
        <w:snapToGrid/>
        <w:spacing w:before="0" w:after="40" w:line="240"/>
        <w:ind w:left="0"/>
        <w:rPr/>
      </w:pPr>
      <w:r>
        <w:rPr/>
        <w:drawing>
          <wp:inline distT="0" distB="0" distL="0" distR="0">
            <wp:extent cx="4905375" cy="4324787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905375" cy="43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303m5"/>
        <w:snapToGrid/>
        <w:spacing w:before="200" w:after="120" w:line="240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4.2 模型调用与积分扣减流程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1.用户发起模型调用请求；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2.</w:t>
      </w:r>
      <w:r>
        <w:rPr>
          <w:rFonts w:ascii="微软雅黑" w:hAnsi="微软雅黑" w:eastAsia="微软雅黑" w:cs="微软雅黑"/>
          <w:b/>
          <w:i w:val="false"/>
          <w:strike w:val="false"/>
          <w:color w:val="FF0000"/>
          <w:sz w:val="21"/>
          <w:u w:val="none"/>
        </w:rPr>
        <w:t>校验积分余额是否充足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FF0000"/>
          <w:sz w:val="21"/>
          <w:u w:val="none"/>
        </w:rPr>
        <w:t>（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FF0000"/>
          <w:sz w:val="21"/>
          <w:u w:val="none"/>
        </w:rPr>
        <w:t>细化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FF0000"/>
          <w:sz w:val="21"/>
          <w:u w:val="none"/>
        </w:rPr>
        <w:t>）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、账户是否在有效期、是否触发限流/熔断；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3.调用模型并获得实际输入/输出 Tokens；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4.按该模型计费规则换算应扣积分（含取整）；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5.扣减积分、写入积分流水（类型=消耗），同时将 Token 消耗汇入流量池统计；</w:t>
      </w:r>
    </w:p>
    <w:p>
      <w:pPr>
        <w:numPr>
          <w:ilvl w:val="0"/>
          <w:numId w:val="5"/>
        </w:numPr>
        <w:pBdr/>
        <w:snapToGrid/>
        <w:spacing w:before="0" w:after="4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若余额低于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预估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阈值，返回余额不足提醒。</w:t>
      </w:r>
    </w:p>
    <w:p>
      <w:pPr>
        <w:pBdr/>
        <w:snapToGrid/>
        <w:spacing w:before="0" w:after="40" w:line="240"/>
        <w:ind w:left="0"/>
        <w:rPr/>
      </w:pPr>
    </w:p>
    <w:p>
      <w:pPr>
        <w:pBdr/>
        <w:snapToGrid/>
        <w:spacing w:before="0" w:after="40" w:line="240"/>
        <w:ind w:left="0"/>
        <w:rPr/>
      </w:pPr>
      <w:r>
        <w:rPr/>
        <w:drawing>
          <wp:inline distT="0" distB="0" distL="0" distR="0">
            <wp:extent cx="5096970" cy="564832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09697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40" w:line="240"/>
        <w:ind w:left="0"/>
        <w:rPr/>
      </w:pPr>
    </w:p>
    <w:p>
      <w:pPr>
        <w:pStyle w:val="6f9tzw"/>
        <w:snapToGrid/>
        <w:spacing w:before="200" w:after="120" w:line="240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4.3 余额预警流程</w:t>
      </w:r>
    </w:p>
    <w:p>
      <w:pPr>
        <w:numPr>
          <w:ilvl w:val="0"/>
          <w:numId w:val="6"/>
        </w:numPr>
        <w:snapToGrid/>
        <w:spacing w:before="0" w:after="40" w:line="24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每次扣减后比较余额与预警阈值；</w:t>
      </w:r>
    </w:p>
    <w:p>
      <w:pPr>
        <w:numPr>
          <w:ilvl w:val="0"/>
          <w:numId w:val="6"/>
        </w:numPr>
        <w:pBdr>
          <w:bottom/>
        </w:pBdr>
        <w:snapToGrid/>
        <w:spacing w:before="0" w:after="40"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低于阈值 → 触发“余额偏低”提醒（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龙虾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管家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提醒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同时通知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运营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）；</w:t>
      </w:r>
    </w:p>
    <w:p>
      <w:pPr>
        <w:pBdr/>
        <w:snapToGrid/>
        <w:spacing w:before="0" w:after="40" w:line="240"/>
        <w:ind w:left="0"/>
        <w:rPr/>
      </w:pPr>
    </w:p>
    <w:p>
      <w:pPr>
        <w:pBdr/>
        <w:snapToGrid/>
        <w:spacing w:before="0" w:after="40" w:line="240"/>
        <w:ind w:left="0"/>
        <w:rPr/>
      </w:pPr>
      <w:r>
        <w:rPr/>
        <w:drawing>
          <wp:inline distT="0" distB="0" distL="0" distR="0">
            <wp:extent cx="5076825" cy="2881441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076825" cy="28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40" w:line="240"/>
        <w:ind w:left="0"/>
        <w:rPr/>
      </w:pPr>
    </w:p>
    <w:p>
      <w:pPr>
        <w:pStyle w:val="cl6mtn"/>
        <w:snapToGrid/>
        <w:spacing w:before="200" w:after="120" w:line="240"/>
        <w:ind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2E5395"/>
          <w:sz w:val="26"/>
          <w:u w:val="none"/>
        </w:rPr>
        <w:t>4.4 运营后台代充值流程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1.运营在用户详情页选择“充值/赠送积分”；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2.填写积分数量、原因备注；</w:t>
      </w:r>
    </w:p>
    <w:p>
      <w:pPr>
        <w:snapToGrid/>
        <w:spacing w:before="0" w:after="40" w:line="240"/>
        <w:ind w:left="600" w:right="0" w:hanging="360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3.提交后积分入账，写入流水（记录操作人、来源=后台代充）；</w:t>
      </w:r>
    </w:p>
    <w:p>
      <w:pPr>
        <w:numPr>
          <w:ilvl w:val="0"/>
          <w:numId w:val="7"/>
        </w:numPr>
        <w:pBdr/>
        <w:snapToGrid/>
        <w:spacing w:before="0" w:after="4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关键操作进入操作审计日志。</w:t>
      </w:r>
    </w:p>
    <w:p>
      <w:pPr>
        <w:pBdr/>
        <w:snapToGrid/>
        <w:spacing w:before="0" w:after="40" w:line="240"/>
        <w:ind w:left="0"/>
        <w:rPr/>
      </w:pPr>
      <w:r>
        <w:rPr/>
        <w:drawing>
          <wp:inline distT="0" distB="0" distL="0" distR="0">
            <wp:extent cx="4720884" cy="2948971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720884" cy="29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40" w:line="240"/>
        <w:ind w:left="0"/>
        <w:rPr/>
      </w:pPr>
    </w:p>
    <w:p>
      <w:pPr>
        <w:pStyle w:val="maph3f"/>
        <w:numPr>
          <w:ilvl w:val="0"/>
          <w:numId w:val="1"/>
        </w:numPr>
        <w:pBdr/>
        <w:snapToGrid/>
        <w:spacing w:before="280" w:after="160" w:line="240"/>
        <w:ind/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  <w:t>运营后台功能清单（汇总）重新整理</w:t>
      </w:r>
    </w:p>
    <w:tbl>
      <w:tblPr>
        <w:tblStyle w:val="h6h4n9"/>
        <w:tblLayout w:type="fixed"/>
      </w:tblPr>
      <w:tblGrid>
        <w:gridCol w:w="2565"/>
        <w:gridCol w:w="4290"/>
        <w:gridCol w:w="2145"/>
      </w:tblGrid>
      <w:tr>
        <w:trPr/>
        <w:tc>
          <w:tcPr>
            <w:tcW w:w="2565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模块</w:t>
            </w:r>
          </w:p>
        </w:tc>
        <w:tc>
          <w:tcPr>
            <w:tcW w:w="4290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功能</w:t>
            </w:r>
          </w:p>
        </w:tc>
        <w:tc>
          <w:tcPr>
            <w:tcW w:w="2145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对应需求</w:t>
            </w:r>
          </w:p>
        </w:tc>
      </w:tr>
      <w:tr>
        <w:trPr/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套餐管理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套餐增删改查、上下架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需求 1</w:t>
            </w:r>
          </w:p>
        </w:tc>
      </w:tr>
      <w:tr>
        <w:trPr/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用户/积分管理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查看用户积分、代充值/赠送、设置预警阈值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需求 2</w:t>
            </w:r>
          </w:p>
        </w:tc>
      </w:tr>
      <w:tr>
        <w:trPr/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流量池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总览看板、按模型/用户/时间统计、限流/熔断/限额、导出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需求 3</w:t>
            </w:r>
          </w:p>
        </w:tc>
      </w:tr>
      <w:tr>
        <w:trPr/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充值设置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充值汇率（1 元=100 积分）、充值档位配置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需求 4</w:t>
            </w:r>
          </w:p>
        </w:tc>
      </w:tr>
      <w:tr>
        <w:trPr/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模型计费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模型新增/编辑/启停、Tokens-积分换算配置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需求 5</w:t>
            </w:r>
          </w:p>
        </w:tc>
      </w:tr>
      <w:tr>
        <w:trPr>
          <w:trHeight w:val="432" w:hRule="atLeast"/>
        </w:trPr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订单与流水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充值订单、积分流水查询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需求 2/4</w:t>
            </w:r>
          </w:p>
        </w:tc>
      </w:tr>
      <w:tr>
        <w:trPr/>
        <w:tc>
          <w:tcPr>
            <w:tcW w:w="2565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权限与审计</w:t>
            </w:r>
          </w:p>
        </w:tc>
        <w:tc>
          <w:tcPr>
            <w:tcW w:w="4290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运营账号权限、关键操作审计日志</w:t>
            </w:r>
          </w:p>
        </w:tc>
        <w:tc>
          <w:tcPr>
            <w:tcW w:w="2145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通用</w:t>
            </w:r>
          </w:p>
        </w:tc>
      </w:tr>
    </w:tbl>
    <w:p>
      <w:pPr>
        <w:pStyle w:val="maph3f"/>
        <w:numPr>
          <w:ilvl w:val="0"/>
          <w:numId w:val="1"/>
        </w:numPr>
        <w:pBdr/>
        <w:snapToGrid/>
        <w:spacing w:before="280" w:after="160" w:line="240"/>
        <w:ind/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1F3864"/>
          <w:sz w:val="32"/>
          <w:u w:val="none"/>
        </w:rPr>
        <w:t>待确认问题</w:t>
      </w:r>
    </w:p>
    <w:p>
      <w:pPr>
        <w:snapToGrid/>
        <w:spacing w:before="0" w:after="12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以下问题影响计费规则与实现，建议评审时确认：</w:t>
      </w:r>
    </w:p>
    <w:tbl>
      <w:tblPr>
        <w:tblStyle w:val="chduyg"/>
        <w:tblLayout w:type="fixed"/>
      </w:tblPr>
      <w:tblGrid>
        <w:gridCol w:w="448"/>
        <w:gridCol w:w="6614"/>
        <w:gridCol w:w="3239"/>
      </w:tblGrid>
      <w:tr>
        <w:trPr>
          <w:trHeight w:val="602" w:hRule="atLeast"/>
        </w:trPr>
        <w:tc>
          <w:tcPr>
            <w:tcW w:w="448" w:type="dxa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#</w:t>
            </w:r>
          </w:p>
        </w:tc>
        <w:tc>
          <w:tcPr>
            <w:tcW w:w="6614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FFFFFF"/>
                <w:spacing w:val="0"/>
                <w:sz w:val="21"/>
                <w:u w:val="none"/>
              </w:rPr>
              <w:t>问题</w:t>
            </w:r>
          </w:p>
        </w:tc>
        <w:tc>
          <w:tcPr>
            <w:tcW w:w="3239" w:type="dxa"/>
            <w:tcBorders>
              <w:top w:val="single" w:color="bfbfbf" w:sz="8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30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回复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积分是否设有效期？到期后剩余积分清零还是保留？多次购买/续费时有效期如何顺延？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要设</w:t>
            </w:r>
            <w:r>
              <w:rPr>
                <w:rFonts w:hint="eastAsia"/>
              </w:rPr>
              <w:t>有效期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到期后</w:t>
            </w:r>
            <w:r>
              <w:rPr>
                <w:rFonts w:hint="eastAsia"/>
              </w:rPr>
              <w:t>清零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购买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积分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有效期</w:t>
            </w:r>
            <w:r>
              <w:rPr>
                <w:rFonts w:hint="eastAsia"/>
              </w:rPr>
              <w:t>顺延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模型计费是否区分输入/输出 Token 单价？还是统一按总 Token 计费？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要区分</w:t>
            </w: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输出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单次消耗的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金额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取整规则（向上取整 / 四舍五入 / 保留小数）？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保留</w:t>
            </w:r>
            <w:r>
              <w:rPr>
                <w:rFonts w:hint="eastAsia"/>
              </w:rPr>
              <w:t>两位</w:t>
            </w:r>
            <w:r>
              <w:rPr>
                <w:rFonts w:hint="eastAsia"/>
              </w:rPr>
              <w:t>小数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用户侧是否展示 Token 数，还是仅展示积分（积分对 Token 透明）？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仅展示</w:t>
            </w:r>
            <w:r>
              <w:rPr>
                <w:rFonts w:hint="eastAsia"/>
              </w:rPr>
              <w:t>积分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套餐重复购买时积分是否叠加？是否限制购买次数？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不提供</w:t>
            </w:r>
            <w:r>
              <w:rPr>
                <w:rFonts w:hint="eastAsia"/>
              </w:rPr>
              <w:t>套餐</w:t>
            </w:r>
            <w:r>
              <w:rPr>
                <w:rFonts w:hint="eastAsia"/>
              </w:rPr>
              <w:t>购买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只提供</w:t>
            </w:r>
            <w:r>
              <w:rPr>
                <w:rFonts w:hint="eastAsia"/>
              </w:rPr>
              <w:t>积分</w:t>
            </w:r>
            <w:r>
              <w:rPr>
                <w:rFonts w:hint="eastAsia"/>
              </w:rPr>
              <w:t>档</w:t>
            </w:r>
            <w:r>
              <w:rPr>
                <w:rFonts w:hint="eastAsia"/>
              </w:rPr>
              <w:t>购买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不限制</w:t>
            </w:r>
            <w:r>
              <w:rPr>
                <w:rFonts w:hint="eastAsia"/>
              </w:rPr>
              <w:t>次数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支持退款吗？退款是否回收已发放/已赠送积分？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不支持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充值汇率/模型单价调整时，对存量积分与进行中订单的处理策略？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不做</w:t>
            </w:r>
            <w:r>
              <w:rPr>
                <w:rFonts w:hint="eastAsia"/>
              </w:rPr>
              <w:t>处理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流量管控的具体粒度（全局上限、单用户每日上限、QPS）与触发后的处理动作？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不做</w:t>
            </w:r>
            <w:r>
              <w:rPr>
                <w:rFonts w:hint="eastAsia"/>
              </w:rPr>
              <w:t>流量</w:t>
            </w:r>
            <w:r>
              <w:rPr>
                <w:rFonts w:hint="eastAsia"/>
              </w:rPr>
              <w:t>管控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多模型并存时是否有默认模型？用户能否自行选择模型？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要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模型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不能</w:t>
            </w:r>
            <w:r>
              <w:rPr>
                <w:rFonts w:hint="eastAsia"/>
              </w:rPr>
              <w:t>选择</w:t>
            </w:r>
          </w:p>
        </w:tc>
      </w:tr>
      <w:tr>
        <w:trPr>
          <w:trHeight w:val="602" w:hRule="atLeast"/>
        </w:trPr>
        <w:tc>
          <w:tcPr>
            <w:tcW w:w="448" w:type="dxa"/>
            <w:tcBorders>
              <w:top w:val="single" w:color="bfbfbf" w:sz="0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6614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支付渠道（微信支付/支付宝）、发票与对账要求？</w:t>
            </w:r>
          </w:p>
        </w:tc>
        <w:tc>
          <w:tcPr>
            <w:tcW w:w="3239" w:type="dxa"/>
            <w:tcBorders>
              <w:top w:val="single" w:color="bfbfbf" w:sz="0" w:space="0"/>
              <w:left w:val="single" w:color="bfbfbf" w:sz="0" w:space="0"/>
              <w:bottom w:val="single" w:color="bfbfbf" w:sz="8" w:space="0"/>
              <w:right w:val="single" w:color="bfbfbf" w:sz="8" w:space="0"/>
            </w:tcBorders>
            <w:shd w:val="clear" w:color="auto" w:fill="EAF1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hint="eastAsia"/>
              </w:rPr>
              <w:t>没有</w:t>
            </w: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对账</w:t>
            </w:r>
            <w:r>
              <w:rPr>
                <w:rFonts w:hint="eastAsia"/>
              </w:rPr>
              <w:t>要求</w:t>
            </w:r>
          </w:p>
        </w:tc>
      </w:tr>
    </w:tbl>
    <w:p>
      <w:pPr>
        <w:snapToGrid/>
        <w:spacing w:before="0" w:after="80" w:line="240"/>
        <w:ind w:left="0" w:right="0"/>
        <w:jc w:val="both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center"/>
        <w:rPr/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 </w:t>
      </w:r>
    </w:p>
    <w:p>
      <w:pPr>
        <w:pStyle w:val="ablt93"/>
        <w:pBdr>
          <w:bottom/>
        </w:pBdr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656" w:hanging="336"/>
      </w:pPr>
    </w:lvl>
    <w:lvl w:ilvl="3">
      <w:start w:val="1"/>
      <w:numFmt w:val="decimal"/>
      <w:lvlText w:val="%4."/>
      <w:lvlJc w:val="left"/>
      <w:pPr>
        <w:ind w:left="1896" w:hanging="336"/>
      </w:pPr>
    </w:lvl>
    <w:lvl w:ilvl="4">
      <w:start w:val="1"/>
      <w:numFmt w:val="lowerLetter"/>
      <w:lvlText w:val="%5."/>
      <w:lvlJc w:val="left"/>
      <w:pPr>
        <w:ind w:left="2336" w:hanging="336"/>
      </w:pPr>
    </w:lvl>
    <w:lvl w:ilvl="1">
      <w:start w:val="1"/>
      <w:numFmt w:val="lowerLetter"/>
      <w:lvlText w:val="%2."/>
      <w:lvlJc w:val="left"/>
      <w:pPr>
        <w:ind w:left="1016" w:hanging="336"/>
      </w:pPr>
    </w:lvl>
    <w:lvl w:ilvl="0">
      <w:start w:val="6"/>
      <w:numFmt w:val="decimal"/>
      <w:lvlText w:val="%1."/>
      <w:lvlJc w:val="left"/>
      <w:pPr>
        <w:ind w:left="57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4096" w:hanging="336"/>
      </w:pPr>
    </w:lvl>
    <w:lvl w:ilvl="2">
      <w:start w:val="1"/>
      <w:numFmt w:val="lowerRoman"/>
      <w:lvlText w:val="%3."/>
      <w:lvlJc w:val="left"/>
      <w:pPr>
        <w:ind w:left="1456" w:hanging="336"/>
      </w:pPr>
    </w:lvl>
    <w:lvl w:ilvl="6">
      <w:start w:val="1"/>
      <w:numFmt w:val="decimal"/>
      <w:lvlText w:val="%7."/>
      <w:lvlJc w:val="left"/>
      <w:pPr>
        <w:ind w:left="3216" w:hanging="336"/>
      </w:pPr>
    </w:lvl>
    <w:lvl w:ilvl="5">
      <w:start w:val="1"/>
      <w:numFmt w:val="lowerRoman"/>
      <w:lvlText w:val="%6."/>
      <w:lvlJc w:val="left"/>
      <w:pPr>
        <w:ind w:left="277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3216" w:hanging="336"/>
      </w:pPr>
    </w:lvl>
    <w:lvl w:ilvl="8">
      <w:start w:val="1"/>
      <w:numFmt w:val="lowerRoman"/>
      <w:lvlText w:val="%9."/>
      <w:lvlJc w:val="left"/>
      <w:pPr>
        <w:ind w:left="4096" w:hanging="336"/>
      </w:pPr>
    </w:lvl>
    <w:lvl w:ilvl="7">
      <w:start w:val="1"/>
      <w:numFmt w:val="lowerLetter"/>
      <w:lvlText w:val="%8."/>
      <w:lvlJc w:val="left"/>
      <w:pPr>
        <w:ind w:left="3656" w:hanging="336"/>
      </w:pPr>
    </w:lvl>
    <w:lvl w:ilvl="3">
      <w:start w:val="1"/>
      <w:numFmt w:val="decimal"/>
      <w:lvlText w:val="%4."/>
      <w:lvlJc w:val="left"/>
      <w:pPr>
        <w:ind w:left="1896" w:hanging="336"/>
      </w:pPr>
    </w:lvl>
    <w:lvl w:ilvl="5">
      <w:start w:val="1"/>
      <w:numFmt w:val="lowerRoman"/>
      <w:lvlText w:val="%6."/>
      <w:lvlJc w:val="left"/>
      <w:pPr>
        <w:ind w:left="2776" w:hanging="336"/>
      </w:pPr>
    </w:lvl>
    <w:lvl w:ilvl="4">
      <w:start w:val="1"/>
      <w:numFmt w:val="lowerLetter"/>
      <w:lvlText w:val="%5."/>
      <w:lvlJc w:val="left"/>
      <w:pPr>
        <w:ind w:left="2336" w:hanging="336"/>
      </w:pPr>
    </w:lvl>
    <w:lvl w:ilvl="2">
      <w:start w:val="1"/>
      <w:numFmt w:val="lowerRoman"/>
      <w:lvlText w:val="%3."/>
      <w:lvlJc w:val="left"/>
      <w:pPr>
        <w:ind w:left="1456" w:hanging="336"/>
      </w:pPr>
    </w:lvl>
    <w:lvl w:ilvl="0">
      <w:start w:val="5"/>
      <w:numFmt w:val="decimal"/>
      <w:lvlText w:val="%1."/>
      <w:lvlJc w:val="left"/>
      <w:pPr>
        <w:ind w:left="57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1016" w:hanging="336"/>
      </w:pPr>
    </w:lvl>
  </w:abstractNum>
  <w:abstractNum w:abstractNumId="3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">
    <w:lvl w:ilvl="0">
      <w:start w:val="5"/>
      <w:numFmt w:val="decimal"/>
      <w:lvlText w:val="%1."/>
      <w:lvlJc w:val="left"/>
      <w:pPr>
        <w:ind w:left="57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3216" w:hanging="336"/>
      </w:pPr>
    </w:lvl>
    <w:lvl w:ilvl="1">
      <w:start w:val="1"/>
      <w:numFmt w:val="lowerLetter"/>
      <w:lvlText w:val="%2."/>
      <w:lvlJc w:val="left"/>
      <w:pPr>
        <w:ind w:left="1016" w:hanging="336"/>
      </w:pPr>
    </w:lvl>
    <w:lvl w:ilvl="8">
      <w:start w:val="1"/>
      <w:numFmt w:val="lowerRoman"/>
      <w:lvlText w:val="%9."/>
      <w:lvlJc w:val="left"/>
      <w:pPr>
        <w:ind w:left="4096" w:hanging="336"/>
      </w:pPr>
    </w:lvl>
    <w:lvl w:ilvl="3">
      <w:start w:val="1"/>
      <w:numFmt w:val="decimal"/>
      <w:lvlText w:val="%4."/>
      <w:lvlJc w:val="left"/>
      <w:pPr>
        <w:ind w:left="1896" w:hanging="336"/>
      </w:pPr>
    </w:lvl>
    <w:lvl w:ilvl="7">
      <w:start w:val="1"/>
      <w:numFmt w:val="lowerLetter"/>
      <w:lvlText w:val="%8."/>
      <w:lvlJc w:val="left"/>
      <w:pPr>
        <w:ind w:left="3656" w:hanging="336"/>
      </w:pPr>
    </w:lvl>
    <w:lvl w:ilvl="4">
      <w:start w:val="1"/>
      <w:numFmt w:val="lowerLetter"/>
      <w:lvlText w:val="%5."/>
      <w:lvlJc w:val="left"/>
      <w:pPr>
        <w:ind w:left="2336" w:hanging="336"/>
      </w:pPr>
    </w:lvl>
    <w:lvl w:ilvl="2">
      <w:start w:val="1"/>
      <w:numFmt w:val="lowerRoman"/>
      <w:lvlText w:val="%3."/>
      <w:lvlJc w:val="left"/>
      <w:pPr>
        <w:ind w:left="1456" w:hanging="336"/>
      </w:pPr>
    </w:lvl>
    <w:lvl w:ilvl="5">
      <w:start w:val="1"/>
      <w:numFmt w:val="lowerRoman"/>
      <w:lvlText w:val="%6."/>
      <w:lvlJc w:val="left"/>
      <w:pPr>
        <w:ind w:left="2776" w:hanging="336"/>
      </w:pPr>
    </w:lvl>
  </w:abstractNum>
  <w:abstractNum w:abstractNumId="5">
    <w:lvl w:ilvl="8">
      <w:start w:val="1"/>
      <w:numFmt w:val="decimal"/>
      <w:lvlText w:val="%1.%2.%3.%4.%5.%6.%7.%8.%9."/>
      <w:lvlJc w:val="left"/>
      <w:pPr>
        <w:ind w:left="0" w:hanging="0"/>
      </w:pPr>
      <w:rPr>
        <w:rFonts w:hint="default" w:ascii="" w:hAnsi="" w:cs=""/>
        <w:spacing w:val="0"/>
      </w:rPr>
    </w:lvl>
    <w:lvl w:ilvl="6">
      <w:start w:val="1"/>
      <w:numFmt w:val="decimal"/>
      <w:lvlText w:val="%1.%2.%3.%4.%5.%6.%7."/>
      <w:lvlJc w:val="left"/>
      <w:pPr>
        <w:ind w:left="0" w:hanging="0"/>
      </w:pPr>
      <w:rPr>
        <w:rFonts w:hint="default" w:ascii="" w:hAnsi="" w:cs=""/>
        <w:spacing w:val="0"/>
      </w:rPr>
    </w:lvl>
    <w:lvl w:ilvl="1">
      <w:start w:val="1"/>
      <w:numFmt w:val="decimal"/>
      <w:lvlText w:val="%1.%2."/>
      <w:lvlJc w:val="left"/>
      <w:pPr>
        <w:tabs/>
        <w:ind w:left="0" w:hanging="0"/>
      </w:pPr>
      <w:rPr>
        <w:rFonts w:hint="default" w:ascii="" w:hAnsi="" w:cs=""/>
        <w:spacing w:val="0"/>
      </w:rPr>
    </w:lvl>
    <w:lvl w:ilvl="7">
      <w:start w:val="1"/>
      <w:numFmt w:val="decimal"/>
      <w:lvlText w:val="%1.%2.%3.%4.%5.%6.%7.%8."/>
      <w:lvlJc w:val="left"/>
      <w:pPr>
        <w:ind w:left="0" w:hanging="0"/>
      </w:pPr>
      <w:rPr>
        <w:rFonts w:hint="default" w:ascii="" w:hAnsi="" w:cs=""/>
        <w:spacing w:val="0"/>
      </w:rPr>
    </w:lvl>
    <w:lvl w:ilvl="0">
      <w:start w:val="1"/>
      <w:numFmt w:val="decimal"/>
      <w:lvlText w:val="%1."/>
      <w:lvlJc w:val="left"/>
      <w:pPr>
        <w:tabs/>
        <w:ind w:left="0" w:hanging="0"/>
      </w:pPr>
      <w:rPr>
        <w:rFonts w:hint="default" w:ascii="" w:hAnsi="" w:cs=""/>
        <w:spacing w:val="0"/>
      </w:rPr>
    </w:lvl>
    <w:lvl w:ilvl="5">
      <w:start w:val="1"/>
      <w:numFmt w:val="decimal"/>
      <w:lvlText w:val="%1.%2.%3.%4.%5.%6."/>
      <w:lvlJc w:val="left"/>
      <w:pPr>
        <w:ind w:left="0" w:hanging="0"/>
      </w:pPr>
      <w:rPr>
        <w:rFonts w:hint="default" w:ascii="" w:hAnsi="" w:cs=""/>
        <w:spacing w:val="0"/>
      </w:rPr>
    </w:lvl>
    <w:lvl w:ilvl="4">
      <w:start w:val="1"/>
      <w:numFmt w:val="decimal"/>
      <w:lvlText w:val="%1.%2.%3.%4.%5."/>
      <w:lvlJc w:val="left"/>
      <w:pPr>
        <w:ind w:left="0" w:hanging="0"/>
      </w:pPr>
      <w:rPr>
        <w:rFonts w:hint="default" w:ascii="" w:hAnsi="" w:cs=""/>
        <w:spacing w:val="0"/>
      </w:rPr>
    </w:lvl>
    <w:lvl w:ilvl="3">
      <w:start w:val="1"/>
      <w:numFmt w:val="decimal"/>
      <w:lvlText w:val="%1.%2.%3.%4."/>
      <w:lvlJc w:val="left"/>
      <w:pPr>
        <w:ind w:left="0" w:hanging="0"/>
      </w:pPr>
      <w:rPr>
        <w:rFonts w:hint="default" w:ascii="" w:hAnsi="" w:cs=""/>
        <w:spacing w:val="0"/>
      </w:rPr>
    </w:lvl>
    <w:lvl w:ilvl="2">
      <w:start w:val="1"/>
      <w:numFmt w:val="decimal"/>
      <w:lvlText w:val="%1.%2.%3."/>
      <w:lvlJc w:val="left"/>
      <w:pPr>
        <w:tabs/>
        <w:ind w:left="0" w:hanging="0"/>
      </w:pPr>
      <w:rPr>
        <w:rFonts w:hint="default" w:ascii="" w:hAnsi="" w:cs=""/>
        <w:spacing w:val="0"/>
      </w:rPr>
    </w:lvl>
  </w:abstractNum>
  <w:abstractNum w:abstractNumId="6">
    <w:lvl w:ilvl="3">
      <w:start w:val="1"/>
      <w:numFmt w:val="decimal"/>
      <w:lvlText w:val="%4."/>
      <w:lvlJc w:val="left"/>
      <w:pPr>
        <w:ind w:left="1896" w:hanging="336"/>
      </w:pPr>
    </w:lvl>
    <w:lvl w:ilvl="7">
      <w:start w:val="1"/>
      <w:numFmt w:val="lowerLetter"/>
      <w:lvlText w:val="%8."/>
      <w:lvlJc w:val="left"/>
      <w:pPr>
        <w:ind w:left="3656" w:hanging="336"/>
      </w:pPr>
    </w:lvl>
    <w:lvl w:ilvl="6">
      <w:start w:val="1"/>
      <w:numFmt w:val="decimal"/>
      <w:lvlText w:val="%7."/>
      <w:lvlJc w:val="left"/>
      <w:pPr>
        <w:ind w:left="3216" w:hanging="336"/>
      </w:pPr>
    </w:lvl>
    <w:lvl w:ilvl="0">
      <w:start w:val="1"/>
      <w:numFmt w:val="decimal"/>
      <w:lvlText w:val="%1."/>
      <w:lvlJc w:val="left"/>
      <w:pPr>
        <w:tabs/>
        <w:ind w:left="57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456" w:hanging="336"/>
      </w:pPr>
    </w:lvl>
    <w:lvl w:ilvl="1">
      <w:start w:val="1"/>
      <w:numFmt w:val="lowerLetter"/>
      <w:lvlText w:val="%2."/>
      <w:lvlJc w:val="left"/>
      <w:pPr>
        <w:ind w:left="1016" w:hanging="336"/>
      </w:pPr>
    </w:lvl>
    <w:lvl w:ilvl="4">
      <w:start w:val="1"/>
      <w:numFmt w:val="lowerLetter"/>
      <w:lvlText w:val="%5."/>
      <w:lvlJc w:val="left"/>
      <w:pPr>
        <w:ind w:left="2336" w:hanging="336"/>
      </w:pPr>
    </w:lvl>
    <w:lvl w:ilvl="8">
      <w:start w:val="1"/>
      <w:numFmt w:val="lowerRoman"/>
      <w:lvlText w:val="%9."/>
      <w:lvlJc w:val="left"/>
      <w:pPr>
        <w:ind w:left="4096" w:hanging="336"/>
      </w:pPr>
    </w:lvl>
    <w:lvl w:ilvl="5">
      <w:start w:val="1"/>
      <w:numFmt w:val="lowerRoman"/>
      <w:lvlText w:val="%6."/>
      <w:lvlJc w:val="left"/>
      <w:pPr>
        <w:ind w:left="2776" w:hanging="336"/>
      </w:pPr>
    </w:lvl>
  </w:abstractNum>
  <w:abstractNum w:abstractNumId="7">
    <w:lvl w:ilvl="8">
      <w:start w:val="1"/>
      <w:numFmt w:val="lowerRoman"/>
      <w:lvlText w:val="%9."/>
      <w:lvlJc w:val="left"/>
      <w:pPr>
        <w:ind w:left="4096" w:hanging="336"/>
      </w:pPr>
    </w:lvl>
    <w:lvl w:ilvl="2">
      <w:start w:val="1"/>
      <w:numFmt w:val="lowerRoman"/>
      <w:lvlText w:val="%3."/>
      <w:lvlJc w:val="left"/>
      <w:pPr>
        <w:ind w:left="1456" w:hanging="336"/>
      </w:pPr>
    </w:lvl>
    <w:lvl w:ilvl="5">
      <w:start w:val="1"/>
      <w:numFmt w:val="lowerRoman"/>
      <w:lvlText w:val="%6."/>
      <w:lvlJc w:val="left"/>
      <w:pPr>
        <w:ind w:left="2776" w:hanging="336"/>
      </w:pPr>
    </w:lvl>
    <w:lvl w:ilvl="4">
      <w:start w:val="1"/>
      <w:numFmt w:val="lowerLetter"/>
      <w:lvlText w:val="%5."/>
      <w:lvlJc w:val="left"/>
      <w:pPr>
        <w:ind w:left="2336" w:hanging="336"/>
      </w:pPr>
    </w:lvl>
    <w:lvl w:ilvl="3">
      <w:start w:val="1"/>
      <w:numFmt w:val="decimal"/>
      <w:lvlText w:val="%4."/>
      <w:lvlJc w:val="left"/>
      <w:pPr>
        <w:ind w:left="1896" w:hanging="336"/>
      </w:pPr>
    </w:lvl>
    <w:lvl w:ilvl="0">
      <w:start w:val="4"/>
      <w:numFmt w:val="decimal"/>
      <w:lvlText w:val="%1."/>
      <w:lvlJc w:val="left"/>
      <w:pPr>
        <w:ind w:left="57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1016" w:hanging="336"/>
      </w:pPr>
    </w:lvl>
    <w:lvl w:ilvl="6">
      <w:start w:val="1"/>
      <w:numFmt w:val="decimal"/>
      <w:lvlText w:val="%7."/>
      <w:lvlJc w:val="left"/>
      <w:pPr>
        <w:ind w:left="3216" w:hanging="336"/>
      </w:pPr>
    </w:lvl>
    <w:lvl w:ilvl="7">
      <w:start w:val="1"/>
      <w:numFmt w:val="lowerLetter"/>
      <w:lvlText w:val="%8."/>
      <w:lvlJc w:val="left"/>
      <w:pPr>
        <w:ind w:left="3656" w:hanging="336"/>
      </w:pPr>
    </w:lvl>
  </w:abstractNum>
  <w:num w:numId="5">
    <w:abstractNumId w:val="1"/>
  </w:num>
  <w:num w:numId="4">
    <w:abstractNumId w:val="4"/>
  </w:num>
  <w:num w:numId="6">
    <w:abstractNumId w:val="6"/>
  </w:num>
  <w:num w:numId="2">
    <w:abstractNumId w:val="3"/>
  </w:num>
  <w:num w:numId="3">
    <w:abstractNumId w:val="2"/>
  </w:num>
  <w:num w:numId="1">
    <w:abstractNumId w:val="5"/>
  </w:num>
  <w:num w:numId="7">
    <w:abstractNumId w:val="7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wfnx54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4fy1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rsiq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lftxi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qr6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nzvs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drf33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rj02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apnf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303m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kea9g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d3hop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6h4n9">
    <w:name w:val="Table Grid"/>
    <w:basedOn w:val="ed95z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jmnz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88tb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u4uzd">
    <w:name w:val="Table Grid"/>
    <w:basedOn w:val="d3hop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f9tzw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86d9b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3hdf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ed95z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22ojz">
    <w:name w:val="Table Grid"/>
    <w:basedOn w:val="p4iiv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jjosn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gsew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5zz4xk">
    <w:name w:val="Table Grid"/>
    <w:basedOn w:val="86d9b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ruzy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cl6mt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p4iiv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zg263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ygk6n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ysgjk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2yb4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ea65p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jjbs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7kek6j">
    <w:name w:val="Table Grid"/>
    <w:basedOn w:val="3dp9xm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hduyg">
    <w:name w:val="Table Grid"/>
    <w:basedOn w:val="yshc4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qrub4">
    <w:name w:val="Table Grid"/>
    <w:basedOn w:val="0jmnz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i97q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160e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aph3f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ot2lr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tsgq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h24b4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3dp9xm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y7a20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5sr3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yshc4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wyoll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sy5o6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w0z7v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l54o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lwup4a">
    <w:name w:val="Table Grid"/>
    <w:basedOn w:val="sy5o6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tgzmjx">
    <w:name w:val="Table Grid"/>
    <w:basedOn w:val="kea9g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yi39g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ciw3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n4gkjb">
    <w:name w:val="Table Grid"/>
    <w:basedOn w:val="lftxi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jpg" /><Relationship Id="rId4" Type="http://schemas.openxmlformats.org/officeDocument/2006/relationships/image" Target="media/image1.jpg" /><Relationship Id="rId13" Type="http://schemas.openxmlformats.org/officeDocument/2006/relationships/image" Target="media/image10.jpg" /><Relationship Id="rId12" Type="http://schemas.openxmlformats.org/officeDocument/2006/relationships/image" Target="media/image9.jpg" /><Relationship Id="rId10" Type="http://schemas.openxmlformats.org/officeDocument/2006/relationships/image" Target="media/image7.jpg" /><Relationship Id="rId6" Type="http://schemas.openxmlformats.org/officeDocument/2006/relationships/image" Target="media/image3.jp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0" Type="http://schemas.openxmlformats.org/officeDocument/2006/relationships/image" Target="media/image17.png" /><Relationship Id="rId8" Type="http://schemas.openxmlformats.org/officeDocument/2006/relationships/image" Target="media/image5.png" /><Relationship Id="rId15" Type="http://schemas.openxmlformats.org/officeDocument/2006/relationships/image" Target="media/image12.jpg" /><Relationship Id="rId3" Type="http://schemas.openxmlformats.org/officeDocument/2006/relationships/numbering" Target="numbering.xml" /><Relationship Id="rId16" Type="http://schemas.openxmlformats.org/officeDocument/2006/relationships/image" Target="media/image13.jpg" /><Relationship Id="rId17" Type="http://schemas.openxmlformats.org/officeDocument/2006/relationships/image" Target="media/image14.jpg" /><Relationship Id="rId14" Type="http://schemas.openxmlformats.org/officeDocument/2006/relationships/image" Target="media/image11.jpg" /><Relationship Id="rId18" Type="http://schemas.openxmlformats.org/officeDocument/2006/relationships/image" Target="media/image15.png" /><Relationship Id="rId5" Type="http://schemas.openxmlformats.org/officeDocument/2006/relationships/image" Target="media/image2.jpg" /><Relationship Id="rId21" Type="http://schemas.openxmlformats.org/officeDocument/2006/relationships/image" Target="media/image18.png" /><Relationship Id="rId11" Type="http://schemas.openxmlformats.org/officeDocument/2006/relationships/image" Target="media/image8.jpg" /><Relationship Id="rId19" Type="http://schemas.openxmlformats.org/officeDocument/2006/relationships/image" Target="media/image16.png" /><Relationship Id="rId9" Type="http://schemas.openxmlformats.org/officeDocument/2006/relationships/image" Target="media/image6.jp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2026-06-15T16:50:04Z</dcterms:created>
  <dcterms:modified xsi:type="dcterms:W3CDTF">2026-06-15T16:50:04Z</dcterms:modified>
</cp:coreProperties>
</file>