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FUNCTION FEEDBACK FORM - 2025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Name:</w:t>
            </w:r>
          </w:p>
        </w:tc>
        <w:tc>
          <w:tcPr>
            <w:tcW w:type="dxa" w:w="2160"/>
          </w:tcPr>
          <w:p>
            <w:r>
              <w:t>Emma Laurent</w:t>
            </w:r>
          </w:p>
        </w:tc>
        <w:tc>
          <w:tcPr>
            <w:tcW w:type="dxa" w:w="2160"/>
          </w:tcPr>
          <w:p>
            <w:r>
              <w:t>Period:</w:t>
            </w:r>
          </w:p>
        </w:tc>
        <w:tc>
          <w:tcPr>
            <w:tcW w:type="dxa" w:w="2160"/>
          </w:tcPr>
          <w:p>
            <w:r>
              <w:t>January - December 2025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Role: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</w:tr>
      <w:tr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788"/>
          <w:sz w:val="24"/>
        </w:rPr>
        <w:t>1. Please describe the employee's participation in the internal function in the recent period*</w:t>
      </w:r>
    </w:p>
    <w:p>
      <w:pPr>
        <w:pStyle w:val="ListParagraph"/>
        <w:ind w:left="360"/>
      </w:pPr>
      <w:r>
        <w:rPr>
          <w:sz w:val="22"/>
        </w:rPr>
        <w:t>Emma co-led the relaunch of the QA Community of Practice, which had been dormant for 18 months. She established a regular bi-monthly cadence, recruited 8 new members, and ran 4 sessions in 2025 with an average of 22 attendees. She created a shared resource library containing 15 QA templates now used by practitioners across the team.</w:t>
        <w:br/>
        <w:br/>
        <w:t>Emma also took on a buddy-mentor role in the Graduate Induction Programme, supporting two 2025 graduate joiners through their 6-month induction. Both graduates are now operating independently ahead of the programme's expectations.</w:t>
        <w:br/>
        <w:br/>
        <w:t>She presented the Meridian Retail engagement as a case study at the internal Project Showcase event, attended by 40 colleagues, and produced a lessons-learned document that has since been referenced in two subsequent QA engagements.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