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1440" w:after="360"/>
        <w:jc w:val="center"/>
      </w:pPr>
      <w:r>
        <w:rPr>
          <w:rFonts w:ascii="Times New Roman" w:hAnsi="Times New Roman" w:eastAsia="SimSun"/>
          <w:b/>
          <w:sz w:val="36"/>
        </w:rPr>
        <w:t>Cohort-Aware Descriptive Analysis of Directionality and Heterogeneity of Nucleus Pulposus Transcriptional Programs across Public Human Intervertebral Disc Degeneration Datasets</w:t>
      </w:r>
    </w:p>
    <w:p>
      <w:pPr>
        <w:keepNext/>
        <w:spacing w:before="280" w:after="120"/>
      </w:pPr>
      <w:r>
        <w:rPr>
          <w:rFonts w:ascii="Times New Roman" w:hAnsi="Times New Roman" w:eastAsia="SimSun"/>
          <w:b/>
          <w:sz w:val="28"/>
        </w:rPr>
        <w:t>Title Page</w:t>
      </w:r>
    </w:p>
    <w:p>
      <w:pPr>
        <w:keepNext/>
        <w:spacing w:before="80" w:after="120" w:line="240" w:lineRule="auto"/>
      </w:pPr>
      <w:r>
        <w:rPr>
          <w:rFonts w:ascii="Times New Roman" w:hAnsi="Times New Roman" w:eastAsia="SimSun"/>
          <w:b/>
          <w:sz w:val="18"/>
        </w:rPr>
        <w:t>Article type:</w:t>
      </w:r>
      <w:r>
        <w:rPr>
          <w:rFonts w:ascii="Times New Roman" w:hAnsi="Times New Roman" w:eastAsia="SimSun"/>
          <w:b w:val="0"/>
          <w:sz w:val="18"/>
        </w:rPr>
        <w:t xml:space="preserve"> Original Research</w:t>
      </w:r>
    </w:p>
    <w:p>
      <w:pPr>
        <w:keepNext/>
        <w:spacing w:before="80" w:after="120" w:line="240" w:lineRule="auto"/>
      </w:pPr>
      <w:r>
        <w:rPr>
          <w:rFonts w:ascii="Times New Roman" w:hAnsi="Times New Roman" w:eastAsia="SimSun"/>
          <w:b/>
          <w:sz w:val="18"/>
        </w:rPr>
        <w:t>Short title:</w:t>
      </w:r>
      <w:r>
        <w:rPr>
          <w:rFonts w:ascii="Times New Roman" w:hAnsi="Times New Roman" w:eastAsia="SimSun"/>
          <w:b w:val="0"/>
          <w:sz w:val="18"/>
        </w:rPr>
        <w:t xml:space="preserve"> Cohort-aware IVDD program analysis</w:t>
      </w:r>
    </w:p>
    <w:p>
      <w:pPr>
        <w:keepNext/>
        <w:spacing w:before="80" w:after="120" w:line="240" w:lineRule="auto"/>
      </w:pPr>
      <w:r>
        <w:rPr>
          <w:rFonts w:ascii="Times New Roman" w:hAnsi="Times New Roman" w:eastAsia="SimSun"/>
          <w:b/>
          <w:sz w:val="18"/>
        </w:rPr>
        <w:t>Authors:</w:t>
      </w:r>
      <w:r>
        <w:rPr>
          <w:rFonts w:ascii="Times New Roman" w:hAnsi="Times New Roman" w:eastAsia="SimSun"/>
          <w:b w:val="0"/>
          <w:sz w:val="18"/>
        </w:rPr>
        <w:t xml:space="preserve"> [Author names to be inserted after author approval]</w:t>
      </w:r>
    </w:p>
    <w:p>
      <w:pPr>
        <w:keepNext/>
        <w:spacing w:before="80" w:after="120" w:line="240" w:lineRule="auto"/>
      </w:pPr>
      <w:r>
        <w:rPr>
          <w:rFonts w:ascii="Times New Roman" w:hAnsi="Times New Roman" w:eastAsia="SimSun"/>
          <w:b/>
          <w:sz w:val="18"/>
        </w:rPr>
        <w:t>Affiliations:</w:t>
      </w:r>
      <w:r>
        <w:rPr>
          <w:rFonts w:ascii="Times New Roman" w:hAnsi="Times New Roman" w:eastAsia="SimSun"/>
          <w:b w:val="0"/>
          <w:sz w:val="18"/>
        </w:rPr>
        <w:t xml:space="preserve"> [Affiliations to be inserted after author approval]</w:t>
      </w:r>
    </w:p>
    <w:p>
      <w:pPr>
        <w:keepNext/>
        <w:spacing w:before="80" w:after="120" w:line="240" w:lineRule="auto"/>
      </w:pPr>
      <w:r>
        <w:rPr>
          <w:rFonts w:ascii="Times New Roman" w:hAnsi="Times New Roman" w:eastAsia="SimSun"/>
          <w:b/>
          <w:sz w:val="18"/>
        </w:rPr>
        <w:t>Corresponding author:</w:t>
      </w:r>
      <w:r>
        <w:rPr>
          <w:rFonts w:ascii="Times New Roman" w:hAnsi="Times New Roman" w:eastAsia="SimSun"/>
          <w:b w:val="0"/>
          <w:sz w:val="18"/>
        </w:rPr>
        <w:t xml:space="preserve"> [Name, postal address, email, and telephone number to be inserted]</w:t>
      </w:r>
    </w:p>
    <w:p>
      <w:pPr>
        <w:keepNext/>
        <w:spacing w:before="80" w:after="120" w:line="240" w:lineRule="auto"/>
      </w:pPr>
      <w:r>
        <w:rPr>
          <w:rFonts w:ascii="Times New Roman" w:hAnsi="Times New Roman" w:eastAsia="SimSun"/>
          <w:b/>
          <w:sz w:val="18"/>
        </w:rPr>
        <w:t>Word count:</w:t>
      </w:r>
      <w:r>
        <w:rPr>
          <w:rFonts w:ascii="Times New Roman" w:hAnsi="Times New Roman" w:eastAsia="SimSun"/>
          <w:b w:val="0"/>
          <w:sz w:val="18"/>
        </w:rPr>
        <w:t xml:space="preserve"> approximately 2,456 words, excluding title page, references, figure legends, and tables</w:t>
      </w:r>
    </w:p>
    <w:p>
      <w:pPr>
        <w:keepNext/>
        <w:spacing w:before="80" w:after="120" w:line="240" w:lineRule="auto"/>
      </w:pPr>
      <w:r>
        <w:rPr>
          <w:rFonts w:ascii="Times New Roman" w:hAnsi="Times New Roman" w:eastAsia="SimSun"/>
          <w:b/>
          <w:sz w:val="18"/>
        </w:rPr>
        <w:t>Figures and tables:</w:t>
      </w:r>
      <w:r>
        <w:rPr>
          <w:rFonts w:ascii="Times New Roman" w:hAnsi="Times New Roman" w:eastAsia="SimSun"/>
          <w:b w:val="0"/>
          <w:sz w:val="18"/>
        </w:rPr>
        <w:t xml:space="preserve"> graphical abstract; 2 main figures; 2 main tables; 5 supplementary figures; 9 supplementary table packages</w:t>
      </w:r>
    </w:p>
    <w:p>
      <w:r>
        <w:br w:type="page"/>
      </w:r>
    </w:p>
    <w:p>
      <w:pPr>
        <w:keepNext/>
        <w:spacing w:before="280" w:after="120"/>
      </w:pPr>
      <w:r>
        <w:rPr>
          <w:rFonts w:ascii="Times New Roman" w:hAnsi="Times New Roman" w:eastAsia="SimSun"/>
          <w:b/>
          <w:sz w:val="28"/>
        </w:rPr>
        <w:t>Abstract</w:t>
      </w:r>
    </w:p>
    <w:p>
      <w:pPr>
        <w:spacing w:line="360" w:lineRule="auto" w:after="120"/>
        <w:jc w:val="both"/>
      </w:pPr>
      <w:r>
        <w:rPr>
          <w:rFonts w:ascii="Times New Roman" w:hAnsi="Times New Roman" w:eastAsia="SimSun"/>
          <w:b w:val="0"/>
          <w:sz w:val="24"/>
        </w:rPr>
        <w:t>Public single-cell intervertebral disc degeneration (IVDD) datasets often contain many cells but few independently observed donors, and clinical and processing differences complicate cross-cohort comparison. We conducted a cohort-aware descriptive analysis of four nucleus pulposus (NP) transcriptional programs: extracellular matrix (ECM)/collagen remodeling, inflammatory/nuclear factor-kappa B (NF-κB) response, hypoxia/oxidative stress, and disc-matrix homeostasis. The observation unit was the donor or, where needed, an explicitly labelled presumed donor, sample, or library key; cells were nested observations. Four audited NP cohorts contributed to the frozen default summary, which contained 20 effects: 16 NP effects and 4 exploratory annulus fibrosus (AF) effects from the GSE230809 parent project. We estimated cohort-specific differences between groups recorded as higher versus lower severity with descriptive Welch and donor or library bootstrap 95% intervals and leave-one-key-out stability. Exactly 55 of 55 score-to-ledger identity matches passed. Hypoxia/oxidative stress was the only NP program with positive point estimates in all four default cohorts (0.1776, 0.2381, 0.0882, and 0.4346), although every Welch interval included zero. The other three programs showed discordant directions. Separate exploratory standardized syntheses did not alter the default analysis. In a post hoc six-cohort expansion, the hypoxia standardized mean difference was 0.7694 (95% CI 0.1706 to 1.3682); after source-family replacement, it was 0.5746 (95% CI -0.7231 to 1.8723). These results suggest a descriptive hypoxia-related direction for future study amid substantial cohort-level heterogeneity. They do not establish a universal IVDD program, biological mechanism, biomarker, or therapeutic target.</w:t>
      </w:r>
    </w:p>
    <w:p>
      <w:pPr>
        <w:keepNext/>
        <w:spacing w:before="280" w:after="120"/>
      </w:pPr>
      <w:r>
        <w:rPr>
          <w:rFonts w:ascii="Times New Roman" w:hAnsi="Times New Roman" w:eastAsia="SimSun"/>
          <w:b/>
          <w:sz w:val="28"/>
        </w:rPr>
        <w:t>Keywords</w:t>
      </w:r>
    </w:p>
    <w:p>
      <w:pPr>
        <w:spacing w:line="360" w:lineRule="auto" w:after="120"/>
        <w:jc w:val="both"/>
      </w:pPr>
      <w:r>
        <w:rPr>
          <w:rFonts w:ascii="Times New Roman" w:hAnsi="Times New Roman" w:eastAsia="SimSun"/>
          <w:b w:val="0"/>
          <w:sz w:val="24"/>
        </w:rPr>
        <w:t>intervertebral disc degeneration; nucleus pulposus; public transcriptomic data; single-cell transcriptomics; cohort heterogeneity; reproducibility</w:t>
      </w:r>
    </w:p>
    <w:p>
      <w:r>
        <w:br w:type="page"/>
      </w:r>
    </w:p>
    <w:p>
      <w:pPr>
        <w:keepNext/>
        <w:spacing w:before="280" w:after="120"/>
      </w:pPr>
      <w:r>
        <w:rPr>
          <w:rFonts w:ascii="Times New Roman" w:hAnsi="Times New Roman" w:eastAsia="SimSun"/>
          <w:b/>
          <w:sz w:val="28"/>
        </w:rPr>
        <w:t>Graphical Abstract</w:t>
      </w:r>
    </w:p>
    <w:p>
      <w:pPr>
        <w:spacing w:line="360" w:lineRule="auto" w:after="120"/>
        <w:jc w:val="both"/>
      </w:pPr>
      <w:r>
        <w:rPr>
          <w:rFonts w:ascii="Times New Roman" w:hAnsi="Times New Roman" w:eastAsia="SimSun"/>
          <w:b w:val="0"/>
          <w:sz w:val="24"/>
        </w:rPr>
        <w:t>Public human IVDD cohorts were evaluated with donor or explicitly labelled presumed sample or library keys as the observation unit. Cells remained nested observations. Program definitions were locked before external scoring.</w:t>
      </w:r>
    </w:p>
    <w:p>
      <w:pPr>
        <w:jc w:val="center"/>
      </w:pPr>
      <w:r>
        <w:drawing>
          <wp:inline xmlns:a="http://schemas.openxmlformats.org/drawingml/2006/main" xmlns:pic="http://schemas.openxmlformats.org/drawingml/2006/picture">
            <wp:extent cx="5669280" cy="2556439"/>
            <wp:docPr id="1" name="Picture 1"/>
            <wp:cNvGraphicFramePr>
              <a:graphicFrameLocks noChangeAspect="1"/>
            </wp:cNvGraphicFramePr>
            <a:graphic>
              <a:graphicData uri="http://schemas.openxmlformats.org/drawingml/2006/picture">
                <pic:pic>
                  <pic:nvPicPr>
                    <pic:cNvPr id="0" name="graphical_abstract_cohort_aware_ivdd.png"/>
                    <pic:cNvPicPr/>
                  </pic:nvPicPr>
                  <pic:blipFill>
                    <a:blip r:embed="rId11"/>
                    <a:stretch>
                      <a:fillRect/>
                    </a:stretch>
                  </pic:blipFill>
                  <pic:spPr>
                    <a:xfrm>
                      <a:off x="0" y="0"/>
                      <a:ext cx="5669280" cy="2556439"/>
                    </a:xfrm>
                    <a:prstGeom prst="rect"/>
                  </pic:spPr>
                </pic:pic>
              </a:graphicData>
            </a:graphic>
          </wp:inline>
        </w:drawing>
      </w:r>
    </w:p>
    <w:p/>
    <w:p>
      <w:pPr>
        <w:keepNext/>
        <w:spacing w:before="280" w:after="120"/>
      </w:pPr>
      <w:r>
        <w:rPr>
          <w:rFonts w:ascii="Times New Roman" w:hAnsi="Times New Roman" w:eastAsia="SimSun"/>
          <w:b/>
          <w:sz w:val="28"/>
        </w:rPr>
        <w:t>Introduction</w:t>
      </w:r>
    </w:p>
    <w:p>
      <w:pPr>
        <w:spacing w:line="360" w:lineRule="auto" w:after="120"/>
        <w:jc w:val="both"/>
      </w:pPr>
      <w:r>
        <w:rPr>
          <w:rFonts w:ascii="Times New Roman" w:hAnsi="Times New Roman" w:eastAsia="SimSun"/>
          <w:b w:val="0"/>
          <w:sz w:val="24"/>
        </w:rPr>
        <w:t>Intervertebral disc degeneration is a clinically important and biologically heterogeneous condition. Public single-cell transcriptomic datasets provide an opportunity to compare molecular programs across human samples [3,7,10,12,13], but cell counts do not replace independent donor- or sample-key-level observations [2,14]. Analyses that pool cells across cohorts can make a direction appear precise while obscuring donor nesting, clinical-source differences, and processing boundaries.</w:t>
      </w:r>
    </w:p>
    <w:p>
      <w:pPr>
        <w:spacing w:line="360" w:lineRule="auto" w:after="120"/>
        <w:jc w:val="both"/>
      </w:pPr>
      <w:r>
        <w:rPr>
          <w:rFonts w:ascii="Times New Roman" w:hAnsi="Times New Roman" w:eastAsia="SimSun"/>
          <w:b w:val="0"/>
          <w:sz w:val="24"/>
        </w:rPr>
        <w:t>Recent human IVDD studies have also integrated multiple public datasets or focused on specific NP states [12,13,15]. We therefore do not claim that the present study is the first multi-cohort IVDD integration; its narrower aim is to preserve the available observation structure and report where cohort-specific NP program directions agree or disagree.</w:t>
      </w:r>
    </w:p>
    <w:p>
      <w:pPr>
        <w:spacing w:line="360" w:lineRule="auto" w:after="120"/>
        <w:jc w:val="both"/>
      </w:pPr>
      <w:r>
        <w:rPr>
          <w:rFonts w:ascii="Times New Roman" w:hAnsi="Times New Roman" w:eastAsia="SimSun"/>
          <w:b w:val="0"/>
          <w:sz w:val="24"/>
        </w:rPr>
        <w:t>Here, we asked whether four project-locked NP expression programs showed aligned or discordant directions across independently processed public datasets. The study was designed as a provenance-aware descriptive evidence audit. It was not designed to identify an age-independent disease effect, establish a cellular lineage or mechanism, develop a clinical classifier, or nominate a treatment target.</w:t>
      </w:r>
    </w:p>
    <w:p>
      <w:pPr>
        <w:keepNext/>
        <w:spacing w:before="280" w:after="120"/>
      </w:pPr>
      <w:r>
        <w:rPr>
          <w:rFonts w:ascii="Times New Roman" w:hAnsi="Times New Roman" w:eastAsia="SimSun"/>
          <w:b/>
          <w:sz w:val="28"/>
        </w:rPr>
        <w:t>Methods</w:t>
      </w:r>
    </w:p>
    <w:p>
      <w:pPr>
        <w:keepNext/>
        <w:spacing w:before="180" w:after="120"/>
      </w:pPr>
      <w:r>
        <w:rPr>
          <w:rFonts w:ascii="Times New Roman" w:hAnsi="Times New Roman" w:eastAsia="SimSun"/>
          <w:b/>
          <w:sz w:val="24"/>
        </w:rPr>
        <w:t>Study design, public datasets, and inference boundary</w:t>
      </w:r>
    </w:p>
    <w:p>
      <w:pPr>
        <w:spacing w:line="360" w:lineRule="auto" w:after="120"/>
        <w:jc w:val="both"/>
      </w:pPr>
      <w:r>
        <w:rPr>
          <w:rFonts w:ascii="Times New Roman" w:hAnsi="Times New Roman" w:eastAsia="SimSun"/>
          <w:b w:val="0"/>
          <w:sz w:val="24"/>
        </w:rPr>
        <w:t>Table 1 and Supplementary Table S2 describe cohort roles, recorded group structures, observation keys, and identity checks. Annulus fibrosus (AF) denotes the outer annular compartment; extracellular matrix (ECM) denotes the matrix program label; and nuclear factor-kappa B (NF-κB) denotes the inflammatory transcriptional response label.</w:t>
      </w:r>
    </w:p>
    <w:p>
      <w:pPr>
        <w:spacing w:line="360" w:lineRule="auto" w:after="120"/>
        <w:jc w:val="both"/>
      </w:pPr>
      <w:r>
        <w:rPr>
          <w:rFonts w:ascii="Times New Roman" w:hAnsi="Times New Roman" w:eastAsia="SimSun"/>
          <w:b w:val="0"/>
          <w:sz w:val="24"/>
        </w:rPr>
        <w:t>GSE229711 and GSE230808 were treated as the single GSE230809 parent project, not as discovery and validation cohorts. This project contains three young low-grade donors per compartment and older advanced-degeneration donors, so age and recorded disease state are fully confounded. AF and NP contrasts from this parent project were therefore exploratory advanced-degeneration-associated displays only.</w:t>
      </w:r>
    </w:p>
    <w:p>
      <w:pPr>
        <w:spacing w:line="360" w:lineRule="auto" w:after="120"/>
        <w:jc w:val="both"/>
      </w:pPr>
      <w:r>
        <w:rPr>
          <w:rFonts w:ascii="Times New Roman" w:hAnsi="Times New Roman" w:eastAsia="SimSun"/>
          <w:b w:val="0"/>
          <w:sz w:val="24"/>
        </w:rPr>
        <w:t xml:space="preserve">External NP cohorts were analyzed independently. GSE244889 supplied four mild and three severe title-derived presumed donor/library keys. GSE153066 supplied eight relatively normal and eight degenerated sample-prefixed keys, but clinical source and age were confounded with disease status. GSE165722 supplied four mild and four severe presumed sample keys using the source publication's severity grouping; GEO describes its integer-like matrices as normalized counts, so it was restricted to score-level direction and stability analysis [10,11]. GSE251686 underwent a separate audited 2-versus-3 exploratory score analysis [16,17]. During this project's stream-integrity audit, </w:t>
      </w:r>
      <w:r>
        <w:rPr>
          <w:rFonts w:ascii="Consolas" w:hAnsi="Consolas" w:eastAsia="SimSun"/>
          <w:b w:val="0"/>
          <w:sz w:val="24"/>
        </w:rPr>
        <w:t>GSM7986002</w:t>
      </w:r>
      <w:r>
        <w:rPr>
          <w:rFonts w:ascii="Times New Roman" w:hAnsi="Times New Roman" w:eastAsia="SimSun"/>
          <w:b w:val="0"/>
          <w:sz w:val="24"/>
        </w:rPr>
        <w:t xml:space="preserve"> was permanently excluded. This non-balanced display was deliberately omitted from the default 20-effect summary because of the integrity failure and limitations in sample identity and covariate information; it was neither used as validation nor treated as replication. Supplementary Figure S2 depicts this cohort disposition and the separation of the default and isolated analysis streams.</w:t>
      </w:r>
    </w:p>
    <w:p>
      <w:pPr>
        <w:spacing w:line="360" w:lineRule="auto" w:after="120"/>
        <w:jc w:val="both"/>
      </w:pPr>
      <w:r>
        <w:rPr>
          <w:rFonts w:ascii="Times New Roman" w:hAnsi="Times New Roman" w:eastAsia="SimSun"/>
          <w:b w:val="0"/>
          <w:sz w:val="24"/>
        </w:rPr>
        <w:t>The cohort provenance was checked against the corresponding GEO series and, where available, the linked source publication: GSE244889 [7,8], GSE153066 [9], and GSE251686 [16,17]. The GSE153066 GEO record currently lists no associated citation, so that accession is cited as a database record rather than attributed to an unverified article [9].</w:t>
      </w:r>
    </w:p>
    <w:p>
      <w:pPr>
        <w:spacing w:line="360" w:lineRule="auto" w:after="120"/>
        <w:jc w:val="both"/>
      </w:pPr>
      <w:r>
        <w:rPr>
          <w:rFonts w:ascii="Times New Roman" w:hAnsi="Times New Roman" w:eastAsia="SimSun"/>
          <w:b w:val="0"/>
          <w:sz w:val="24"/>
        </w:rPr>
        <w:t>After the default analysis was frozen, GSE186542 was audited as a small early-Pfirrmann-I--III versus advanced-IV--V NP score-level contrast (3 versus 3) [22]. Its GEO SOFT metadata do not list a linked PubMed record, so it is cited as an accession only. GSE167931 supplied one normal-versus-degenerated fragments per kilobase of transcript per million mapped reads (FPKM) representation (4 versus 5); its paired transcripts per million (TPM) matrix was retained only as a same-sample processing sensitivity [23-25]. GSE245147 supplied a native Degenerated-versus-No-degenerated reads per kilobase per million mapped reads (RPKM) subset (3 versus 3) after passage and treatment arms were excluded [26,27]. GSE167931 and GSE245147 were not pooled together because their source family and patient-level independence could not be resolved from public metadata.</w:t>
      </w:r>
    </w:p>
    <w:p>
      <w:pPr>
        <w:keepNext/>
        <w:spacing w:before="180" w:after="120"/>
      </w:pPr>
      <w:r>
        <w:rPr>
          <w:rFonts w:ascii="Times New Roman" w:hAnsi="Times New Roman" w:eastAsia="SimSun"/>
          <w:b/>
          <w:sz w:val="24"/>
        </w:rPr>
        <w:t>Locked program definition, scoring, and descriptive effect displays</w:t>
      </w:r>
    </w:p>
    <w:p>
      <w:pPr>
        <w:spacing w:line="360" w:lineRule="auto" w:after="120"/>
        <w:jc w:val="both"/>
      </w:pPr>
      <w:r>
        <w:rPr>
          <w:rFonts w:ascii="Times New Roman" w:hAnsi="Times New Roman" w:eastAsia="SimSun"/>
          <w:b w:val="0"/>
          <w:sz w:val="24"/>
        </w:rPr>
        <w:t xml:space="preserve">The four module definitions were locked within the project before external scoring. This was a timestamped, versioned analysis lock rather than a prospective study registration. Supplementary Table S3 records the locking time, source identifiers, gene lists, and SHA-256 hashes. At least 80% of the locked genes had to map in a score. The pathway components were anchored to the KEGG and Reactome knowledgebases [18,19] and to the cited IVDD source studies [3,10]. A higher score means higher expression of the listed genes only; it does not imply benefit, harm, causality, or therapeutic relevance. For verified raw 10x matrices, source-restricted, QC-passing cells were aggregated within donor or library and counts per million (CPM) was the per-library normalization scale, and each module score was the mean mapped-gene </w:t>
      </w:r>
      <w:r>
        <w:rPr>
          <w:rFonts w:ascii="Consolas" w:hAnsi="Consolas" w:eastAsia="SimSun"/>
          <w:b w:val="0"/>
          <w:sz w:val="24"/>
        </w:rPr>
        <w:t>log1p(CPM)</w:t>
      </w:r>
      <w:r>
        <w:rPr>
          <w:rFonts w:ascii="Times New Roman" w:hAnsi="Times New Roman" w:eastAsia="SimSun"/>
          <w:b w:val="0"/>
          <w:sz w:val="24"/>
        </w:rPr>
        <w:t xml:space="preserve"> value. For the externally supplied dense or normalized matrices, the same score definition was applied only within the declared matrix-processing boundary. Original archives, input hashes, and score-to-ledger identities were retained in the reproducibility contract (Supplementary Table S6).</w:t>
      </w:r>
    </w:p>
    <w:p>
      <w:pPr>
        <w:spacing w:line="360" w:lineRule="auto" w:after="120"/>
        <w:jc w:val="both"/>
      </w:pPr>
      <w:r>
        <w:rPr>
          <w:rFonts w:ascii="Times New Roman" w:hAnsi="Times New Roman" w:eastAsia="SimSun"/>
          <w:b w:val="0"/>
          <w:sz w:val="24"/>
        </w:rPr>
        <w:t>For every cohort, compartment, and module, we calculated the unweighted mean difference between groups recorded as higher versus lower severity; positive values therefore mean higher minus lower. Welch and within-group donor/library bootstrap intervals were displayed as descriptive uncertainty summaries. Leave-one-key-out (LOKO) analyses assessed whether the sign was retained; the complete default leave-one-key-out output is provided in Supplementary Table S4. The frozen default cross-cohort sign-alignment display was summarized without a pooled effect, formal meta-analysis, p-value, or replication decision.</w:t>
      </w:r>
    </w:p>
    <w:p>
      <w:pPr>
        <w:keepNext/>
        <w:spacing w:before="180" w:after="120"/>
      </w:pPr>
      <w:r>
        <w:rPr>
          <w:rFonts w:ascii="Times New Roman" w:hAnsi="Times New Roman" w:eastAsia="SimSun"/>
          <w:b/>
          <w:sz w:val="24"/>
        </w:rPr>
        <w:t>Exploratory supplementary standardized syntheses</w:t>
      </w:r>
    </w:p>
    <w:p>
      <w:pPr>
        <w:spacing w:line="360" w:lineRule="auto" w:after="120"/>
        <w:jc w:val="both"/>
      </w:pPr>
      <w:r>
        <w:rPr>
          <w:rFonts w:ascii="Times New Roman" w:hAnsi="Times New Roman" w:eastAsia="SimSun"/>
          <w:b w:val="0"/>
          <w:sz w:val="24"/>
        </w:rPr>
        <w:t xml:space="preserve">S7-S9 used one higher-minus-lower NP effect per cohort and module. The primary effect was the heteroscedastic standardized mean difference (SMDH), fitted with a restricted maximum likelihood (REML) random-effects model and Knapp-Hartung confidence intervals. Conventional pooled-SD Hedges </w:t>
      </w:r>
      <w:r>
        <w:rPr>
          <w:rFonts w:ascii="Times New Roman" w:hAnsi="Times New Roman" w:eastAsia="SimSun"/>
          <w:b w:val="0"/>
          <w:i/>
          <w:sz w:val="24"/>
        </w:rPr>
        <w:t>g</w:t>
      </w:r>
      <w:r>
        <w:rPr>
          <w:rFonts w:ascii="Times New Roman" w:hAnsi="Times New Roman" w:eastAsia="SimSun"/>
          <w:b w:val="0"/>
          <w:sz w:val="24"/>
        </w:rPr>
        <w:t xml:space="preserve"> and Paule-Mandel tau-squared estimates were model sensitivities. All three packages recorded </w:t>
      </w:r>
      <w:r>
        <w:rPr>
          <w:rFonts w:ascii="Consolas" w:hAnsi="Consolas" w:eastAsia="SimSun"/>
          <w:b w:val="0"/>
          <w:sz w:val="24"/>
        </w:rPr>
        <w:t>metafor</w:t>
      </w:r>
      <w:r>
        <w:rPr>
          <w:rFonts w:ascii="Times New Roman" w:hAnsi="Times New Roman" w:eastAsia="SimSun"/>
          <w:b w:val="0"/>
          <w:sz w:val="24"/>
        </w:rPr>
        <w:t xml:space="preserve"> REML </w:t>
      </w:r>
      <w:r>
        <w:rPr>
          <w:rFonts w:ascii="Consolas" w:hAnsi="Consolas" w:eastAsia="SimSun"/>
          <w:b w:val="0"/>
          <w:sz w:val="24"/>
        </w:rPr>
        <w:t>maxiter = 10000</w:t>
      </w:r>
      <w:r>
        <w:rPr>
          <w:rFonts w:ascii="Times New Roman" w:hAnsi="Times New Roman" w:eastAsia="SimSun"/>
          <w:b w:val="0"/>
          <w:sz w:val="24"/>
        </w:rPr>
        <w:t xml:space="preserve">, while retaining all other </w:t>
      </w:r>
      <w:r>
        <w:rPr>
          <w:rFonts w:ascii="Consolas" w:hAnsi="Consolas" w:eastAsia="SimSun"/>
          <w:b w:val="0"/>
          <w:sz w:val="24"/>
        </w:rPr>
        <w:t>metafor</w:t>
      </w:r>
      <w:r>
        <w:rPr>
          <w:rFonts w:ascii="Times New Roman" w:hAnsi="Times New Roman" w:eastAsia="SimSun"/>
          <w:b w:val="0"/>
          <w:sz w:val="24"/>
        </w:rPr>
        <w:t xml:space="preserve"> control defaults. Four module-level Hartung-Knapp-Sidik-Jonkman (HKSJ) p-values and their Benjamini-Hochberg (BH) adjustments were included solely for transparent reporting, not as confirmation or replication tests.</w:t>
      </w:r>
    </w:p>
    <w:p>
      <w:pPr>
        <w:spacing w:line="360" w:lineRule="auto" w:after="120"/>
        <w:jc w:val="both"/>
      </w:pPr>
      <w:r>
        <w:rPr>
          <w:rFonts w:ascii="Times New Roman" w:hAnsi="Times New Roman" w:eastAsia="SimSun"/>
          <w:b w:val="0"/>
          <w:sz w:val="24"/>
        </w:rPr>
        <w:t>S7 independently standardized the four default NP cohorts (</w:t>
      </w:r>
      <w:r>
        <w:rPr>
          <w:rFonts w:ascii="Consolas" w:hAnsi="Consolas" w:eastAsia="SimSun"/>
          <w:b w:val="0"/>
          <w:sz w:val="24"/>
        </w:rPr>
        <w:t>k = 4</w:t>
      </w:r>
      <w:r>
        <w:rPr>
          <w:rFonts w:ascii="Times New Roman" w:hAnsi="Times New Roman" w:eastAsia="SimSun"/>
          <w:b w:val="0"/>
          <w:sz w:val="24"/>
        </w:rPr>
        <w:t>). S8 was a post hoc six-cohort score-level expansion that added GSE186542 and GSE167931 FPKM (</w:t>
      </w:r>
      <w:r>
        <w:rPr>
          <w:rFonts w:ascii="Consolas" w:hAnsi="Consolas" w:eastAsia="SimSun"/>
          <w:b w:val="0"/>
          <w:sz w:val="24"/>
        </w:rPr>
        <w:t>k = 6</w:t>
      </w:r>
      <w:r>
        <w:rPr>
          <w:rFonts w:ascii="Times New Roman" w:hAnsi="Times New Roman" w:eastAsia="SimSun"/>
          <w:b w:val="0"/>
          <w:sz w:val="24"/>
        </w:rPr>
        <w:t>). S9 used the same design but replaced GSE167931 with the native GSE245147 subset (</w:t>
      </w:r>
      <w:r>
        <w:rPr>
          <w:rFonts w:ascii="Consolas" w:hAnsi="Consolas" w:eastAsia="SimSun"/>
          <w:b w:val="0"/>
          <w:sz w:val="24"/>
        </w:rPr>
        <w:t>k = 6</w:t>
      </w:r>
      <w:r>
        <w:rPr>
          <w:rFonts w:ascii="Times New Roman" w:hAnsi="Times New Roman" w:eastAsia="SimSun"/>
          <w:b w:val="0"/>
          <w:sz w:val="24"/>
        </w:rPr>
        <w:t>). These packages did not modify the frozen default 20-effect summary, and small cohort counts, cross-platform score scales, unverified patient-level independence, and source-family uncertainty precluded confirmatory interpretation.</w:t>
      </w:r>
    </w:p>
    <w:p>
      <w:pPr>
        <w:spacing w:line="360" w:lineRule="auto" w:after="120"/>
        <w:jc w:val="both"/>
      </w:pPr>
      <w:r>
        <w:rPr>
          <w:rFonts w:ascii="Times New Roman" w:hAnsi="Times New Roman" w:eastAsia="SimSun"/>
          <w:b w:val="0"/>
          <w:sz w:val="24"/>
        </w:rPr>
        <w:t>The donor-level treatment of cells follows the multi-sample principle used in single-cell population-level analyses [14]. Welch intervals were used for the unweighted difference because the two arms need not have equal variances [20], and percentile intervals were generated by resampling donor/library keys within each arm [21].</w:t>
      </w:r>
    </w:p>
    <w:p>
      <w:pPr>
        <w:keepNext/>
        <w:spacing w:before="180" w:after="120"/>
      </w:pPr>
      <w:r>
        <w:rPr>
          <w:rFonts w:ascii="Times New Roman" w:hAnsi="Times New Roman" w:eastAsia="SimSun"/>
          <w:b/>
          <w:sz w:val="24"/>
        </w:rPr>
        <w:t>Computational reproducibility</w:t>
      </w:r>
    </w:p>
    <w:p>
      <w:pPr>
        <w:spacing w:line="360" w:lineRule="auto" w:after="120"/>
        <w:jc w:val="both"/>
      </w:pPr>
      <w:r>
        <w:rPr>
          <w:rFonts w:ascii="Times New Roman" w:hAnsi="Times New Roman" w:eastAsia="SimSun"/>
          <w:b w:val="0"/>
          <w:sz w:val="24"/>
        </w:rPr>
        <w:t xml:space="preserve">The default summary used 95% Welch intervals and 10,000 independent donor or library bootstrap draws per contrast. Cohort-, compartment-, and module-specific deterministic seeds were derived from root seed 20260814. Scores with a mapped-gene fraction below 80% were excluded with an audit row. The S7-S9 syntheses used R 4.4.1, </w:t>
      </w:r>
      <w:r>
        <w:rPr>
          <w:rFonts w:ascii="Consolas" w:hAnsi="Consolas" w:eastAsia="SimSun"/>
          <w:b w:val="0"/>
          <w:sz w:val="24"/>
        </w:rPr>
        <w:t>metafor</w:t>
      </w:r>
      <w:r>
        <w:rPr>
          <w:rFonts w:ascii="Times New Roman" w:hAnsi="Times New Roman" w:eastAsia="SimSun"/>
          <w:b w:val="0"/>
          <w:sz w:val="24"/>
        </w:rPr>
        <w:t xml:space="preserve"> 4.8.0, and REML control </w:t>
      </w:r>
      <w:r>
        <w:rPr>
          <w:rFonts w:ascii="Consolas" w:hAnsi="Consolas" w:eastAsia="SimSun"/>
          <w:b w:val="0"/>
          <w:sz w:val="24"/>
        </w:rPr>
        <w:t>maxiter = 10000</w:t>
      </w:r>
      <w:r>
        <w:rPr>
          <w:rFonts w:ascii="Times New Roman" w:hAnsi="Times New Roman" w:eastAsia="SimSun"/>
          <w:b w:val="0"/>
          <w:sz w:val="24"/>
        </w:rPr>
        <w:t>. Input, output, environment, and generator hashes are indexed in Supplementary Table S6 and the submission-support manifest.</w:t>
      </w:r>
    </w:p>
    <w:p>
      <w:pPr>
        <w:keepNext/>
        <w:spacing w:before="280" w:after="120"/>
      </w:pPr>
      <w:r>
        <w:rPr>
          <w:rFonts w:ascii="Times New Roman" w:hAnsi="Times New Roman" w:eastAsia="SimSun"/>
          <w:b/>
          <w:sz w:val="28"/>
        </w:rPr>
        <w:t>Results</w:t>
      </w:r>
    </w:p>
    <w:p>
      <w:pPr>
        <w:keepNext/>
        <w:spacing w:before="180" w:after="120"/>
      </w:pPr>
      <w:r>
        <w:rPr>
          <w:rFonts w:ascii="Times New Roman" w:hAnsi="Times New Roman" w:eastAsia="SimSun"/>
          <w:b/>
          <w:sz w:val="24"/>
        </w:rPr>
        <w:t>Cohort disposition and reproducibility</w:t>
      </w:r>
    </w:p>
    <w:p>
      <w:pPr>
        <w:spacing w:line="360" w:lineRule="auto" w:after="120"/>
        <w:jc w:val="both"/>
      </w:pPr>
      <w:r>
        <w:rPr>
          <w:rFonts w:ascii="Times New Roman" w:hAnsi="Times New Roman" w:eastAsia="SimSun"/>
          <w:b w:val="0"/>
          <w:sz w:val="24"/>
        </w:rPr>
        <w:t xml:space="preserve">The default descriptive summary contains 20 cohort/compartment/module effects from the four score cohorts listed in Table 1, with 55/55 exact score-to-ledger sample-key matches (Supplementary Tables S2 and S6). All four cohorts have </w:t>
      </w:r>
      <w:r>
        <w:rPr>
          <w:rFonts w:ascii="Consolas" w:hAnsi="Consolas" w:eastAsia="SimSun"/>
          <w:b w:val="0"/>
          <w:sz w:val="24"/>
        </w:rPr>
        <w:t>confirmatory_eligible=false</w:t>
      </w:r>
      <w:r>
        <w:rPr>
          <w:rFonts w:ascii="Times New Roman" w:hAnsi="Times New Roman" w:eastAsia="SimSun"/>
          <w:b w:val="0"/>
          <w:sz w:val="24"/>
        </w:rPr>
        <w:t>. GSE230809 contributes exploratory AF and NP contrasts; GSE244889 contributes a 4-versus-3 NP external score-level contrast; GSE153066 contributes an 8-versus-8 NP external dense-count contrast; and GSE165722 contributes a 4-versus-4 NP normalized-count score-level descriptive contrast. GSE251686 is not part of this default summary, sign alignment, or either main figure (Supplementary Figure S2).</w:t>
      </w:r>
    </w:p>
    <w:p>
      <w:pPr>
        <w:keepNext/>
        <w:spacing w:before="180" w:after="120"/>
      </w:pPr>
      <w:r>
        <w:rPr>
          <w:rFonts w:ascii="Times New Roman" w:hAnsi="Times New Roman" w:eastAsia="SimSun"/>
          <w:b/>
          <w:sz w:val="24"/>
        </w:rPr>
        <w:t>Default NP directional patterns</w:t>
      </w:r>
    </w:p>
    <w:p>
      <w:pPr>
        <w:spacing w:line="360" w:lineRule="auto" w:after="120"/>
        <w:jc w:val="both"/>
      </w:pPr>
      <w:r>
        <w:rPr>
          <w:rFonts w:ascii="Times New Roman" w:hAnsi="Times New Roman" w:eastAsia="SimSun"/>
          <w:b w:val="0"/>
          <w:sz w:val="24"/>
        </w:rPr>
        <w:t xml:space="preserve">In NP, the hypoxia/oxidative-stress module had a positive higher-recorded-severity point estimate in each of the four default contrasts: 0.1776 in GSE230809, 0.2381 in GSE244889, 0.0882 in GSE153066, and 0.4346 in GSE165722 (Table 2 and Figures 1-2). The corresponding descriptive Welch 95% intervals were </w:t>
      </w:r>
      <w:r>
        <w:rPr>
          <w:rFonts w:ascii="Consolas" w:hAnsi="Consolas" w:eastAsia="SimSun"/>
          <w:b w:val="0"/>
          <w:sz w:val="24"/>
        </w:rPr>
        <w:t>[-0.0245, 0.3798]</w:t>
      </w:r>
      <w:r>
        <w:rPr>
          <w:rFonts w:ascii="Times New Roman" w:hAnsi="Times New Roman" w:eastAsia="SimSun"/>
          <w:b w:val="0"/>
          <w:sz w:val="24"/>
        </w:rPr>
        <w:t xml:space="preserve">, </w:t>
      </w:r>
      <w:r>
        <w:rPr>
          <w:rFonts w:ascii="Consolas" w:hAnsi="Consolas" w:eastAsia="SimSun"/>
          <w:b w:val="0"/>
          <w:sz w:val="24"/>
        </w:rPr>
        <w:t>[-0.1314, 0.6076]</w:t>
      </w:r>
      <w:r>
        <w:rPr>
          <w:rFonts w:ascii="Times New Roman" w:hAnsi="Times New Roman" w:eastAsia="SimSun"/>
          <w:b w:val="0"/>
          <w:sz w:val="24"/>
        </w:rPr>
        <w:t xml:space="preserve">, </w:t>
      </w:r>
      <w:r>
        <w:rPr>
          <w:rFonts w:ascii="Consolas" w:hAnsi="Consolas" w:eastAsia="SimSun"/>
          <w:b w:val="0"/>
          <w:sz w:val="24"/>
        </w:rPr>
        <w:t>[-0.2166, 0.3929]</w:t>
      </w:r>
      <w:r>
        <w:rPr>
          <w:rFonts w:ascii="Times New Roman" w:hAnsi="Times New Roman" w:eastAsia="SimSun"/>
          <w:b w:val="0"/>
          <w:sz w:val="24"/>
        </w:rPr>
        <w:t xml:space="preserve">, and </w:t>
      </w:r>
      <w:r>
        <w:rPr>
          <w:rFonts w:ascii="Consolas" w:hAnsi="Consolas" w:eastAsia="SimSun"/>
          <w:b w:val="0"/>
          <w:sz w:val="24"/>
        </w:rPr>
        <w:t>[-0.0619, 0.9310]</w:t>
      </w:r>
      <w:r>
        <w:rPr>
          <w:rFonts w:ascii="Times New Roman" w:hAnsi="Times New Roman" w:eastAsia="SimSun"/>
          <w:b w:val="0"/>
          <w:sz w:val="24"/>
        </w:rPr>
        <w:t>; every interval included zero. Thus, the four positive point estimates are a descriptive sign pattern, not a robust cross-cohort replication result. ECM/collagen remodeling was positive in GSE230809, GSE244889, and GSE165722 but negative in GSE153066. Inflammatory/NF-κB was positive in GSE244889 and GSE153066 but negative in GSE230809 and GSE165722. Disc-matrix homeostasis was positive in GSE230809, GSE244889, and GSE165722 but negative in GSE153066 (Table 2 and Figures 1-2).</w:t>
      </w:r>
    </w:p>
    <w:p>
      <w:pPr>
        <w:keepNext/>
        <w:spacing w:before="180" w:after="120"/>
      </w:pPr>
      <w:r>
        <w:rPr>
          <w:rFonts w:ascii="Times New Roman" w:hAnsi="Times New Roman" w:eastAsia="SimSun"/>
          <w:b/>
          <w:sz w:val="24"/>
        </w:rPr>
        <w:t>Isolated GSE251686 analysis</w:t>
      </w:r>
    </w:p>
    <w:p>
      <w:pPr>
        <w:spacing w:line="360" w:lineRule="auto" w:after="120"/>
        <w:jc w:val="both"/>
      </w:pPr>
      <w:r>
        <w:rPr>
          <w:rFonts w:ascii="Times New Roman" w:hAnsi="Times New Roman" w:eastAsia="SimSun"/>
          <w:b w:val="0"/>
          <w:sz w:val="24"/>
        </w:rPr>
        <w:t xml:space="preserve">The separately audited GSE251686 sensitivity analysis retained five presumed sample/library keys after permanent exclusion of </w:t>
      </w:r>
      <w:r>
        <w:rPr>
          <w:rFonts w:ascii="Consolas" w:hAnsi="Consolas" w:eastAsia="SimSun"/>
          <w:b w:val="0"/>
          <w:sz w:val="24"/>
        </w:rPr>
        <w:t>GSM7986002</w:t>
      </w:r>
      <w:r>
        <w:rPr>
          <w:rFonts w:ascii="Times New Roman" w:hAnsi="Times New Roman" w:eastAsia="SimSun"/>
          <w:b w:val="0"/>
          <w:sz w:val="24"/>
        </w:rPr>
        <w:t xml:space="preserve"> (mild n=2 and severe n=3). Its hypoxia/oxidative-stress point estimate was negative (</w:t>
      </w:r>
      <w:r>
        <w:rPr>
          <w:rFonts w:ascii="Consolas" w:hAnsi="Consolas" w:eastAsia="SimSun"/>
          <w:b w:val="0"/>
          <w:sz w:val="24"/>
        </w:rPr>
        <w:t>-0.0778</w:t>
      </w:r>
      <w:r>
        <w:rPr>
          <w:rFonts w:ascii="Times New Roman" w:hAnsi="Times New Roman" w:eastAsia="SimSun"/>
          <w:b w:val="0"/>
          <w:sz w:val="24"/>
        </w:rPr>
        <w:t xml:space="preserve">; Welch 95% interval </w:t>
      </w:r>
      <w:r>
        <w:rPr>
          <w:rFonts w:ascii="Consolas" w:hAnsi="Consolas" w:eastAsia="SimSun"/>
          <w:b w:val="0"/>
          <w:sz w:val="24"/>
        </w:rPr>
        <w:t>[-1.7214, 1.5658]</w:t>
      </w:r>
      <w:r>
        <w:rPr>
          <w:rFonts w:ascii="Times New Roman" w:hAnsi="Times New Roman" w:eastAsia="SimSun"/>
          <w:b w:val="0"/>
          <w:sz w:val="24"/>
        </w:rPr>
        <w:t>), and the four module effects are reported in Supplementary Table S1 and Supplementary Figure S1. This isolated result was not pooled, counted in default sign alignment, or used to alter the four-cohort default result.</w:t>
      </w:r>
    </w:p>
    <w:p>
      <w:pPr>
        <w:keepNext/>
        <w:spacing w:before="180" w:after="120"/>
      </w:pPr>
      <w:r>
        <w:rPr>
          <w:rFonts w:ascii="Times New Roman" w:hAnsi="Times New Roman" w:eastAsia="SimSun"/>
          <w:b/>
          <w:sz w:val="24"/>
        </w:rPr>
        <w:t>Exploratory supplementary syntheses</w:t>
      </w:r>
    </w:p>
    <w:p>
      <w:pPr>
        <w:spacing w:line="360" w:lineRule="auto" w:after="120"/>
        <w:jc w:val="both"/>
      </w:pPr>
      <w:r>
        <w:rPr>
          <w:rFonts w:ascii="Times New Roman" w:hAnsi="Times New Roman" w:eastAsia="SimSun"/>
          <w:b w:val="0"/>
          <w:sz w:val="24"/>
        </w:rPr>
        <w:t>The separate S7 synthesis yielded SMDH values of 1.0481 (95% CI -0.9965 to 3.0926) for ECM/collagen remodeling, 0.2809 (-1.1432 to 1.7050) for inflammatory/NF-κB, 0.8184 (-0.1285 to 1.7654) for hypoxia/oxidative stress, and 0.1453 (-0.3679 to 0.6585) for disc-matrix homeostasis (Supplementary Tables S7a-S7d and Supplementary Figure S3). These four exploratory intervals all included zero.</w:t>
      </w:r>
    </w:p>
    <w:p>
      <w:pPr>
        <w:spacing w:line="360" w:lineRule="auto" w:after="120"/>
        <w:jc w:val="both"/>
      </w:pPr>
      <w:r>
        <w:rPr>
          <w:rFonts w:ascii="Times New Roman" w:hAnsi="Times New Roman" w:eastAsia="SimSun"/>
          <w:b w:val="0"/>
          <w:sz w:val="24"/>
        </w:rPr>
        <w:t>The post hoc S8 expansion yielded SMDH values of 0.7780 (-0.3532 to 1.9093), 0.4032 (-0.3991 to 1.2055), 0.7694 (0.1706 to 1.3682), and 0.3762 (-0.3017 to 1.0540) for ECM, inflammatory, hypoxia, and homeostasis, respectively (Supplementary Tables S8a-S8d and Supplementary Figure S4). The hypoxia HKSJ p-value was 0.0214 and its four-module BH value was 0.0856; these values are reported for transparency only. In S9, which replaced GSE167931 with GSE245147, the corresponding SMDH values were 1.0931 (-0.9186 to 3.1048), 0.4056 (-1.0004 to 1.8115), 0.5746 (-0.7231 to 1.8723), and 0.1046 (-1.0200 to 1.2292) (Supplementary Tables S9a-S9d and Supplementary Figure S5). The four S9 BH values were 0.6133, 0.6556, 0.6133, and 0.8205. The loss of the non-zero-crossing S8 hypoxia interval after replacement is a source-family sensitivity finding, not confirmation.</w:t>
      </w:r>
    </w:p>
    <w:p>
      <w:pPr>
        <w:keepNext/>
        <w:spacing w:before="180" w:after="120"/>
      </w:pPr>
      <w:r>
        <w:rPr>
          <w:rFonts w:ascii="Times New Roman" w:hAnsi="Times New Roman" w:eastAsia="SimSun"/>
          <w:b/>
          <w:sz w:val="24"/>
        </w:rPr>
        <w:t>Exploratory AF context and retained-cell threshold sensitivity</w:t>
      </w:r>
    </w:p>
    <w:p>
      <w:pPr>
        <w:spacing w:line="360" w:lineRule="auto" w:after="120"/>
        <w:jc w:val="both"/>
      </w:pPr>
      <w:r>
        <w:rPr>
          <w:rFonts w:ascii="Times New Roman" w:hAnsi="Times New Roman" w:eastAsia="SimSun"/>
          <w:b w:val="0"/>
          <w:sz w:val="24"/>
        </w:rPr>
        <w:t>AF results were available only from the GSE230809 parent project. Because the low-grade AF group contained three donors and was age-confounded with the advanced-degeneration group, these estimates are retained as exploratory context rather than external evidence; complete default leave-one-key-out results are available in Supplementary Table S4.</w:t>
      </w:r>
    </w:p>
    <w:p>
      <w:pPr>
        <w:spacing w:line="360" w:lineRule="auto" w:after="120"/>
        <w:jc w:val="both"/>
      </w:pPr>
      <w:r>
        <w:rPr>
          <w:rFonts w:ascii="Times New Roman" w:hAnsi="Times New Roman" w:eastAsia="SimSun"/>
          <w:b w:val="0"/>
          <w:sz w:val="24"/>
        </w:rPr>
        <w:t>The locked discovery retained-cell eligibility sensitivity analysis did not change the GSE230809 input set. All 24 donor/libraries passed the 20-, 30-, and 50-cell thresholds; the minimum source-restricted, QC-passing count was 471 cells. The 96 library-module scores and all eight AF/NP descriptive effects were identical across these thresholds (Supplementary Tables S5a and S5b). This result only shows that no library lay near the chosen eligibility cutoffs; it does not test robustness to alternative annotation, cell composition, or random cell downsampling.</w:t>
      </w:r>
    </w:p>
    <w:p>
      <w:pPr>
        <w:keepNext/>
        <w:spacing w:before="280" w:after="120"/>
      </w:pPr>
      <w:r>
        <w:rPr>
          <w:rFonts w:ascii="Times New Roman" w:hAnsi="Times New Roman" w:eastAsia="SimSun"/>
          <w:b/>
          <w:sz w:val="28"/>
        </w:rPr>
        <w:t>Discussion</w:t>
      </w:r>
    </w:p>
    <w:p>
      <w:pPr>
        <w:spacing w:line="360" w:lineRule="auto" w:after="120"/>
        <w:jc w:val="both"/>
      </w:pPr>
      <w:r>
        <w:rPr>
          <w:rFonts w:ascii="Times New Roman" w:hAnsi="Times New Roman" w:eastAsia="SimSun"/>
          <w:b w:val="0"/>
          <w:sz w:val="24"/>
        </w:rPr>
        <w:t>This cohort-aware analysis separates a modest, audit-supported observation from stronger claims the current data cannot sustain. The positive NP hypoxia/oxidative-stress point estimates in the four default contrasts are a descriptive cross-cohort pattern, but every associated Welch interval includes zero. They therefore do not demonstrate replication, mechanism, a severity biomarker, or a therapeutic target. The discordance of the ECM, inflammatory, and matrix-homeostasis scores shows why pooled cells or a single cohort should not be used to imply a universal degeneration program.</w:t>
      </w:r>
    </w:p>
    <w:p>
      <w:pPr>
        <w:spacing w:line="360" w:lineRule="auto" w:after="120"/>
        <w:jc w:val="both"/>
      </w:pPr>
      <w:r>
        <w:rPr>
          <w:rFonts w:ascii="Times New Roman" w:hAnsi="Times New Roman" w:eastAsia="SimSun"/>
          <w:b w:val="0"/>
          <w:sz w:val="24"/>
        </w:rPr>
        <w:t xml:space="preserve">The S7-S9 syntheses add a standardized effect-size description but do not remove this limitation. In particular, the S8 hypoxia interval excluded zero, whereas the S9 source-family replacement interval included zero. That change, along with post hoc cohort selection, </w:t>
      </w:r>
      <w:r>
        <w:rPr>
          <w:rFonts w:ascii="Consolas" w:hAnsi="Consolas" w:eastAsia="SimSun"/>
          <w:b w:val="0"/>
          <w:sz w:val="24"/>
        </w:rPr>
        <w:t>k = 4</w:t>
      </w:r>
      <w:r>
        <w:rPr>
          <w:rFonts w:ascii="Times New Roman" w:hAnsi="Times New Roman" w:eastAsia="SimSun"/>
          <w:b w:val="0"/>
          <w:sz w:val="24"/>
        </w:rPr>
        <w:t xml:space="preserve"> or </w:t>
      </w:r>
      <w:r>
        <w:rPr>
          <w:rFonts w:ascii="Consolas" w:hAnsi="Consolas" w:eastAsia="SimSun"/>
          <w:b w:val="0"/>
          <w:sz w:val="24"/>
        </w:rPr>
        <w:t>k = 6</w:t>
      </w:r>
      <w:r>
        <w:rPr>
          <w:rFonts w:ascii="Times New Roman" w:hAnsi="Times New Roman" w:eastAsia="SimSun"/>
          <w:b w:val="0"/>
          <w:sz w:val="24"/>
        </w:rPr>
        <w:t>, processing-scale differences, and unknown patient overlap, means that neither its p-values nor its intervals can establish replication, a biomarker, mechanism, or treatment effect.</w:t>
      </w:r>
    </w:p>
    <w:p>
      <w:pPr>
        <w:spacing w:line="360" w:lineRule="auto" w:after="120"/>
        <w:jc w:val="both"/>
      </w:pPr>
      <w:r>
        <w:rPr>
          <w:rFonts w:ascii="Times New Roman" w:hAnsi="Times New Roman" w:eastAsia="SimSun"/>
          <w:b w:val="0"/>
          <w:sz w:val="24"/>
        </w:rPr>
        <w:t>The study is limited by small cohorts, presumed rather than fully verified sample identities in several resources, complete age-disease confounding in GSE230809, clinical-source and age confounding in GSE153066, normalized-count restrictions in GSE165722, and the lack of an independent AF severity cohort. GSE251686 was transparently reported as an isolated sensitivity analysis rather than selected into the default summary after scoring. The four scores are locked expression summaries rather than clinical indices, and their cross-platform magnitudes are not pooled. Future work would require independently collected, adequately powered human cohorts with verified sample nesting and orthogonal biological measurements before any causal, mechanistic, prognostic, or therapeutic conclusion could be made.</w:t>
      </w:r>
    </w:p>
    <w:p>
      <w:pPr>
        <w:keepNext/>
        <w:spacing w:before="280" w:after="120"/>
      </w:pPr>
      <w:r>
        <w:rPr>
          <w:rFonts w:ascii="Times New Roman" w:hAnsi="Times New Roman" w:eastAsia="SimSun"/>
          <w:b/>
          <w:sz w:val="28"/>
        </w:rPr>
        <w:t>Conclusions</w:t>
      </w:r>
    </w:p>
    <w:p>
      <w:pPr>
        <w:spacing w:line="360" w:lineRule="auto" w:after="120"/>
        <w:jc w:val="both"/>
      </w:pPr>
      <w:r>
        <w:rPr>
          <w:rFonts w:ascii="Times New Roman" w:hAnsi="Times New Roman" w:eastAsia="SimSun"/>
          <w:b w:val="0"/>
          <w:sz w:val="24"/>
        </w:rPr>
        <w:t>Across four cohorts included in the default NP summary, only the direction of the hypoxia/oxidative-stress point estimate aligned, and its four descriptive Welch intervals all included zero. The remaining module directions were discordant. The separate S7-S9 syntheses were also non-confirmatory and source-family-sensitive. These results support transparent cohort-specific reporting and do not establish a universal IVDD transcriptional program.</w:t>
      </w:r>
    </w:p>
    <w:p>
      <w:pPr>
        <w:keepNext/>
        <w:spacing w:before="280" w:after="120"/>
      </w:pPr>
      <w:r>
        <w:rPr>
          <w:rFonts w:ascii="Times New Roman" w:hAnsi="Times New Roman" w:eastAsia="SimSun"/>
          <w:b/>
          <w:sz w:val="28"/>
        </w:rPr>
        <w:t>Data Availability</w:t>
      </w:r>
    </w:p>
    <w:p>
      <w:pPr>
        <w:spacing w:line="360" w:lineRule="auto" w:after="120"/>
        <w:jc w:val="both"/>
      </w:pPr>
      <w:r>
        <w:rPr>
          <w:rFonts w:ascii="Times New Roman" w:hAnsi="Times New Roman" w:eastAsia="SimSun"/>
          <w:b w:val="0"/>
          <w:sz w:val="24"/>
        </w:rPr>
        <w:t xml:space="preserve">All source data analyzed in this study are publicly available through NCBI GEO under GSE230809, GSE229711, GSE230808, GSE244889, GSE153066, GSE165722, and GSE251686, GSE186542, GSE167931, and GSE245147. GSE56081 was audited as a candidate-only microarray extension and was not analyzed for module effects. The project code, configurations, environment lock, derived tables, and manifests have not yet been archived in a public versioned repository. Before submission, the exact release used for the manuscript must be deposited in a public repository and an archival service that provides a persistent DOI; the repository URL and DOI should be inserted here: </w:t>
      </w:r>
      <w:r>
        <w:rPr>
          <w:rFonts w:ascii="Consolas" w:hAnsi="Consolas" w:eastAsia="SimSun"/>
          <w:b w:val="0"/>
          <w:sz w:val="24"/>
        </w:rPr>
        <w:t>[repository URL and DOI to be added before submission]</w:t>
      </w:r>
      <w:r>
        <w:rPr>
          <w:rFonts w:ascii="Times New Roman" w:hAnsi="Times New Roman" w:eastAsia="SimSun"/>
          <w:b w:val="0"/>
          <w:sz w:val="24"/>
        </w:rPr>
        <w:t>.</w:t>
      </w:r>
    </w:p>
    <w:p>
      <w:pPr>
        <w:keepNext/>
        <w:spacing w:before="280" w:after="120"/>
      </w:pPr>
      <w:r>
        <w:rPr>
          <w:rFonts w:ascii="Times New Roman" w:hAnsi="Times New Roman" w:eastAsia="SimSun"/>
          <w:b/>
          <w:sz w:val="28"/>
        </w:rPr>
        <w:t>Code Availability</w:t>
      </w:r>
    </w:p>
    <w:p>
      <w:pPr>
        <w:spacing w:line="360" w:lineRule="auto" w:after="120"/>
        <w:jc w:val="both"/>
      </w:pPr>
      <w:r>
        <w:rPr>
          <w:rFonts w:ascii="Times New Roman" w:hAnsi="Times New Roman" w:eastAsia="SimSun"/>
          <w:b w:val="0"/>
          <w:sz w:val="24"/>
        </w:rPr>
        <w:t>The versioned public code release must include the analysis scripts, locked configuration files, environment lock, generated result tables, and manifests referenced in Supplementary Table S6. This manuscript does not claim that code has already been publicly archived.</w:t>
      </w:r>
    </w:p>
    <w:p>
      <w:pPr>
        <w:keepNext/>
        <w:spacing w:before="280" w:after="120"/>
      </w:pPr>
      <w:r>
        <w:rPr>
          <w:rFonts w:ascii="Times New Roman" w:hAnsi="Times New Roman" w:eastAsia="SimSun"/>
          <w:b/>
          <w:sz w:val="28"/>
        </w:rPr>
        <w:t>Ethics Statement</w:t>
      </w:r>
    </w:p>
    <w:p>
      <w:pPr>
        <w:spacing w:line="360" w:lineRule="auto" w:after="120"/>
        <w:jc w:val="both"/>
      </w:pPr>
      <w:r>
        <w:rPr>
          <w:rFonts w:ascii="Times New Roman" w:hAnsi="Times New Roman" w:eastAsia="SimSun"/>
          <w:b w:val="0"/>
          <w:sz w:val="24"/>
        </w:rPr>
        <w:t xml:space="preserve">This work reanalyzes de-identified, publicly available data and involves no new participant recruitment, intervention, or specimen collection. Before submission, the corresponding author must confirm the applicable local institutional determination and add any required approval, exemption, or waiver identifier: </w:t>
      </w:r>
      <w:r>
        <w:rPr>
          <w:rFonts w:ascii="Consolas" w:hAnsi="Consolas" w:eastAsia="SimSun"/>
          <w:b w:val="0"/>
          <w:sz w:val="24"/>
        </w:rPr>
        <w:t>[ethics determination to be completed before submission]</w:t>
      </w:r>
      <w:r>
        <w:rPr>
          <w:rFonts w:ascii="Times New Roman" w:hAnsi="Times New Roman" w:eastAsia="SimSun"/>
          <w:b w:val="0"/>
          <w:sz w:val="24"/>
        </w:rPr>
        <w:t>.</w:t>
      </w:r>
    </w:p>
    <w:p>
      <w:pPr>
        <w:keepNext/>
        <w:spacing w:before="280" w:after="120"/>
      </w:pPr>
      <w:r>
        <w:rPr>
          <w:rFonts w:ascii="Times New Roman" w:hAnsi="Times New Roman" w:eastAsia="SimSun"/>
          <w:b/>
          <w:sz w:val="28"/>
        </w:rPr>
        <w:t>Informed Consent Statement</w:t>
      </w:r>
    </w:p>
    <w:p>
      <w:pPr>
        <w:spacing w:line="360" w:lineRule="auto" w:after="120"/>
        <w:jc w:val="both"/>
      </w:pPr>
      <w:r>
        <w:rPr>
          <w:rFonts w:ascii="Times New Roman" w:hAnsi="Times New Roman" w:eastAsia="SimSun"/>
          <w:b w:val="0"/>
          <w:sz w:val="24"/>
        </w:rPr>
        <w:t>No new participant consent was obtained for this secondary analysis of de-identified publicly available data. The corresponding author must confirm whether any dataset-specific consent wording is required before submission.</w:t>
      </w:r>
    </w:p>
    <w:p>
      <w:pPr>
        <w:keepNext/>
        <w:spacing w:before="280" w:after="120"/>
      </w:pPr>
      <w:r>
        <w:rPr>
          <w:rFonts w:ascii="Times New Roman" w:hAnsi="Times New Roman" w:eastAsia="SimSun"/>
          <w:b/>
          <w:sz w:val="28"/>
        </w:rPr>
        <w:t>Funding</w:t>
      </w:r>
    </w:p>
    <w:p>
      <w:pPr>
        <w:spacing w:line="360" w:lineRule="auto" w:after="120"/>
        <w:jc w:val="both"/>
      </w:pPr>
      <w:r>
        <w:rPr>
          <w:rFonts w:ascii="Consolas" w:hAnsi="Consolas" w:eastAsia="SimSun"/>
          <w:b w:val="0"/>
          <w:sz w:val="24"/>
        </w:rPr>
        <w:t>[Funding sources, grant numbers, and the funders' role to be completed before submission.]</w:t>
      </w:r>
    </w:p>
    <w:p>
      <w:pPr>
        <w:keepNext/>
        <w:spacing w:before="280" w:after="120"/>
      </w:pPr>
      <w:r>
        <w:rPr>
          <w:rFonts w:ascii="Times New Roman" w:hAnsi="Times New Roman" w:eastAsia="SimSun"/>
          <w:b/>
          <w:sz w:val="28"/>
        </w:rPr>
        <w:t>Competing Interests</w:t>
      </w:r>
    </w:p>
    <w:p>
      <w:pPr>
        <w:spacing w:line="360" w:lineRule="auto" w:after="120"/>
        <w:jc w:val="both"/>
      </w:pPr>
      <w:r>
        <w:rPr>
          <w:rFonts w:ascii="Consolas" w:hAnsi="Consolas" w:eastAsia="SimSun"/>
          <w:b w:val="0"/>
          <w:sz w:val="24"/>
        </w:rPr>
        <w:t>[Competing-interest declaration to be completed by all authors before submission.]</w:t>
      </w:r>
    </w:p>
    <w:p>
      <w:pPr>
        <w:keepNext/>
        <w:spacing w:before="280" w:after="120"/>
      </w:pPr>
      <w:r>
        <w:rPr>
          <w:rFonts w:ascii="Times New Roman" w:hAnsi="Times New Roman" w:eastAsia="SimSun"/>
          <w:b/>
          <w:sz w:val="28"/>
        </w:rPr>
        <w:t>Author Contributions</w:t>
      </w:r>
    </w:p>
    <w:p>
      <w:pPr>
        <w:spacing w:line="360" w:lineRule="auto" w:after="120"/>
        <w:jc w:val="both"/>
      </w:pPr>
      <w:r>
        <w:rPr>
          <w:rFonts w:ascii="Consolas" w:hAnsi="Consolas" w:eastAsia="SimSun"/>
          <w:b w:val="0"/>
          <w:sz w:val="24"/>
        </w:rPr>
        <w:t>[Author names and CRediT contributions to be completed and approved by all authors before submission.]</w:t>
      </w:r>
    </w:p>
    <w:p>
      <w:pPr>
        <w:keepNext/>
        <w:spacing w:before="280" w:after="120"/>
      </w:pPr>
      <w:r>
        <w:rPr>
          <w:rFonts w:ascii="Times New Roman" w:hAnsi="Times New Roman" w:eastAsia="SimSun"/>
          <w:b/>
          <w:sz w:val="28"/>
        </w:rPr>
        <w:t>Acknowledgements</w:t>
      </w:r>
    </w:p>
    <w:p>
      <w:pPr>
        <w:spacing w:line="360" w:lineRule="auto" w:after="120"/>
        <w:jc w:val="both"/>
      </w:pPr>
      <w:r>
        <w:rPr>
          <w:rFonts w:ascii="Times New Roman" w:hAnsi="Times New Roman" w:eastAsia="SimSun"/>
          <w:b w:val="0"/>
          <w:sz w:val="24"/>
        </w:rPr>
        <w:t>[To be completed after author approval. Do not list contributors or support not confirmed by the authors.]</w:t>
      </w:r>
    </w:p>
    <w:p>
      <w:r>
        <w:br w:type="page"/>
      </w:r>
    </w:p>
    <w:p>
      <w:pPr>
        <w:keepNext/>
        <w:spacing w:before="280" w:after="120"/>
      </w:pPr>
      <w:r>
        <w:rPr>
          <w:rFonts w:ascii="Times New Roman" w:hAnsi="Times New Roman" w:eastAsia="SimSun"/>
          <w:b/>
          <w:sz w:val="28"/>
        </w:rPr>
        <w:t>References</w:t>
      </w:r>
    </w:p>
    <w:p>
      <w:pPr>
        <w:spacing w:line="240" w:lineRule="auto" w:after="60"/>
        <w:ind w:left="357" w:hanging="357"/>
        <w:jc w:val="both"/>
      </w:pPr>
      <w:r>
        <w:rPr>
          <w:rFonts w:ascii="Times New Roman" w:hAnsi="Times New Roman" w:eastAsia="SimSun"/>
          <w:b w:val="0"/>
          <w:sz w:val="18"/>
        </w:rPr>
        <w:t>1. Barrett T, Wilhite SE, Ledoux P, Evangelista C, Kim IF, Tomashevsky M, Marshall KA, Phillippy KH, Sherman PM, Holko M, Yefanov A, Lee H, Zhang N, Robertson CL, Serova N, Davis S, Soboleva A. NCBI GEO: archive for functional genomics data sets-update. Nucleic Acids Research. 2013;41(Database issue):D991-D995. doi:10.1093/nar/gks1193.</w:t>
      </w:r>
    </w:p>
    <w:p>
      <w:pPr>
        <w:spacing w:line="240" w:lineRule="auto" w:after="60"/>
        <w:ind w:left="357" w:hanging="357"/>
        <w:jc w:val="both"/>
      </w:pPr>
      <w:r>
        <w:rPr>
          <w:rFonts w:ascii="Times New Roman" w:hAnsi="Times New Roman" w:eastAsia="SimSun"/>
          <w:b w:val="0"/>
          <w:sz w:val="18"/>
        </w:rPr>
        <w:t>2. Squair JW, Gautier M, Kathe C, Anderson MA, James ND, Hutson TH, Hudelle R, Qaiser T, Matson KJE, Barraud Q, Levine AJ, La Manno G, Skinnider MA, Courtine G. Confronting false discoveries in single-cell differential expression. Nature Communications. 2021;12(1):5692. doi:10.1038/s41467-021-25960-2.</w:t>
      </w:r>
    </w:p>
    <w:p>
      <w:pPr>
        <w:spacing w:line="240" w:lineRule="auto" w:after="60"/>
        <w:ind w:left="357" w:hanging="357"/>
        <w:jc w:val="both"/>
      </w:pPr>
      <w:r>
        <w:rPr>
          <w:rFonts w:ascii="Times New Roman" w:hAnsi="Times New Roman" w:eastAsia="SimSun"/>
          <w:b w:val="0"/>
          <w:sz w:val="18"/>
        </w:rPr>
        <w:t>3. Swahn H, Mertens J, Olmer M, Myers K, Mondala TS, Natarajan P, Head SR, Alvarez-Garcia O, Lotz MK. Shared and Compartment-Specific Processes in Nucleus Pulposus and Annulus Fibrosus During Intervertebral Disc Degeneration. Advanced Science. 2024;11(17):e2309032. doi:10.1002/advs.202309032.</w:t>
      </w:r>
    </w:p>
    <w:p>
      <w:pPr>
        <w:spacing w:line="240" w:lineRule="auto" w:after="60"/>
        <w:ind w:left="357" w:hanging="357"/>
        <w:jc w:val="both"/>
      </w:pPr>
      <w:r>
        <w:rPr>
          <w:rFonts w:ascii="Times New Roman" w:hAnsi="Times New Roman" w:eastAsia="SimSun"/>
          <w:b w:val="0"/>
          <w:sz w:val="18"/>
        </w:rPr>
        <w:t>4. NCBI Gene Expression Omnibus. GSE230809: Shared and compartment-specific processes in nucleus pulposus and annulus fibrosus during intervertebral disc degeneration [Internet]. GEO Series accession GSE230809. 2024. SuperSeries containing GSE229711 and GSE230808; accessed 2026-08-14. Available from: https://www.ncbi.nlm.nih.gov/geo/query/acc.cgi?acc=GSE230809.</w:t>
      </w:r>
    </w:p>
    <w:p>
      <w:pPr>
        <w:spacing w:line="240" w:lineRule="auto" w:after="60"/>
        <w:ind w:left="357" w:hanging="357"/>
        <w:jc w:val="both"/>
      </w:pPr>
      <w:r>
        <w:rPr>
          <w:rFonts w:ascii="Times New Roman" w:hAnsi="Times New Roman" w:eastAsia="SimSun"/>
          <w:b w:val="0"/>
          <w:sz w:val="18"/>
        </w:rPr>
        <w:t>5. NCBI Gene Expression Omnibus. GSE229711: The cellular landscape of the healthy human intervertebral disc [Internet]. GEO Series accession GSE229711. 2024. SubSeries of GSE230809; accessed 2026-08-14. Available from: https://www.ncbi.nlm.nih.gov/geo/query/acc.cgi?acc=GSE229711.</w:t>
      </w:r>
    </w:p>
    <w:p>
      <w:pPr>
        <w:spacing w:line="240" w:lineRule="auto" w:after="60"/>
        <w:ind w:left="357" w:hanging="357"/>
        <w:jc w:val="both"/>
      </w:pPr>
      <w:r>
        <w:rPr>
          <w:rFonts w:ascii="Times New Roman" w:hAnsi="Times New Roman" w:eastAsia="SimSun"/>
          <w:b w:val="0"/>
          <w:sz w:val="18"/>
        </w:rPr>
        <w:t>6. NCBI Gene Expression Omnibus. GSE230808: Shared and compartment-specific processes in nucleus pulposus and annulus fibrosus during intervertebral disc degeneration [Internet]. GEO Series accession GSE230808. 2024. SubSeries of GSE230809; accessed 2026-08-14. Available from: https://www.ncbi.nlm.nih.gov/geo/query/acc.cgi?acc=GSE230808.</w:t>
      </w:r>
    </w:p>
    <w:p>
      <w:pPr>
        <w:spacing w:line="240" w:lineRule="auto" w:after="60"/>
        <w:ind w:left="357" w:hanging="357"/>
        <w:jc w:val="both"/>
      </w:pPr>
      <w:r>
        <w:rPr>
          <w:rFonts w:ascii="Times New Roman" w:hAnsi="Times New Roman" w:eastAsia="SimSun"/>
          <w:b w:val="0"/>
          <w:sz w:val="18"/>
        </w:rPr>
        <w:t>7. Chen F, Lei L, Chen S, Zhao Z, Huang Y, Jiang G, Guo X, Li Z, Zheng Z, Wang J. Serglycin secreted by late-stage nucleus pulposus cells is a biomarker of intervertebral disc degeneration. Nature Communications. 2024;15(1):47. doi:10.1038/s41467-023-44313-9.</w:t>
      </w:r>
    </w:p>
    <w:p>
      <w:pPr>
        <w:spacing w:line="240" w:lineRule="auto" w:after="60"/>
        <w:ind w:left="357" w:hanging="357"/>
        <w:jc w:val="both"/>
      </w:pPr>
      <w:r>
        <w:rPr>
          <w:rFonts w:ascii="Times New Roman" w:hAnsi="Times New Roman" w:eastAsia="SimSun"/>
          <w:b w:val="0"/>
          <w:sz w:val="18"/>
        </w:rPr>
        <w:t>8. NCBI Gene Expression Omnibus. GSE244889: Gene expression profile at single cell level of nucleus pulposus cells from mild and severe degenerative intervertebral discs [Internet]. GEO Series accession GSE244889. 2023. Accessed 2026-08-14; GEO record links PMID 38167807 and later related publications. Available from: https://www.ncbi.nlm.nih.gov/geo/query/acc.cgi?acc=GSE244889.</w:t>
      </w:r>
    </w:p>
    <w:p>
      <w:pPr>
        <w:spacing w:line="240" w:lineRule="auto" w:after="60"/>
        <w:ind w:left="357" w:hanging="357"/>
        <w:jc w:val="both"/>
      </w:pPr>
      <w:r>
        <w:rPr>
          <w:rFonts w:ascii="Times New Roman" w:hAnsi="Times New Roman" w:eastAsia="SimSun"/>
          <w:b w:val="0"/>
          <w:sz w:val="18"/>
        </w:rPr>
        <w:t>9. NCBI Gene Expression Omnibus. GSE153066: Single cell sequencing of human nucleus pulposus [Internet]. GEO Series accession GSE153066. 2023. Accessed 2026-08-14; GEO record explicitly lists citation as missing. Available from: https://www.ncbi.nlm.nih.gov/geo/query/acc.cgi?acc=GSE153066.</w:t>
      </w:r>
    </w:p>
    <w:p>
      <w:pPr>
        <w:spacing w:line="240" w:lineRule="auto" w:after="60"/>
        <w:ind w:left="357" w:hanging="357"/>
        <w:jc w:val="both"/>
      </w:pPr>
      <w:r>
        <w:rPr>
          <w:rFonts w:ascii="Times New Roman" w:hAnsi="Times New Roman" w:eastAsia="SimSun"/>
          <w:b w:val="0"/>
          <w:sz w:val="18"/>
        </w:rPr>
        <w:t>10. Tu J, Li W, Li W, Yang S, Yang P, Yan Q, Wang S, Lai K, Bai X, Wu C, Ding W, Cooper-White J, Diwan A, Yang C, Yang H, Zou J. Single-Cell Transcriptome Profiling Reveals Multicellular Ecosystem of Nucleus Pulposus during Degeneration Progression. Advanced Science. 2022;9(3):e2103631. doi:10.1002/advs.202103631.</w:t>
      </w:r>
    </w:p>
    <w:p>
      <w:pPr>
        <w:spacing w:line="240" w:lineRule="auto" w:after="60"/>
        <w:ind w:left="357" w:hanging="357"/>
        <w:jc w:val="both"/>
      </w:pPr>
      <w:r>
        <w:rPr>
          <w:rFonts w:ascii="Times New Roman" w:hAnsi="Times New Roman" w:eastAsia="SimSun"/>
          <w:b w:val="0"/>
          <w:sz w:val="18"/>
        </w:rPr>
        <w:t>11. NCBI Gene Expression Omnibus. GSE165722: Single-cell transcriptome profiling reveals nucleus pulposus heterogeneity and immunity during degeneration progression [Internet]. GEO Series accession GSE165722. 2021. Accessed 2026-08-14; GEO supplementary matrices are described as normalized counts. Available from: https://www.ncbi.nlm.nih.gov/geo/query/acc.cgi?acc=GSE165722.</w:t>
      </w:r>
    </w:p>
    <w:p>
      <w:pPr>
        <w:spacing w:line="240" w:lineRule="auto" w:after="60"/>
        <w:ind w:left="357" w:hanging="357"/>
        <w:jc w:val="both"/>
      </w:pPr>
      <w:r>
        <w:rPr>
          <w:rFonts w:ascii="Times New Roman" w:hAnsi="Times New Roman" w:eastAsia="SimSun"/>
          <w:b w:val="0"/>
          <w:sz w:val="18"/>
        </w:rPr>
        <w:t>12. Wang D, Li Z, Huang W, Cao S, Xie L, Chen Y, Li H, Wang L, Chen X, Yang JR. Single-cell transcriptomics reveals heterogeneity and intercellular crosstalk in human intervertebral disc degeneration. iScience. 2023;26(5):106692. doi:10.1016/j.isci.2023.106692.</w:t>
      </w:r>
    </w:p>
    <w:p>
      <w:pPr>
        <w:spacing w:line="240" w:lineRule="auto" w:after="60"/>
        <w:ind w:left="357" w:hanging="357"/>
        <w:jc w:val="both"/>
      </w:pPr>
      <w:r>
        <w:rPr>
          <w:rFonts w:ascii="Times New Roman" w:hAnsi="Times New Roman" w:eastAsia="SimSun"/>
          <w:b w:val="0"/>
          <w:sz w:val="18"/>
        </w:rPr>
        <w:t>13. Sun Y, Peng Y, Su Z, So KKH, Lu Q, Lyu M, Zuo J, Huang Y, Guan Z, Cheung KMC, Zheng Z, Zhang X, Leung VYL. Fibrocyte enrichment and myofibroblastic adaptation causes nucleus pulposus fibrosis and associates with disc degeneration severity. Bone Research. 2025;13(1):10. doi:10.1038/s41413-024-00372-2.</w:t>
      </w:r>
    </w:p>
    <w:p>
      <w:pPr>
        <w:spacing w:line="240" w:lineRule="auto" w:after="60"/>
        <w:ind w:left="357" w:hanging="357"/>
        <w:jc w:val="both"/>
      </w:pPr>
      <w:r>
        <w:rPr>
          <w:rFonts w:ascii="Times New Roman" w:hAnsi="Times New Roman" w:eastAsia="SimSun"/>
          <w:b w:val="0"/>
          <w:sz w:val="18"/>
        </w:rPr>
        <w:t>14. Crowell HL, Soneson C, Germain PL, Calini D, Collin L, Raposo C, Malhotra D, Robinson MD. muscat detects subpopulation-specific state transitions from multi-sample multi-condition single-cell transcriptomics data. Nature Communications. 2020;11(1):6077. doi:10.1038/s41467-020-19894-4.</w:t>
      </w:r>
    </w:p>
    <w:p>
      <w:pPr>
        <w:spacing w:line="240" w:lineRule="auto" w:after="60"/>
        <w:ind w:left="357" w:hanging="357"/>
        <w:jc w:val="both"/>
      </w:pPr>
      <w:r>
        <w:rPr>
          <w:rFonts w:ascii="Times New Roman" w:hAnsi="Times New Roman" w:eastAsia="SimSun"/>
          <w:b w:val="0"/>
          <w:sz w:val="18"/>
        </w:rPr>
        <w:t>15. Niu H, Qi H, Zhang P, Meng H, Liu N, Zhang D. Single-Cell Analysis Reveals Aspirin Restores Intervertebral Disc Integrity via Ferroptosis Regulation. Journal of Inflammation Research. 2025;18:6889-6905. doi:10.2147/JIR.S519218.</w:t>
      </w:r>
    </w:p>
    <w:p>
      <w:pPr>
        <w:spacing w:line="240" w:lineRule="auto" w:after="60"/>
        <w:ind w:left="357" w:hanging="357"/>
        <w:jc w:val="both"/>
      </w:pPr>
      <w:r>
        <w:rPr>
          <w:rFonts w:ascii="Times New Roman" w:hAnsi="Times New Roman" w:eastAsia="SimSun"/>
          <w:b w:val="0"/>
          <w:sz w:val="18"/>
        </w:rPr>
        <w:t>16. Jia S, Liu H, Yang T, Gao S, Li D, Zhang Z, Zhang Z, Gao X, Liang Y, Liang X, Wang Y, Meng C. Single-cell sequencing reveals cellular heterogeneity of nucleus pulposus in intervertebral disc degeneration. Scientific Reports. 2024;14(1):27245. doi:10.1038/s41598-024-78675-x.</w:t>
      </w:r>
    </w:p>
    <w:p>
      <w:pPr>
        <w:spacing w:line="240" w:lineRule="auto" w:after="60"/>
        <w:ind w:left="357" w:hanging="357"/>
        <w:jc w:val="both"/>
      </w:pPr>
      <w:r>
        <w:rPr>
          <w:rFonts w:ascii="Times New Roman" w:hAnsi="Times New Roman" w:eastAsia="SimSun"/>
          <w:b w:val="0"/>
          <w:sz w:val="18"/>
        </w:rPr>
        <w:t>17. NCBI Gene Expression Omnibus. GSE251686: Single-cell sequencing reveals cellular heterogeneity of nucleus pulposus in intervertebral disc degeneration [Internet]. GEO Series accession GSE251686. 2024. Accessed 2026-08-14; GSM7986002 is excluded in the present audit for failed stream integrity. Available from: https://www.ncbi.nlm.nih.gov/geo/query/acc.cgi?acc=GSE251686.</w:t>
      </w:r>
    </w:p>
    <w:p>
      <w:pPr>
        <w:spacing w:line="240" w:lineRule="auto" w:after="60"/>
        <w:ind w:left="357" w:hanging="357"/>
        <w:jc w:val="both"/>
      </w:pPr>
      <w:r>
        <w:rPr>
          <w:rFonts w:ascii="Times New Roman" w:hAnsi="Times New Roman" w:eastAsia="SimSun"/>
          <w:b w:val="0"/>
          <w:sz w:val="18"/>
        </w:rPr>
        <w:t>18. Kanehisa M, Furumichi M, Sato Y, Kawashima M, Ishiguro-Watanabe M. KEGG for taxonomy-based analysis of pathways and genomes. Nucleic Acids Research. 2023;51(D1):D587-D592. doi:10.1093/nar/gkac963.</w:t>
      </w:r>
    </w:p>
    <w:p>
      <w:pPr>
        <w:spacing w:line="240" w:lineRule="auto" w:after="60"/>
        <w:ind w:left="357" w:hanging="357"/>
        <w:jc w:val="both"/>
      </w:pPr>
      <w:r>
        <w:rPr>
          <w:rFonts w:ascii="Times New Roman" w:hAnsi="Times New Roman" w:eastAsia="SimSun"/>
          <w:b w:val="0"/>
          <w:sz w:val="18"/>
        </w:rPr>
        <w:t>19. Jassal B, Matthews L, Viteri G, Gong C, Lorente P, Fabregat A, Sidiropoulos K, Cook J, Gillespie M, Haw R, Loney F, May B, Milacic M, Rothfels K, Sevilla C, Shamovsky V, Shorser S, Varusai T, Weiser J, Wu G, Stein L, Hermjakob H, D'Eustachio P. The Reactome pathway knowledgebase. Nucleic Acids Research. 2020;48(D1):D498-D503. doi:10.1093/nar/gkz1031.</w:t>
      </w:r>
    </w:p>
    <w:p>
      <w:pPr>
        <w:spacing w:line="240" w:lineRule="auto" w:after="60"/>
        <w:ind w:left="357" w:hanging="357"/>
        <w:jc w:val="both"/>
      </w:pPr>
      <w:r>
        <w:rPr>
          <w:rFonts w:ascii="Times New Roman" w:hAnsi="Times New Roman" w:eastAsia="SimSun"/>
          <w:b w:val="0"/>
          <w:sz w:val="18"/>
        </w:rPr>
        <w:t>20. Welch BL. The generalization of Student's problem when several different population variances are involved. Biometrika. 1947;34(1-2):28-35. doi:10.1093/biomet/34.1-2.28.</w:t>
      </w:r>
    </w:p>
    <w:p>
      <w:pPr>
        <w:spacing w:line="240" w:lineRule="auto" w:after="60"/>
        <w:ind w:left="357" w:hanging="357"/>
        <w:jc w:val="both"/>
      </w:pPr>
      <w:r>
        <w:rPr>
          <w:rFonts w:ascii="Times New Roman" w:hAnsi="Times New Roman" w:eastAsia="SimSun"/>
          <w:b w:val="0"/>
          <w:sz w:val="18"/>
        </w:rPr>
        <w:t>21. Efron B. Bootstrap methods: another look at the jackknife. The Annals of Statistics. 1979;7(1):1-26. doi:10.1214/aos/1176344552.</w:t>
      </w:r>
    </w:p>
    <w:p>
      <w:pPr>
        <w:spacing w:line="240" w:lineRule="auto" w:after="60"/>
        <w:ind w:left="357" w:hanging="357"/>
        <w:jc w:val="both"/>
      </w:pPr>
      <w:r>
        <w:rPr>
          <w:rFonts w:ascii="Times New Roman" w:hAnsi="Times New Roman" w:eastAsia="SimSun"/>
          <w:b w:val="0"/>
          <w:sz w:val="18"/>
        </w:rPr>
        <w:t>22. NCBI Gene Expression Omnibus. GSE186542: Nucleus pulposus related lncRNA and mRNA expression profiles in intervertebral disc degeneration [Internet]. GEO Series accession GSE186542. 2021. Submitted 2021; accessed 2026-08-14; GEO SOFT lists no linked PubMed citation. Available from: https://www.ncbi.nlm.nih.gov/geo/query/acc.cgi?acc=GSE186542.</w:t>
      </w:r>
    </w:p>
    <w:p>
      <w:pPr>
        <w:spacing w:line="240" w:lineRule="auto" w:after="60"/>
        <w:ind w:left="357" w:hanging="357"/>
        <w:jc w:val="both"/>
      </w:pPr>
      <w:r>
        <w:rPr>
          <w:rFonts w:ascii="Times New Roman" w:hAnsi="Times New Roman" w:eastAsia="SimSun"/>
          <w:b w:val="0"/>
          <w:sz w:val="18"/>
        </w:rPr>
        <w:t>23. NCBI Gene Expression Omnibus. GSE167931: Next Generation Sequencing analysis at single-cell level of normal and degenerated nucleus pulposus cells transcriptomes [Internet]. GEO Series accession GSE167931. 2021. Accessed 2026-08-14; GEO SOFT lists PMIDs 35304463 and 35340126. Available from: https://www.ncbi.nlm.nih.gov/geo/query/acc.cgi?acc=GSE167931.</w:t>
      </w:r>
    </w:p>
    <w:p>
      <w:pPr>
        <w:spacing w:line="240" w:lineRule="auto" w:after="60"/>
        <w:ind w:left="357" w:hanging="357"/>
        <w:jc w:val="both"/>
      </w:pPr>
      <w:r>
        <w:rPr>
          <w:rFonts w:ascii="Times New Roman" w:hAnsi="Times New Roman" w:eastAsia="SimSun"/>
          <w:b w:val="0"/>
          <w:sz w:val="18"/>
        </w:rPr>
        <w:t>24. Li G, Ma L, He S, Luo R, Wang B, Zhang W, Song Y, Liao Z, Ke W, Xiang Q, Feng X, Wu X, Zhang Y, Wang K, Yang C. WTAP-mediated m6A modification of lncRNA NORAD promotes intervertebral disc degeneration. Nature Communications. 2022;13(1):1469. doi:10.1038/s41467-022-28990-6.</w:t>
      </w:r>
    </w:p>
    <w:p>
      <w:pPr>
        <w:spacing w:line="240" w:lineRule="auto" w:after="60"/>
        <w:ind w:left="357" w:hanging="357"/>
        <w:jc w:val="both"/>
      </w:pPr>
      <w:r>
        <w:rPr>
          <w:rFonts w:ascii="Times New Roman" w:hAnsi="Times New Roman" w:eastAsia="SimSun"/>
          <w:b w:val="0"/>
          <w:sz w:val="18"/>
        </w:rPr>
        <w:t>25. Li G, Luo R, Zhang W, He S, Wang B, Liang H, Song Y, Ke W, Shi Y, Feng X, Zhao K, Wu X, Zhang Y, Wang K, Yang C. m6A hypomethylation of DNMT3B regulated by ALKBH5 promotes intervertebral disc degeneration via E4F1 deficiency. Clinical and Translational Medicine. 2022;12(3):e765. doi:10.1002/ctm2.765.</w:t>
      </w:r>
    </w:p>
    <w:p>
      <w:pPr>
        <w:spacing w:line="240" w:lineRule="auto" w:after="60"/>
        <w:ind w:left="357" w:hanging="357"/>
        <w:jc w:val="both"/>
      </w:pPr>
      <w:r>
        <w:rPr>
          <w:rFonts w:ascii="Times New Roman" w:hAnsi="Times New Roman" w:eastAsia="SimSun"/>
          <w:b w:val="0"/>
          <w:sz w:val="18"/>
        </w:rPr>
        <w:t>26. NCBI Gene Expression Omnibus. GSE245147: CytoDNA triggered NP cell inflammatory senescence via cGAS-STING axis sensing but not AIM2 inflammasome activation [Internet]. GEO Series accession GSE245147. 2024. Accessed 2026-08-14; GEO SOFT lists PMID 38488012. Available from: https://www.ncbi.nlm.nih.gov/geo/query/acc.cgi?acc=GSE245147.</w:t>
      </w:r>
    </w:p>
    <w:p>
      <w:pPr>
        <w:spacing w:line="240" w:lineRule="auto" w:after="60"/>
        <w:ind w:left="357" w:hanging="357"/>
        <w:jc w:val="both"/>
      </w:pPr>
      <w:r>
        <w:rPr>
          <w:rFonts w:ascii="Times New Roman" w:hAnsi="Times New Roman" w:eastAsia="SimSun"/>
          <w:b w:val="0"/>
          <w:sz w:val="18"/>
        </w:rPr>
        <w:t>27. Zhang W, Li G, Zhou X, Liang H, Tong B, Wu D, Yang K, Song Y, Wang B, Liao Z, Ma L, Ke W, Zhang X, Lei J, Lei C, Feng X, Wang K, Zhao K, Yang C. Disassembly of the TRIM56-ATR complex promotes cytoDNA/cGAS/STING axis-dependent intervertebral disc inflammatory degeneration. The Journal of Clinical Investigation. 2024;134(6):e165140. doi:10.1172/JCI165140.</w:t>
      </w:r>
    </w:p>
    <w:p>
      <w:pPr>
        <w:keepNext/>
        <w:spacing w:before="280" w:after="120"/>
      </w:pPr>
      <w:r>
        <w:rPr>
          <w:rFonts w:ascii="Times New Roman" w:hAnsi="Times New Roman" w:eastAsia="SimSun"/>
          <w:b/>
          <w:sz w:val="28"/>
        </w:rPr>
        <w:t>Supplementary Table and Figure Legends</w:t>
      </w:r>
    </w:p>
    <w:p>
      <w:pPr>
        <w:keepNext/>
        <w:spacing w:before="80" w:after="120" w:line="240" w:lineRule="auto"/>
      </w:pPr>
      <w:r>
        <w:rPr>
          <w:rFonts w:ascii="Times New Roman" w:hAnsi="Times New Roman" w:eastAsia="SimSun"/>
          <w:b/>
          <w:sz w:val="18"/>
        </w:rPr>
        <w:t>Supplementary Table S1. Isolated GSE251686 exploratory sensitivity effects.</w:t>
      </w:r>
      <w:r>
        <w:rPr>
          <w:rFonts w:ascii="Times New Roman" w:hAnsi="Times New Roman" w:eastAsia="SimSun"/>
          <w:b w:val="0"/>
          <w:sz w:val="18"/>
        </w:rPr>
        <w:t xml:space="preserve"> The table reports all four module effects for the mild n=2 versus severe n=3 comparison after permanent exclusion of </w:t>
      </w:r>
      <w:r>
        <w:rPr>
          <w:rFonts w:ascii="Consolas" w:hAnsi="Consolas" w:eastAsia="SimSun"/>
          <w:b w:val="0"/>
          <w:sz w:val="18"/>
        </w:rPr>
        <w:t>GSM7986002</w:t>
      </w:r>
      <w:r>
        <w:rPr>
          <w:rFonts w:ascii="Times New Roman" w:hAnsi="Times New Roman" w:eastAsia="SimSun"/>
          <w:b w:val="0"/>
          <w:sz w:val="18"/>
        </w:rPr>
        <w:t>. It is excluded from the default summary, sign alignment, and main figures and is not validation or replication evidence.</w:t>
      </w:r>
    </w:p>
    <w:p>
      <w:pPr>
        <w:keepNext/>
        <w:spacing w:before="80" w:after="120" w:line="240" w:lineRule="auto"/>
      </w:pPr>
      <w:r>
        <w:rPr>
          <w:rFonts w:ascii="Times New Roman" w:hAnsi="Times New Roman" w:eastAsia="SimSun"/>
          <w:b/>
          <w:sz w:val="18"/>
        </w:rPr>
        <w:t>Supplementary Table S2. Cohort disposition and identity audit.</w:t>
      </w:r>
      <w:r>
        <w:rPr>
          <w:rFonts w:ascii="Times New Roman" w:hAnsi="Times New Roman" w:eastAsia="SimSun"/>
          <w:b w:val="0"/>
          <w:sz w:val="18"/>
        </w:rPr>
        <w:t xml:space="preserve"> The table lists all default and isolated analysis streams, observation keys, group structures, identity or eligibility checks, default-summary inclusion, and interpretation boundaries.</w:t>
      </w:r>
    </w:p>
    <w:p>
      <w:pPr>
        <w:keepNext/>
        <w:spacing w:before="80" w:after="120" w:line="240" w:lineRule="auto"/>
      </w:pPr>
      <w:r>
        <w:rPr>
          <w:rFonts w:ascii="Times New Roman" w:hAnsi="Times New Roman" w:eastAsia="SimSun"/>
          <w:b/>
          <w:sz w:val="18"/>
        </w:rPr>
        <w:t>Supplementary Table S3. Locked program module definitions.</w:t>
      </w:r>
      <w:r>
        <w:rPr>
          <w:rFonts w:ascii="Times New Roman" w:hAnsi="Times New Roman" w:eastAsia="SimSun"/>
          <w:b w:val="0"/>
          <w:sz w:val="18"/>
        </w:rPr>
        <w:t xml:space="preserve"> The table provides the source classes, identifiers, complete locked gene lists, timestamp, score-direction convention, and SHA-256 hash for each module.</w:t>
      </w:r>
    </w:p>
    <w:p>
      <w:pPr>
        <w:keepNext/>
        <w:spacing w:before="80" w:after="120" w:line="240" w:lineRule="auto"/>
      </w:pPr>
      <w:r>
        <w:rPr>
          <w:rFonts w:ascii="Times New Roman" w:hAnsi="Times New Roman" w:eastAsia="SimSun"/>
          <w:b/>
          <w:sz w:val="18"/>
        </w:rPr>
        <w:t>Supplementary Table S4. Complete default leave-one-key-out results.</w:t>
      </w:r>
      <w:r>
        <w:rPr>
          <w:rFonts w:ascii="Times New Roman" w:hAnsi="Times New Roman" w:eastAsia="SimSun"/>
          <w:b w:val="0"/>
          <w:sz w:val="18"/>
        </w:rPr>
        <w:t xml:space="preserve"> The table records each leave-one-key-out effect calculation for the 20-effect default summary, including AF and NP displays from the GSE230809 parent project.</w:t>
      </w:r>
    </w:p>
    <w:p>
      <w:pPr>
        <w:keepNext/>
        <w:spacing w:before="80" w:after="120" w:line="240" w:lineRule="auto"/>
      </w:pPr>
      <w:r>
        <w:rPr>
          <w:rFonts w:ascii="Times New Roman" w:hAnsi="Times New Roman" w:eastAsia="SimSun"/>
          <w:b/>
          <w:sz w:val="18"/>
        </w:rPr>
        <w:t>Supplementary Table S5a. Discovery retained-cell threshold summary.</w:t>
      </w:r>
      <w:r>
        <w:rPr>
          <w:rFonts w:ascii="Times New Roman" w:hAnsi="Times New Roman" w:eastAsia="SimSun"/>
          <w:b w:val="0"/>
          <w:sz w:val="18"/>
        </w:rPr>
        <w:t xml:space="preserve"> The table records the 20-, 30-, and 50-cell eligibility runs, the number of passing libraries, and the minimum observed source-restricted QC-passing cell count.</w:t>
      </w:r>
    </w:p>
    <w:p>
      <w:pPr>
        <w:keepNext/>
        <w:spacing w:before="80" w:after="120" w:line="240" w:lineRule="auto"/>
      </w:pPr>
      <w:r>
        <w:rPr>
          <w:rFonts w:ascii="Times New Roman" w:hAnsi="Times New Roman" w:eastAsia="SimSun"/>
          <w:b/>
          <w:sz w:val="18"/>
        </w:rPr>
        <w:t>Supplementary Table S5b. Discovery retained-cell threshold effect stability.</w:t>
      </w:r>
      <w:r>
        <w:rPr>
          <w:rFonts w:ascii="Times New Roman" w:hAnsi="Times New Roman" w:eastAsia="SimSun"/>
          <w:b w:val="0"/>
          <w:sz w:val="18"/>
        </w:rPr>
        <w:t xml:space="preserve"> The table compares all eight GSE230809 AF/NP descriptive effects at each threshold with the 30-cell reference run.</w:t>
      </w:r>
    </w:p>
    <w:p>
      <w:pPr>
        <w:keepNext/>
        <w:spacing w:before="80" w:after="120" w:line="240" w:lineRule="auto"/>
      </w:pPr>
      <w:r>
        <w:rPr>
          <w:rFonts w:ascii="Times New Roman" w:hAnsi="Times New Roman" w:eastAsia="SimSun"/>
          <w:b/>
          <w:sz w:val="18"/>
        </w:rPr>
        <w:t>Supplementary Table S6. Reproducibility contract.</w:t>
      </w:r>
      <w:r>
        <w:rPr>
          <w:rFonts w:ascii="Times New Roman" w:hAnsi="Times New Roman" w:eastAsia="SimSun"/>
          <w:b w:val="0"/>
          <w:sz w:val="18"/>
        </w:rPr>
        <w:t xml:space="preserve"> The table indexes the default-summary manifest, identity crosswalk, locked program ledger, threshold-sensitivity inputs, isolated GSE251686 manifest, S7-S9 manifests and generators, artifact generators, and project-local Python environment lock by SHA-256 hash.</w:t>
      </w:r>
    </w:p>
    <w:p>
      <w:pPr>
        <w:keepNext/>
        <w:spacing w:before="80" w:after="120" w:line="240" w:lineRule="auto"/>
      </w:pPr>
      <w:r>
        <w:rPr>
          <w:rFonts w:ascii="Times New Roman" w:hAnsi="Times New Roman" w:eastAsia="SimSun"/>
          <w:b/>
          <w:sz w:val="18"/>
        </w:rPr>
        <w:t>Supplementary Tables S7a-S7d. Exploratory four-cohort NP random-effects synthesis.</w:t>
      </w:r>
      <w:r>
        <w:rPr>
          <w:rFonts w:ascii="Times New Roman" w:hAnsi="Times New Roman" w:eastAsia="SimSun"/>
          <w:b w:val="0"/>
          <w:sz w:val="18"/>
        </w:rPr>
        <w:t xml:space="preserve"> SMDH denotes the heteroscedastic standardized mean difference, and REML denotes restricted maximum likelihood. The tables give S7 study-level effects, primary SMDH/REML/Knapp-Hartung results, Hedges </w:t>
      </w:r>
      <w:r>
        <w:rPr>
          <w:rFonts w:ascii="Times New Roman" w:hAnsi="Times New Roman" w:eastAsia="SimSun"/>
          <w:b w:val="0"/>
          <w:i/>
          <w:sz w:val="18"/>
        </w:rPr>
        <w:t>g</w:t>
      </w:r>
      <w:r>
        <w:rPr>
          <w:rFonts w:ascii="Times New Roman" w:hAnsi="Times New Roman" w:eastAsia="SimSun"/>
          <w:b w:val="0"/>
          <w:sz w:val="18"/>
        </w:rPr>
        <w:t xml:space="preserve"> and Paule-Mandel sensitivities, and leave-one-cohort-out results. They are a separate non-confirmatory synthesis of the four default NP cohorts and do not replace the default descriptive analysis.</w:t>
      </w:r>
    </w:p>
    <w:p>
      <w:pPr>
        <w:keepNext/>
        <w:spacing w:before="80" w:after="120" w:line="240" w:lineRule="auto"/>
      </w:pPr>
      <w:r>
        <w:rPr>
          <w:rFonts w:ascii="Times New Roman" w:hAnsi="Times New Roman" w:eastAsia="SimSun"/>
          <w:b/>
          <w:sz w:val="18"/>
        </w:rPr>
        <w:t>Supplementary Tables S8a-S8d. Post hoc six-cohort NP expansion.</w:t>
      </w:r>
      <w:r>
        <w:rPr>
          <w:rFonts w:ascii="Times New Roman" w:hAnsi="Times New Roman" w:eastAsia="SimSun"/>
          <w:b w:val="0"/>
          <w:sz w:val="18"/>
        </w:rPr>
        <w:t xml:space="preserve"> SMDH denotes the heteroscedastic standardized mean difference, and REML denotes restricted maximum likelihood. The tables give the separately packaged S8 study-level effects, primary results, model sensitivities, and leave-one-cohort-out results after adding GSE186542 and the GSE167931 FPKM representation. HKSJ and BH p-values are transparent descriptive outputs only and not patient-level validation or confirmation.</w:t>
      </w:r>
    </w:p>
    <w:p>
      <w:pPr>
        <w:keepNext/>
        <w:spacing w:before="80" w:after="120" w:line="240" w:lineRule="auto"/>
      </w:pPr>
      <w:r>
        <w:rPr>
          <w:rFonts w:ascii="Times New Roman" w:hAnsi="Times New Roman" w:eastAsia="SimSun"/>
          <w:b/>
          <w:sz w:val="18"/>
        </w:rPr>
        <w:t>Supplementary Tables S9a-S9d. Source-family replacement sensitivity.</w:t>
      </w:r>
      <w:r>
        <w:rPr>
          <w:rFonts w:ascii="Times New Roman" w:hAnsi="Times New Roman" w:eastAsia="SimSun"/>
          <w:b w:val="0"/>
          <w:sz w:val="18"/>
        </w:rPr>
        <w:t xml:space="preserve"> The tables give the S9 results after substituting the native GSE245147 comparison for GSE167931. The two source-family cohorts are never pooled together; S9 is a non-confirmatory sensitivity analysis, not a seventh independent cohort.</w:t>
      </w:r>
    </w:p>
    <w:p>
      <w:pPr>
        <w:keepNext/>
        <w:spacing w:before="80" w:after="120" w:line="240" w:lineRule="auto"/>
      </w:pPr>
      <w:r>
        <w:rPr>
          <w:rFonts w:ascii="Times New Roman" w:hAnsi="Times New Roman" w:eastAsia="SimSun"/>
          <w:b/>
          <w:sz w:val="18"/>
        </w:rPr>
        <w:t>Supplementary Figure S1. Isolated GSE251686 exploratory sensitivity display.</w:t>
      </w:r>
      <w:r>
        <w:rPr>
          <w:rFonts w:ascii="Times New Roman" w:hAnsi="Times New Roman" w:eastAsia="SimSun"/>
          <w:b w:val="0"/>
          <w:sz w:val="18"/>
        </w:rPr>
        <w:t xml:space="preserve"> The figure presents cohort-specific effect estimates, descriptive Welch 95% intervals, and leave-one-key-out direction retention for GSE251686. The display remains isolated from the default summary.</w:t>
      </w:r>
    </w:p>
    <w:p>
      <w:pPr>
        <w:keepNext/>
        <w:spacing w:before="80" w:after="120" w:line="240" w:lineRule="auto"/>
      </w:pPr>
      <w:r>
        <w:rPr>
          <w:rFonts w:ascii="Times New Roman" w:hAnsi="Times New Roman" w:eastAsia="SimSun"/>
          <w:b/>
          <w:sz w:val="18"/>
        </w:rPr>
        <w:t>Supplementary Figure S2. Cohort disposition and analysis boundary.</w:t>
      </w:r>
      <w:r>
        <w:rPr>
          <w:rFonts w:ascii="Times New Roman" w:hAnsi="Times New Roman" w:eastAsia="SimSun"/>
          <w:b w:val="0"/>
          <w:sz w:val="18"/>
        </w:rPr>
        <w:t xml:space="preserve"> The flow diagram distinguishes the four default score cohorts from the separately scored GSE251686 sensitivity package and states the inferential limits of the analysis.</w:t>
      </w:r>
    </w:p>
    <w:p>
      <w:pPr>
        <w:keepNext/>
        <w:spacing w:before="80" w:after="120" w:line="240" w:lineRule="auto"/>
      </w:pPr>
      <w:r>
        <w:rPr>
          <w:rFonts w:ascii="Times New Roman" w:hAnsi="Times New Roman" w:eastAsia="SimSun"/>
          <w:b/>
          <w:sz w:val="18"/>
        </w:rPr>
        <w:t>Supplementary Figure S3. Exploratory four-cohort NP random-effects synthesis.</w:t>
      </w:r>
      <w:r>
        <w:rPr>
          <w:rFonts w:ascii="Times New Roman" w:hAnsi="Times New Roman" w:eastAsia="SimSun"/>
          <w:b w:val="0"/>
          <w:sz w:val="18"/>
        </w:rPr>
        <w:t xml:space="preserve"> The forest display gives S7 SMDH estimates and Knapp-Hartung intervals; SMDH is a heteroscedastic standardized mean difference and the display is non-confirmatory. It is a separate exploratory quantitative summary and not a confirmation or replication display.</w:t>
      </w:r>
    </w:p>
    <w:p>
      <w:pPr>
        <w:keepNext/>
        <w:spacing w:before="80" w:after="120" w:line="240" w:lineRule="auto"/>
      </w:pPr>
      <w:r>
        <w:rPr>
          <w:rFonts w:ascii="Times New Roman" w:hAnsi="Times New Roman" w:eastAsia="SimSun"/>
          <w:b/>
          <w:sz w:val="18"/>
        </w:rPr>
        <w:t>Supplementary Figure S4. Post hoc six-cohort NP expansion.</w:t>
      </w:r>
      <w:r>
        <w:rPr>
          <w:rFonts w:ascii="Times New Roman" w:hAnsi="Times New Roman" w:eastAsia="SimSun"/>
          <w:b w:val="0"/>
          <w:sz w:val="18"/>
        </w:rPr>
        <w:t xml:space="preserve"> The forest display gives S8 results after adding GSE186542 and GSE167931 FPKM. The plotted SMDH estimates and intervals are non-confirmatory; SMDH is a heteroscedastic standardized mean difference, and HKSJ/BH p-values are reported for transparency only.</w:t>
      </w:r>
    </w:p>
    <w:p>
      <w:pPr>
        <w:keepNext/>
        <w:spacing w:before="80" w:after="120" w:line="240" w:lineRule="auto"/>
      </w:pPr>
      <w:r>
        <w:rPr>
          <w:rFonts w:ascii="Times New Roman" w:hAnsi="Times New Roman" w:eastAsia="SimSun"/>
          <w:b/>
          <w:sz w:val="18"/>
        </w:rPr>
        <w:t>Supplementary Figure S5. NP source-family replacement sensitivity.</w:t>
      </w:r>
      <w:r>
        <w:rPr>
          <w:rFonts w:ascii="Times New Roman" w:hAnsi="Times New Roman" w:eastAsia="SimSun"/>
          <w:b w:val="0"/>
          <w:sz w:val="18"/>
        </w:rPr>
        <w:t xml:space="preserve"> The forest display gives S9 results after replacing GSE167931 with the native GSE245147 subset. It demonstrates source-family sensitivity and does not add an independent validation cohort. Axis ranges may differ among panels and effect magnitudes are not directly comparable across processing scales.</w:t>
      </w:r>
    </w:p>
    <w:p>
      <w:pPr>
        <w:sectPr>
          <w:headerReference w:type="default" r:id="rId9"/>
          <w:footerReference w:type="default" r:id="rId10"/>
          <w:pgSz w:w="11906" w:h="16838"/>
          <w:pgMar w:top="1440" w:right="1440" w:bottom="1440" w:left="1440" w:header="720" w:footer="720" w:gutter="0"/>
          <w:cols w:space="720"/>
          <w:titlePg/>
          <w:docGrid w:linePitch="360"/>
        </w:sectPr>
      </w:pPr>
    </w:p>
    <w:p>
      <w:pPr>
        <w:keepNext/>
        <w:spacing w:before="280" w:after="120"/>
      </w:pPr>
      <w:r>
        <w:rPr>
          <w:rFonts w:ascii="Times New Roman" w:hAnsi="Times New Roman" w:eastAsia="SimSun"/>
          <w:b/>
          <w:sz w:val="28"/>
        </w:rPr>
        <w:t>Main Tables</w:t>
      </w:r>
    </w:p>
    <w:p>
      <w:pPr>
        <w:keepNext/>
        <w:spacing w:before="80" w:after="120" w:line="240" w:lineRule="auto"/>
      </w:pPr>
      <w:r>
        <w:rPr>
          <w:rFonts w:ascii="Times New Roman" w:hAnsi="Times New Roman" w:eastAsia="SimSun"/>
          <w:b/>
          <w:sz w:val="18"/>
        </w:rPr>
        <w:t>Table 1. Cohort roles and inference boundaries in the default descriptive summary.</w:t>
      </w:r>
    </w:p>
    <w:tbl>
      <w:tblPr>
        <w:tblStyle w:val="TableGrid"/>
        <w:tblW w:type="auto" w:w="0"/>
        <w:jc w:val="center"/>
        <w:tblLayout w:type="fixed"/>
        <w:tblLook w:firstColumn="1" w:firstRow="1" w:lastColumn="0" w:lastRow="0" w:noHBand="0" w:noVBand="1" w:val="04A0"/>
      </w:tblPr>
      <w:tblGrid>
        <w:gridCol w:w="3784"/>
        <w:gridCol w:w="3784"/>
        <w:gridCol w:w="3784"/>
        <w:gridCol w:w="3784"/>
      </w:tblGrid>
      <w:tr>
        <w:trPr>
          <w:cantSplit/>
          <w:tblHeader w:val="true"/>
        </w:trPr>
        <w:tc>
          <w:tcPr>
            <w:tcW w:type="dxa" w:w="2665"/>
            <w:shd w:fill="1F4E78"/>
            <w:vAlign w:val="center"/>
          </w:tcPr>
          <w:p>
            <w:pPr>
              <w:spacing w:after="0" w:line="240" w:lineRule="auto"/>
            </w:pPr>
            <w:r>
              <w:rPr>
                <w:color w:val="FFFFFF"/>
              </w:rPr>
            </w:r>
            <w:r>
              <w:rPr>
                <w:rFonts w:ascii="Times New Roman" w:hAnsi="Times New Roman" w:eastAsia="SimSun"/>
                <w:b/>
                <w:color w:val="FFFFFF"/>
                <w:sz w:val="16"/>
              </w:rPr>
              <w:t>Cohort and role</w:t>
            </w:r>
          </w:p>
        </w:tc>
        <w:tc>
          <w:tcPr>
            <w:tcW w:type="dxa" w:w="2835"/>
            <w:shd w:fill="1F4E78"/>
            <w:vAlign w:val="center"/>
          </w:tcPr>
          <w:p>
            <w:pPr>
              <w:spacing w:after="0" w:line="240" w:lineRule="auto"/>
            </w:pPr>
            <w:r>
              <w:rPr>
                <w:color w:val="FFFFFF"/>
              </w:rPr>
            </w:r>
            <w:r>
              <w:rPr>
                <w:rFonts w:ascii="Times New Roman" w:hAnsi="Times New Roman" w:eastAsia="SimSun"/>
                <w:b/>
                <w:color w:val="FFFFFF"/>
                <w:sz w:val="16"/>
              </w:rPr>
              <w:t>Recorded group structure</w:t>
            </w:r>
          </w:p>
        </w:tc>
        <w:tc>
          <w:tcPr>
            <w:tcW w:type="dxa" w:w="2381"/>
            <w:shd w:fill="1F4E78"/>
            <w:vAlign w:val="center"/>
          </w:tcPr>
          <w:p>
            <w:pPr>
              <w:spacing w:after="0" w:line="240" w:lineRule="auto"/>
            </w:pPr>
            <w:r>
              <w:rPr>
                <w:color w:val="FFFFFF"/>
              </w:rPr>
            </w:r>
            <w:r>
              <w:rPr>
                <w:rFonts w:ascii="Times New Roman" w:hAnsi="Times New Roman" w:eastAsia="SimSun"/>
                <w:b/>
                <w:color w:val="FFFFFF"/>
                <w:sz w:val="16"/>
              </w:rPr>
              <w:t>Observation unit</w:t>
            </w:r>
          </w:p>
        </w:tc>
        <w:tc>
          <w:tcPr>
            <w:tcW w:type="dxa" w:w="6009"/>
            <w:shd w:fill="1F4E78"/>
            <w:vAlign w:val="center"/>
          </w:tcPr>
          <w:p>
            <w:pPr>
              <w:spacing w:after="0" w:line="240" w:lineRule="auto"/>
            </w:pPr>
            <w:r>
              <w:rPr>
                <w:color w:val="FFFFFF"/>
              </w:rPr>
            </w:r>
            <w:r>
              <w:rPr>
                <w:rFonts w:ascii="Times New Roman" w:hAnsi="Times New Roman" w:eastAsia="SimSun"/>
                <w:b/>
                <w:color w:val="FFFFFF"/>
                <w:sz w:val="16"/>
              </w:rPr>
              <w:t>Inference boundary</w:t>
            </w:r>
          </w:p>
        </w:tc>
      </w:tr>
      <w:tr>
        <w:trPr>
          <w:cantSplit/>
        </w:trPr>
        <w:tc>
          <w:tcPr>
            <w:tcW w:type="dxa" w:w="2665"/>
            <w:shd w:fill="EAF2F8"/>
            <w:vAlign w:val="center"/>
          </w:tcPr>
          <w:p>
            <w:pPr>
              <w:spacing w:after="0" w:line="240" w:lineRule="auto"/>
            </w:pPr>
            <w:r/>
            <w:r>
              <w:rPr>
                <w:rFonts w:ascii="Times New Roman" w:hAnsi="Times New Roman" w:eastAsia="SimSun"/>
                <w:b w:val="0"/>
                <w:sz w:val="15"/>
              </w:rPr>
              <w:t>GSE230809 AF/NP parent project, exploratory (AF 3 vs 10; NP 3 vs 8)</w:t>
            </w:r>
          </w:p>
        </w:tc>
        <w:tc>
          <w:tcPr>
            <w:tcW w:type="dxa" w:w="2835"/>
            <w:shd w:fill="EAF2F8"/>
            <w:vAlign w:val="center"/>
          </w:tcPr>
          <w:p>
            <w:pPr>
              <w:spacing w:after="0" w:line="240" w:lineRule="auto"/>
            </w:pPr>
            <w:r/>
            <w:r>
              <w:rPr>
                <w:rFonts w:ascii="Times New Roman" w:hAnsi="Times New Roman" w:eastAsia="SimSun"/>
                <w:b w:val="0"/>
                <w:sz w:val="15"/>
              </w:rPr>
              <w:t>healthy n=3 per compartment; diseased AF n=10, NP n=8</w:t>
            </w:r>
          </w:p>
        </w:tc>
        <w:tc>
          <w:tcPr>
            <w:tcW w:type="dxa" w:w="2381"/>
            <w:shd w:fill="EAF2F8"/>
            <w:vAlign w:val="center"/>
          </w:tcPr>
          <w:p>
            <w:pPr>
              <w:spacing w:after="0" w:line="240" w:lineRule="auto"/>
            </w:pPr>
            <w:r/>
            <w:r>
              <w:rPr>
                <w:rFonts w:ascii="Times New Roman" w:hAnsi="Times New Roman" w:eastAsia="SimSun"/>
                <w:b w:val="0"/>
                <w:sz w:val="15"/>
              </w:rPr>
              <w:t>donor_id</w:t>
            </w:r>
          </w:p>
        </w:tc>
        <w:tc>
          <w:tcPr>
            <w:tcW w:type="dxa" w:w="6009"/>
            <w:shd w:fill="EAF2F8"/>
            <w:vAlign w:val="center"/>
          </w:tcPr>
          <w:p>
            <w:pPr>
              <w:spacing w:after="0" w:line="240" w:lineRule="auto"/>
            </w:pPr>
            <w:r/>
            <w:r>
              <w:rPr>
                <w:rFonts w:ascii="Times New Roman" w:hAnsi="Times New Roman" w:eastAsia="SimSun"/>
                <w:b w:val="0"/>
                <w:sz w:val="15"/>
              </w:rPr>
              <w:t>one exploratory parent project; age/disease confounded; no confirmatory inference</w:t>
            </w:r>
          </w:p>
        </w:tc>
      </w:tr>
      <w:tr>
        <w:trPr>
          <w:cantSplit/>
        </w:trPr>
        <w:tc>
          <w:tcPr>
            <w:tcW w:type="dxa" w:w="2665"/>
            <w:vAlign w:val="center"/>
          </w:tcPr>
          <w:p>
            <w:pPr>
              <w:spacing w:after="0" w:line="240" w:lineRule="auto"/>
            </w:pPr>
            <w:r/>
            <w:r>
              <w:rPr>
                <w:rFonts w:ascii="Times New Roman" w:hAnsi="Times New Roman" w:eastAsia="SimSun"/>
                <w:b w:val="0"/>
                <w:sz w:val="15"/>
              </w:rPr>
              <w:t>GSE244889 external NP score-level cohort (4 vs 3)</w:t>
            </w:r>
          </w:p>
        </w:tc>
        <w:tc>
          <w:tcPr>
            <w:tcW w:type="dxa" w:w="2835"/>
            <w:vAlign w:val="center"/>
          </w:tcPr>
          <w:p>
            <w:pPr>
              <w:spacing w:after="0" w:line="240" w:lineRule="auto"/>
            </w:pPr>
            <w:r/>
            <w:r>
              <w:rPr>
                <w:rFonts w:ascii="Times New Roman" w:hAnsi="Times New Roman" w:eastAsia="SimSun"/>
                <w:b w:val="0"/>
                <w:sz w:val="15"/>
              </w:rPr>
              <w:t>MDD n=4; SDD n=3</w:t>
            </w:r>
          </w:p>
        </w:tc>
        <w:tc>
          <w:tcPr>
            <w:tcW w:type="dxa" w:w="2381"/>
            <w:vAlign w:val="center"/>
          </w:tcPr>
          <w:p>
            <w:pPr>
              <w:spacing w:after="0" w:line="240" w:lineRule="auto"/>
            </w:pPr>
            <w:r/>
            <w:r>
              <w:rPr>
                <w:rFonts w:ascii="Times New Roman" w:hAnsi="Times New Roman" w:eastAsia="SimSun"/>
                <w:b w:val="0"/>
                <w:sz w:val="15"/>
              </w:rPr>
              <w:t>presumed donor/library key</w:t>
            </w:r>
          </w:p>
        </w:tc>
        <w:tc>
          <w:tcPr>
            <w:tcW w:type="dxa" w:w="6009"/>
            <w:vAlign w:val="center"/>
          </w:tcPr>
          <w:p>
            <w:pPr>
              <w:spacing w:after="0" w:line="240" w:lineRule="auto"/>
            </w:pPr>
            <w:r/>
            <w:r>
              <w:rPr>
                <w:rFonts w:ascii="Times New Roman" w:hAnsi="Times New Roman" w:eastAsia="SimSun"/>
                <w:b w:val="0"/>
                <w:sz w:val="15"/>
              </w:rPr>
              <w:t>directional effect/stability display only; no confirmatory validation</w:t>
            </w:r>
          </w:p>
        </w:tc>
      </w:tr>
      <w:tr>
        <w:trPr>
          <w:cantSplit/>
        </w:trPr>
        <w:tc>
          <w:tcPr>
            <w:tcW w:type="dxa" w:w="2665"/>
            <w:shd w:fill="EAF2F8"/>
            <w:vAlign w:val="center"/>
          </w:tcPr>
          <w:p>
            <w:pPr>
              <w:spacing w:after="0" w:line="240" w:lineRule="auto"/>
            </w:pPr>
            <w:r/>
            <w:r>
              <w:rPr>
                <w:rFonts w:ascii="Times New Roman" w:hAnsi="Times New Roman" w:eastAsia="SimSun"/>
                <w:b w:val="0"/>
                <w:sz w:val="15"/>
              </w:rPr>
              <w:t>GSE153066 external NP dense-count cohort (8 vs 8)</w:t>
            </w:r>
          </w:p>
        </w:tc>
        <w:tc>
          <w:tcPr>
            <w:tcW w:type="dxa" w:w="2835"/>
            <w:shd w:fill="EAF2F8"/>
            <w:vAlign w:val="center"/>
          </w:tcPr>
          <w:p>
            <w:pPr>
              <w:spacing w:after="0" w:line="240" w:lineRule="auto"/>
            </w:pPr>
            <w:r/>
            <w:r>
              <w:rPr>
                <w:rFonts w:ascii="Times New Roman" w:hAnsi="Times New Roman" w:eastAsia="SimSun"/>
                <w:b w:val="0"/>
                <w:sz w:val="15"/>
              </w:rPr>
              <w:t>relatively normal n=8; degenerated n=8</w:t>
            </w:r>
          </w:p>
        </w:tc>
        <w:tc>
          <w:tcPr>
            <w:tcW w:type="dxa" w:w="2381"/>
            <w:shd w:fill="EAF2F8"/>
            <w:vAlign w:val="center"/>
          </w:tcPr>
          <w:p>
            <w:pPr>
              <w:spacing w:after="0" w:line="240" w:lineRule="auto"/>
            </w:pPr>
            <w:r/>
            <w:r>
              <w:rPr>
                <w:rFonts w:ascii="Times New Roman" w:hAnsi="Times New Roman" w:eastAsia="SimSun"/>
                <w:b w:val="0"/>
                <w:sz w:val="15"/>
              </w:rPr>
              <w:t>presumed donor/library key</w:t>
            </w:r>
          </w:p>
        </w:tc>
        <w:tc>
          <w:tcPr>
            <w:tcW w:type="dxa" w:w="6009"/>
            <w:shd w:fill="EAF2F8"/>
            <w:vAlign w:val="center"/>
          </w:tcPr>
          <w:p>
            <w:pPr>
              <w:spacing w:after="0" w:line="240" w:lineRule="auto"/>
            </w:pPr>
            <w:r/>
            <w:r>
              <w:rPr>
                <w:rFonts w:ascii="Times New Roman" w:hAnsi="Times New Roman" w:eastAsia="SimSun"/>
                <w:b w:val="0"/>
                <w:sz w:val="15"/>
              </w:rPr>
              <w:t>external count-level support with contributor-retained cells; clinical source and age are confounded; no age-independent or causal interpretation</w:t>
            </w:r>
          </w:p>
        </w:tc>
      </w:tr>
      <w:tr>
        <w:trPr>
          <w:cantSplit/>
        </w:trPr>
        <w:tc>
          <w:tcPr>
            <w:tcW w:type="dxa" w:w="2665"/>
            <w:vAlign w:val="center"/>
          </w:tcPr>
          <w:p>
            <w:pPr>
              <w:spacing w:after="0" w:line="240" w:lineRule="auto"/>
            </w:pPr>
            <w:r/>
            <w:r>
              <w:rPr>
                <w:rFonts w:ascii="Times New Roman" w:hAnsi="Times New Roman" w:eastAsia="SimSun"/>
                <w:b w:val="0"/>
                <w:sz w:val="15"/>
              </w:rPr>
              <w:t>GSE165722 external NP normalized-count cohort (4 vs 4)</w:t>
            </w:r>
          </w:p>
        </w:tc>
        <w:tc>
          <w:tcPr>
            <w:tcW w:type="dxa" w:w="2835"/>
            <w:vAlign w:val="center"/>
          </w:tcPr>
          <w:p>
            <w:pPr>
              <w:spacing w:after="0" w:line="240" w:lineRule="auto"/>
            </w:pPr>
            <w:r/>
            <w:r>
              <w:rPr>
                <w:rFonts w:ascii="Times New Roman" w:hAnsi="Times New Roman" w:eastAsia="SimSun"/>
                <w:b w:val="0"/>
                <w:sz w:val="15"/>
              </w:rPr>
              <w:t>mild n=4; severe n=4</w:t>
            </w:r>
          </w:p>
        </w:tc>
        <w:tc>
          <w:tcPr>
            <w:tcW w:type="dxa" w:w="2381"/>
            <w:vAlign w:val="center"/>
          </w:tcPr>
          <w:p>
            <w:pPr>
              <w:spacing w:after="0" w:line="240" w:lineRule="auto"/>
            </w:pPr>
            <w:r/>
            <w:r>
              <w:rPr>
                <w:rFonts w:ascii="Times New Roman" w:hAnsi="Times New Roman" w:eastAsia="SimSun"/>
                <w:b w:val="0"/>
                <w:sz w:val="15"/>
              </w:rPr>
              <w:t>presumed donor-level sample key</w:t>
            </w:r>
          </w:p>
        </w:tc>
        <w:tc>
          <w:tcPr>
            <w:tcW w:type="dxa" w:w="6009"/>
            <w:vAlign w:val="center"/>
          </w:tcPr>
          <w:p>
            <w:pPr>
              <w:spacing w:after="0" w:line="240" w:lineRule="auto"/>
            </w:pPr>
            <w:r/>
            <w:r>
              <w:rPr>
                <w:rFonts w:ascii="Times New Roman" w:hAnsi="Times New Roman" w:eastAsia="SimSun"/>
                <w:b w:val="0"/>
                <w:sz w:val="15"/>
              </w:rPr>
              <w:t>normalized-count score-level direction/stability only; source-publication severity grouping used because GEO and source-publication grades differ; no raw-count, cell-level, confirmatory, causal, or age-adjusted inference</w:t>
            </w:r>
          </w:p>
        </w:tc>
      </w:tr>
    </w:tbl>
    <w:p/>
    <w:p>
      <w:pPr>
        <w:keepNext/>
        <w:spacing w:before="80" w:after="120" w:line="240" w:lineRule="auto"/>
      </w:pPr>
      <w:r>
        <w:rPr>
          <w:rFonts w:ascii="Times New Roman" w:hAnsi="Times New Roman" w:eastAsia="SimSun"/>
          <w:b/>
          <w:sz w:val="18"/>
        </w:rPr>
        <w:t>Table 2. Cohort-specific NP module effects in the default descriptive summary.</w:t>
      </w:r>
      <w:r>
        <w:rPr>
          <w:rFonts w:ascii="Times New Roman" w:hAnsi="Times New Roman" w:eastAsia="SimSun"/>
          <w:b w:val="0"/>
          <w:sz w:val="18"/>
        </w:rPr>
        <w:t xml:space="preserve"> The default layer contains 20 effects overall (16 NP effects and 4 exploratory AF effects); this table displays the 16 NP effects.</w:t>
      </w:r>
    </w:p>
    <w:tbl>
      <w:tblPr>
        <w:tblStyle w:val="TableGrid"/>
        <w:tblW w:type="auto" w:w="0"/>
        <w:jc w:val="center"/>
        <w:tblLayout w:type="fixed"/>
        <w:tblLook w:firstColumn="1" w:firstRow="1" w:lastColumn="0" w:lastRow="0" w:noHBand="0" w:noVBand="1" w:val="04A0"/>
      </w:tblPr>
      <w:tblGrid>
        <w:gridCol w:w="2163"/>
        <w:gridCol w:w="2163"/>
        <w:gridCol w:w="2163"/>
        <w:gridCol w:w="2163"/>
        <w:gridCol w:w="2163"/>
        <w:gridCol w:w="2163"/>
        <w:gridCol w:w="2163"/>
      </w:tblGrid>
      <w:tr>
        <w:trPr>
          <w:cantSplit/>
          <w:tblHeader w:val="true"/>
        </w:trPr>
        <w:tc>
          <w:tcPr>
            <w:tcW w:type="dxa" w:w="2098"/>
            <w:shd w:fill="1F4E78"/>
            <w:vAlign w:val="center"/>
          </w:tcPr>
          <w:p>
            <w:pPr>
              <w:spacing w:after="0" w:line="240" w:lineRule="auto"/>
            </w:pPr>
            <w:r>
              <w:rPr>
                <w:color w:val="FFFFFF"/>
              </w:rPr>
            </w:r>
            <w:r>
              <w:rPr>
                <w:rFonts w:ascii="Times New Roman" w:hAnsi="Times New Roman" w:eastAsia="SimSun"/>
                <w:b/>
                <w:color w:val="FFFFFF"/>
                <w:sz w:val="16"/>
              </w:rPr>
              <w:t>Cohort</w:t>
            </w:r>
          </w:p>
        </w:tc>
        <w:tc>
          <w:tcPr>
            <w:tcW w:type="dxa" w:w="2041"/>
            <w:shd w:fill="1F4E78"/>
            <w:vAlign w:val="center"/>
          </w:tcPr>
          <w:p>
            <w:pPr>
              <w:spacing w:after="0" w:line="240" w:lineRule="auto"/>
            </w:pPr>
            <w:r>
              <w:rPr>
                <w:color w:val="FFFFFF"/>
              </w:rPr>
            </w:r>
            <w:r>
              <w:rPr>
                <w:rFonts w:ascii="Times New Roman" w:hAnsi="Times New Roman" w:eastAsia="SimSun"/>
                <w:b/>
                <w:color w:val="FFFFFF"/>
                <w:sz w:val="16"/>
              </w:rPr>
              <w:t>Module</w:t>
            </w:r>
          </w:p>
        </w:tc>
        <w:tc>
          <w:tcPr>
            <w:tcW w:type="dxa" w:w="1247"/>
            <w:shd w:fill="1F4E78"/>
            <w:vAlign w:val="center"/>
          </w:tcPr>
          <w:p>
            <w:pPr>
              <w:spacing w:after="0" w:line="240" w:lineRule="auto"/>
            </w:pPr>
            <w:r>
              <w:rPr>
                <w:color w:val="FFFFFF"/>
              </w:rPr>
            </w:r>
            <w:r>
              <w:rPr>
                <w:rFonts w:ascii="Times New Roman" w:hAnsi="Times New Roman" w:eastAsia="SimSun"/>
                <w:b/>
                <w:color w:val="FFFFFF"/>
                <w:sz w:val="16"/>
              </w:rPr>
              <w:t>n (lower vs higher)</w:t>
            </w:r>
          </w:p>
        </w:tc>
        <w:tc>
          <w:tcPr>
            <w:tcW w:type="dxa" w:w="1191"/>
            <w:shd w:fill="1F4E78"/>
            <w:vAlign w:val="center"/>
          </w:tcPr>
          <w:p>
            <w:pPr>
              <w:spacing w:after="0" w:line="240" w:lineRule="auto"/>
            </w:pPr>
            <w:r>
              <w:rPr>
                <w:color w:val="FFFFFF"/>
              </w:rPr>
            </w:r>
            <w:r>
              <w:rPr>
                <w:rFonts w:ascii="Times New Roman" w:hAnsi="Times New Roman" w:eastAsia="SimSun"/>
                <w:b/>
                <w:color w:val="FFFFFF"/>
                <w:sz w:val="16"/>
              </w:rPr>
              <w:t>Difference</w:t>
            </w:r>
          </w:p>
        </w:tc>
        <w:tc>
          <w:tcPr>
            <w:tcW w:type="dxa" w:w="2324"/>
            <w:shd w:fill="1F4E78"/>
            <w:vAlign w:val="center"/>
          </w:tcPr>
          <w:p>
            <w:pPr>
              <w:spacing w:after="0" w:line="240" w:lineRule="auto"/>
            </w:pPr>
            <w:r>
              <w:rPr>
                <w:color w:val="FFFFFF"/>
              </w:rPr>
            </w:r>
            <w:r>
              <w:rPr>
                <w:rFonts w:ascii="Times New Roman" w:hAnsi="Times New Roman" w:eastAsia="SimSun"/>
                <w:b/>
                <w:color w:val="FFFFFF"/>
                <w:sz w:val="16"/>
              </w:rPr>
              <w:t>Welch 95% CI</w:t>
            </w:r>
          </w:p>
        </w:tc>
        <w:tc>
          <w:tcPr>
            <w:tcW w:type="dxa" w:w="2324"/>
            <w:shd w:fill="1F4E78"/>
            <w:vAlign w:val="center"/>
          </w:tcPr>
          <w:p>
            <w:pPr>
              <w:spacing w:after="0" w:line="240" w:lineRule="auto"/>
            </w:pPr>
            <w:r>
              <w:rPr>
                <w:color w:val="FFFFFF"/>
              </w:rPr>
            </w:r>
            <w:r>
              <w:rPr>
                <w:rFonts w:ascii="Times New Roman" w:hAnsi="Times New Roman" w:eastAsia="SimSun"/>
                <w:b/>
                <w:color w:val="FFFFFF"/>
                <w:sz w:val="16"/>
              </w:rPr>
              <w:t>Bootstrap 95% CI</w:t>
            </w:r>
          </w:p>
        </w:tc>
        <w:tc>
          <w:tcPr>
            <w:tcW w:type="dxa" w:w="2665"/>
            <w:shd w:fill="1F4E78"/>
            <w:vAlign w:val="center"/>
          </w:tcPr>
          <w:p>
            <w:pPr>
              <w:spacing w:after="0" w:line="240" w:lineRule="auto"/>
            </w:pPr>
            <w:r>
              <w:rPr>
                <w:color w:val="FFFFFF"/>
              </w:rPr>
            </w:r>
            <w:r>
              <w:rPr>
                <w:rFonts w:ascii="Times New Roman" w:hAnsi="Times New Roman" w:eastAsia="SimSun"/>
                <w:b/>
                <w:color w:val="FFFFFF"/>
                <w:sz w:val="16"/>
              </w:rPr>
              <w:t>LOKO retention</w:t>
            </w:r>
          </w:p>
        </w:tc>
      </w:tr>
      <w:tr>
        <w:trPr>
          <w:cantSplit/>
        </w:trPr>
        <w:tc>
          <w:tcPr>
            <w:tcW w:type="dxa" w:w="2098"/>
            <w:shd w:fill="EAF2F8"/>
            <w:vAlign w:val="center"/>
          </w:tcPr>
          <w:p>
            <w:pPr>
              <w:spacing w:after="0" w:line="240" w:lineRule="auto"/>
            </w:pPr>
            <w:r/>
            <w:r>
              <w:rPr>
                <w:rFonts w:ascii="Times New Roman" w:hAnsi="Times New Roman" w:eastAsia="SimSun"/>
                <w:b w:val="0"/>
                <w:sz w:val="15"/>
              </w:rPr>
              <w:t>GSE230809 NP parent-project comparison, exploratory (3 vs 8)</w:t>
            </w:r>
          </w:p>
        </w:tc>
        <w:tc>
          <w:tcPr>
            <w:tcW w:type="dxa" w:w="2041"/>
            <w:shd w:fill="EAF2F8"/>
            <w:vAlign w:val="center"/>
          </w:tcPr>
          <w:p>
            <w:pPr>
              <w:spacing w:after="0" w:line="240" w:lineRule="auto"/>
            </w:pPr>
            <w:r/>
            <w:r>
              <w:rPr>
                <w:rFonts w:ascii="Times New Roman" w:hAnsi="Times New Roman" w:eastAsia="SimSun"/>
                <w:b w:val="0"/>
                <w:sz w:val="15"/>
              </w:rPr>
              <w:t>ECM/collagen remodeling</w:t>
            </w:r>
          </w:p>
        </w:tc>
        <w:tc>
          <w:tcPr>
            <w:tcW w:type="dxa" w:w="1247"/>
            <w:shd w:fill="EAF2F8"/>
            <w:vAlign w:val="center"/>
          </w:tcPr>
          <w:p>
            <w:pPr>
              <w:spacing w:after="0" w:line="240" w:lineRule="auto"/>
            </w:pPr>
            <w:r/>
            <w:r>
              <w:rPr>
                <w:rFonts w:ascii="Times New Roman" w:hAnsi="Times New Roman" w:eastAsia="SimSun"/>
                <w:b w:val="0"/>
                <w:sz w:val="15"/>
              </w:rPr>
              <w:t>3 vs 8</w:t>
            </w:r>
          </w:p>
        </w:tc>
        <w:tc>
          <w:tcPr>
            <w:tcW w:type="dxa" w:w="1191"/>
            <w:shd w:fill="EAF2F8"/>
            <w:vAlign w:val="center"/>
          </w:tcPr>
          <w:p>
            <w:pPr>
              <w:spacing w:after="0" w:line="240" w:lineRule="auto"/>
            </w:pPr>
            <w:r/>
            <w:r>
              <w:rPr>
                <w:rFonts w:ascii="Times New Roman" w:hAnsi="Times New Roman" w:eastAsia="SimSun"/>
                <w:b w:val="0"/>
                <w:sz w:val="15"/>
              </w:rPr>
              <w:t>0.3454</w:t>
            </w:r>
          </w:p>
        </w:tc>
        <w:tc>
          <w:tcPr>
            <w:tcW w:type="dxa" w:w="2324"/>
            <w:shd w:fill="EAF2F8"/>
            <w:vAlign w:val="center"/>
          </w:tcPr>
          <w:p>
            <w:pPr>
              <w:spacing w:after="0" w:line="240" w:lineRule="auto"/>
            </w:pPr>
            <w:r/>
            <w:r>
              <w:rPr>
                <w:rFonts w:ascii="Times New Roman" w:hAnsi="Times New Roman" w:eastAsia="SimSun"/>
                <w:b w:val="0"/>
                <w:sz w:val="15"/>
              </w:rPr>
              <w:t>[0.1747, 0.5162]</w:t>
            </w:r>
          </w:p>
        </w:tc>
        <w:tc>
          <w:tcPr>
            <w:tcW w:type="dxa" w:w="2324"/>
            <w:shd w:fill="EAF2F8"/>
            <w:vAlign w:val="center"/>
          </w:tcPr>
          <w:p>
            <w:pPr>
              <w:spacing w:after="0" w:line="240" w:lineRule="auto"/>
            </w:pPr>
            <w:r/>
            <w:r>
              <w:rPr>
                <w:rFonts w:ascii="Times New Roman" w:hAnsi="Times New Roman" w:eastAsia="SimSun"/>
                <w:b w:val="0"/>
                <w:sz w:val="15"/>
              </w:rPr>
              <w:t>[0.2100, 0.4777]</w:t>
            </w:r>
          </w:p>
        </w:tc>
        <w:tc>
          <w:tcPr>
            <w:tcW w:type="dxa" w:w="2665"/>
            <w:shd w:fill="EAF2F8"/>
            <w:vAlign w:val="center"/>
          </w:tcPr>
          <w:p>
            <w:pPr>
              <w:spacing w:after="0" w:line="240" w:lineRule="auto"/>
            </w:pPr>
            <w:r/>
            <w:r>
              <w:rPr>
                <w:rFonts w:ascii="Times New Roman" w:hAnsi="Times New Roman" w:eastAsia="SimSun"/>
                <w:b w:val="0"/>
                <w:sz w:val="15"/>
              </w:rPr>
              <w:t>1.000</w:t>
            </w:r>
          </w:p>
        </w:tc>
      </w:tr>
      <w:tr>
        <w:trPr>
          <w:cantSplit/>
        </w:trPr>
        <w:tc>
          <w:tcPr>
            <w:tcW w:type="dxa" w:w="2098"/>
            <w:vAlign w:val="center"/>
          </w:tcPr>
          <w:p>
            <w:pPr>
              <w:spacing w:after="0" w:line="240" w:lineRule="auto"/>
            </w:pPr>
            <w:r/>
            <w:r>
              <w:rPr>
                <w:rFonts w:ascii="Times New Roman" w:hAnsi="Times New Roman" w:eastAsia="SimSun"/>
                <w:b w:val="0"/>
                <w:sz w:val="15"/>
              </w:rPr>
              <w:t>GSE230809 NP parent-project comparison, exploratory (3 vs 8)</w:t>
            </w:r>
          </w:p>
        </w:tc>
        <w:tc>
          <w:tcPr>
            <w:tcW w:type="dxa" w:w="2041"/>
            <w:vAlign w:val="center"/>
          </w:tcPr>
          <w:p>
            <w:pPr>
              <w:spacing w:after="0" w:line="240" w:lineRule="auto"/>
            </w:pPr>
            <w:r/>
            <w:r>
              <w:rPr>
                <w:rFonts w:ascii="Times New Roman" w:hAnsi="Times New Roman" w:eastAsia="SimSun"/>
                <w:b w:val="0"/>
                <w:sz w:val="15"/>
              </w:rPr>
              <w:t>Inflammatory/NF-κB</w:t>
            </w:r>
          </w:p>
        </w:tc>
        <w:tc>
          <w:tcPr>
            <w:tcW w:type="dxa" w:w="1247"/>
            <w:vAlign w:val="center"/>
          </w:tcPr>
          <w:p>
            <w:pPr>
              <w:spacing w:after="0" w:line="240" w:lineRule="auto"/>
            </w:pPr>
            <w:r/>
            <w:r>
              <w:rPr>
                <w:rFonts w:ascii="Times New Roman" w:hAnsi="Times New Roman" w:eastAsia="SimSun"/>
                <w:b w:val="0"/>
                <w:sz w:val="15"/>
              </w:rPr>
              <w:t>3 vs 8</w:t>
            </w:r>
          </w:p>
        </w:tc>
        <w:tc>
          <w:tcPr>
            <w:tcW w:type="dxa" w:w="1191"/>
            <w:vAlign w:val="center"/>
          </w:tcPr>
          <w:p>
            <w:pPr>
              <w:spacing w:after="0" w:line="240" w:lineRule="auto"/>
            </w:pPr>
            <w:r/>
            <w:r>
              <w:rPr>
                <w:rFonts w:ascii="Times New Roman" w:hAnsi="Times New Roman" w:eastAsia="SimSun"/>
                <w:b w:val="0"/>
                <w:sz w:val="15"/>
              </w:rPr>
              <w:t>-0.1109</w:t>
            </w:r>
          </w:p>
        </w:tc>
        <w:tc>
          <w:tcPr>
            <w:tcW w:type="dxa" w:w="2324"/>
            <w:vAlign w:val="center"/>
          </w:tcPr>
          <w:p>
            <w:pPr>
              <w:spacing w:after="0" w:line="240" w:lineRule="auto"/>
            </w:pPr>
            <w:r/>
            <w:r>
              <w:rPr>
                <w:rFonts w:ascii="Times New Roman" w:hAnsi="Times New Roman" w:eastAsia="SimSun"/>
                <w:b w:val="0"/>
                <w:sz w:val="15"/>
              </w:rPr>
              <w:t>[-0.4111, 0.1892]</w:t>
            </w:r>
          </w:p>
        </w:tc>
        <w:tc>
          <w:tcPr>
            <w:tcW w:type="dxa" w:w="2324"/>
            <w:vAlign w:val="center"/>
          </w:tcPr>
          <w:p>
            <w:pPr>
              <w:spacing w:after="0" w:line="240" w:lineRule="auto"/>
            </w:pPr>
            <w:r/>
            <w:r>
              <w:rPr>
                <w:rFonts w:ascii="Times New Roman" w:hAnsi="Times New Roman" w:eastAsia="SimSun"/>
                <w:b w:val="0"/>
                <w:sz w:val="15"/>
              </w:rPr>
              <w:t>[-0.2597, 0.0220]</w:t>
            </w:r>
          </w:p>
        </w:tc>
        <w:tc>
          <w:tcPr>
            <w:tcW w:type="dxa" w:w="2665"/>
            <w:vAlign w:val="center"/>
          </w:tcPr>
          <w:p>
            <w:pPr>
              <w:spacing w:after="0" w:line="240" w:lineRule="auto"/>
            </w:pPr>
            <w:r/>
            <w:r>
              <w:rPr>
                <w:rFonts w:ascii="Times New Roman" w:hAnsi="Times New Roman" w:eastAsia="SimSun"/>
                <w:b w:val="0"/>
                <w:sz w:val="15"/>
              </w:rPr>
              <w:t>1.000</w:t>
            </w:r>
          </w:p>
        </w:tc>
      </w:tr>
      <w:tr>
        <w:trPr>
          <w:cantSplit/>
        </w:trPr>
        <w:tc>
          <w:tcPr>
            <w:tcW w:type="dxa" w:w="2098"/>
            <w:shd w:fill="EAF2F8"/>
            <w:vAlign w:val="center"/>
          </w:tcPr>
          <w:p>
            <w:pPr>
              <w:spacing w:after="0" w:line="240" w:lineRule="auto"/>
            </w:pPr>
            <w:r/>
            <w:r>
              <w:rPr>
                <w:rFonts w:ascii="Times New Roman" w:hAnsi="Times New Roman" w:eastAsia="SimSun"/>
                <w:b w:val="0"/>
                <w:sz w:val="15"/>
              </w:rPr>
              <w:t>GSE230809 NP parent-project comparison, exploratory (3 vs 8)</w:t>
            </w:r>
          </w:p>
        </w:tc>
        <w:tc>
          <w:tcPr>
            <w:tcW w:type="dxa" w:w="2041"/>
            <w:shd w:fill="EAF2F8"/>
            <w:vAlign w:val="center"/>
          </w:tcPr>
          <w:p>
            <w:pPr>
              <w:spacing w:after="0" w:line="240" w:lineRule="auto"/>
            </w:pPr>
            <w:r/>
            <w:r>
              <w:rPr>
                <w:rFonts w:ascii="Times New Roman" w:hAnsi="Times New Roman" w:eastAsia="SimSun"/>
                <w:b w:val="0"/>
                <w:sz w:val="15"/>
              </w:rPr>
              <w:t>Hypoxia/oxidative stress</w:t>
            </w:r>
          </w:p>
        </w:tc>
        <w:tc>
          <w:tcPr>
            <w:tcW w:type="dxa" w:w="1247"/>
            <w:shd w:fill="EAF2F8"/>
            <w:vAlign w:val="center"/>
          </w:tcPr>
          <w:p>
            <w:pPr>
              <w:spacing w:after="0" w:line="240" w:lineRule="auto"/>
            </w:pPr>
            <w:r/>
            <w:r>
              <w:rPr>
                <w:rFonts w:ascii="Times New Roman" w:hAnsi="Times New Roman" w:eastAsia="SimSun"/>
                <w:b w:val="0"/>
                <w:sz w:val="15"/>
              </w:rPr>
              <w:t>3 vs 8</w:t>
            </w:r>
          </w:p>
        </w:tc>
        <w:tc>
          <w:tcPr>
            <w:tcW w:type="dxa" w:w="1191"/>
            <w:shd w:fill="EAF2F8"/>
            <w:vAlign w:val="center"/>
          </w:tcPr>
          <w:p>
            <w:pPr>
              <w:spacing w:after="0" w:line="240" w:lineRule="auto"/>
            </w:pPr>
            <w:r/>
            <w:r>
              <w:rPr>
                <w:rFonts w:ascii="Times New Roman" w:hAnsi="Times New Roman" w:eastAsia="SimSun"/>
                <w:b w:val="0"/>
                <w:sz w:val="15"/>
              </w:rPr>
              <w:t>0.1776</w:t>
            </w:r>
          </w:p>
        </w:tc>
        <w:tc>
          <w:tcPr>
            <w:tcW w:type="dxa" w:w="2324"/>
            <w:shd w:fill="EAF2F8"/>
            <w:vAlign w:val="center"/>
          </w:tcPr>
          <w:p>
            <w:pPr>
              <w:spacing w:after="0" w:line="240" w:lineRule="auto"/>
            </w:pPr>
            <w:r/>
            <w:r>
              <w:rPr>
                <w:rFonts w:ascii="Times New Roman" w:hAnsi="Times New Roman" w:eastAsia="SimSun"/>
                <w:b w:val="0"/>
                <w:sz w:val="15"/>
              </w:rPr>
              <w:t>[-0.0245, 0.3798]</w:t>
            </w:r>
          </w:p>
        </w:tc>
        <w:tc>
          <w:tcPr>
            <w:tcW w:type="dxa" w:w="2324"/>
            <w:shd w:fill="EAF2F8"/>
            <w:vAlign w:val="center"/>
          </w:tcPr>
          <w:p>
            <w:pPr>
              <w:spacing w:after="0" w:line="240" w:lineRule="auto"/>
            </w:pPr>
            <w:r/>
            <w:r>
              <w:rPr>
                <w:rFonts w:ascii="Times New Roman" w:hAnsi="Times New Roman" w:eastAsia="SimSun"/>
                <w:b w:val="0"/>
                <w:sz w:val="15"/>
              </w:rPr>
              <w:t>[0.0429, 0.3159]</w:t>
            </w:r>
          </w:p>
        </w:tc>
        <w:tc>
          <w:tcPr>
            <w:tcW w:type="dxa" w:w="2665"/>
            <w:shd w:fill="EAF2F8"/>
            <w:vAlign w:val="center"/>
          </w:tcPr>
          <w:p>
            <w:pPr>
              <w:spacing w:after="0" w:line="240" w:lineRule="auto"/>
            </w:pPr>
            <w:r/>
            <w:r>
              <w:rPr>
                <w:rFonts w:ascii="Times New Roman" w:hAnsi="Times New Roman" w:eastAsia="SimSun"/>
                <w:b w:val="0"/>
                <w:sz w:val="15"/>
              </w:rPr>
              <w:t>1.000</w:t>
            </w:r>
          </w:p>
        </w:tc>
      </w:tr>
      <w:tr>
        <w:trPr>
          <w:cantSplit/>
        </w:trPr>
        <w:tc>
          <w:tcPr>
            <w:tcW w:type="dxa" w:w="2098"/>
            <w:vAlign w:val="center"/>
          </w:tcPr>
          <w:p>
            <w:pPr>
              <w:spacing w:after="0" w:line="240" w:lineRule="auto"/>
            </w:pPr>
            <w:r/>
            <w:r>
              <w:rPr>
                <w:rFonts w:ascii="Times New Roman" w:hAnsi="Times New Roman" w:eastAsia="SimSun"/>
                <w:b w:val="0"/>
                <w:sz w:val="15"/>
              </w:rPr>
              <w:t>GSE230809 NP parent-project comparison, exploratory (3 vs 8)</w:t>
            </w:r>
          </w:p>
        </w:tc>
        <w:tc>
          <w:tcPr>
            <w:tcW w:type="dxa" w:w="2041"/>
            <w:vAlign w:val="center"/>
          </w:tcPr>
          <w:p>
            <w:pPr>
              <w:spacing w:after="0" w:line="240" w:lineRule="auto"/>
            </w:pPr>
            <w:r/>
            <w:r>
              <w:rPr>
                <w:rFonts w:ascii="Times New Roman" w:hAnsi="Times New Roman" w:eastAsia="SimSun"/>
                <w:b w:val="0"/>
                <w:sz w:val="15"/>
              </w:rPr>
              <w:t>Disc-matrix homeostasis</w:t>
            </w:r>
          </w:p>
        </w:tc>
        <w:tc>
          <w:tcPr>
            <w:tcW w:type="dxa" w:w="1247"/>
            <w:vAlign w:val="center"/>
          </w:tcPr>
          <w:p>
            <w:pPr>
              <w:spacing w:after="0" w:line="240" w:lineRule="auto"/>
            </w:pPr>
            <w:r/>
            <w:r>
              <w:rPr>
                <w:rFonts w:ascii="Times New Roman" w:hAnsi="Times New Roman" w:eastAsia="SimSun"/>
                <w:b w:val="0"/>
                <w:sz w:val="15"/>
              </w:rPr>
              <w:t>3 vs 8</w:t>
            </w:r>
          </w:p>
        </w:tc>
        <w:tc>
          <w:tcPr>
            <w:tcW w:type="dxa" w:w="1191"/>
            <w:vAlign w:val="center"/>
          </w:tcPr>
          <w:p>
            <w:pPr>
              <w:spacing w:after="0" w:line="240" w:lineRule="auto"/>
            </w:pPr>
            <w:r/>
            <w:r>
              <w:rPr>
                <w:rFonts w:ascii="Times New Roman" w:hAnsi="Times New Roman" w:eastAsia="SimSun"/>
                <w:b w:val="0"/>
                <w:sz w:val="15"/>
              </w:rPr>
              <w:t>0.0533</w:t>
            </w:r>
          </w:p>
        </w:tc>
        <w:tc>
          <w:tcPr>
            <w:tcW w:type="dxa" w:w="2324"/>
            <w:vAlign w:val="center"/>
          </w:tcPr>
          <w:p>
            <w:pPr>
              <w:spacing w:after="0" w:line="240" w:lineRule="auto"/>
            </w:pPr>
            <w:r/>
            <w:r>
              <w:rPr>
                <w:rFonts w:ascii="Times New Roman" w:hAnsi="Times New Roman" w:eastAsia="SimSun"/>
                <w:b w:val="0"/>
                <w:sz w:val="15"/>
              </w:rPr>
              <w:t>[-1.4481, 1.5546]</w:t>
            </w:r>
          </w:p>
        </w:tc>
        <w:tc>
          <w:tcPr>
            <w:tcW w:type="dxa" w:w="2324"/>
            <w:vAlign w:val="center"/>
          </w:tcPr>
          <w:p>
            <w:pPr>
              <w:spacing w:after="0" w:line="240" w:lineRule="auto"/>
            </w:pPr>
            <w:r/>
            <w:r>
              <w:rPr>
                <w:rFonts w:ascii="Times New Roman" w:hAnsi="Times New Roman" w:eastAsia="SimSun"/>
                <w:b w:val="0"/>
                <w:sz w:val="15"/>
              </w:rPr>
              <w:t>[-0.6308, 0.6477]</w:t>
            </w:r>
          </w:p>
        </w:tc>
        <w:tc>
          <w:tcPr>
            <w:tcW w:type="dxa" w:w="2665"/>
            <w:vAlign w:val="center"/>
          </w:tcPr>
          <w:p>
            <w:pPr>
              <w:spacing w:after="0" w:line="240" w:lineRule="auto"/>
            </w:pPr>
            <w:r/>
            <w:r>
              <w:rPr>
                <w:rFonts w:ascii="Times New Roman" w:hAnsi="Times New Roman" w:eastAsia="SimSun"/>
                <w:b w:val="0"/>
                <w:sz w:val="15"/>
              </w:rPr>
              <w:t>0.636</w:t>
            </w:r>
          </w:p>
        </w:tc>
      </w:tr>
      <w:tr>
        <w:trPr>
          <w:cantSplit/>
        </w:trPr>
        <w:tc>
          <w:tcPr>
            <w:tcW w:type="dxa" w:w="2098"/>
            <w:shd w:fill="EAF2F8"/>
            <w:vAlign w:val="center"/>
          </w:tcPr>
          <w:p>
            <w:pPr>
              <w:spacing w:after="0" w:line="240" w:lineRule="auto"/>
            </w:pPr>
            <w:r/>
            <w:r>
              <w:rPr>
                <w:rFonts w:ascii="Times New Roman" w:hAnsi="Times New Roman" w:eastAsia="SimSun"/>
                <w:b w:val="0"/>
                <w:sz w:val="15"/>
              </w:rPr>
              <w:t>GSE244889 external NP score-level cohort (4 vs 3)</w:t>
            </w:r>
          </w:p>
        </w:tc>
        <w:tc>
          <w:tcPr>
            <w:tcW w:type="dxa" w:w="2041"/>
            <w:shd w:fill="EAF2F8"/>
            <w:vAlign w:val="center"/>
          </w:tcPr>
          <w:p>
            <w:pPr>
              <w:spacing w:after="0" w:line="240" w:lineRule="auto"/>
            </w:pPr>
            <w:r/>
            <w:r>
              <w:rPr>
                <w:rFonts w:ascii="Times New Roman" w:hAnsi="Times New Roman" w:eastAsia="SimSun"/>
                <w:b w:val="0"/>
                <w:sz w:val="15"/>
              </w:rPr>
              <w:t>ECM/collagen remodeling</w:t>
            </w:r>
          </w:p>
        </w:tc>
        <w:tc>
          <w:tcPr>
            <w:tcW w:type="dxa" w:w="1247"/>
            <w:shd w:fill="EAF2F8"/>
            <w:vAlign w:val="center"/>
          </w:tcPr>
          <w:p>
            <w:pPr>
              <w:spacing w:after="0" w:line="240" w:lineRule="auto"/>
            </w:pPr>
            <w:r/>
            <w:r>
              <w:rPr>
                <w:rFonts w:ascii="Times New Roman" w:hAnsi="Times New Roman" w:eastAsia="SimSun"/>
                <w:b w:val="0"/>
                <w:sz w:val="15"/>
              </w:rPr>
              <w:t>4 vs 3</w:t>
            </w:r>
          </w:p>
        </w:tc>
        <w:tc>
          <w:tcPr>
            <w:tcW w:type="dxa" w:w="1191"/>
            <w:shd w:fill="EAF2F8"/>
            <w:vAlign w:val="center"/>
          </w:tcPr>
          <w:p>
            <w:pPr>
              <w:spacing w:after="0" w:line="240" w:lineRule="auto"/>
            </w:pPr>
            <w:r/>
            <w:r>
              <w:rPr>
                <w:rFonts w:ascii="Times New Roman" w:hAnsi="Times New Roman" w:eastAsia="SimSun"/>
                <w:b w:val="0"/>
                <w:sz w:val="15"/>
              </w:rPr>
              <w:t>0.9703</w:t>
            </w:r>
          </w:p>
        </w:tc>
        <w:tc>
          <w:tcPr>
            <w:tcW w:type="dxa" w:w="2324"/>
            <w:shd w:fill="EAF2F8"/>
            <w:vAlign w:val="center"/>
          </w:tcPr>
          <w:p>
            <w:pPr>
              <w:spacing w:after="0" w:line="240" w:lineRule="auto"/>
            </w:pPr>
            <w:r/>
            <w:r>
              <w:rPr>
                <w:rFonts w:ascii="Times New Roman" w:hAnsi="Times New Roman" w:eastAsia="SimSun"/>
                <w:b w:val="0"/>
                <w:sz w:val="15"/>
              </w:rPr>
              <w:t>[0.1359, 1.8048]</w:t>
            </w:r>
          </w:p>
        </w:tc>
        <w:tc>
          <w:tcPr>
            <w:tcW w:type="dxa" w:w="2324"/>
            <w:shd w:fill="EAF2F8"/>
            <w:vAlign w:val="center"/>
          </w:tcPr>
          <w:p>
            <w:pPr>
              <w:spacing w:after="0" w:line="240" w:lineRule="auto"/>
            </w:pPr>
            <w:r/>
            <w:r>
              <w:rPr>
                <w:rFonts w:ascii="Times New Roman" w:hAnsi="Times New Roman" w:eastAsia="SimSun"/>
                <w:b w:val="0"/>
                <w:sz w:val="15"/>
              </w:rPr>
              <w:t>[0.4351, 1.4525]</w:t>
            </w:r>
          </w:p>
        </w:tc>
        <w:tc>
          <w:tcPr>
            <w:tcW w:type="dxa" w:w="2665"/>
            <w:shd w:fill="EAF2F8"/>
            <w:vAlign w:val="center"/>
          </w:tcPr>
          <w:p>
            <w:pPr>
              <w:spacing w:after="0" w:line="240" w:lineRule="auto"/>
            </w:pPr>
            <w:r/>
            <w:r>
              <w:rPr>
                <w:rFonts w:ascii="Times New Roman" w:hAnsi="Times New Roman" w:eastAsia="SimSun"/>
                <w:b w:val="0"/>
                <w:sz w:val="15"/>
              </w:rPr>
              <w:t>1.000</w:t>
            </w:r>
          </w:p>
        </w:tc>
      </w:tr>
      <w:tr>
        <w:trPr>
          <w:cantSplit/>
        </w:trPr>
        <w:tc>
          <w:tcPr>
            <w:tcW w:type="dxa" w:w="2098"/>
            <w:vAlign w:val="center"/>
          </w:tcPr>
          <w:p>
            <w:pPr>
              <w:spacing w:after="0" w:line="240" w:lineRule="auto"/>
            </w:pPr>
            <w:r/>
            <w:r>
              <w:rPr>
                <w:rFonts w:ascii="Times New Roman" w:hAnsi="Times New Roman" w:eastAsia="SimSun"/>
                <w:b w:val="0"/>
                <w:sz w:val="15"/>
              </w:rPr>
              <w:t>GSE244889 external NP score-level cohort (4 vs 3)</w:t>
            </w:r>
          </w:p>
        </w:tc>
        <w:tc>
          <w:tcPr>
            <w:tcW w:type="dxa" w:w="2041"/>
            <w:vAlign w:val="center"/>
          </w:tcPr>
          <w:p>
            <w:pPr>
              <w:spacing w:after="0" w:line="240" w:lineRule="auto"/>
            </w:pPr>
            <w:r/>
            <w:r>
              <w:rPr>
                <w:rFonts w:ascii="Times New Roman" w:hAnsi="Times New Roman" w:eastAsia="SimSun"/>
                <w:b w:val="0"/>
                <w:sz w:val="15"/>
              </w:rPr>
              <w:t>Inflammatory/NF-κB</w:t>
            </w:r>
          </w:p>
        </w:tc>
        <w:tc>
          <w:tcPr>
            <w:tcW w:type="dxa" w:w="1247"/>
            <w:vAlign w:val="center"/>
          </w:tcPr>
          <w:p>
            <w:pPr>
              <w:spacing w:after="0" w:line="240" w:lineRule="auto"/>
            </w:pPr>
            <w:r/>
            <w:r>
              <w:rPr>
                <w:rFonts w:ascii="Times New Roman" w:hAnsi="Times New Roman" w:eastAsia="SimSun"/>
                <w:b w:val="0"/>
                <w:sz w:val="15"/>
              </w:rPr>
              <w:t>4 vs 3</w:t>
            </w:r>
          </w:p>
        </w:tc>
        <w:tc>
          <w:tcPr>
            <w:tcW w:type="dxa" w:w="1191"/>
            <w:vAlign w:val="center"/>
          </w:tcPr>
          <w:p>
            <w:pPr>
              <w:spacing w:after="0" w:line="240" w:lineRule="auto"/>
            </w:pPr>
            <w:r/>
            <w:r>
              <w:rPr>
                <w:rFonts w:ascii="Times New Roman" w:hAnsi="Times New Roman" w:eastAsia="SimSun"/>
                <w:b w:val="0"/>
                <w:sz w:val="15"/>
              </w:rPr>
              <w:t>0.0493</w:t>
            </w:r>
          </w:p>
        </w:tc>
        <w:tc>
          <w:tcPr>
            <w:tcW w:type="dxa" w:w="2324"/>
            <w:vAlign w:val="center"/>
          </w:tcPr>
          <w:p>
            <w:pPr>
              <w:spacing w:after="0" w:line="240" w:lineRule="auto"/>
            </w:pPr>
            <w:r/>
            <w:r>
              <w:rPr>
                <w:rFonts w:ascii="Times New Roman" w:hAnsi="Times New Roman" w:eastAsia="SimSun"/>
                <w:b w:val="0"/>
                <w:sz w:val="15"/>
              </w:rPr>
              <w:t>[-0.7993, 0.8979]</w:t>
            </w:r>
          </w:p>
        </w:tc>
        <w:tc>
          <w:tcPr>
            <w:tcW w:type="dxa" w:w="2324"/>
            <w:vAlign w:val="center"/>
          </w:tcPr>
          <w:p>
            <w:pPr>
              <w:spacing w:after="0" w:line="240" w:lineRule="auto"/>
            </w:pPr>
            <w:r/>
            <w:r>
              <w:rPr>
                <w:rFonts w:ascii="Times New Roman" w:hAnsi="Times New Roman" w:eastAsia="SimSun"/>
                <w:b w:val="0"/>
                <w:sz w:val="15"/>
              </w:rPr>
              <w:t>[-0.5353, 0.5421]</w:t>
            </w:r>
          </w:p>
        </w:tc>
        <w:tc>
          <w:tcPr>
            <w:tcW w:type="dxa" w:w="2665"/>
            <w:vAlign w:val="center"/>
          </w:tcPr>
          <w:p>
            <w:pPr>
              <w:spacing w:after="0" w:line="240" w:lineRule="auto"/>
            </w:pPr>
            <w:r/>
            <w:r>
              <w:rPr>
                <w:rFonts w:ascii="Times New Roman" w:hAnsi="Times New Roman" w:eastAsia="SimSun"/>
                <w:b w:val="0"/>
                <w:sz w:val="15"/>
              </w:rPr>
              <w:t>0.571</w:t>
            </w:r>
          </w:p>
        </w:tc>
      </w:tr>
      <w:tr>
        <w:trPr>
          <w:cantSplit/>
        </w:trPr>
        <w:tc>
          <w:tcPr>
            <w:tcW w:type="dxa" w:w="2098"/>
            <w:shd w:fill="EAF2F8"/>
            <w:vAlign w:val="center"/>
          </w:tcPr>
          <w:p>
            <w:pPr>
              <w:spacing w:after="0" w:line="240" w:lineRule="auto"/>
            </w:pPr>
            <w:r/>
            <w:r>
              <w:rPr>
                <w:rFonts w:ascii="Times New Roman" w:hAnsi="Times New Roman" w:eastAsia="SimSun"/>
                <w:b w:val="0"/>
                <w:sz w:val="15"/>
              </w:rPr>
              <w:t>GSE244889 external NP score-level cohort (4 vs 3)</w:t>
            </w:r>
          </w:p>
        </w:tc>
        <w:tc>
          <w:tcPr>
            <w:tcW w:type="dxa" w:w="2041"/>
            <w:shd w:fill="EAF2F8"/>
            <w:vAlign w:val="center"/>
          </w:tcPr>
          <w:p>
            <w:pPr>
              <w:spacing w:after="0" w:line="240" w:lineRule="auto"/>
            </w:pPr>
            <w:r/>
            <w:r>
              <w:rPr>
                <w:rFonts w:ascii="Times New Roman" w:hAnsi="Times New Roman" w:eastAsia="SimSun"/>
                <w:b w:val="0"/>
                <w:sz w:val="15"/>
              </w:rPr>
              <w:t>Hypoxia/oxidative stress</w:t>
            </w:r>
          </w:p>
        </w:tc>
        <w:tc>
          <w:tcPr>
            <w:tcW w:type="dxa" w:w="1247"/>
            <w:shd w:fill="EAF2F8"/>
            <w:vAlign w:val="center"/>
          </w:tcPr>
          <w:p>
            <w:pPr>
              <w:spacing w:after="0" w:line="240" w:lineRule="auto"/>
            </w:pPr>
            <w:r/>
            <w:r>
              <w:rPr>
                <w:rFonts w:ascii="Times New Roman" w:hAnsi="Times New Roman" w:eastAsia="SimSun"/>
                <w:b w:val="0"/>
                <w:sz w:val="15"/>
              </w:rPr>
              <w:t>4 vs 3</w:t>
            </w:r>
          </w:p>
        </w:tc>
        <w:tc>
          <w:tcPr>
            <w:tcW w:type="dxa" w:w="1191"/>
            <w:shd w:fill="EAF2F8"/>
            <w:vAlign w:val="center"/>
          </w:tcPr>
          <w:p>
            <w:pPr>
              <w:spacing w:after="0" w:line="240" w:lineRule="auto"/>
            </w:pPr>
            <w:r/>
            <w:r>
              <w:rPr>
                <w:rFonts w:ascii="Times New Roman" w:hAnsi="Times New Roman" w:eastAsia="SimSun"/>
                <w:b w:val="0"/>
                <w:sz w:val="15"/>
              </w:rPr>
              <w:t>0.2381</w:t>
            </w:r>
          </w:p>
        </w:tc>
        <w:tc>
          <w:tcPr>
            <w:tcW w:type="dxa" w:w="2324"/>
            <w:shd w:fill="EAF2F8"/>
            <w:vAlign w:val="center"/>
          </w:tcPr>
          <w:p>
            <w:pPr>
              <w:spacing w:after="0" w:line="240" w:lineRule="auto"/>
            </w:pPr>
            <w:r/>
            <w:r>
              <w:rPr>
                <w:rFonts w:ascii="Times New Roman" w:hAnsi="Times New Roman" w:eastAsia="SimSun"/>
                <w:b w:val="0"/>
                <w:sz w:val="15"/>
              </w:rPr>
              <w:t>[-0.1314, 0.6076]</w:t>
            </w:r>
          </w:p>
        </w:tc>
        <w:tc>
          <w:tcPr>
            <w:tcW w:type="dxa" w:w="2324"/>
            <w:shd w:fill="EAF2F8"/>
            <w:vAlign w:val="center"/>
          </w:tcPr>
          <w:p>
            <w:pPr>
              <w:spacing w:after="0" w:line="240" w:lineRule="auto"/>
            </w:pPr>
            <w:r/>
            <w:r>
              <w:rPr>
                <w:rFonts w:ascii="Times New Roman" w:hAnsi="Times New Roman" w:eastAsia="SimSun"/>
                <w:b w:val="0"/>
                <w:sz w:val="15"/>
              </w:rPr>
              <w:t>[0.0627, 0.4468]</w:t>
            </w:r>
          </w:p>
        </w:tc>
        <w:tc>
          <w:tcPr>
            <w:tcW w:type="dxa" w:w="2665"/>
            <w:shd w:fill="EAF2F8"/>
            <w:vAlign w:val="center"/>
          </w:tcPr>
          <w:p>
            <w:pPr>
              <w:spacing w:after="0" w:line="240" w:lineRule="auto"/>
            </w:pPr>
            <w:r/>
            <w:r>
              <w:rPr>
                <w:rFonts w:ascii="Times New Roman" w:hAnsi="Times New Roman" w:eastAsia="SimSun"/>
                <w:b w:val="0"/>
                <w:sz w:val="15"/>
              </w:rPr>
              <w:t>1.000</w:t>
            </w:r>
          </w:p>
        </w:tc>
      </w:tr>
      <w:tr>
        <w:trPr>
          <w:cantSplit/>
        </w:trPr>
        <w:tc>
          <w:tcPr>
            <w:tcW w:type="dxa" w:w="2098"/>
            <w:vAlign w:val="center"/>
          </w:tcPr>
          <w:p>
            <w:pPr>
              <w:spacing w:after="0" w:line="240" w:lineRule="auto"/>
            </w:pPr>
            <w:r/>
            <w:r>
              <w:rPr>
                <w:rFonts w:ascii="Times New Roman" w:hAnsi="Times New Roman" w:eastAsia="SimSun"/>
                <w:b w:val="0"/>
                <w:sz w:val="15"/>
              </w:rPr>
              <w:t>GSE244889 external NP score-level cohort (4 vs 3)</w:t>
            </w:r>
          </w:p>
        </w:tc>
        <w:tc>
          <w:tcPr>
            <w:tcW w:type="dxa" w:w="2041"/>
            <w:vAlign w:val="center"/>
          </w:tcPr>
          <w:p>
            <w:pPr>
              <w:spacing w:after="0" w:line="240" w:lineRule="auto"/>
            </w:pPr>
            <w:r/>
            <w:r>
              <w:rPr>
                <w:rFonts w:ascii="Times New Roman" w:hAnsi="Times New Roman" w:eastAsia="SimSun"/>
                <w:b w:val="0"/>
                <w:sz w:val="15"/>
              </w:rPr>
              <w:t>Disc-matrix homeostasis</w:t>
            </w:r>
          </w:p>
        </w:tc>
        <w:tc>
          <w:tcPr>
            <w:tcW w:type="dxa" w:w="1247"/>
            <w:vAlign w:val="center"/>
          </w:tcPr>
          <w:p>
            <w:pPr>
              <w:spacing w:after="0" w:line="240" w:lineRule="auto"/>
            </w:pPr>
            <w:r/>
            <w:r>
              <w:rPr>
                <w:rFonts w:ascii="Times New Roman" w:hAnsi="Times New Roman" w:eastAsia="SimSun"/>
                <w:b w:val="0"/>
                <w:sz w:val="15"/>
              </w:rPr>
              <w:t>4 vs 3</w:t>
            </w:r>
          </w:p>
        </w:tc>
        <w:tc>
          <w:tcPr>
            <w:tcW w:type="dxa" w:w="1191"/>
            <w:vAlign w:val="center"/>
          </w:tcPr>
          <w:p>
            <w:pPr>
              <w:spacing w:after="0" w:line="240" w:lineRule="auto"/>
            </w:pPr>
            <w:r/>
            <w:r>
              <w:rPr>
                <w:rFonts w:ascii="Times New Roman" w:hAnsi="Times New Roman" w:eastAsia="SimSun"/>
                <w:b w:val="0"/>
                <w:sz w:val="15"/>
              </w:rPr>
              <w:t>0.0365</w:t>
            </w:r>
          </w:p>
        </w:tc>
        <w:tc>
          <w:tcPr>
            <w:tcW w:type="dxa" w:w="2324"/>
            <w:vAlign w:val="center"/>
          </w:tcPr>
          <w:p>
            <w:pPr>
              <w:spacing w:after="0" w:line="240" w:lineRule="auto"/>
            </w:pPr>
            <w:r/>
            <w:r>
              <w:rPr>
                <w:rFonts w:ascii="Times New Roman" w:hAnsi="Times New Roman" w:eastAsia="SimSun"/>
                <w:b w:val="0"/>
                <w:sz w:val="15"/>
              </w:rPr>
              <w:t>[-0.6158, 0.6887]</w:t>
            </w:r>
          </w:p>
        </w:tc>
        <w:tc>
          <w:tcPr>
            <w:tcW w:type="dxa" w:w="2324"/>
            <w:vAlign w:val="center"/>
          </w:tcPr>
          <w:p>
            <w:pPr>
              <w:spacing w:after="0" w:line="240" w:lineRule="auto"/>
            </w:pPr>
            <w:r/>
            <w:r>
              <w:rPr>
                <w:rFonts w:ascii="Times New Roman" w:hAnsi="Times New Roman" w:eastAsia="SimSun"/>
                <w:b w:val="0"/>
                <w:sz w:val="15"/>
              </w:rPr>
              <w:t>[-0.2642, 0.2597]</w:t>
            </w:r>
          </w:p>
        </w:tc>
        <w:tc>
          <w:tcPr>
            <w:tcW w:type="dxa" w:w="2665"/>
            <w:vAlign w:val="center"/>
          </w:tcPr>
          <w:p>
            <w:pPr>
              <w:spacing w:after="0" w:line="240" w:lineRule="auto"/>
            </w:pPr>
            <w:r/>
            <w:r>
              <w:rPr>
                <w:rFonts w:ascii="Times New Roman" w:hAnsi="Times New Roman" w:eastAsia="SimSun"/>
                <w:b w:val="0"/>
                <w:sz w:val="15"/>
              </w:rPr>
              <w:t>0.714</w:t>
            </w:r>
          </w:p>
        </w:tc>
      </w:tr>
      <w:tr>
        <w:trPr>
          <w:cantSplit/>
        </w:trPr>
        <w:tc>
          <w:tcPr>
            <w:tcW w:type="dxa" w:w="2098"/>
            <w:shd w:fill="EAF2F8"/>
            <w:vAlign w:val="center"/>
          </w:tcPr>
          <w:p>
            <w:pPr>
              <w:spacing w:after="0" w:line="240" w:lineRule="auto"/>
            </w:pPr>
            <w:r/>
            <w:r>
              <w:rPr>
                <w:rFonts w:ascii="Times New Roman" w:hAnsi="Times New Roman" w:eastAsia="SimSun"/>
                <w:b w:val="0"/>
                <w:sz w:val="15"/>
              </w:rPr>
              <w:t>GSE153066 external NP dense-count cohort (8 vs 8)</w:t>
            </w:r>
          </w:p>
        </w:tc>
        <w:tc>
          <w:tcPr>
            <w:tcW w:type="dxa" w:w="2041"/>
            <w:shd w:fill="EAF2F8"/>
            <w:vAlign w:val="center"/>
          </w:tcPr>
          <w:p>
            <w:pPr>
              <w:spacing w:after="0" w:line="240" w:lineRule="auto"/>
            </w:pPr>
            <w:r/>
            <w:r>
              <w:rPr>
                <w:rFonts w:ascii="Times New Roman" w:hAnsi="Times New Roman" w:eastAsia="SimSun"/>
                <w:b w:val="0"/>
                <w:sz w:val="15"/>
              </w:rPr>
              <w:t>ECM/collagen remodeling</w:t>
            </w:r>
          </w:p>
        </w:tc>
        <w:tc>
          <w:tcPr>
            <w:tcW w:type="dxa" w:w="1247"/>
            <w:shd w:fill="EAF2F8"/>
            <w:vAlign w:val="center"/>
          </w:tcPr>
          <w:p>
            <w:pPr>
              <w:spacing w:after="0" w:line="240" w:lineRule="auto"/>
            </w:pPr>
            <w:r/>
            <w:r>
              <w:rPr>
                <w:rFonts w:ascii="Times New Roman" w:hAnsi="Times New Roman" w:eastAsia="SimSun"/>
                <w:b w:val="0"/>
                <w:sz w:val="15"/>
              </w:rPr>
              <w:t>8 vs 8</w:t>
            </w:r>
          </w:p>
        </w:tc>
        <w:tc>
          <w:tcPr>
            <w:tcW w:type="dxa" w:w="1191"/>
            <w:shd w:fill="EAF2F8"/>
            <w:vAlign w:val="center"/>
          </w:tcPr>
          <w:p>
            <w:pPr>
              <w:spacing w:after="0" w:line="240" w:lineRule="auto"/>
            </w:pPr>
            <w:r/>
            <w:r>
              <w:rPr>
                <w:rFonts w:ascii="Times New Roman" w:hAnsi="Times New Roman" w:eastAsia="SimSun"/>
                <w:b w:val="0"/>
                <w:sz w:val="15"/>
              </w:rPr>
              <w:t>-0.4034</w:t>
            </w:r>
          </w:p>
        </w:tc>
        <w:tc>
          <w:tcPr>
            <w:tcW w:type="dxa" w:w="2324"/>
            <w:shd w:fill="EAF2F8"/>
            <w:vAlign w:val="center"/>
          </w:tcPr>
          <w:p>
            <w:pPr>
              <w:spacing w:after="0" w:line="240" w:lineRule="auto"/>
            </w:pPr>
            <w:r/>
            <w:r>
              <w:rPr>
                <w:rFonts w:ascii="Times New Roman" w:hAnsi="Times New Roman" w:eastAsia="SimSun"/>
                <w:b w:val="0"/>
                <w:sz w:val="15"/>
              </w:rPr>
              <w:t>[-1.2846, 0.4778]</w:t>
            </w:r>
          </w:p>
        </w:tc>
        <w:tc>
          <w:tcPr>
            <w:tcW w:type="dxa" w:w="2324"/>
            <w:shd w:fill="EAF2F8"/>
            <w:vAlign w:val="center"/>
          </w:tcPr>
          <w:p>
            <w:pPr>
              <w:spacing w:after="0" w:line="240" w:lineRule="auto"/>
            </w:pPr>
            <w:r/>
            <w:r>
              <w:rPr>
                <w:rFonts w:ascii="Times New Roman" w:hAnsi="Times New Roman" w:eastAsia="SimSun"/>
                <w:b w:val="0"/>
                <w:sz w:val="15"/>
              </w:rPr>
              <w:t>[-1.1428, 0.3559]</w:t>
            </w:r>
          </w:p>
        </w:tc>
        <w:tc>
          <w:tcPr>
            <w:tcW w:type="dxa" w:w="2665"/>
            <w:shd w:fill="EAF2F8"/>
            <w:vAlign w:val="center"/>
          </w:tcPr>
          <w:p>
            <w:pPr>
              <w:spacing w:after="0" w:line="240" w:lineRule="auto"/>
            </w:pPr>
            <w:r/>
            <w:r>
              <w:rPr>
                <w:rFonts w:ascii="Times New Roman" w:hAnsi="Times New Roman" w:eastAsia="SimSun"/>
                <w:b w:val="0"/>
                <w:sz w:val="15"/>
              </w:rPr>
              <w:t>1.000</w:t>
            </w:r>
          </w:p>
        </w:tc>
      </w:tr>
      <w:tr>
        <w:trPr>
          <w:cantSplit/>
        </w:trPr>
        <w:tc>
          <w:tcPr>
            <w:tcW w:type="dxa" w:w="2098"/>
            <w:vAlign w:val="center"/>
          </w:tcPr>
          <w:p>
            <w:pPr>
              <w:spacing w:after="0" w:line="240" w:lineRule="auto"/>
            </w:pPr>
            <w:r/>
            <w:r>
              <w:rPr>
                <w:rFonts w:ascii="Times New Roman" w:hAnsi="Times New Roman" w:eastAsia="SimSun"/>
                <w:b w:val="0"/>
                <w:sz w:val="15"/>
              </w:rPr>
              <w:t>GSE153066 external NP dense-count cohort (8 vs 8)</w:t>
            </w:r>
          </w:p>
        </w:tc>
        <w:tc>
          <w:tcPr>
            <w:tcW w:type="dxa" w:w="2041"/>
            <w:vAlign w:val="center"/>
          </w:tcPr>
          <w:p>
            <w:pPr>
              <w:spacing w:after="0" w:line="240" w:lineRule="auto"/>
            </w:pPr>
            <w:r/>
            <w:r>
              <w:rPr>
                <w:rFonts w:ascii="Times New Roman" w:hAnsi="Times New Roman" w:eastAsia="SimSun"/>
                <w:b w:val="0"/>
                <w:sz w:val="15"/>
              </w:rPr>
              <w:t>Inflammatory/NF-κB</w:t>
            </w:r>
          </w:p>
        </w:tc>
        <w:tc>
          <w:tcPr>
            <w:tcW w:type="dxa" w:w="1247"/>
            <w:vAlign w:val="center"/>
          </w:tcPr>
          <w:p>
            <w:pPr>
              <w:spacing w:after="0" w:line="240" w:lineRule="auto"/>
            </w:pPr>
            <w:r/>
            <w:r>
              <w:rPr>
                <w:rFonts w:ascii="Times New Roman" w:hAnsi="Times New Roman" w:eastAsia="SimSun"/>
                <w:b w:val="0"/>
                <w:sz w:val="15"/>
              </w:rPr>
              <w:t>8 vs 8</w:t>
            </w:r>
          </w:p>
        </w:tc>
        <w:tc>
          <w:tcPr>
            <w:tcW w:type="dxa" w:w="1191"/>
            <w:vAlign w:val="center"/>
          </w:tcPr>
          <w:p>
            <w:pPr>
              <w:spacing w:after="0" w:line="240" w:lineRule="auto"/>
            </w:pPr>
            <w:r/>
            <w:r>
              <w:rPr>
                <w:rFonts w:ascii="Times New Roman" w:hAnsi="Times New Roman" w:eastAsia="SimSun"/>
                <w:b w:val="0"/>
                <w:sz w:val="15"/>
              </w:rPr>
              <w:t>0.6801</w:t>
            </w:r>
          </w:p>
        </w:tc>
        <w:tc>
          <w:tcPr>
            <w:tcW w:type="dxa" w:w="2324"/>
            <w:vAlign w:val="center"/>
          </w:tcPr>
          <w:p>
            <w:pPr>
              <w:spacing w:after="0" w:line="240" w:lineRule="auto"/>
            </w:pPr>
            <w:r/>
            <w:r>
              <w:rPr>
                <w:rFonts w:ascii="Times New Roman" w:hAnsi="Times New Roman" w:eastAsia="SimSun"/>
                <w:b w:val="0"/>
                <w:sz w:val="15"/>
              </w:rPr>
              <w:t>[0.1030, 1.2572]</w:t>
            </w:r>
          </w:p>
        </w:tc>
        <w:tc>
          <w:tcPr>
            <w:tcW w:type="dxa" w:w="2324"/>
            <w:vAlign w:val="center"/>
          </w:tcPr>
          <w:p>
            <w:pPr>
              <w:spacing w:after="0" w:line="240" w:lineRule="auto"/>
            </w:pPr>
            <w:r/>
            <w:r>
              <w:rPr>
                <w:rFonts w:ascii="Times New Roman" w:hAnsi="Times New Roman" w:eastAsia="SimSun"/>
                <w:b w:val="0"/>
                <w:sz w:val="15"/>
              </w:rPr>
              <w:t>[0.2321, 1.1719]</w:t>
            </w:r>
          </w:p>
        </w:tc>
        <w:tc>
          <w:tcPr>
            <w:tcW w:type="dxa" w:w="2665"/>
            <w:vAlign w:val="center"/>
          </w:tcPr>
          <w:p>
            <w:pPr>
              <w:spacing w:after="0" w:line="240" w:lineRule="auto"/>
            </w:pPr>
            <w:r/>
            <w:r>
              <w:rPr>
                <w:rFonts w:ascii="Times New Roman" w:hAnsi="Times New Roman" w:eastAsia="SimSun"/>
                <w:b w:val="0"/>
                <w:sz w:val="15"/>
              </w:rPr>
              <w:t>1.000</w:t>
            </w:r>
          </w:p>
        </w:tc>
      </w:tr>
      <w:tr>
        <w:trPr>
          <w:cantSplit/>
        </w:trPr>
        <w:tc>
          <w:tcPr>
            <w:tcW w:type="dxa" w:w="2098"/>
            <w:shd w:fill="EAF2F8"/>
            <w:vAlign w:val="center"/>
          </w:tcPr>
          <w:p>
            <w:pPr>
              <w:spacing w:after="0" w:line="240" w:lineRule="auto"/>
            </w:pPr>
            <w:r/>
            <w:r>
              <w:rPr>
                <w:rFonts w:ascii="Times New Roman" w:hAnsi="Times New Roman" w:eastAsia="SimSun"/>
                <w:b w:val="0"/>
                <w:sz w:val="15"/>
              </w:rPr>
              <w:t>GSE153066 external NP dense-count cohort (8 vs 8)</w:t>
            </w:r>
          </w:p>
        </w:tc>
        <w:tc>
          <w:tcPr>
            <w:tcW w:type="dxa" w:w="2041"/>
            <w:shd w:fill="EAF2F8"/>
            <w:vAlign w:val="center"/>
          </w:tcPr>
          <w:p>
            <w:pPr>
              <w:spacing w:after="0" w:line="240" w:lineRule="auto"/>
            </w:pPr>
            <w:r/>
            <w:r>
              <w:rPr>
                <w:rFonts w:ascii="Times New Roman" w:hAnsi="Times New Roman" w:eastAsia="SimSun"/>
                <w:b w:val="0"/>
                <w:sz w:val="15"/>
              </w:rPr>
              <w:t>Hypoxia/oxidative stress</w:t>
            </w:r>
          </w:p>
        </w:tc>
        <w:tc>
          <w:tcPr>
            <w:tcW w:type="dxa" w:w="1247"/>
            <w:shd w:fill="EAF2F8"/>
            <w:vAlign w:val="center"/>
          </w:tcPr>
          <w:p>
            <w:pPr>
              <w:spacing w:after="0" w:line="240" w:lineRule="auto"/>
            </w:pPr>
            <w:r/>
            <w:r>
              <w:rPr>
                <w:rFonts w:ascii="Times New Roman" w:hAnsi="Times New Roman" w:eastAsia="SimSun"/>
                <w:b w:val="0"/>
                <w:sz w:val="15"/>
              </w:rPr>
              <w:t>8 vs 8</w:t>
            </w:r>
          </w:p>
        </w:tc>
        <w:tc>
          <w:tcPr>
            <w:tcW w:type="dxa" w:w="1191"/>
            <w:shd w:fill="EAF2F8"/>
            <w:vAlign w:val="center"/>
          </w:tcPr>
          <w:p>
            <w:pPr>
              <w:spacing w:after="0" w:line="240" w:lineRule="auto"/>
            </w:pPr>
            <w:r/>
            <w:r>
              <w:rPr>
                <w:rFonts w:ascii="Times New Roman" w:hAnsi="Times New Roman" w:eastAsia="SimSun"/>
                <w:b w:val="0"/>
                <w:sz w:val="15"/>
              </w:rPr>
              <w:t>0.0882</w:t>
            </w:r>
          </w:p>
        </w:tc>
        <w:tc>
          <w:tcPr>
            <w:tcW w:type="dxa" w:w="2324"/>
            <w:shd w:fill="EAF2F8"/>
            <w:vAlign w:val="center"/>
          </w:tcPr>
          <w:p>
            <w:pPr>
              <w:spacing w:after="0" w:line="240" w:lineRule="auto"/>
            </w:pPr>
            <w:r/>
            <w:r>
              <w:rPr>
                <w:rFonts w:ascii="Times New Roman" w:hAnsi="Times New Roman" w:eastAsia="SimSun"/>
                <w:b w:val="0"/>
                <w:sz w:val="15"/>
              </w:rPr>
              <w:t>[-0.2166, 0.3929]</w:t>
            </w:r>
          </w:p>
        </w:tc>
        <w:tc>
          <w:tcPr>
            <w:tcW w:type="dxa" w:w="2324"/>
            <w:shd w:fill="EAF2F8"/>
            <w:vAlign w:val="center"/>
          </w:tcPr>
          <w:p>
            <w:pPr>
              <w:spacing w:after="0" w:line="240" w:lineRule="auto"/>
            </w:pPr>
            <w:r/>
            <w:r>
              <w:rPr>
                <w:rFonts w:ascii="Times New Roman" w:hAnsi="Times New Roman" w:eastAsia="SimSun"/>
                <w:b w:val="0"/>
                <w:sz w:val="15"/>
              </w:rPr>
              <w:t>[-0.1689, 0.3534]</w:t>
            </w:r>
          </w:p>
        </w:tc>
        <w:tc>
          <w:tcPr>
            <w:tcW w:type="dxa" w:w="2665"/>
            <w:shd w:fill="EAF2F8"/>
            <w:vAlign w:val="center"/>
          </w:tcPr>
          <w:p>
            <w:pPr>
              <w:spacing w:after="0" w:line="240" w:lineRule="auto"/>
            </w:pPr>
            <w:r/>
            <w:r>
              <w:rPr>
                <w:rFonts w:ascii="Times New Roman" w:hAnsi="Times New Roman" w:eastAsia="SimSun"/>
                <w:b w:val="0"/>
                <w:sz w:val="15"/>
              </w:rPr>
              <w:t>1.000</w:t>
            </w:r>
          </w:p>
        </w:tc>
      </w:tr>
      <w:tr>
        <w:trPr>
          <w:cantSplit/>
        </w:trPr>
        <w:tc>
          <w:tcPr>
            <w:tcW w:type="dxa" w:w="2098"/>
            <w:vAlign w:val="center"/>
          </w:tcPr>
          <w:p>
            <w:pPr>
              <w:spacing w:after="0" w:line="240" w:lineRule="auto"/>
            </w:pPr>
            <w:r/>
            <w:r>
              <w:rPr>
                <w:rFonts w:ascii="Times New Roman" w:hAnsi="Times New Roman" w:eastAsia="SimSun"/>
                <w:b w:val="0"/>
                <w:sz w:val="15"/>
              </w:rPr>
              <w:t>GSE153066 external NP dense-count cohort (8 vs 8)</w:t>
            </w:r>
          </w:p>
        </w:tc>
        <w:tc>
          <w:tcPr>
            <w:tcW w:type="dxa" w:w="2041"/>
            <w:vAlign w:val="center"/>
          </w:tcPr>
          <w:p>
            <w:pPr>
              <w:spacing w:after="0" w:line="240" w:lineRule="auto"/>
            </w:pPr>
            <w:r/>
            <w:r>
              <w:rPr>
                <w:rFonts w:ascii="Times New Roman" w:hAnsi="Times New Roman" w:eastAsia="SimSun"/>
                <w:b w:val="0"/>
                <w:sz w:val="15"/>
              </w:rPr>
              <w:t>Disc-matrix homeostasis</w:t>
            </w:r>
          </w:p>
        </w:tc>
        <w:tc>
          <w:tcPr>
            <w:tcW w:type="dxa" w:w="1247"/>
            <w:vAlign w:val="center"/>
          </w:tcPr>
          <w:p>
            <w:pPr>
              <w:spacing w:after="0" w:line="240" w:lineRule="auto"/>
            </w:pPr>
            <w:r/>
            <w:r>
              <w:rPr>
                <w:rFonts w:ascii="Times New Roman" w:hAnsi="Times New Roman" w:eastAsia="SimSun"/>
                <w:b w:val="0"/>
                <w:sz w:val="15"/>
              </w:rPr>
              <w:t>8 vs 8</w:t>
            </w:r>
          </w:p>
        </w:tc>
        <w:tc>
          <w:tcPr>
            <w:tcW w:type="dxa" w:w="1191"/>
            <w:vAlign w:val="center"/>
          </w:tcPr>
          <w:p>
            <w:pPr>
              <w:spacing w:after="0" w:line="240" w:lineRule="auto"/>
            </w:pPr>
            <w:r/>
            <w:r>
              <w:rPr>
                <w:rFonts w:ascii="Times New Roman" w:hAnsi="Times New Roman" w:eastAsia="SimSun"/>
                <w:b w:val="0"/>
                <w:sz w:val="15"/>
              </w:rPr>
              <w:t>-0.0472</w:t>
            </w:r>
          </w:p>
        </w:tc>
        <w:tc>
          <w:tcPr>
            <w:tcW w:type="dxa" w:w="2324"/>
            <w:vAlign w:val="center"/>
          </w:tcPr>
          <w:p>
            <w:pPr>
              <w:spacing w:after="0" w:line="240" w:lineRule="auto"/>
            </w:pPr>
            <w:r/>
            <w:r>
              <w:rPr>
                <w:rFonts w:ascii="Times New Roman" w:hAnsi="Times New Roman" w:eastAsia="SimSun"/>
                <w:b w:val="0"/>
                <w:sz w:val="15"/>
              </w:rPr>
              <w:t>[-1.0034, 0.9090]</w:t>
            </w:r>
          </w:p>
        </w:tc>
        <w:tc>
          <w:tcPr>
            <w:tcW w:type="dxa" w:w="2324"/>
            <w:vAlign w:val="center"/>
          </w:tcPr>
          <w:p>
            <w:pPr>
              <w:spacing w:after="0" w:line="240" w:lineRule="auto"/>
            </w:pPr>
            <w:r/>
            <w:r>
              <w:rPr>
                <w:rFonts w:ascii="Times New Roman" w:hAnsi="Times New Roman" w:eastAsia="SimSun"/>
                <w:b w:val="0"/>
                <w:sz w:val="15"/>
              </w:rPr>
              <w:t>[-0.7787, 0.7971]</w:t>
            </w:r>
          </w:p>
        </w:tc>
        <w:tc>
          <w:tcPr>
            <w:tcW w:type="dxa" w:w="2665"/>
            <w:vAlign w:val="center"/>
          </w:tcPr>
          <w:p>
            <w:pPr>
              <w:spacing w:after="0" w:line="240" w:lineRule="auto"/>
            </w:pPr>
            <w:r/>
            <w:r>
              <w:rPr>
                <w:rFonts w:ascii="Times New Roman" w:hAnsi="Times New Roman" w:eastAsia="SimSun"/>
                <w:b w:val="0"/>
                <w:sz w:val="15"/>
              </w:rPr>
              <w:t>0.625</w:t>
            </w:r>
          </w:p>
        </w:tc>
      </w:tr>
      <w:tr>
        <w:trPr>
          <w:cantSplit/>
        </w:trPr>
        <w:tc>
          <w:tcPr>
            <w:tcW w:type="dxa" w:w="2098"/>
            <w:shd w:fill="EAF2F8"/>
            <w:vAlign w:val="center"/>
          </w:tcPr>
          <w:p>
            <w:pPr>
              <w:spacing w:after="0" w:line="240" w:lineRule="auto"/>
            </w:pPr>
            <w:r/>
            <w:r>
              <w:rPr>
                <w:rFonts w:ascii="Times New Roman" w:hAnsi="Times New Roman" w:eastAsia="SimSun"/>
                <w:b w:val="0"/>
                <w:sz w:val="15"/>
              </w:rPr>
              <w:t>GSE165722 external NP normalized-count cohort (4 vs 4)</w:t>
            </w:r>
          </w:p>
        </w:tc>
        <w:tc>
          <w:tcPr>
            <w:tcW w:type="dxa" w:w="2041"/>
            <w:shd w:fill="EAF2F8"/>
            <w:vAlign w:val="center"/>
          </w:tcPr>
          <w:p>
            <w:pPr>
              <w:spacing w:after="0" w:line="240" w:lineRule="auto"/>
            </w:pPr>
            <w:r/>
            <w:r>
              <w:rPr>
                <w:rFonts w:ascii="Times New Roman" w:hAnsi="Times New Roman" w:eastAsia="SimSun"/>
                <w:b w:val="0"/>
                <w:sz w:val="15"/>
              </w:rPr>
              <w:t>ECM/collagen remodeling</w:t>
            </w:r>
          </w:p>
        </w:tc>
        <w:tc>
          <w:tcPr>
            <w:tcW w:type="dxa" w:w="1247"/>
            <w:shd w:fill="EAF2F8"/>
            <w:vAlign w:val="center"/>
          </w:tcPr>
          <w:p>
            <w:pPr>
              <w:spacing w:after="0" w:line="240" w:lineRule="auto"/>
            </w:pPr>
            <w:r/>
            <w:r>
              <w:rPr>
                <w:rFonts w:ascii="Times New Roman" w:hAnsi="Times New Roman" w:eastAsia="SimSun"/>
                <w:b w:val="0"/>
                <w:sz w:val="15"/>
              </w:rPr>
              <w:t>4 vs 4</w:t>
            </w:r>
          </w:p>
        </w:tc>
        <w:tc>
          <w:tcPr>
            <w:tcW w:type="dxa" w:w="1191"/>
            <w:shd w:fill="EAF2F8"/>
            <w:vAlign w:val="center"/>
          </w:tcPr>
          <w:p>
            <w:pPr>
              <w:spacing w:after="0" w:line="240" w:lineRule="auto"/>
            </w:pPr>
            <w:r/>
            <w:r>
              <w:rPr>
                <w:rFonts w:ascii="Times New Roman" w:hAnsi="Times New Roman" w:eastAsia="SimSun"/>
                <w:b w:val="0"/>
                <w:sz w:val="15"/>
              </w:rPr>
              <w:t>1.6784</w:t>
            </w:r>
          </w:p>
        </w:tc>
        <w:tc>
          <w:tcPr>
            <w:tcW w:type="dxa" w:w="2324"/>
            <w:shd w:fill="EAF2F8"/>
            <w:vAlign w:val="center"/>
          </w:tcPr>
          <w:p>
            <w:pPr>
              <w:spacing w:after="0" w:line="240" w:lineRule="auto"/>
            </w:pPr>
            <w:r/>
            <w:r>
              <w:rPr>
                <w:rFonts w:ascii="Times New Roman" w:hAnsi="Times New Roman" w:eastAsia="SimSun"/>
                <w:b w:val="0"/>
                <w:sz w:val="15"/>
              </w:rPr>
              <w:t>[-1.2319, 4.5887]</w:t>
            </w:r>
          </w:p>
        </w:tc>
        <w:tc>
          <w:tcPr>
            <w:tcW w:type="dxa" w:w="2324"/>
            <w:shd w:fill="EAF2F8"/>
            <w:vAlign w:val="center"/>
          </w:tcPr>
          <w:p>
            <w:pPr>
              <w:spacing w:after="0" w:line="240" w:lineRule="auto"/>
            </w:pPr>
            <w:r/>
            <w:r>
              <w:rPr>
                <w:rFonts w:ascii="Times New Roman" w:hAnsi="Times New Roman" w:eastAsia="SimSun"/>
                <w:b w:val="0"/>
                <w:sz w:val="15"/>
              </w:rPr>
              <w:t>[-0.0590, 3.2456]</w:t>
            </w:r>
          </w:p>
        </w:tc>
        <w:tc>
          <w:tcPr>
            <w:tcW w:type="dxa" w:w="2665"/>
            <w:shd w:fill="EAF2F8"/>
            <w:vAlign w:val="center"/>
          </w:tcPr>
          <w:p>
            <w:pPr>
              <w:spacing w:after="0" w:line="240" w:lineRule="auto"/>
            </w:pPr>
            <w:r/>
            <w:r>
              <w:rPr>
                <w:rFonts w:ascii="Times New Roman" w:hAnsi="Times New Roman" w:eastAsia="SimSun"/>
                <w:b w:val="0"/>
                <w:sz w:val="15"/>
              </w:rPr>
              <w:t>1.000</w:t>
            </w:r>
          </w:p>
        </w:tc>
      </w:tr>
      <w:tr>
        <w:trPr>
          <w:cantSplit/>
        </w:trPr>
        <w:tc>
          <w:tcPr>
            <w:tcW w:type="dxa" w:w="2098"/>
            <w:vAlign w:val="center"/>
          </w:tcPr>
          <w:p>
            <w:pPr>
              <w:spacing w:after="0" w:line="240" w:lineRule="auto"/>
            </w:pPr>
            <w:r/>
            <w:r>
              <w:rPr>
                <w:rFonts w:ascii="Times New Roman" w:hAnsi="Times New Roman" w:eastAsia="SimSun"/>
                <w:b w:val="0"/>
                <w:sz w:val="15"/>
              </w:rPr>
              <w:t>GSE165722 external NP normalized-count cohort (4 vs 4)</w:t>
            </w:r>
          </w:p>
        </w:tc>
        <w:tc>
          <w:tcPr>
            <w:tcW w:type="dxa" w:w="2041"/>
            <w:vAlign w:val="center"/>
          </w:tcPr>
          <w:p>
            <w:pPr>
              <w:spacing w:after="0" w:line="240" w:lineRule="auto"/>
            </w:pPr>
            <w:r/>
            <w:r>
              <w:rPr>
                <w:rFonts w:ascii="Times New Roman" w:hAnsi="Times New Roman" w:eastAsia="SimSun"/>
                <w:b w:val="0"/>
                <w:sz w:val="15"/>
              </w:rPr>
              <w:t>Inflammatory/NF-κB</w:t>
            </w:r>
          </w:p>
        </w:tc>
        <w:tc>
          <w:tcPr>
            <w:tcW w:type="dxa" w:w="1247"/>
            <w:vAlign w:val="center"/>
          </w:tcPr>
          <w:p>
            <w:pPr>
              <w:spacing w:after="0" w:line="240" w:lineRule="auto"/>
            </w:pPr>
            <w:r/>
            <w:r>
              <w:rPr>
                <w:rFonts w:ascii="Times New Roman" w:hAnsi="Times New Roman" w:eastAsia="SimSun"/>
                <w:b w:val="0"/>
                <w:sz w:val="15"/>
              </w:rPr>
              <w:t>4 vs 4</w:t>
            </w:r>
          </w:p>
        </w:tc>
        <w:tc>
          <w:tcPr>
            <w:tcW w:type="dxa" w:w="1191"/>
            <w:vAlign w:val="center"/>
          </w:tcPr>
          <w:p>
            <w:pPr>
              <w:spacing w:after="0" w:line="240" w:lineRule="auto"/>
            </w:pPr>
            <w:r/>
            <w:r>
              <w:rPr>
                <w:rFonts w:ascii="Times New Roman" w:hAnsi="Times New Roman" w:eastAsia="SimSun"/>
                <w:b w:val="0"/>
                <w:sz w:val="15"/>
              </w:rPr>
              <w:t>-0.0170</w:t>
            </w:r>
          </w:p>
        </w:tc>
        <w:tc>
          <w:tcPr>
            <w:tcW w:type="dxa" w:w="2324"/>
            <w:vAlign w:val="center"/>
          </w:tcPr>
          <w:p>
            <w:pPr>
              <w:spacing w:after="0" w:line="240" w:lineRule="auto"/>
            </w:pPr>
            <w:r/>
            <w:r>
              <w:rPr>
                <w:rFonts w:ascii="Times New Roman" w:hAnsi="Times New Roman" w:eastAsia="SimSun"/>
                <w:b w:val="0"/>
                <w:sz w:val="15"/>
              </w:rPr>
              <w:t>[-0.9172, 0.8831]</w:t>
            </w:r>
          </w:p>
        </w:tc>
        <w:tc>
          <w:tcPr>
            <w:tcW w:type="dxa" w:w="2324"/>
            <w:vAlign w:val="center"/>
          </w:tcPr>
          <w:p>
            <w:pPr>
              <w:spacing w:after="0" w:line="240" w:lineRule="auto"/>
            </w:pPr>
            <w:r/>
            <w:r>
              <w:rPr>
                <w:rFonts w:ascii="Times New Roman" w:hAnsi="Times New Roman" w:eastAsia="SimSun"/>
                <w:b w:val="0"/>
                <w:sz w:val="15"/>
              </w:rPr>
              <w:t>[-0.6222, 0.5794]</w:t>
            </w:r>
          </w:p>
        </w:tc>
        <w:tc>
          <w:tcPr>
            <w:tcW w:type="dxa" w:w="2665"/>
            <w:vAlign w:val="center"/>
          </w:tcPr>
          <w:p>
            <w:pPr>
              <w:spacing w:after="0" w:line="240" w:lineRule="auto"/>
            </w:pPr>
            <w:r/>
            <w:r>
              <w:rPr>
                <w:rFonts w:ascii="Times New Roman" w:hAnsi="Times New Roman" w:eastAsia="SimSun"/>
                <w:b w:val="0"/>
                <w:sz w:val="15"/>
              </w:rPr>
              <w:t>0.500</w:t>
            </w:r>
          </w:p>
        </w:tc>
      </w:tr>
      <w:tr>
        <w:trPr>
          <w:cantSplit/>
        </w:trPr>
        <w:tc>
          <w:tcPr>
            <w:tcW w:type="dxa" w:w="2098"/>
            <w:shd w:fill="EAF2F8"/>
            <w:vAlign w:val="center"/>
          </w:tcPr>
          <w:p>
            <w:pPr>
              <w:spacing w:after="0" w:line="240" w:lineRule="auto"/>
            </w:pPr>
            <w:r/>
            <w:r>
              <w:rPr>
                <w:rFonts w:ascii="Times New Roman" w:hAnsi="Times New Roman" w:eastAsia="SimSun"/>
                <w:b w:val="0"/>
                <w:sz w:val="15"/>
              </w:rPr>
              <w:t>GSE165722 external NP normalized-count cohort (4 vs 4)</w:t>
            </w:r>
          </w:p>
        </w:tc>
        <w:tc>
          <w:tcPr>
            <w:tcW w:type="dxa" w:w="2041"/>
            <w:shd w:fill="EAF2F8"/>
            <w:vAlign w:val="center"/>
          </w:tcPr>
          <w:p>
            <w:pPr>
              <w:spacing w:after="0" w:line="240" w:lineRule="auto"/>
            </w:pPr>
            <w:r/>
            <w:r>
              <w:rPr>
                <w:rFonts w:ascii="Times New Roman" w:hAnsi="Times New Roman" w:eastAsia="SimSun"/>
                <w:b w:val="0"/>
                <w:sz w:val="15"/>
              </w:rPr>
              <w:t>Hypoxia/oxidative stress</w:t>
            </w:r>
          </w:p>
        </w:tc>
        <w:tc>
          <w:tcPr>
            <w:tcW w:type="dxa" w:w="1247"/>
            <w:shd w:fill="EAF2F8"/>
            <w:vAlign w:val="center"/>
          </w:tcPr>
          <w:p>
            <w:pPr>
              <w:spacing w:after="0" w:line="240" w:lineRule="auto"/>
            </w:pPr>
            <w:r/>
            <w:r>
              <w:rPr>
                <w:rFonts w:ascii="Times New Roman" w:hAnsi="Times New Roman" w:eastAsia="SimSun"/>
                <w:b w:val="0"/>
                <w:sz w:val="15"/>
              </w:rPr>
              <w:t>4 vs 4</w:t>
            </w:r>
          </w:p>
        </w:tc>
        <w:tc>
          <w:tcPr>
            <w:tcW w:type="dxa" w:w="1191"/>
            <w:shd w:fill="EAF2F8"/>
            <w:vAlign w:val="center"/>
          </w:tcPr>
          <w:p>
            <w:pPr>
              <w:spacing w:after="0" w:line="240" w:lineRule="auto"/>
            </w:pPr>
            <w:r/>
            <w:r>
              <w:rPr>
                <w:rFonts w:ascii="Times New Roman" w:hAnsi="Times New Roman" w:eastAsia="SimSun"/>
                <w:b w:val="0"/>
                <w:sz w:val="15"/>
              </w:rPr>
              <w:t>0.4346</w:t>
            </w:r>
          </w:p>
        </w:tc>
        <w:tc>
          <w:tcPr>
            <w:tcW w:type="dxa" w:w="2324"/>
            <w:shd w:fill="EAF2F8"/>
            <w:vAlign w:val="center"/>
          </w:tcPr>
          <w:p>
            <w:pPr>
              <w:spacing w:after="0" w:line="240" w:lineRule="auto"/>
            </w:pPr>
            <w:r/>
            <w:r>
              <w:rPr>
                <w:rFonts w:ascii="Times New Roman" w:hAnsi="Times New Roman" w:eastAsia="SimSun"/>
                <w:b w:val="0"/>
                <w:sz w:val="15"/>
              </w:rPr>
              <w:t>[-0.0619, 0.9310]</w:t>
            </w:r>
          </w:p>
        </w:tc>
        <w:tc>
          <w:tcPr>
            <w:tcW w:type="dxa" w:w="2324"/>
            <w:shd w:fill="EAF2F8"/>
            <w:vAlign w:val="center"/>
          </w:tcPr>
          <w:p>
            <w:pPr>
              <w:spacing w:after="0" w:line="240" w:lineRule="auto"/>
            </w:pPr>
            <w:r/>
            <w:r>
              <w:rPr>
                <w:rFonts w:ascii="Times New Roman" w:hAnsi="Times New Roman" w:eastAsia="SimSun"/>
                <w:b w:val="0"/>
                <w:sz w:val="15"/>
              </w:rPr>
              <w:t>[0.1178, 0.7405]</w:t>
            </w:r>
          </w:p>
        </w:tc>
        <w:tc>
          <w:tcPr>
            <w:tcW w:type="dxa" w:w="2665"/>
            <w:shd w:fill="EAF2F8"/>
            <w:vAlign w:val="center"/>
          </w:tcPr>
          <w:p>
            <w:pPr>
              <w:spacing w:after="0" w:line="240" w:lineRule="auto"/>
            </w:pPr>
            <w:r/>
            <w:r>
              <w:rPr>
                <w:rFonts w:ascii="Times New Roman" w:hAnsi="Times New Roman" w:eastAsia="SimSun"/>
                <w:b w:val="0"/>
                <w:sz w:val="15"/>
              </w:rPr>
              <w:t>1.000</w:t>
            </w:r>
          </w:p>
        </w:tc>
      </w:tr>
      <w:tr>
        <w:trPr>
          <w:cantSplit/>
        </w:trPr>
        <w:tc>
          <w:tcPr>
            <w:tcW w:type="dxa" w:w="2098"/>
            <w:vAlign w:val="center"/>
          </w:tcPr>
          <w:p>
            <w:pPr>
              <w:spacing w:after="0" w:line="240" w:lineRule="auto"/>
            </w:pPr>
            <w:r/>
            <w:r>
              <w:rPr>
                <w:rFonts w:ascii="Times New Roman" w:hAnsi="Times New Roman" w:eastAsia="SimSun"/>
                <w:b w:val="0"/>
                <w:sz w:val="15"/>
              </w:rPr>
              <w:t>GSE165722 external NP normalized-count cohort (4 vs 4)</w:t>
            </w:r>
          </w:p>
        </w:tc>
        <w:tc>
          <w:tcPr>
            <w:tcW w:type="dxa" w:w="2041"/>
            <w:vAlign w:val="center"/>
          </w:tcPr>
          <w:p>
            <w:pPr>
              <w:spacing w:after="0" w:line="240" w:lineRule="auto"/>
            </w:pPr>
            <w:r/>
            <w:r>
              <w:rPr>
                <w:rFonts w:ascii="Times New Roman" w:hAnsi="Times New Roman" w:eastAsia="SimSun"/>
                <w:b w:val="0"/>
                <w:sz w:val="15"/>
              </w:rPr>
              <w:t>Disc-matrix homeostasis</w:t>
            </w:r>
          </w:p>
        </w:tc>
        <w:tc>
          <w:tcPr>
            <w:tcW w:type="dxa" w:w="1247"/>
            <w:vAlign w:val="center"/>
          </w:tcPr>
          <w:p>
            <w:pPr>
              <w:spacing w:after="0" w:line="240" w:lineRule="auto"/>
            </w:pPr>
            <w:r/>
            <w:r>
              <w:rPr>
                <w:rFonts w:ascii="Times New Roman" w:hAnsi="Times New Roman" w:eastAsia="SimSun"/>
                <w:b w:val="0"/>
                <w:sz w:val="15"/>
              </w:rPr>
              <w:t>4 vs 4</w:t>
            </w:r>
          </w:p>
        </w:tc>
        <w:tc>
          <w:tcPr>
            <w:tcW w:type="dxa" w:w="1191"/>
            <w:vAlign w:val="center"/>
          </w:tcPr>
          <w:p>
            <w:pPr>
              <w:spacing w:after="0" w:line="240" w:lineRule="auto"/>
            </w:pPr>
            <w:r/>
            <w:r>
              <w:rPr>
                <w:rFonts w:ascii="Times New Roman" w:hAnsi="Times New Roman" w:eastAsia="SimSun"/>
                <w:b w:val="0"/>
                <w:sz w:val="15"/>
              </w:rPr>
              <w:t>0.7625</w:t>
            </w:r>
          </w:p>
        </w:tc>
        <w:tc>
          <w:tcPr>
            <w:tcW w:type="dxa" w:w="2324"/>
            <w:vAlign w:val="center"/>
          </w:tcPr>
          <w:p>
            <w:pPr>
              <w:spacing w:after="0" w:line="240" w:lineRule="auto"/>
            </w:pPr>
            <w:r/>
            <w:r>
              <w:rPr>
                <w:rFonts w:ascii="Times New Roman" w:hAnsi="Times New Roman" w:eastAsia="SimSun"/>
                <w:b w:val="0"/>
                <w:sz w:val="15"/>
              </w:rPr>
              <w:t>[-1.2004, 2.7253]</w:t>
            </w:r>
          </w:p>
        </w:tc>
        <w:tc>
          <w:tcPr>
            <w:tcW w:type="dxa" w:w="2324"/>
            <w:vAlign w:val="center"/>
          </w:tcPr>
          <w:p>
            <w:pPr>
              <w:spacing w:after="0" w:line="240" w:lineRule="auto"/>
            </w:pPr>
            <w:r/>
            <w:r>
              <w:rPr>
                <w:rFonts w:ascii="Times New Roman" w:hAnsi="Times New Roman" w:eastAsia="SimSun"/>
                <w:b w:val="0"/>
                <w:sz w:val="15"/>
              </w:rPr>
              <w:t>[-0.3666, 1.8854]</w:t>
            </w:r>
          </w:p>
        </w:tc>
        <w:tc>
          <w:tcPr>
            <w:tcW w:type="dxa" w:w="2665"/>
            <w:vAlign w:val="center"/>
          </w:tcPr>
          <w:p>
            <w:pPr>
              <w:spacing w:after="0" w:line="240" w:lineRule="auto"/>
            </w:pPr>
            <w:r/>
            <w:r>
              <w:rPr>
                <w:rFonts w:ascii="Times New Roman" w:hAnsi="Times New Roman" w:eastAsia="SimSun"/>
                <w:b w:val="0"/>
                <w:sz w:val="15"/>
              </w:rPr>
              <w:t>1.000</w:t>
            </w:r>
          </w:p>
        </w:tc>
      </w:tr>
    </w:tbl>
    <w:p/>
    <w:p>
      <w:pPr>
        <w:sectPr>
          <w:headerReference w:type="default" r:id="rId12"/>
          <w:footerReference w:type="default" r:id="rId13"/>
          <w:pgSz w:w="16838" w:h="11906" w:orient="landscape"/>
          <w:pgMar w:top="1440" w:right="850" w:bottom="1440" w:left="850" w:header="720" w:footer="720" w:gutter="0"/>
          <w:cols w:space="720"/>
          <w:titlePg/>
          <w:docGrid w:linePitch="360"/>
        </w:sectPr>
      </w:pPr>
    </w:p>
    <w:p>
      <w:pPr>
        <w:keepNext/>
        <w:spacing w:before="280" w:after="120"/>
      </w:pPr>
      <w:r>
        <w:rPr>
          <w:rFonts w:ascii="Times New Roman" w:hAnsi="Times New Roman" w:eastAsia="SimSun"/>
          <w:b/>
          <w:sz w:val="28"/>
        </w:rPr>
        <w:t>Main Figures</w:t>
      </w:r>
    </w:p>
    <w:p>
      <w:pPr>
        <w:keepNext/>
        <w:spacing w:before="80" w:after="120" w:line="240" w:lineRule="auto"/>
      </w:pPr>
      <w:r>
        <w:rPr>
          <w:rFonts w:ascii="Times New Roman" w:hAnsi="Times New Roman" w:eastAsia="SimSun"/>
          <w:b/>
          <w:sz w:val="18"/>
        </w:rPr>
        <w:t>Figure 1. Cohort-specific NP module-score differences and descriptive Welch 95% intervals.</w:t>
      </w:r>
      <w:r>
        <w:rPr>
          <w:rFonts w:ascii="Times New Roman" w:hAnsi="Times New Roman" w:eastAsia="SimSun"/>
          <w:b w:val="0"/>
          <w:sz w:val="18"/>
        </w:rPr>
        <w:t xml:space="preserve"> Colors distinguish cohorts only; they do not encode effect magnitude.</w:t>
      </w:r>
    </w:p>
    <w:p>
      <w:pPr>
        <w:jc w:val="center"/>
      </w:pPr>
      <w:r>
        <w:drawing>
          <wp:inline xmlns:a="http://schemas.openxmlformats.org/drawingml/2006/main" xmlns:pic="http://schemas.openxmlformats.org/drawingml/2006/picture">
            <wp:extent cx="7772400" cy="4775226"/>
            <wp:docPr id="2" name="Picture 2"/>
            <wp:cNvGraphicFramePr>
              <a:graphicFrameLocks noChangeAspect="1"/>
            </wp:cNvGraphicFramePr>
            <a:graphic>
              <a:graphicData uri="http://schemas.openxmlformats.org/drawingml/2006/picture">
                <pic:pic>
                  <pic:nvPicPr>
                    <pic:cNvPr id="0" name="figure_1_np_cohort_module_effects.png"/>
                    <pic:cNvPicPr/>
                  </pic:nvPicPr>
                  <pic:blipFill>
                    <a:blip r:embed="rId16"/>
                    <a:stretch>
                      <a:fillRect/>
                    </a:stretch>
                  </pic:blipFill>
                  <pic:spPr>
                    <a:xfrm>
                      <a:off x="0" y="0"/>
                      <a:ext cx="7772400" cy="4775226"/>
                    </a:xfrm>
                    <a:prstGeom prst="rect"/>
                  </pic:spPr>
                </pic:pic>
              </a:graphicData>
            </a:graphic>
          </wp:inline>
        </w:drawing>
      </w:r>
    </w:p>
    <w:p/>
    <w:p>
      <w:pPr>
        <w:keepNext/>
        <w:spacing w:before="80" w:after="120" w:line="240" w:lineRule="auto"/>
      </w:pPr>
      <w:r>
        <w:rPr>
          <w:rFonts w:ascii="Times New Roman" w:hAnsi="Times New Roman" w:eastAsia="SimSun"/>
          <w:b/>
          <w:sz w:val="18"/>
        </w:rPr>
        <w:t>Figure 2. NP cohort-specific directions and descriptive sign alignment.</w:t>
      </w:r>
      <w:r>
        <w:rPr>
          <w:rFonts w:ascii="Times New Roman" w:hAnsi="Times New Roman" w:eastAsia="SimSun"/>
          <w:b w:val="0"/>
          <w:sz w:val="18"/>
        </w:rPr>
        <w:t xml:space="preserve"> Blue and orange encode positive and negative directions only; color does not encode effect magnitude.</w:t>
      </w:r>
    </w:p>
    <w:p>
      <w:pPr>
        <w:jc w:val="center"/>
      </w:pPr>
      <w:r>
        <w:drawing>
          <wp:inline xmlns:a="http://schemas.openxmlformats.org/drawingml/2006/main" xmlns:pic="http://schemas.openxmlformats.org/drawingml/2006/picture">
            <wp:extent cx="8412480" cy="3966678"/>
            <wp:docPr id="3" name="Picture 3"/>
            <wp:cNvGraphicFramePr>
              <a:graphicFrameLocks noChangeAspect="1"/>
            </wp:cNvGraphicFramePr>
            <a:graphic>
              <a:graphicData uri="http://schemas.openxmlformats.org/drawingml/2006/picture">
                <pic:pic>
                  <pic:nvPicPr>
                    <pic:cNvPr id="0" name="figure_2_np_direction_alignment.png"/>
                    <pic:cNvPicPr/>
                  </pic:nvPicPr>
                  <pic:blipFill>
                    <a:blip r:embed="rId17"/>
                    <a:stretch>
                      <a:fillRect/>
                    </a:stretch>
                  </pic:blipFill>
                  <pic:spPr>
                    <a:xfrm>
                      <a:off x="0" y="0"/>
                      <a:ext cx="8412480" cy="3966678"/>
                    </a:xfrm>
                    <a:prstGeom prst="rect"/>
                  </pic:spPr>
                </pic:pic>
              </a:graphicData>
            </a:graphic>
          </wp:inline>
        </w:drawing>
      </w:r>
    </w:p>
    <w:p/>
    <w:p>
      <w:pPr>
        <w:sectPr>
          <w:headerReference w:type="default" r:id="rId14"/>
          <w:footerReference w:type="default" r:id="rId15"/>
          <w:pgSz w:w="16838" w:h="11906" w:orient="landscape"/>
          <w:pgMar w:top="1440" w:right="850" w:bottom="1440" w:left="850" w:header="720" w:footer="720" w:gutter="0"/>
          <w:cols w:space="720"/>
          <w:titlePg/>
          <w:docGrid w:linePitch="360"/>
        </w:sectPr>
      </w:pPr>
    </w:p>
    <w:p>
      <w:pPr>
        <w:keepNext/>
        <w:spacing w:before="280" w:after="120"/>
      </w:pPr>
      <w:r>
        <w:rPr>
          <w:rFonts w:ascii="Times New Roman" w:hAnsi="Times New Roman" w:eastAsia="SimSun"/>
          <w:b/>
          <w:sz w:val="28"/>
        </w:rPr>
        <w:t>Supplementary Material</w:t>
      </w:r>
    </w:p>
    <w:p>
      <w:pPr>
        <w:spacing w:line="360" w:lineRule="auto" w:after="120"/>
        <w:jc w:val="both"/>
      </w:pPr>
      <w:r>
        <w:rPr>
          <w:rFonts w:ascii="Times New Roman" w:hAnsi="Times New Roman" w:eastAsia="SimSun"/>
          <w:b w:val="0"/>
          <w:sz w:val="24"/>
        </w:rPr>
        <w:t>Supplementary Tables S1-S4, S5a-S5b, S6, S7a-S7d, S8a-S8d, and S9a-S9d, together with Supplementary Figures S1-S5, are provided as separate submission files. Each S7-S9 artifact remains a separately packaged, exploratory, non-confirmatory synthesis. The graphical abstract should be uploaded separately if requested by the target journal.</w:t>
      </w:r>
    </w:p>
    <w:sectPr w:rsidR="00FC693F" w:rsidRPr="0006063C" w:rsidSect="00034616">
      <w:headerReference w:type="default" r:id="rId18"/>
      <w:footerReference w:type="default" r:id="rId19"/>
      <w:pgSz w:w="11906" w:h="16838"/>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SimSun"/>
        <w:sz w:val="18"/>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SimSun"/>
        <w:sz w:val="18"/>
      </w:rP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SimSun"/>
        <w:sz w:val="18"/>
      </w:rPr>
      <w:fldChar w:fldCharType="begin"/>
      <w:instrText xml:space="preserve">PAGE</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SimSun"/>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SimSun"/>
        <w:color w:val="595959"/>
        <w:sz w:val="16"/>
      </w:rPr>
      <w:t>Cohort-aware IVDD program analysis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SimSun"/>
        <w:color w:val="595959"/>
        <w:sz w:val="16"/>
      </w:rPr>
      <w:t>Cohort-aware IVDD program analysis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SimSun"/>
        <w:color w:val="595959"/>
        <w:sz w:val="16"/>
      </w:rPr>
      <w:t>Cohort-aware IVDD program analysis</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SimSun"/>
        <w:color w:val="595959"/>
        <w:sz w:val="16"/>
      </w:rPr>
      <w:t>Cohort-aware IVDD program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SimSu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header" Target="header4.xml"/><Relationship Id="rId19"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