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Calibri" w:hAnsi="Calibri"/>
          <w:b/>
          <w:i w:val="0"/>
          <w:color w:val="C84B31"/>
          <w:sz w:val="20"/>
        </w:rPr>
        <w:t>TAREA 4 · SESIÓN 4 · SEMANA 4</w:t>
      </w:r>
    </w:p>
    <w:p>
      <w:pPr>
        <w:spacing w:after="40" w:before="0"/>
      </w:pPr>
      <w:r>
        <w:rPr>
          <w:rFonts w:ascii="Calibri" w:hAnsi="Calibri"/>
          <w:b/>
          <w:i w:val="0"/>
          <w:color w:val="6D2E46"/>
          <w:sz w:val="42"/>
        </w:rPr>
        <w:t>Investigación: ¿PWA o app nativa?</w:t>
      </w:r>
    </w:p>
    <w:p>
      <w:pPr>
        <w:spacing w:after="200" w:before="0"/>
      </w:pPr>
      <w:r>
        <w:rPr>
          <w:rFonts w:ascii="Calibri" w:hAnsi="Calibri"/>
          <w:b w:val="0"/>
          <w:i w:val="0"/>
          <w:color w:val="6F645B"/>
          <w:sz w:val="19"/>
        </w:rPr>
        <w:t>Proyectos III · Diseño de aplicaciones móviles · Universidad Galileo</w:t>
      </w:r>
    </w:p>
    <w:p>
      <w:pPr>
        <w:spacing w:after="40" w:before="0"/>
        <w:shd w:val="clear" w:fill="FDF6EC"/>
      </w:pPr>
      <w:r>
        <w:rPr>
          <w:rFonts w:ascii="Calibri" w:hAnsi="Calibri"/>
          <w:b/>
          <w:i w:val="0"/>
          <w:color w:val="6D2E46"/>
          <w:sz w:val="21"/>
        </w:rPr>
        <w:t xml:space="preserve">Categoría:  </w:t>
      </w:r>
      <w:r>
        <w:rPr>
          <w:rFonts w:ascii="Calibri" w:hAnsi="Calibri"/>
          <w:b w:val="0"/>
          <w:i w:val="0"/>
          <w:color w:val="2B2B2B"/>
          <w:sz w:val="21"/>
        </w:rPr>
        <w:t>Tareas / investigaciones (10 pts de la nota del curso)</w:t>
      </w:r>
    </w:p>
    <w:p>
      <w:pPr>
        <w:spacing w:after="40" w:before="0"/>
        <w:shd w:val="clear" w:fill="FDF6EC"/>
      </w:pPr>
      <w:r>
        <w:rPr>
          <w:rFonts w:ascii="Calibri" w:hAnsi="Calibri"/>
          <w:b/>
          <w:i w:val="0"/>
          <w:color w:val="6D2E46"/>
          <w:sz w:val="21"/>
        </w:rPr>
        <w:t xml:space="preserve">Se asigna:  </w:t>
      </w:r>
      <w:r>
        <w:rPr>
          <w:rFonts w:ascii="Calibri" w:hAnsi="Calibri"/>
          <w:b w:val="0"/>
          <w:i w:val="0"/>
          <w:color w:val="2B2B2B"/>
          <w:sz w:val="21"/>
        </w:rPr>
        <w:t>Al cierre de la sesión 4</w:t>
      </w:r>
    </w:p>
    <w:p>
      <w:pPr>
        <w:spacing w:after="40" w:before="0"/>
        <w:shd w:val="clear" w:fill="FDF6EC"/>
      </w:pPr>
      <w:r>
        <w:rPr>
          <w:rFonts w:ascii="Calibri" w:hAnsi="Calibri"/>
          <w:b/>
          <w:i w:val="0"/>
          <w:color w:val="6D2E46"/>
          <w:sz w:val="21"/>
        </w:rPr>
        <w:t xml:space="preserve">Se entrega:  </w:t>
      </w:r>
      <w:r>
        <w:rPr>
          <w:rFonts w:ascii="Calibri" w:hAnsi="Calibri"/>
          <w:b w:val="0"/>
          <w:i w:val="0"/>
          <w:color w:val="2B2B2B"/>
          <w:sz w:val="21"/>
        </w:rPr>
        <w:t>En línea, antes de la sesión 5 (salvo otra indicación del docente)</w:t>
      </w:r>
    </w:p>
    <w:p>
      <w:pPr>
        <w:spacing w:after="40" w:before="0"/>
        <w:shd w:val="clear" w:fill="FDF6EC"/>
      </w:pPr>
      <w:r>
        <w:rPr>
          <w:rFonts w:ascii="Calibri" w:hAnsi="Calibri"/>
          <w:b/>
          <w:i w:val="0"/>
          <w:color w:val="6D2E46"/>
          <w:sz w:val="21"/>
        </w:rPr>
        <w:t xml:space="preserve">Trabajo:  </w:t>
      </w:r>
      <w:r>
        <w:rPr>
          <w:rFonts w:ascii="Calibri" w:hAnsi="Calibri"/>
          <w:b w:val="0"/>
          <w:i w:val="0"/>
          <w:color w:val="2B2B2B"/>
          <w:sz w:val="21"/>
        </w:rPr>
        <w:t>Individual</w:t>
      </w:r>
    </w:p>
    <w:p>
      <w:pPr>
        <w:spacing w:after="120" w:before="280"/>
        <w:pBdr>
          <w:bottom w:val="single" w:sz="12" w:space="4" w:color="6D2E46"/>
        </w:pBdr>
      </w:pPr>
      <w:r>
        <w:rPr>
          <w:rFonts w:ascii="Calibri" w:hAnsi="Calibri"/>
          <w:b/>
          <w:i w:val="0"/>
          <w:color w:val="6D2E46"/>
          <w:sz w:val="28"/>
        </w:rPr>
        <w:t>¿Qué vas a hacer?</w:t>
      </w:r>
    </w:p>
    <w:p>
      <w:pPr>
        <w:spacing w:after="120" w:before="0"/>
      </w:pPr>
      <w:r>
        <w:rPr>
          <w:rFonts w:ascii="Calibri" w:hAnsi="Calibri"/>
          <w:b w:val="0"/>
          <w:i w:val="0"/>
          <w:color w:val="2B2B2B"/>
          <w:sz w:val="22"/>
        </w:rPr>
        <w:t>Ya construiste una PWA (“Ruta del Café”) y acabas de crear tu primera app nativa Android en AI Studio. Son dos caminos reales para llevar una idea al teléfono, y un diseñador profesional sabe recomendar cuál conviene según el caso.</w:t>
      </w:r>
    </w:p>
    <w:p>
      <w:pPr>
        <w:spacing w:after="120" w:before="0"/>
      </w:pPr>
      <w:r>
        <w:rPr>
          <w:rFonts w:ascii="Calibri" w:hAnsi="Calibri"/>
          <w:b w:val="0"/>
          <w:i w:val="0"/>
          <w:color w:val="2B2B2B"/>
          <w:sz w:val="22"/>
        </w:rPr>
        <w:t>En esta investigación vas a comparar ambos caminos y a tomar postura: ¿para qué tipo de producto elegirías cada uno?</w:t>
      </w:r>
    </w:p>
    <w:p>
      <w:pPr>
        <w:spacing w:after="120" w:before="280"/>
        <w:pBdr>
          <w:bottom w:val="single" w:sz="12" w:space="4" w:color="6D2E46"/>
        </w:pBdr>
      </w:pPr>
      <w:r>
        <w:rPr>
          <w:rFonts w:ascii="Calibri" w:hAnsi="Calibri"/>
          <w:b/>
          <w:i w:val="0"/>
          <w:color w:val="6D2E46"/>
          <w:sz w:val="28"/>
        </w:rPr>
        <w:t>Qué debes comparar</w:t>
      </w:r>
    </w:p>
    <w:p>
      <w:pPr>
        <w:pStyle w:val="ListNumber"/>
        <w:spacing w:after="60"/>
      </w:pPr>
      <w:r>
        <w:rPr>
          <w:rFonts w:ascii="Calibri" w:hAnsi="Calibri"/>
          <w:b/>
          <w:i w:val="0"/>
          <w:color w:val="2B2B2B"/>
          <w:sz w:val="22"/>
        </w:rPr>
        <w:t>Capacidades del teléfono</w:t>
      </w:r>
      <w:r>
        <w:rPr>
          <w:rFonts w:ascii="Calibri" w:hAnsi="Calibri"/>
          <w:b w:val="0"/>
          <w:i w:val="0"/>
          <w:color w:val="2B2B2B"/>
          <w:sz w:val="22"/>
        </w:rPr>
        <w:t>: acceso a cámara y sensores, notificaciones, integración con el sistema. ¿Qué puede hacer la nativa que a la PWA le cuesta?</w:t>
      </w:r>
    </w:p>
    <w:p>
      <w:pPr>
        <w:pStyle w:val="ListNumber"/>
        <w:spacing w:after="60"/>
      </w:pPr>
      <w:r>
        <w:rPr>
          <w:rFonts w:ascii="Calibri" w:hAnsi="Calibri"/>
          <w:b/>
          <w:i w:val="0"/>
          <w:color w:val="2B2B2B"/>
          <w:sz w:val="22"/>
        </w:rPr>
        <w:t>Distribución</w:t>
      </w:r>
      <w:r>
        <w:rPr>
          <w:rFonts w:ascii="Calibri" w:hAnsi="Calibri"/>
          <w:b w:val="0"/>
          <w:i w:val="0"/>
          <w:color w:val="2B2B2B"/>
          <w:sz w:val="22"/>
        </w:rPr>
        <w:t>: compartir un enlace e “instalar desde el navegador” (PWA) frente a publicar en la Play Store (nativa). Ventajas y fricciones de cada vía.</w:t>
      </w:r>
    </w:p>
    <w:p>
      <w:pPr>
        <w:pStyle w:val="ListNumber"/>
        <w:spacing w:after="60"/>
      </w:pPr>
      <w:r>
        <w:rPr>
          <w:rFonts w:ascii="Calibri" w:hAnsi="Calibri"/>
          <w:b/>
          <w:i w:val="0"/>
          <w:color w:val="2B2B2B"/>
          <w:sz w:val="22"/>
        </w:rPr>
        <w:t>Rendimiento y experiencia</w:t>
      </w:r>
      <w:r>
        <w:rPr>
          <w:rFonts w:ascii="Calibri" w:hAnsi="Calibri"/>
          <w:b w:val="0"/>
          <w:i w:val="0"/>
          <w:color w:val="2B2B2B"/>
          <w:sz w:val="22"/>
        </w:rPr>
        <w:t>: fluidez, componentes Material 3, sensación de “app de verdad”.</w:t>
      </w:r>
    </w:p>
    <w:p>
      <w:pPr>
        <w:pStyle w:val="ListNumber"/>
        <w:spacing w:after="60"/>
      </w:pPr>
      <w:r>
        <w:rPr>
          <w:rFonts w:ascii="Calibri" w:hAnsi="Calibri"/>
          <w:b/>
          <w:i w:val="0"/>
          <w:color w:val="2B2B2B"/>
          <w:sz w:val="22"/>
        </w:rPr>
        <w:t>Costo y velocidad</w:t>
      </w:r>
      <w:r>
        <w:rPr>
          <w:rFonts w:ascii="Calibri" w:hAnsi="Calibri"/>
          <w:b w:val="0"/>
          <w:i w:val="0"/>
          <w:color w:val="2B2B2B"/>
          <w:sz w:val="22"/>
        </w:rPr>
        <w:t>: ¿cuál llega más rápido a manos del usuario? ¿Cuál pide más mantenimiento?</w:t>
      </w:r>
    </w:p>
    <w:p>
      <w:pPr>
        <w:pStyle w:val="ListNumber"/>
        <w:spacing w:after="60"/>
      </w:pPr>
      <w:r>
        <w:rPr>
          <w:rFonts w:ascii="Calibri" w:hAnsi="Calibri"/>
          <w:b/>
          <w:i w:val="0"/>
          <w:color w:val="2B2B2B"/>
          <w:sz w:val="22"/>
        </w:rPr>
        <w:t>Concluye</w:t>
      </w:r>
      <w:r>
        <w:rPr>
          <w:rFonts w:ascii="Calibri" w:hAnsi="Calibri"/>
          <w:b w:val="0"/>
          <w:i w:val="0"/>
          <w:color w:val="2B2B2B"/>
          <w:sz w:val="22"/>
        </w:rPr>
        <w:t>: describe un caso concreto donde recomendarías una PWA y otro donde recomendarías una app nativa, y justifica cada elección.</w:t>
      </w:r>
    </w:p>
    <w:p>
      <w:pPr>
        <w:spacing w:after="120" w:before="280"/>
        <w:pBdr>
          <w:bottom w:val="single" w:sz="12" w:space="4" w:color="6D2E46"/>
        </w:pBdr>
      </w:pPr>
      <w:r>
        <w:rPr>
          <w:rFonts w:ascii="Calibri" w:hAnsi="Calibri"/>
          <w:b/>
          <w:i w:val="0"/>
          <w:color w:val="6D2E46"/>
          <w:sz w:val="28"/>
        </w:rPr>
        <w:t>Qué entregas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color w:val="2B2B2B"/>
          <w:sz w:val="22"/>
        </w:rPr>
        <w:t>Un documento escrito (1–2 páginas) con la comparación en los ejes anteriores y una conclusión con los dos casos recomendados.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color w:val="2B2B2B"/>
          <w:sz w:val="22"/>
        </w:rPr>
        <w:t>Las fuentes que consultaste.</w:t>
      </w:r>
    </w:p>
    <w:p>
      <w:pPr>
        <w:spacing w:after="120" w:before="280"/>
        <w:pBdr>
          <w:bottom w:val="single" w:sz="12" w:space="4" w:color="6D2E46"/>
        </w:pBdr>
      </w:pPr>
      <w:r>
        <w:rPr>
          <w:rFonts w:ascii="Calibri" w:hAnsi="Calibri"/>
          <w:b/>
          <w:i w:val="0"/>
          <w:color w:val="6D2E46"/>
          <w:sz w:val="28"/>
        </w:rPr>
        <w:t>Referencia visual</w:t>
      </w:r>
    </w:p>
    <w:p>
      <w:pPr>
        <w:spacing w:after="80" w:before="0"/>
        <w:jc w:val="center"/>
      </w:pPr>
      <w:r>
        <w:drawing>
          <wp:inline xmlns:a="http://schemas.openxmlformats.org/drawingml/2006/main" xmlns:pic="http://schemas.openxmlformats.org/drawingml/2006/picture">
            <wp:extent cx="4206240" cy="230956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uta-del-cafe-app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23095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Calibri" w:hAnsi="Calibri"/>
          <w:b w:val="0"/>
          <w:i/>
          <w:color w:val="6F645B"/>
          <w:sz w:val="18"/>
        </w:rPr>
        <w:t>La PWA “Ruta del Café”: se comparte con un enlace y se instala desde el navegador.</w:t>
      </w:r>
    </w:p>
    <w:p>
      <w:pPr>
        <w:spacing w:after="80" w:before="0"/>
        <w:jc w:val="center"/>
      </w:pPr>
      <w:r>
        <w:drawing>
          <wp:inline xmlns:a="http://schemas.openxmlformats.org/drawingml/2006/main" xmlns:pic="http://schemas.openxmlformats.org/drawingml/2006/picture">
            <wp:extent cx="1828800" cy="373948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itacora-visual-app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37394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Calibri" w:hAnsi="Calibri"/>
          <w:b w:val="0"/>
          <w:i/>
          <w:color w:val="6F645B"/>
          <w:sz w:val="18"/>
        </w:rPr>
        <w:t>La app nativa “Bitácora Visual”: Kotlin + Jetpack Compose, con acceso pleno a la cámara del teléfono.</w:t>
      </w:r>
    </w:p>
    <w:p>
      <w:pPr>
        <w:spacing w:after="120" w:before="280"/>
        <w:pBdr>
          <w:bottom w:val="single" w:sz="12" w:space="4" w:color="6D2E46"/>
        </w:pBdr>
      </w:pPr>
      <w:r>
        <w:rPr>
          <w:rFonts w:ascii="Calibri" w:hAnsi="Calibri"/>
          <w:b/>
          <w:i w:val="0"/>
          <w:color w:val="6D2E46"/>
          <w:sz w:val="28"/>
        </w:rPr>
        <w:t>Cómo se evalúa</w:t>
      </w:r>
    </w:p>
    <w:p>
      <w:pPr>
        <w:spacing w:after="120" w:before="0"/>
      </w:pPr>
      <w:r>
        <w:rPr>
          <w:rFonts w:ascii="Calibri" w:hAnsi="Calibri"/>
          <w:b w:val="0"/>
          <w:i w:val="0"/>
          <w:color w:val="2B2B2B"/>
          <w:sz w:val="22"/>
        </w:rPr>
        <w:t>Se evalúa con la rúbrica breve de 3 bandas de la categoría Tareas / investigaciones, mirando estos criterios: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color w:val="2B2B2B"/>
          <w:sz w:val="22"/>
        </w:rPr>
        <w:t>Comprensión real de las diferencias (no solo definiciones copiadas).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color w:val="2B2B2B"/>
          <w:sz w:val="22"/>
        </w:rPr>
        <w:t>Criterio para elegir según el caso de uso.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color w:val="2B2B2B"/>
          <w:sz w:val="22"/>
        </w:rPr>
        <w:t>Claridad y orden de la comparación.</w:t>
      </w:r>
    </w:p>
    <w:p>
      <w:pPr>
        <w:spacing w:after="40" w:before="0"/>
      </w:pPr>
      <w:r>
        <w:rPr>
          <w:rFonts w:ascii="Calibri" w:hAnsi="Calibri"/>
          <w:b w:val="0"/>
          <w:i w:val="0"/>
          <w:color w:val="2B2B2B"/>
          <w:sz w:val="22"/>
        </w:rPr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2160"/>
            <w:shd w:val="clear" w:fill="6D2E46"/>
          </w:tcPr>
          <w:p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Banda</w:t>
            </w:r>
          </w:p>
        </w:tc>
        <w:tc>
          <w:tcPr>
            <w:tcW w:type="dxa" w:w="7488"/>
            <w:shd w:val="clear" w:fill="6D2E46"/>
          </w:tcPr>
          <w:p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Qué significa</w:t>
            </w:r>
          </w:p>
        </w:tc>
      </w:tr>
      <w:tr>
        <w:tc>
          <w:tcPr>
            <w:tcW w:type="dxa" w:w="2160"/>
            <w:shd w:val="clear" w:fill="4F772D"/>
          </w:tcPr>
          <w:p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Excelente</w:t>
            </w:r>
          </w:p>
        </w:tc>
        <w:tc>
          <w:tcPr>
            <w:tcW w:type="dxa" w:w="7488"/>
          </w:tcPr>
          <w:p>
            <w:r>
              <w:rPr>
                <w:rFonts w:ascii="Calibri" w:hAnsi="Calibri"/>
                <w:b w:val="0"/>
                <w:i w:val="0"/>
                <w:color w:val="2B2B2B"/>
                <w:sz w:val="21"/>
              </w:rPr>
              <w:t>Compara los ejes con comprensión propia, usa ejemplos y concluye con dos casos bien elegidos y justificados; se nota criterio profesional para recomendar.</w:t>
            </w:r>
          </w:p>
        </w:tc>
      </w:tr>
      <w:tr>
        <w:tc>
          <w:tcPr>
            <w:tcW w:type="dxa" w:w="2160"/>
            <w:shd w:val="clear" w:fill="E3B23C"/>
          </w:tcPr>
          <w:p>
            <w:r>
              <w:rPr>
                <w:rFonts w:ascii="Calibri" w:hAnsi="Calibri"/>
                <w:b/>
                <w:i w:val="0"/>
                <w:color w:val="2B2B2B"/>
                <w:sz w:val="22"/>
              </w:rPr>
              <w:t>Aceptable</w:t>
            </w:r>
          </w:p>
        </w:tc>
        <w:tc>
          <w:tcPr>
            <w:tcW w:type="dxa" w:w="7488"/>
          </w:tcPr>
          <w:p>
            <w:r>
              <w:rPr>
                <w:rFonts w:ascii="Calibri" w:hAnsi="Calibri"/>
                <w:b w:val="0"/>
                <w:i w:val="0"/>
                <w:color w:val="2B2B2B"/>
                <w:sz w:val="21"/>
              </w:rPr>
              <w:t>Cubre la comparación esencial pero con profundidad dispareja, ejemplos débiles o una conclusión poco justificada.</w:t>
            </w:r>
          </w:p>
        </w:tc>
      </w:tr>
      <w:tr>
        <w:tc>
          <w:tcPr>
            <w:tcW w:type="dxa" w:w="2160"/>
            <w:shd w:val="clear" w:fill="C84B31"/>
          </w:tcPr>
          <w:p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Insuficiente</w:t>
            </w:r>
          </w:p>
        </w:tc>
        <w:tc>
          <w:tcPr>
            <w:tcW w:type="dxa" w:w="7488"/>
          </w:tcPr>
          <w:p>
            <w:r>
              <w:rPr>
                <w:rFonts w:ascii="Calibri" w:hAnsi="Calibri"/>
                <w:b w:val="0"/>
                <w:i w:val="0"/>
                <w:color w:val="2B2B2B"/>
                <w:sz w:val="21"/>
              </w:rPr>
              <w:t>Se limita a definiciones copiadas, no compara con criterio o no concluye con casos. No se entrega.</w:t>
            </w:r>
          </w:p>
        </w:tc>
      </w:tr>
    </w:tbl>
    <w:p>
      <w:pPr>
        <w:spacing w:after="120" w:before="120"/>
      </w:pPr>
      <w:r>
        <w:rPr>
          <w:rFonts w:ascii="Calibri" w:hAnsi="Calibri"/>
          <w:b w:val="0"/>
          <w:i/>
          <w:color w:val="6F645B"/>
          <w:sz w:val="19"/>
        </w:rPr>
        <w:t>Cada entrega de la categoría vale lo mismo: los puntos de la categoría se reparten de forma equitativa entre todas sus entregas.</w:t>
      </w:r>
    </w:p>
    <w:p>
      <w:pPr>
        <w:spacing w:after="120" w:before="280"/>
        <w:pBdr>
          <w:bottom w:val="single" w:sz="12" w:space="4" w:color="6D2E46"/>
        </w:pBdr>
      </w:pPr>
      <w:r>
        <w:rPr>
          <w:rFonts w:ascii="Calibri" w:hAnsi="Calibri"/>
          <w:b/>
          <w:i w:val="0"/>
          <w:color w:val="6D2E46"/>
          <w:sz w:val="28"/>
        </w:rPr>
        <w:t>Consejos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color w:val="2B2B2B"/>
          <w:sz w:val="22"/>
        </w:rPr>
        <w:t>Tu propia experiencia del curso es evidencia válida: ya viviste construir e instalar ambas. Úsala en la comparación.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color w:val="2B2B2B"/>
          <w:sz w:val="22"/>
        </w:rPr>
        <w:t>Evita el “depende” sin compromiso: el valor está en decir cuándo sí y cuándo no.</w:t>
      </w:r>
    </w:p>
    <w:p>
      <w:pPr>
        <w:spacing w:after="0" w:before="320"/>
        <w:pBdr>
          <w:bottom w:val="single" w:sz="8" w:space="4" w:color="E3B23C"/>
        </w:pBdr>
      </w:pPr>
    </w:p>
    <w:p>
      <w:pPr>
        <w:spacing w:after="120" w:before="120"/>
      </w:pPr>
      <w:r>
        <w:rPr>
          <w:rFonts w:ascii="Calibri" w:hAnsi="Calibri"/>
          <w:b w:val="0"/>
          <w:i/>
          <w:color w:val="6F645B"/>
          <w:sz w:val="19"/>
        </w:rPr>
        <w:t>Puedes apoyarte en IA para investigar y redactar borradores, pero la entrega debe reflejar tu criterio: explica con tus palabras y cita tus fuentes.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