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YSF ELECTRIC</w:t>
      </w:r>
    </w:p>
    <w:p>
      <w:pPr>
        <w:jc w:val="center"/>
      </w:pPr>
      <w:r>
        <w:rPr>
          <w:rFonts w:ascii="Arial" w:hAnsi="Arial"/>
          <w:b/>
          <w:sz w:val="44"/>
        </w:rPr>
        <w:t>ПРОИЗВОДСТВЕННЫЙ ФАЙЛ СОГЛАСОВАНИЯ</w:t>
      </w:r>
    </w:p>
    <w:p>
      <w:pPr>
        <w:jc w:val="center"/>
      </w:pPr>
      <w:r>
        <w:rPr>
          <w:rFonts w:ascii="Arial" w:hAnsi="Arial"/>
          <w:sz w:val="24"/>
        </w:rPr>
        <w:t>Шкаф управления наружным освещением</w:t>
      </w:r>
    </w:p>
    <w:p/>
    <w:p/>
    <w:p>
      <w:pPr>
        <w:jc w:val="center"/>
      </w:pPr>
      <w:r>
        <w:rPr>
          <w:rFonts w:ascii="Arial" w:hAnsi="Arial"/>
          <w:b/>
          <w:sz w:val="72"/>
        </w:rPr>
        <w:t>ШУНО-1</w:t>
      </w:r>
    </w:p>
    <w:p>
      <w:pPr>
        <w:jc w:val="center"/>
      </w:pPr>
      <w:r>
        <w:rPr>
          <w:rFonts w:ascii="Arial" w:hAnsi="Arial"/>
          <w:sz w:val="32"/>
        </w:rPr>
        <w:t>Astana — Ергун Бей</w:t>
      </w:r>
    </w:p>
    <w:p>
      <w:pPr>
        <w:jc w:val="center"/>
      </w:pPr>
      <w:r>
        <w:rPr>
          <w:rFonts w:ascii="Arial" w:hAnsi="Arial"/>
          <w:sz w:val="24"/>
        </w:rPr>
        <w:t>Дата: 21.09.2026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Наименование панели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ШУНО-1 — шкаф управления наружным освещением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Проект / заказ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Astana — Ергун Бей, 260921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комплект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Габариты (В×Ш×Г)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1000 × 650 × 250 мм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Исполнение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Навесное, однодверное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Степень защиты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IP54 (по BOM / проекту)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Корпус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TEKSAN F, арт. 714-15110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Ввод кабеля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Снизу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Открывание двери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Вправо, петли справа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Внутренние перегородки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Не предусмотрены</w:t>
            </w:r>
          </w:p>
        </w:tc>
      </w:tr>
    </w:tbl>
    <w:p/>
    <w:p>
      <w:pPr>
        <w:jc w:val="center"/>
      </w:pPr>
      <w:r>
        <w:rPr>
          <w:i/>
          <w:sz w:val="18"/>
        </w:rPr>
        <w:t>Основание: BOM 260921_Astana_ErgunBey_SHUNO1_CHINT_BOM.xlsx</w:t>
      </w:r>
    </w:p>
    <w:p>
      <w:pPr>
        <w:sectPr>
          <w:headerReference w:type="default" r:id="rId9"/>
          <w:footerReference w:type="default" r:id="rId10"/>
          <w:pgSz w:w="12240" w:h="15840"/>
          <w:pgMar w:top="907" w:right="907" w:bottom="794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1. Габаритный чертёж — вид спереди</w:t>
      </w:r>
    </w:p>
    <w:p>
      <w:r>
        <w:drawing>
          <wp:inline xmlns:a="http://schemas.openxmlformats.org/drawingml/2006/main" xmlns:pic="http://schemas.openxmlformats.org/drawingml/2006/picture">
            <wp:extent cx="6480000" cy="4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no_fr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Примечание: органы управления на двери — 3 зелёных индикатора и 3-позиционный переключатель «Авто–0–Ручной».</w:t>
      </w:r>
    </w:p>
    <w:p>
      <w:pPr>
        <w:sectPr>
          <w:pgSz w:w="12240" w:h="15840"/>
          <w:pgMar w:top="737" w:right="737" w:bottom="680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2. Вид сбоку и снизу</w:t>
      </w:r>
    </w:p>
    <w:p>
      <w:r>
        <w:drawing>
          <wp:inline xmlns:a="http://schemas.openxmlformats.org/drawingml/2006/main" xmlns:pic="http://schemas.openxmlformats.org/drawingml/2006/picture">
            <wp:extent cx="6480000" cy="44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no_side_bot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37" w:right="737" w:bottom="680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3. Предварительная внутренняя компоновка</w:t>
      </w:r>
    </w:p>
    <w:p>
      <w:r>
        <w:drawing>
          <wp:inline xmlns:a="http://schemas.openxmlformats.org/drawingml/2006/main" xmlns:pic="http://schemas.openxmlformats.org/drawingml/2006/picture">
            <wp:extent cx="6480000" cy="48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no_inter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Компоновка выполнена по BOM. Внутренние перегородки не применяются. Окончательное расположение DIN-реек и кабельных каналов допускается уточнить при сборке без изменения электрической схемы и доступности обслуживания.</w:t>
      </w:r>
    </w:p>
    <w:p>
      <w:pPr>
        <w:sectPr>
          <w:pgSz w:w="12240" w:h="15840"/>
          <w:pgMar w:top="737" w:right="737" w:bottom="680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4. Основное оборудование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Оборудование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Кол.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Назначение / примечание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Счётчик 3ф SAIMAN Дала CA4-3720, 5(60)A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Прямое включение, без ТТ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Авт. выключатель CHINT NXB-63S 3P C16 4.5kA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Ввод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Диф. автомат CHINT NXBLE-63YH 3P+N C10 30mA тип A 6kA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Группы 1,3,4,5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Диф. автомат CHINT NXBLE-63YH 1P+N C10 30mA тип A 6kA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Группа 2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Авт. выключатель CHINT NXB-63S 1P C6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Цепь управления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Контактор CHINT NXC-09, катушка 220V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KM1, KM2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Таймер CHINT NKG3 AC230V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Автоматическое управление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Фотореле ФР-602 IP44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Наружная установка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Индикатор зелёный ND16-22D/2 230V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 двери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Переключатель NP8-11X/312, 3 положения IP65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Авто–0–Ручной, на двери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Шины N / PE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1+1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 нижней части шкафа</w:t>
            </w:r>
          </w:p>
        </w:tc>
      </w:tr>
    </w:tbl>
    <w:p>
      <w:pPr>
        <w:pStyle w:val="Heading1"/>
      </w:pPr>
      <w:r>
        <w:t>5. Производственные требования</w:t>
      </w:r>
    </w:p>
    <w:p>
      <w:pPr>
        <w:pStyle w:val="ListBullet"/>
      </w:pPr>
      <w:r>
        <w:t>Корпус принять 1000×650×250 мм, IP54, навесного исполнения.</w:t>
      </w:r>
    </w:p>
    <w:p>
      <w:pPr>
        <w:pStyle w:val="ListBullet"/>
      </w:pPr>
      <w:r>
        <w:t>Дверь односторонняя, открывание вправо (петли справа).</w:t>
      </w:r>
    </w:p>
    <w:p>
      <w:pPr>
        <w:pStyle w:val="ListBullet"/>
      </w:pPr>
      <w:r>
        <w:t>Кабельный ввод выполнить снизу; неиспользуемые отверстия заглушить с сохранением IP54.</w:t>
      </w:r>
    </w:p>
    <w:p>
      <w:pPr>
        <w:pStyle w:val="ListBullet"/>
      </w:pPr>
      <w:r>
        <w:t>Фотореле ФР-602 — наружной установки, в шкафу место не резервировать.</w:t>
      </w:r>
    </w:p>
    <w:p>
      <w:pPr>
        <w:pStyle w:val="ListBullet"/>
      </w:pPr>
      <w:r>
        <w:t>Счётчик прямого включения 5(60)A; трансформаторы тока не устанавливаются.</w:t>
      </w:r>
    </w:p>
    <w:p>
      <w:pPr>
        <w:pStyle w:val="ListBullet"/>
      </w:pPr>
      <w:r>
        <w:t>N и PE шины установить в нижней части шкафа. Дверь заземлить проводом ПВ3 1×6 мм².</w:t>
      </w:r>
    </w:p>
    <w:p>
      <w:pPr>
        <w:pStyle w:val="ListBullet"/>
      </w:pPr>
      <w:r>
        <w:t>Маркировка аппаратов и проводов — по принципиальной схеме/BOM; фазировку и затяжку клемм проверить перед ОТК.</w:t>
      </w:r>
    </w:p>
    <w:p>
      <w:pPr>
        <w:pStyle w:val="ListBullet"/>
      </w:pPr>
      <w:r>
        <w:t>ВНИМАНИЕ: для наружной установки BOM/проектом принят IP54. Если шкаф устанавливается полностью под открытым небом без козырька, до запуска в производство подтвердить, достаточно ли IP54 или требуется IP65.</w:t>
      </w:r>
    </w:p>
    <w:p>
      <w:r>
        <w:br w:type="page"/>
      </w:r>
    </w:p>
    <w:p>
      <w:pPr>
        <w:pStyle w:val="Heading1"/>
      </w:pPr>
      <w:r>
        <w:t>6.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Этап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Ф.И.О.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Подпись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Дата</w:t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Проектирование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Производство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ОТК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YSF • Astana / Ергун Бей • ШУНО-1 • 21.09.2026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402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22"/>
            </w:rPr>
            <w:t>YSF ELECTRIC</w:t>
          </w:r>
        </w:p>
      </w:tc>
      <w:tc>
        <w:tcPr>
          <w:tcW w:type="dxa" w:w="3402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sz w:val="18"/>
            </w:rPr>
            <w:t>ПРОИЗВОДСТВЕННОЕ СОГЛАСОВАНИЕ</w:t>
          </w:r>
        </w:p>
      </w:tc>
      <w:tc>
        <w:tcPr>
          <w:tcW w:type="dxa" w:w="3402"/>
          <w:vAlign w:val="center"/>
        </w:tcPr>
        <w:p>
          <w:pPr>
            <w:jc w:val="right"/>
          </w:pPr>
          <w:r/>
          <w:r>
            <w:rPr>
              <w:rFonts w:ascii="Arial" w:hAnsi="Arial"/>
              <w:b/>
              <w:sz w:val="18"/>
            </w:rPr>
            <w:t>260921 / ШУНО-1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