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0CAD" w14:textId="77777777" w:rsidR="008A059F" w:rsidRDefault="00000000" w:rsidP="00E70564">
      <w:pPr>
        <w:jc w:val="center"/>
        <w:rPr>
          <w:rFonts w:ascii="Times New Roman" w:hAnsi="Times New Roman" w:cs="Times New Roman"/>
          <w:b/>
          <w:bCs/>
          <w:sz w:val="48"/>
          <w:szCs w:val="48"/>
        </w:rPr>
      </w:pPr>
      <w:r>
        <w:rPr>
          <w:rFonts w:ascii="Times New Roman" w:hAnsi="Times New Roman" w:cs="Times New Roman"/>
          <w:b/>
          <w:bCs/>
          <w:sz w:val="48"/>
          <w:szCs w:val="48"/>
        </w:rPr>
        <w:t>EXPLORING SALES OF DIFFERENT SEGMENT IN US STATES</w:t>
      </w:r>
    </w:p>
    <w:p w14:paraId="0281FFED" w14:textId="3395F0E0" w:rsidR="008A059F" w:rsidRPr="00E70564" w:rsidRDefault="00000000" w:rsidP="00E70564">
      <w:pPr>
        <w:jc w:val="both"/>
        <w:rPr>
          <w:rFonts w:ascii="Times New Roman" w:hAnsi="Times New Roman" w:cs="Times New Roman"/>
          <w:sz w:val="36"/>
          <w:szCs w:val="36"/>
        </w:rPr>
      </w:pPr>
      <w:r w:rsidRPr="00E70564">
        <w:rPr>
          <w:rFonts w:ascii="Times New Roman" w:hAnsi="Times New Roman" w:cs="Times New Roman"/>
          <w:sz w:val="36"/>
          <w:szCs w:val="36"/>
        </w:rPr>
        <w:t>I</w:t>
      </w:r>
      <w:r w:rsidR="00E70564">
        <w:rPr>
          <w:rFonts w:ascii="Times New Roman" w:hAnsi="Times New Roman" w:cs="Times New Roman"/>
          <w:sz w:val="36"/>
          <w:szCs w:val="36"/>
        </w:rPr>
        <w:t>ntroduction</w:t>
      </w:r>
      <w:r w:rsidRPr="00E70564">
        <w:rPr>
          <w:rFonts w:ascii="Times New Roman" w:hAnsi="Times New Roman" w:cs="Times New Roman"/>
          <w:sz w:val="36"/>
          <w:szCs w:val="36"/>
        </w:rPr>
        <w:t>:</w:t>
      </w:r>
    </w:p>
    <w:p w14:paraId="5043C79E" w14:textId="77777777" w:rsidR="008A059F" w:rsidRDefault="00000000" w:rsidP="00E70564">
      <w:pPr>
        <w:ind w:left="360"/>
        <w:jc w:val="both"/>
        <w:rPr>
          <w:rFonts w:ascii="Times New Roman" w:hAnsi="Times New Roman" w:cs="Times New Roman"/>
          <w:sz w:val="24"/>
          <w:szCs w:val="24"/>
        </w:rPr>
      </w:pPr>
      <w:r>
        <w:rPr>
          <w:rFonts w:ascii="Times New Roman" w:hAnsi="Times New Roman" w:cs="Times New Roman"/>
          <w:sz w:val="24"/>
          <w:szCs w:val="24"/>
        </w:rPr>
        <w:t>Our dataset comprises a plethora of variables, each offering unique insights into the multifaceted nature of different category sales. From fundamental transactional details such as Date, Time, sales, states to more nuanced factors like Customer Type, Demographics, category and sub category, every facet has been meticulously documented.</w:t>
      </w:r>
    </w:p>
    <w:p w14:paraId="534DCBCC" w14:textId="77777777" w:rsidR="008A059F" w:rsidRPr="00E70564" w:rsidRDefault="00000000" w:rsidP="00E70564">
      <w:pPr>
        <w:ind w:firstLine="360"/>
        <w:jc w:val="both"/>
        <w:rPr>
          <w:rFonts w:ascii="Times New Roman" w:hAnsi="Times New Roman" w:cs="Times New Roman"/>
          <w:sz w:val="32"/>
          <w:szCs w:val="32"/>
        </w:rPr>
      </w:pPr>
      <w:r w:rsidRPr="00E70564">
        <w:rPr>
          <w:rFonts w:ascii="Times New Roman" w:hAnsi="Times New Roman" w:cs="Times New Roman"/>
          <w:sz w:val="32"/>
          <w:szCs w:val="32"/>
        </w:rPr>
        <w:t>Key Attributes:</w:t>
      </w:r>
    </w:p>
    <w:p w14:paraId="6A9021F4" w14:textId="77777777" w:rsidR="008A059F" w:rsidRDefault="00000000" w:rsidP="00E70564">
      <w:pPr>
        <w:pStyle w:val="ListParagraph"/>
        <w:numPr>
          <w:ilvl w:val="0"/>
          <w:numId w:val="2"/>
        </w:numPr>
        <w:spacing w:line="278" w:lineRule="auto"/>
        <w:jc w:val="both"/>
        <w:rPr>
          <w:rFonts w:ascii="Times New Roman" w:hAnsi="Times New Roman" w:cs="Times New Roman"/>
          <w:sz w:val="24"/>
          <w:szCs w:val="24"/>
        </w:rPr>
      </w:pPr>
      <w:r>
        <w:rPr>
          <w:rFonts w:ascii="Times New Roman" w:hAnsi="Times New Roman" w:cs="Times New Roman"/>
          <w:sz w:val="24"/>
          <w:szCs w:val="24"/>
        </w:rPr>
        <w:t xml:space="preserve"> ID: A unique identifier for each sales transaction, facilitating traceability and analysis.</w:t>
      </w:r>
    </w:p>
    <w:p w14:paraId="36738D78" w14:textId="77777777" w:rsidR="008A059F" w:rsidRDefault="00000000" w:rsidP="00E70564">
      <w:pPr>
        <w:pStyle w:val="ListParagraph"/>
        <w:numPr>
          <w:ilvl w:val="0"/>
          <w:numId w:val="2"/>
        </w:numPr>
        <w:spacing w:line="278" w:lineRule="auto"/>
        <w:jc w:val="both"/>
        <w:rPr>
          <w:rFonts w:ascii="Times New Roman" w:hAnsi="Times New Roman" w:cs="Times New Roman"/>
          <w:sz w:val="24"/>
          <w:szCs w:val="24"/>
        </w:rPr>
      </w:pPr>
      <w:r>
        <w:rPr>
          <w:rFonts w:ascii="Times New Roman" w:hAnsi="Times New Roman" w:cs="Times New Roman"/>
          <w:sz w:val="24"/>
          <w:szCs w:val="24"/>
        </w:rPr>
        <w:t>City, State: The geographical location of the data allowing for regional comparisons and trend identification.</w:t>
      </w:r>
    </w:p>
    <w:p w14:paraId="0A0709CA" w14:textId="77777777" w:rsidR="008A059F" w:rsidRDefault="00000000" w:rsidP="00E70564">
      <w:pPr>
        <w:pStyle w:val="ListParagraph"/>
        <w:numPr>
          <w:ilvl w:val="0"/>
          <w:numId w:val="2"/>
        </w:numPr>
        <w:spacing w:line="278" w:lineRule="auto"/>
        <w:jc w:val="both"/>
        <w:rPr>
          <w:rFonts w:ascii="Times New Roman" w:hAnsi="Times New Roman" w:cs="Times New Roman"/>
          <w:sz w:val="24"/>
          <w:szCs w:val="24"/>
        </w:rPr>
      </w:pPr>
      <w:r>
        <w:rPr>
          <w:rFonts w:ascii="Times New Roman" w:hAnsi="Times New Roman" w:cs="Times New Roman"/>
          <w:sz w:val="24"/>
          <w:szCs w:val="24"/>
        </w:rPr>
        <w:t xml:space="preserve">Product Line (furniture, Electronic Accessories, appliances,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 xml:space="preserve"> and Lifestyle): Categorization of products facilitating analysis of sales trends across different product categories.</w:t>
      </w:r>
    </w:p>
    <w:p w14:paraId="4B0F5204" w14:textId="77777777" w:rsidR="008A059F" w:rsidRDefault="00000000" w:rsidP="00E70564">
      <w:pPr>
        <w:pStyle w:val="ListParagraph"/>
        <w:numPr>
          <w:ilvl w:val="0"/>
          <w:numId w:val="2"/>
        </w:numPr>
        <w:spacing w:line="278" w:lineRule="auto"/>
        <w:jc w:val="both"/>
        <w:rPr>
          <w:rFonts w:ascii="Times New Roman" w:hAnsi="Times New Roman" w:cs="Times New Roman"/>
          <w:sz w:val="24"/>
          <w:szCs w:val="24"/>
        </w:rPr>
      </w:pPr>
      <w:r>
        <w:rPr>
          <w:rFonts w:ascii="Times New Roman" w:hAnsi="Times New Roman" w:cs="Times New Roman"/>
          <w:sz w:val="24"/>
          <w:szCs w:val="24"/>
        </w:rPr>
        <w:t>Unit Price, Net sales Fundamental transactional details crucial for revenue assessment and pricing strategies.</w:t>
      </w:r>
    </w:p>
    <w:p w14:paraId="25CA2FCF" w14:textId="77777777" w:rsidR="008A059F" w:rsidRDefault="00000000" w:rsidP="00E70564">
      <w:pPr>
        <w:pStyle w:val="ListParagraph"/>
        <w:numPr>
          <w:ilvl w:val="0"/>
          <w:numId w:val="2"/>
        </w:numPr>
        <w:spacing w:line="278" w:lineRule="auto"/>
        <w:jc w:val="both"/>
        <w:rPr>
          <w:rFonts w:ascii="Times New Roman" w:hAnsi="Times New Roman" w:cs="Times New Roman"/>
          <w:sz w:val="24"/>
          <w:szCs w:val="24"/>
        </w:rPr>
      </w:pPr>
      <w:r>
        <w:rPr>
          <w:rFonts w:ascii="Times New Roman" w:hAnsi="Times New Roman" w:cs="Times New Roman"/>
          <w:sz w:val="24"/>
          <w:szCs w:val="24"/>
        </w:rPr>
        <w:t xml:space="preserve">Net sales of different category, category performing well in different states: Performance metrics </w:t>
      </w:r>
    </w:p>
    <w:p w14:paraId="5898CF32" w14:textId="77777777" w:rsidR="008A059F" w:rsidRDefault="00000000" w:rsidP="00E70564">
      <w:pPr>
        <w:pStyle w:val="ListParagraph"/>
        <w:numPr>
          <w:ilvl w:val="0"/>
          <w:numId w:val="2"/>
        </w:numPr>
        <w:spacing w:line="278" w:lineRule="auto"/>
        <w:jc w:val="both"/>
        <w:rPr>
          <w:rFonts w:ascii="Times New Roman" w:hAnsi="Times New Roman" w:cs="Times New Roman"/>
          <w:sz w:val="24"/>
          <w:szCs w:val="24"/>
        </w:rPr>
      </w:pPr>
      <w:r>
        <w:rPr>
          <w:rFonts w:ascii="Times New Roman" w:hAnsi="Times New Roman" w:cs="Times New Roman"/>
          <w:sz w:val="24"/>
          <w:szCs w:val="24"/>
        </w:rPr>
        <w:t>Rating: different product performing well in different state</w:t>
      </w:r>
    </w:p>
    <w:p w14:paraId="79519770" w14:textId="77777777" w:rsidR="008A059F" w:rsidRDefault="00000000" w:rsidP="00E70564">
      <w:pPr>
        <w:pStyle w:val="ListParagraph"/>
        <w:numPr>
          <w:ilvl w:val="0"/>
          <w:numId w:val="2"/>
        </w:numPr>
        <w:spacing w:line="278" w:lineRule="auto"/>
        <w:jc w:val="both"/>
        <w:rPr>
          <w:rFonts w:ascii="Times New Roman" w:hAnsi="Times New Roman" w:cs="Times New Roman"/>
          <w:sz w:val="24"/>
          <w:szCs w:val="24"/>
        </w:rPr>
      </w:pPr>
      <w:r>
        <w:rPr>
          <w:rFonts w:ascii="Times New Roman" w:hAnsi="Times New Roman" w:cs="Times New Roman"/>
          <w:sz w:val="24"/>
          <w:szCs w:val="24"/>
        </w:rPr>
        <w:t xml:space="preserve">States (California, </w:t>
      </w:r>
      <w:proofErr w:type="gramStart"/>
      <w:r>
        <w:rPr>
          <w:rFonts w:ascii="Times New Roman" w:hAnsi="Times New Roman" w:cs="Times New Roman"/>
          <w:sz w:val="24"/>
          <w:szCs w:val="24"/>
        </w:rPr>
        <w:t>Texas</w:t>
      </w:r>
      <w:proofErr w:type="gramEnd"/>
      <w:r>
        <w:rPr>
          <w:rFonts w:ascii="Times New Roman" w:hAnsi="Times New Roman" w:cs="Times New Roman"/>
          <w:sz w:val="24"/>
          <w:szCs w:val="24"/>
        </w:rPr>
        <w:t xml:space="preserve"> and Washington): Regional segmentation enabling geographical analysis and market segmentation.</w:t>
      </w:r>
    </w:p>
    <w:p w14:paraId="0119D708" w14:textId="77777777" w:rsidR="00E70564" w:rsidRDefault="00E70564" w:rsidP="00E70564">
      <w:pPr>
        <w:spacing w:line="278" w:lineRule="auto"/>
        <w:jc w:val="both"/>
        <w:rPr>
          <w:rFonts w:ascii="Times New Roman" w:hAnsi="Times New Roman" w:cs="Times New Roman"/>
          <w:sz w:val="32"/>
          <w:szCs w:val="32"/>
        </w:rPr>
      </w:pPr>
    </w:p>
    <w:p w14:paraId="06E21783" w14:textId="62CEB695" w:rsidR="008A059F" w:rsidRDefault="00000000" w:rsidP="00E70564">
      <w:pPr>
        <w:spacing w:line="278" w:lineRule="auto"/>
        <w:jc w:val="both"/>
        <w:rPr>
          <w:rFonts w:ascii="Times New Roman" w:hAnsi="Times New Roman" w:cs="Times New Roman"/>
          <w:sz w:val="28"/>
          <w:szCs w:val="32"/>
        </w:rPr>
      </w:pPr>
      <w:r>
        <w:rPr>
          <w:rFonts w:ascii="Times New Roman" w:hAnsi="Times New Roman" w:cs="Times New Roman"/>
          <w:sz w:val="36"/>
          <w:szCs w:val="32"/>
        </w:rPr>
        <w:t>Q</w:t>
      </w:r>
      <w:r w:rsidR="00E70564">
        <w:rPr>
          <w:rFonts w:ascii="Times New Roman" w:hAnsi="Times New Roman" w:cs="Times New Roman"/>
          <w:sz w:val="36"/>
          <w:szCs w:val="32"/>
        </w:rPr>
        <w:t>uestionnaire</w:t>
      </w:r>
      <w:r>
        <w:rPr>
          <w:rFonts w:ascii="Times New Roman" w:hAnsi="Times New Roman" w:cs="Times New Roman"/>
          <w:sz w:val="36"/>
          <w:szCs w:val="32"/>
        </w:rPr>
        <w:t xml:space="preserve">: </w:t>
      </w:r>
    </w:p>
    <w:p w14:paraId="2AACBC48" w14:textId="77777777" w:rsidR="008A059F" w:rsidRDefault="00000000" w:rsidP="00E70564">
      <w:pPr>
        <w:pStyle w:val="HTMLPreformatted"/>
        <w:shd w:val="clear" w:color="auto" w:fill="FFFFFF"/>
        <w:jc w:val="both"/>
        <w:rPr>
          <w:rFonts w:ascii="Times New Roman" w:hAnsi="Times New Roman" w:cs="Times New Roman"/>
          <w:color w:val="000000"/>
          <w:sz w:val="24"/>
          <w:szCs w:val="32"/>
        </w:rPr>
      </w:pPr>
      <w:r>
        <w:rPr>
          <w:rFonts w:ascii="Times New Roman" w:hAnsi="Times New Roman" w:cs="Times New Roman"/>
          <w:color w:val="000000"/>
          <w:sz w:val="24"/>
          <w:szCs w:val="32"/>
        </w:rPr>
        <w:t>1. Compare all the US states in terms of Segment and Sales. Which       Segment performed well in all the states?</w:t>
      </w:r>
    </w:p>
    <w:p w14:paraId="3FBFD8C5" w14:textId="77777777" w:rsidR="008A059F" w:rsidRDefault="00000000"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2. Find out top performing category in all the states?</w:t>
      </w:r>
    </w:p>
    <w:p w14:paraId="3DEBC366" w14:textId="77777777" w:rsidR="008A059F" w:rsidRDefault="00000000"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3. Which segment has most sales in US, California, Texas, and Washington?</w:t>
      </w:r>
    </w:p>
    <w:p w14:paraId="18B404FC" w14:textId="77777777" w:rsidR="008A059F" w:rsidRDefault="00000000"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4. Compare total and average sales for all different segment?</w:t>
      </w:r>
    </w:p>
    <w:p w14:paraId="4D3004B9" w14:textId="77777777" w:rsidR="008A059F" w:rsidRDefault="00000000"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5. Compare average sales of different category and sub category of all the states.</w:t>
      </w:r>
    </w:p>
    <w:p w14:paraId="46320A7E"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rPr>
      </w:pPr>
    </w:p>
    <w:p w14:paraId="08C96316"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rPr>
      </w:pPr>
    </w:p>
    <w:p w14:paraId="30EAF844"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rPr>
      </w:pPr>
    </w:p>
    <w:p w14:paraId="41432829"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rPr>
      </w:pPr>
    </w:p>
    <w:p w14:paraId="48689678"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rPr>
      </w:pPr>
    </w:p>
    <w:p w14:paraId="6F6150CF" w14:textId="05DBB24A" w:rsidR="008A059F" w:rsidRPr="00E70564" w:rsidRDefault="00000000" w:rsidP="00E70564">
      <w:pPr>
        <w:spacing w:line="278" w:lineRule="auto"/>
        <w:jc w:val="both"/>
        <w:rPr>
          <w:rFonts w:ascii="Times New Roman" w:eastAsiaTheme="minorEastAsia" w:hAnsi="Times New Roman" w:cs="Times New Roman"/>
          <w:color w:val="000000"/>
          <w:sz w:val="36"/>
          <w:szCs w:val="32"/>
        </w:rPr>
      </w:pPr>
      <w:r w:rsidRPr="00E70564">
        <w:rPr>
          <w:rFonts w:ascii="Times New Roman" w:eastAsia="Times New Roman" w:hAnsi="Times New Roman" w:cs="Times New Roman"/>
          <w:color w:val="000000"/>
          <w:sz w:val="36"/>
          <w:szCs w:val="32"/>
        </w:rPr>
        <w:lastRenderedPageBreak/>
        <w:t>A</w:t>
      </w:r>
      <w:r w:rsidR="00E70564">
        <w:rPr>
          <w:rFonts w:ascii="Times New Roman" w:eastAsia="Times New Roman" w:hAnsi="Times New Roman" w:cs="Times New Roman"/>
          <w:color w:val="000000"/>
          <w:sz w:val="36"/>
          <w:szCs w:val="32"/>
        </w:rPr>
        <w:t>nalytics</w:t>
      </w:r>
      <w:r w:rsidRPr="00E70564">
        <w:rPr>
          <w:rFonts w:ascii="Times New Roman" w:eastAsia="Times New Roman" w:hAnsi="Times New Roman" w:cs="Times New Roman"/>
          <w:color w:val="000000"/>
          <w:sz w:val="36"/>
          <w:szCs w:val="32"/>
        </w:rPr>
        <w:t>:</w:t>
      </w:r>
    </w:p>
    <w:p w14:paraId="0365FF87" w14:textId="77777777" w:rsidR="008A059F" w:rsidRDefault="00000000" w:rsidP="00E70564">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3ABEA33" wp14:editId="653FD32C">
            <wp:simplePos x="0" y="0"/>
            <wp:positionH relativeFrom="column">
              <wp:posOffset>-205105</wp:posOffset>
            </wp:positionH>
            <wp:positionV relativeFrom="paragraph">
              <wp:posOffset>631825</wp:posOffset>
            </wp:positionV>
            <wp:extent cx="6677025" cy="3294380"/>
            <wp:effectExtent l="0" t="0" r="0" b="0"/>
            <wp:wrapThrough wrapText="bothSides">
              <wp:wrapPolygon edited="0">
                <wp:start x="0" y="0"/>
                <wp:lineTo x="0" y="21483"/>
                <wp:lineTo x="21569" y="21483"/>
                <wp:lineTo x="21569"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Times New Roman" w:hAnsi="Times New Roman" w:cs="Times New Roman"/>
          <w:b/>
          <w:sz w:val="24"/>
          <w:szCs w:val="24"/>
        </w:rPr>
        <w:t xml:space="preserve">Q1. </w:t>
      </w:r>
      <w:r>
        <w:rPr>
          <w:rFonts w:ascii="Times New Roman" w:hAnsi="Times New Roman" w:cs="Times New Roman"/>
          <w:color w:val="000000"/>
          <w:sz w:val="24"/>
          <w:szCs w:val="24"/>
        </w:rPr>
        <w:t>Compare all the US states in terms of Segment and Sales. Which Segment performed well in all the states?</w:t>
      </w:r>
    </w:p>
    <w:p w14:paraId="7B0887ED" w14:textId="77777777" w:rsidR="008A059F" w:rsidRDefault="00000000" w:rsidP="00E70564">
      <w:pPr>
        <w:ind w:left="720"/>
        <w:jc w:val="both"/>
        <w:rPr>
          <w:rFonts w:ascii="Times New Roman" w:hAnsi="Times New Roman" w:cs="Times New Roman"/>
          <w:sz w:val="32"/>
          <w:szCs w:val="32"/>
        </w:rPr>
      </w:pPr>
      <w:r>
        <w:rPr>
          <w:rFonts w:ascii="Times New Roman" w:hAnsi="Times New Roman" w:cs="Times New Roman"/>
          <w:sz w:val="32"/>
          <w:szCs w:val="32"/>
        </w:rPr>
        <w:t xml:space="preserve">Ans. After comparing all the states in terms of segment and sales, California emerged as the state with the highest amount of sales </w:t>
      </w:r>
    </w:p>
    <w:p w14:paraId="11537D8C" w14:textId="77777777" w:rsidR="008A059F" w:rsidRDefault="00000000" w:rsidP="00E70564">
      <w:pPr>
        <w:ind w:firstLine="720"/>
        <w:jc w:val="both"/>
        <w:rPr>
          <w:rFonts w:ascii="Times New Roman" w:hAnsi="Times New Roman" w:cs="Times New Roman"/>
          <w:sz w:val="32"/>
          <w:szCs w:val="32"/>
        </w:rPr>
      </w:pPr>
      <w:r>
        <w:rPr>
          <w:rFonts w:ascii="Times New Roman" w:hAnsi="Times New Roman" w:cs="Times New Roman"/>
          <w:sz w:val="32"/>
          <w:szCs w:val="32"/>
        </w:rPr>
        <w:t>Consumer segment performed well in all the states</w:t>
      </w:r>
    </w:p>
    <w:p w14:paraId="4B040D72" w14:textId="77777777" w:rsidR="008A059F" w:rsidRDefault="008A059F" w:rsidP="00E70564">
      <w:pPr>
        <w:jc w:val="both"/>
        <w:rPr>
          <w:rFonts w:ascii="Times New Roman" w:hAnsi="Times New Roman" w:cs="Times New Roman"/>
          <w:b/>
          <w:sz w:val="32"/>
          <w:szCs w:val="32"/>
        </w:rPr>
      </w:pPr>
    </w:p>
    <w:p w14:paraId="7584A0FB" w14:textId="77777777" w:rsidR="008A059F" w:rsidRDefault="00000000" w:rsidP="00E70564">
      <w:pPr>
        <w:jc w:val="both"/>
        <w:rPr>
          <w:rFonts w:ascii="Times New Roman" w:hAnsi="Times New Roman" w:cs="Times New Roman"/>
          <w:b/>
          <w:sz w:val="32"/>
          <w:szCs w:val="32"/>
        </w:rPr>
      </w:pPr>
      <w:r>
        <w:rPr>
          <w:rFonts w:ascii="Times New Roman" w:hAnsi="Times New Roman" w:cs="Times New Roman"/>
          <w:b/>
          <w:sz w:val="32"/>
          <w:szCs w:val="32"/>
        </w:rPr>
        <w:t>Slicers:</w:t>
      </w:r>
    </w:p>
    <w:p w14:paraId="7C20C3D4" w14:textId="77777777" w:rsidR="008A059F" w:rsidRDefault="00000000" w:rsidP="00E70564">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1F7510F" wp14:editId="77ED896F">
            <wp:extent cx="6073775" cy="2000250"/>
            <wp:effectExtent l="0" t="0" r="6985" b="11430"/>
            <wp:docPr id="35432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2133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73775" cy="2000250"/>
                    </a:xfrm>
                    <a:prstGeom prst="rect">
                      <a:avLst/>
                    </a:prstGeom>
                  </pic:spPr>
                </pic:pic>
              </a:graphicData>
            </a:graphic>
          </wp:inline>
        </w:drawing>
      </w:r>
    </w:p>
    <w:p w14:paraId="10058598" w14:textId="77777777" w:rsidR="008A059F" w:rsidRDefault="00000000" w:rsidP="00E70564">
      <w:pPr>
        <w:jc w:val="both"/>
        <w:rPr>
          <w:rFonts w:ascii="Times New Roman" w:hAnsi="Times New Roman" w:cs="Times New Roman"/>
          <w:b/>
          <w:sz w:val="32"/>
          <w:szCs w:val="32"/>
        </w:rPr>
      </w:pPr>
      <w:r>
        <w:rPr>
          <w:rFonts w:ascii="Times New Roman" w:hAnsi="Times New Roman" w:cs="Times New Roman"/>
          <w:b/>
          <w:sz w:val="24"/>
          <w:szCs w:val="32"/>
        </w:rPr>
        <w:lastRenderedPageBreak/>
        <w:t xml:space="preserve">Q2. </w:t>
      </w:r>
      <w:r>
        <w:rPr>
          <w:rFonts w:ascii="Times New Roman" w:eastAsia="Times New Roman" w:hAnsi="Times New Roman" w:cs="Times New Roman"/>
          <w:color w:val="000000"/>
          <w:sz w:val="24"/>
          <w:szCs w:val="32"/>
        </w:rPr>
        <w:t>Find out top performing category in all the states?</w:t>
      </w:r>
    </w:p>
    <w:p w14:paraId="3EE2C926" w14:textId="77777777" w:rsidR="008A059F" w:rsidRDefault="00000000" w:rsidP="00E70564">
      <w:pPr>
        <w:ind w:firstLine="720"/>
        <w:jc w:val="both"/>
        <w:rPr>
          <w:rFonts w:ascii="Times New Roman" w:hAnsi="Times New Roman" w:cs="Times New Roman"/>
          <w:sz w:val="32"/>
          <w:szCs w:val="32"/>
        </w:rPr>
      </w:pPr>
      <w:r>
        <w:rPr>
          <w:rFonts w:ascii="Times New Roman" w:hAnsi="Times New Roman" w:cs="Times New Roman"/>
          <w:noProof/>
        </w:rPr>
        <w:drawing>
          <wp:inline distT="0" distB="0" distL="0" distR="0" wp14:anchorId="6EBE511F" wp14:editId="26B3A528">
            <wp:extent cx="5628005" cy="3105785"/>
            <wp:effectExtent l="0" t="0" r="0" b="0"/>
            <wp:docPr id="4558909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4B81BC" w14:textId="58537A94" w:rsidR="008A059F" w:rsidRDefault="00E70564" w:rsidP="00E70564">
      <w:pPr>
        <w:jc w:val="both"/>
        <w:rPr>
          <w:rFonts w:ascii="Times New Roman" w:hAnsi="Times New Roman" w:cs="Times New Roman"/>
          <w:sz w:val="32"/>
          <w:szCs w:val="32"/>
        </w:rPr>
      </w:pPr>
      <w:r>
        <w:rPr>
          <w:rFonts w:ascii="Times New Roman" w:hAnsi="Times New Roman" w:cs="Times New Roman"/>
          <w:b/>
          <w:bCs/>
          <w:sz w:val="32"/>
          <w:szCs w:val="32"/>
        </w:rPr>
        <w:t xml:space="preserve"> </w:t>
      </w:r>
      <w:r w:rsidR="00000000">
        <w:rPr>
          <w:rFonts w:ascii="Times New Roman" w:hAnsi="Times New Roman" w:cs="Times New Roman"/>
          <w:b/>
          <w:bCs/>
          <w:sz w:val="32"/>
          <w:szCs w:val="32"/>
        </w:rPr>
        <w:t xml:space="preserve">Slicers: </w:t>
      </w:r>
    </w:p>
    <w:p w14:paraId="74BCD559" w14:textId="77777777" w:rsidR="008A059F" w:rsidRDefault="00000000" w:rsidP="00E70564">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703DD3A2" wp14:editId="7AE9B7F5">
            <wp:simplePos x="0" y="0"/>
            <wp:positionH relativeFrom="column">
              <wp:posOffset>822960</wp:posOffset>
            </wp:positionH>
            <wp:positionV relativeFrom="paragraph">
              <wp:posOffset>27940</wp:posOffset>
            </wp:positionV>
            <wp:extent cx="4667885" cy="2921635"/>
            <wp:effectExtent l="0" t="0" r="0" b="0"/>
            <wp:wrapThrough wrapText="bothSides">
              <wp:wrapPolygon edited="0">
                <wp:start x="0" y="0"/>
                <wp:lineTo x="0" y="21520"/>
                <wp:lineTo x="21509" y="21520"/>
                <wp:lineTo x="21509" y="0"/>
                <wp:lineTo x="0" y="0"/>
              </wp:wrapPolygon>
            </wp:wrapThrough>
            <wp:docPr id="1444312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2398"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67885" cy="2921635"/>
                    </a:xfrm>
                    <a:prstGeom prst="rect">
                      <a:avLst/>
                    </a:prstGeom>
                  </pic:spPr>
                </pic:pic>
              </a:graphicData>
            </a:graphic>
          </wp:anchor>
        </w:drawing>
      </w:r>
    </w:p>
    <w:p w14:paraId="0B519F30" w14:textId="77777777" w:rsidR="008A059F" w:rsidRDefault="008A059F" w:rsidP="00E70564">
      <w:pPr>
        <w:jc w:val="both"/>
        <w:rPr>
          <w:rFonts w:ascii="Times New Roman" w:hAnsi="Times New Roman" w:cs="Times New Roman"/>
          <w:b/>
          <w:sz w:val="32"/>
          <w:szCs w:val="32"/>
        </w:rPr>
      </w:pPr>
    </w:p>
    <w:p w14:paraId="55549E9F" w14:textId="77777777" w:rsidR="008A059F" w:rsidRPr="00E70564"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32"/>
          <w:szCs w:val="32"/>
        </w:rPr>
      </w:pPr>
    </w:p>
    <w:p w14:paraId="2A561DB8"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44BEDB28"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68EA7A06"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065838FC"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018ED83E"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600A7AF1"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0D1B6724" w14:textId="77777777" w:rsidR="008A059F" w:rsidRDefault="008A059F" w:rsidP="00E70564">
      <w:pPr>
        <w:jc w:val="both"/>
        <w:rPr>
          <w:rFonts w:ascii="Times New Roman" w:hAnsi="Times New Roman" w:cs="Times New Roman"/>
          <w:sz w:val="32"/>
          <w:szCs w:val="32"/>
        </w:rPr>
      </w:pPr>
    </w:p>
    <w:p w14:paraId="29BB2A09" w14:textId="77777777" w:rsidR="00E70564" w:rsidRDefault="00E70564" w:rsidP="00E70564">
      <w:pPr>
        <w:jc w:val="both"/>
        <w:rPr>
          <w:rFonts w:ascii="Times New Roman" w:hAnsi="Times New Roman" w:cs="Times New Roman"/>
          <w:sz w:val="24"/>
          <w:szCs w:val="32"/>
        </w:rPr>
      </w:pPr>
    </w:p>
    <w:p w14:paraId="6F508B1E" w14:textId="1592545D" w:rsidR="008A059F" w:rsidRDefault="00000000" w:rsidP="00E70564">
      <w:pPr>
        <w:jc w:val="both"/>
        <w:rPr>
          <w:rFonts w:ascii="Times New Roman" w:hAnsi="Times New Roman" w:cs="Times New Roman"/>
          <w:sz w:val="32"/>
          <w:szCs w:val="32"/>
        </w:rPr>
      </w:pPr>
      <w:r>
        <w:rPr>
          <w:rFonts w:ascii="Times New Roman" w:hAnsi="Times New Roman" w:cs="Times New Roman"/>
          <w:sz w:val="24"/>
          <w:szCs w:val="32"/>
        </w:rPr>
        <w:t>Ans.</w:t>
      </w:r>
      <w:r>
        <w:rPr>
          <w:rFonts w:ascii="Times New Roman" w:hAnsi="Times New Roman" w:cs="Times New Roman"/>
          <w:sz w:val="24"/>
          <w:szCs w:val="32"/>
        </w:rPr>
        <w:tab/>
        <w:t xml:space="preserve">Office Supplies is the </w:t>
      </w:r>
      <w:r>
        <w:rPr>
          <w:rFonts w:ascii="Times New Roman" w:eastAsia="Times New Roman" w:hAnsi="Times New Roman" w:cs="Times New Roman"/>
          <w:color w:val="000000"/>
          <w:sz w:val="24"/>
          <w:szCs w:val="32"/>
        </w:rPr>
        <w:t>top performing category in all the states</w:t>
      </w:r>
    </w:p>
    <w:p w14:paraId="7FF60331"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1BE57467"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4CAF41CC"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7A7C19A7"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05F1271D"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14:paraId="0F76385D"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32"/>
        </w:rPr>
      </w:pPr>
    </w:p>
    <w:p w14:paraId="455CFD6F" w14:textId="77777777" w:rsidR="008A059F" w:rsidRDefault="00000000"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rPr>
      </w:pPr>
      <w:r>
        <w:rPr>
          <w:rFonts w:ascii="Times New Roman" w:hAnsi="Times New Roman" w:cs="Times New Roman"/>
          <w:b/>
          <w:sz w:val="24"/>
          <w:szCs w:val="32"/>
        </w:rPr>
        <w:t>Q3.</w:t>
      </w:r>
      <w:r>
        <w:rPr>
          <w:rFonts w:ascii="Times New Roman" w:hAnsi="Times New Roman" w:cs="Times New Roman"/>
          <w:b/>
          <w:sz w:val="32"/>
          <w:szCs w:val="32"/>
        </w:rPr>
        <w:t xml:space="preserve"> </w:t>
      </w:r>
      <w:r>
        <w:rPr>
          <w:rFonts w:ascii="Times New Roman" w:eastAsia="Times New Roman" w:hAnsi="Times New Roman" w:cs="Times New Roman"/>
          <w:color w:val="000000"/>
          <w:sz w:val="24"/>
          <w:szCs w:val="24"/>
        </w:rPr>
        <w:t>Which segment has most sales in US, California, Texas, and Washington?</w:t>
      </w:r>
    </w:p>
    <w:p w14:paraId="1B736744" w14:textId="77777777" w:rsidR="008A059F" w:rsidRDefault="008A059F" w:rsidP="00E70564">
      <w:pPr>
        <w:jc w:val="both"/>
        <w:rPr>
          <w:rFonts w:ascii="Times New Roman" w:hAnsi="Times New Roman" w:cs="Times New Roman"/>
          <w:sz w:val="32"/>
          <w:szCs w:val="32"/>
        </w:rPr>
      </w:pPr>
    </w:p>
    <w:p w14:paraId="354D4A4F" w14:textId="77777777" w:rsidR="008A059F" w:rsidRDefault="00000000" w:rsidP="00E70564">
      <w:pPr>
        <w:jc w:val="both"/>
        <w:rPr>
          <w:rFonts w:ascii="Times New Roman" w:hAnsi="Times New Roman" w:cs="Times New Roman"/>
          <w:b/>
          <w:sz w:val="32"/>
          <w:szCs w:val="32"/>
        </w:rPr>
      </w:pPr>
      <w:r>
        <w:rPr>
          <w:rFonts w:ascii="Times New Roman" w:hAnsi="Times New Roman" w:cs="Times New Roman"/>
          <w:noProof/>
        </w:rPr>
        <w:drawing>
          <wp:inline distT="0" distB="0" distL="0" distR="0" wp14:anchorId="323903A0" wp14:editId="399AB4DE">
            <wp:extent cx="5943600" cy="332613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EB6702" w14:textId="56592CC7" w:rsidR="00E70564" w:rsidRDefault="00000000" w:rsidP="00E70564">
      <w:pPr>
        <w:ind w:left="360"/>
        <w:jc w:val="both"/>
        <w:rPr>
          <w:rFonts w:ascii="Times New Roman" w:hAnsi="Times New Roman" w:cs="Times New Roman"/>
          <w:b/>
          <w:bCs/>
          <w:sz w:val="32"/>
          <w:szCs w:val="32"/>
        </w:rPr>
      </w:pPr>
      <w:r>
        <w:rPr>
          <w:rFonts w:ascii="Times New Roman" w:hAnsi="Times New Roman" w:cs="Times New Roman"/>
          <w:b/>
          <w:bCs/>
          <w:sz w:val="32"/>
          <w:szCs w:val="32"/>
        </w:rPr>
        <w:t>Slicers:</w:t>
      </w:r>
    </w:p>
    <w:p w14:paraId="59A4B1C6" w14:textId="3617B9D1" w:rsidR="00E70564" w:rsidRDefault="00E70564" w:rsidP="00E70564">
      <w:pPr>
        <w:ind w:left="360"/>
        <w:jc w:val="both"/>
        <w:rPr>
          <w:rFonts w:ascii="Times New Roman" w:hAnsi="Times New Roman" w:cs="Times New Roman"/>
          <w:b/>
          <w:bCs/>
          <w:sz w:val="32"/>
          <w:szCs w:val="32"/>
        </w:rPr>
      </w:pPr>
      <w:r w:rsidRPr="00E70564">
        <w:rPr>
          <w:rFonts w:ascii="Times New Roman" w:hAnsi="Times New Roman" w:cs="Times New Roman"/>
          <w:bCs/>
          <w:noProof/>
          <w:sz w:val="32"/>
          <w:szCs w:val="32"/>
        </w:rPr>
        <w:drawing>
          <wp:anchor distT="0" distB="0" distL="114300" distR="114300" simplePos="0" relativeHeight="251662336" behindDoc="0" locked="0" layoutInCell="1" allowOverlap="1" wp14:anchorId="2F9D1166" wp14:editId="0F30A2D4">
            <wp:simplePos x="0" y="0"/>
            <wp:positionH relativeFrom="margin">
              <wp:posOffset>939165</wp:posOffset>
            </wp:positionH>
            <wp:positionV relativeFrom="paragraph">
              <wp:posOffset>114300</wp:posOffset>
            </wp:positionV>
            <wp:extent cx="3939540" cy="2606040"/>
            <wp:effectExtent l="0" t="0" r="3810" b="3810"/>
            <wp:wrapNone/>
            <wp:docPr id="631884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84039"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39540" cy="2606040"/>
                    </a:xfrm>
                    <a:prstGeom prst="rect">
                      <a:avLst/>
                    </a:prstGeom>
                  </pic:spPr>
                </pic:pic>
              </a:graphicData>
            </a:graphic>
            <wp14:sizeRelH relativeFrom="page">
              <wp14:pctWidth>0</wp14:pctWidth>
            </wp14:sizeRelH>
            <wp14:sizeRelV relativeFrom="page">
              <wp14:pctHeight>0</wp14:pctHeight>
            </wp14:sizeRelV>
          </wp:anchor>
        </w:drawing>
      </w:r>
    </w:p>
    <w:p w14:paraId="712891C9" w14:textId="05DBBB14" w:rsidR="008A059F" w:rsidRDefault="00000000" w:rsidP="00E70564">
      <w:pPr>
        <w:ind w:left="360"/>
        <w:jc w:val="both"/>
        <w:rPr>
          <w:rFonts w:ascii="Times New Roman" w:hAnsi="Times New Roman" w:cs="Times New Roman"/>
          <w:b/>
          <w:sz w:val="32"/>
          <w:szCs w:val="32"/>
        </w:rPr>
      </w:pPr>
      <w:r>
        <w:rPr>
          <w:rFonts w:ascii="Times New Roman" w:hAnsi="Times New Roman" w:cs="Times New Roman"/>
          <w:b/>
          <w:sz w:val="32"/>
          <w:szCs w:val="32"/>
        </w:rPr>
        <w:t xml:space="preserve"> </w:t>
      </w:r>
    </w:p>
    <w:p w14:paraId="3C6DCB19" w14:textId="05AC5797" w:rsidR="008A059F" w:rsidRDefault="008A059F" w:rsidP="00E70564">
      <w:pPr>
        <w:jc w:val="both"/>
        <w:rPr>
          <w:rFonts w:ascii="Times New Roman" w:hAnsi="Times New Roman" w:cs="Times New Roman"/>
          <w:bCs/>
          <w:sz w:val="32"/>
          <w:szCs w:val="32"/>
        </w:rPr>
      </w:pPr>
    </w:p>
    <w:p w14:paraId="34EC3F36" w14:textId="77777777" w:rsidR="00E70564" w:rsidRDefault="00E70564" w:rsidP="00E70564">
      <w:pPr>
        <w:jc w:val="both"/>
        <w:rPr>
          <w:rFonts w:ascii="Times New Roman" w:hAnsi="Times New Roman" w:cs="Times New Roman"/>
          <w:bCs/>
          <w:sz w:val="32"/>
          <w:szCs w:val="32"/>
        </w:rPr>
      </w:pPr>
    </w:p>
    <w:p w14:paraId="722977AF" w14:textId="77777777" w:rsidR="00E70564" w:rsidRDefault="00E70564" w:rsidP="00E70564">
      <w:pPr>
        <w:jc w:val="both"/>
        <w:rPr>
          <w:rFonts w:ascii="Times New Roman" w:hAnsi="Times New Roman" w:cs="Times New Roman"/>
          <w:bCs/>
          <w:sz w:val="32"/>
          <w:szCs w:val="32"/>
        </w:rPr>
      </w:pPr>
    </w:p>
    <w:p w14:paraId="53BCC2DE" w14:textId="77777777" w:rsidR="00E70564" w:rsidRDefault="00E70564" w:rsidP="00E70564">
      <w:pPr>
        <w:jc w:val="both"/>
        <w:rPr>
          <w:rFonts w:ascii="Times New Roman" w:hAnsi="Times New Roman" w:cs="Times New Roman"/>
          <w:bCs/>
          <w:sz w:val="32"/>
          <w:szCs w:val="32"/>
        </w:rPr>
      </w:pPr>
    </w:p>
    <w:p w14:paraId="2B07ED7D" w14:textId="77777777" w:rsidR="00E70564" w:rsidRDefault="00E70564" w:rsidP="00E70564">
      <w:pPr>
        <w:jc w:val="both"/>
        <w:rPr>
          <w:rFonts w:ascii="Times New Roman" w:hAnsi="Times New Roman" w:cs="Times New Roman"/>
          <w:bCs/>
          <w:sz w:val="32"/>
          <w:szCs w:val="32"/>
        </w:rPr>
      </w:pPr>
    </w:p>
    <w:p w14:paraId="1BB480DD" w14:textId="77777777" w:rsidR="00E70564" w:rsidRDefault="00E70564" w:rsidP="00E70564">
      <w:pPr>
        <w:jc w:val="both"/>
        <w:rPr>
          <w:rFonts w:ascii="Times New Roman" w:hAnsi="Times New Roman" w:cs="Times New Roman"/>
          <w:bCs/>
          <w:sz w:val="32"/>
          <w:szCs w:val="32"/>
        </w:rPr>
      </w:pPr>
    </w:p>
    <w:p w14:paraId="4E7FEFCF" w14:textId="77777777" w:rsidR="00E70564" w:rsidRDefault="00E70564" w:rsidP="00E70564">
      <w:pPr>
        <w:jc w:val="both"/>
        <w:rPr>
          <w:rFonts w:ascii="Times New Roman" w:hAnsi="Times New Roman" w:cs="Times New Roman"/>
          <w:bCs/>
          <w:sz w:val="32"/>
          <w:szCs w:val="32"/>
        </w:rPr>
      </w:pPr>
    </w:p>
    <w:p w14:paraId="165E041F" w14:textId="77777777" w:rsidR="00E70564" w:rsidRDefault="00000000" w:rsidP="00E70564">
      <w:pPr>
        <w:jc w:val="both"/>
        <w:rPr>
          <w:rFonts w:ascii="Times New Roman" w:eastAsia="Times New Roman" w:hAnsi="Times New Roman" w:cs="Times New Roman"/>
          <w:color w:val="000000"/>
          <w:sz w:val="24"/>
          <w:szCs w:val="32"/>
        </w:rPr>
      </w:pPr>
      <w:r>
        <w:rPr>
          <w:rFonts w:ascii="Times New Roman" w:hAnsi="Times New Roman" w:cs="Times New Roman"/>
          <w:b/>
          <w:sz w:val="24"/>
          <w:szCs w:val="32"/>
        </w:rPr>
        <w:t xml:space="preserve">Ans. </w:t>
      </w:r>
      <w:r>
        <w:rPr>
          <w:rFonts w:ascii="Times New Roman" w:hAnsi="Times New Roman" w:cs="Times New Roman"/>
          <w:sz w:val="24"/>
          <w:szCs w:val="32"/>
        </w:rPr>
        <w:t>Consumer segment has the most sales in US</w:t>
      </w:r>
      <w:r>
        <w:rPr>
          <w:rFonts w:ascii="Times New Roman" w:eastAsia="Times New Roman" w:hAnsi="Times New Roman" w:cs="Times New Roman"/>
          <w:color w:val="000000"/>
          <w:sz w:val="24"/>
          <w:szCs w:val="32"/>
        </w:rPr>
        <w:t>, California, Texas, and Washington</w:t>
      </w:r>
    </w:p>
    <w:p w14:paraId="7ABBF62D" w14:textId="09D047C5" w:rsidR="008A059F" w:rsidRPr="00E70564" w:rsidRDefault="00000000" w:rsidP="00E70564">
      <w:pPr>
        <w:jc w:val="both"/>
        <w:rPr>
          <w:rFonts w:ascii="Times New Roman" w:eastAsia="Times New Roman" w:hAnsi="Times New Roman" w:cs="Times New Roman"/>
          <w:color w:val="000000"/>
          <w:sz w:val="24"/>
          <w:szCs w:val="32"/>
        </w:rPr>
      </w:pPr>
      <w:r>
        <w:rPr>
          <w:rFonts w:ascii="Times New Roman" w:hAnsi="Times New Roman" w:cs="Times New Roman"/>
          <w:b/>
          <w:sz w:val="24"/>
          <w:szCs w:val="24"/>
        </w:rPr>
        <w:lastRenderedPageBreak/>
        <w:t xml:space="preserve">Q4. </w:t>
      </w:r>
      <w:r>
        <w:rPr>
          <w:rFonts w:ascii="Times New Roman" w:eastAsia="Times New Roman" w:hAnsi="Times New Roman" w:cs="Times New Roman"/>
          <w:color w:val="000000"/>
          <w:sz w:val="24"/>
          <w:szCs w:val="24"/>
        </w:rPr>
        <w:t>Compare total and average sales for all different segment?</w:t>
      </w:r>
    </w:p>
    <w:p w14:paraId="17E0077F" w14:textId="77777777" w:rsidR="008A059F" w:rsidRDefault="008A059F" w:rsidP="00E70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88C6363" w14:textId="77777777" w:rsidR="008A059F" w:rsidRDefault="00000000" w:rsidP="00E70564">
      <w:pPr>
        <w:jc w:val="both"/>
        <w:rPr>
          <w:rFonts w:ascii="Times New Roman" w:hAnsi="Times New Roman" w:cs="Times New Roman"/>
          <w:b/>
          <w:sz w:val="32"/>
          <w:szCs w:val="32"/>
        </w:rPr>
      </w:pPr>
      <w:r>
        <w:rPr>
          <w:rFonts w:ascii="Times New Roman" w:hAnsi="Times New Roman" w:cs="Times New Roman"/>
          <w:noProof/>
        </w:rPr>
        <w:drawing>
          <wp:inline distT="0" distB="0" distL="0" distR="0" wp14:anchorId="25E8D1AC" wp14:editId="3FCF6A1A">
            <wp:extent cx="6226810" cy="394081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CD950D" w14:textId="77777777" w:rsidR="008A059F" w:rsidRDefault="00000000" w:rsidP="00E70564">
      <w:pPr>
        <w:jc w:val="both"/>
        <w:rPr>
          <w:rFonts w:ascii="Times New Roman" w:hAnsi="Times New Roman" w:cs="Times New Roman"/>
          <w:b/>
          <w:sz w:val="32"/>
          <w:szCs w:val="32"/>
        </w:rPr>
      </w:pPr>
      <w:r>
        <w:rPr>
          <w:rFonts w:ascii="Times New Roman" w:hAnsi="Times New Roman" w:cs="Times New Roman"/>
          <w:b/>
          <w:bCs/>
          <w:sz w:val="32"/>
          <w:szCs w:val="32"/>
        </w:rPr>
        <w:t xml:space="preserve">Slicers: </w:t>
      </w:r>
    </w:p>
    <w:p w14:paraId="45DBBD28" w14:textId="77777777" w:rsidR="008A059F" w:rsidRDefault="00000000" w:rsidP="00E70564">
      <w:pPr>
        <w:jc w:val="both"/>
        <w:rPr>
          <w:rFonts w:ascii="Times New Roman" w:hAnsi="Times New Roman" w:cs="Times New Roman"/>
          <w:sz w:val="24"/>
          <w:szCs w:val="32"/>
        </w:rPr>
      </w:pPr>
      <w:r>
        <w:rPr>
          <w:rFonts w:ascii="Times New Roman" w:hAnsi="Times New Roman" w:cs="Times New Roman"/>
          <w:b/>
          <w:noProof/>
          <w:sz w:val="32"/>
          <w:szCs w:val="32"/>
        </w:rPr>
        <w:drawing>
          <wp:inline distT="0" distB="0" distL="0" distR="0" wp14:anchorId="43B6577A" wp14:editId="4546CB65">
            <wp:extent cx="5154930" cy="2560320"/>
            <wp:effectExtent l="0" t="0" r="0" b="0"/>
            <wp:docPr id="357861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61487"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58374" cy="2561835"/>
                    </a:xfrm>
                    <a:prstGeom prst="rect">
                      <a:avLst/>
                    </a:prstGeom>
                  </pic:spPr>
                </pic:pic>
              </a:graphicData>
            </a:graphic>
          </wp:inline>
        </w:drawing>
      </w:r>
    </w:p>
    <w:p w14:paraId="19F49288" w14:textId="77777777" w:rsidR="008A059F" w:rsidRDefault="00000000" w:rsidP="00E70564">
      <w:pPr>
        <w:jc w:val="both"/>
        <w:rPr>
          <w:rFonts w:ascii="Times New Roman" w:hAnsi="Times New Roman" w:cs="Times New Roman"/>
          <w:sz w:val="24"/>
          <w:szCs w:val="32"/>
        </w:rPr>
      </w:pPr>
      <w:r>
        <w:rPr>
          <w:rFonts w:ascii="Times New Roman" w:hAnsi="Times New Roman" w:cs="Times New Roman"/>
          <w:sz w:val="24"/>
          <w:szCs w:val="32"/>
        </w:rPr>
        <w:t>Ans. By Analysis, we can find out that the total sales were a lot higher than the average Sales for each segment.</w:t>
      </w:r>
    </w:p>
    <w:p w14:paraId="44C55787" w14:textId="48ADD985" w:rsidR="008A059F" w:rsidRPr="00E70564" w:rsidRDefault="00000000" w:rsidP="00E70564">
      <w:pPr>
        <w:jc w:val="both"/>
        <w:rPr>
          <w:rFonts w:ascii="Times New Roman" w:hAnsi="Times New Roman" w:cs="Times New Roman"/>
          <w:sz w:val="32"/>
          <w:szCs w:val="32"/>
        </w:rPr>
      </w:pPr>
      <w:r>
        <w:rPr>
          <w:rFonts w:ascii="Times New Roman" w:hAnsi="Times New Roman" w:cs="Times New Roman"/>
          <w:b/>
          <w:sz w:val="24"/>
          <w:szCs w:val="32"/>
        </w:rPr>
        <w:lastRenderedPageBreak/>
        <w:t>Q5.</w:t>
      </w:r>
      <w:r>
        <w:rPr>
          <w:rFonts w:ascii="Times New Roman" w:hAnsi="Times New Roman" w:cs="Times New Roman"/>
          <w:b/>
          <w:sz w:val="32"/>
          <w:szCs w:val="32"/>
        </w:rPr>
        <w:t xml:space="preserve"> </w:t>
      </w:r>
      <w:r>
        <w:rPr>
          <w:rFonts w:ascii="Times New Roman" w:eastAsia="Times New Roman" w:hAnsi="Times New Roman" w:cs="Times New Roman"/>
          <w:color w:val="000000"/>
          <w:sz w:val="24"/>
          <w:szCs w:val="32"/>
        </w:rPr>
        <w:t>Compare average sales of different category and sub category of all the states.</w:t>
      </w:r>
      <w:r>
        <w:rPr>
          <w:rFonts w:ascii="Times New Roman" w:hAnsi="Times New Roman" w:cs="Times New Roman"/>
          <w:noProof/>
        </w:rPr>
        <w:drawing>
          <wp:inline distT="0" distB="0" distL="0" distR="0" wp14:anchorId="3BC57BED" wp14:editId="1A056FAB">
            <wp:extent cx="4716780" cy="270510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BBBDE4" w14:textId="507E93DD" w:rsidR="008A059F" w:rsidRDefault="00E70564" w:rsidP="00E70564">
      <w:pPr>
        <w:spacing w:line="278" w:lineRule="auto"/>
        <w:jc w:val="both"/>
        <w:rPr>
          <w:rFonts w:ascii="Times New Roman" w:hAnsi="Times New Roman" w:cs="Times New Roman"/>
          <w:sz w:val="24"/>
          <w:szCs w:val="32"/>
        </w:rPr>
      </w:pPr>
      <w:r>
        <w:rPr>
          <w:rFonts w:ascii="Times New Roman" w:hAnsi="Times New Roman" w:cs="Times New Roman"/>
          <w:noProof/>
        </w:rPr>
        <w:drawing>
          <wp:anchor distT="0" distB="0" distL="114300" distR="114300" simplePos="0" relativeHeight="251661312" behindDoc="0" locked="0" layoutInCell="1" allowOverlap="1" wp14:anchorId="47F5C6FF" wp14:editId="785ADA63">
            <wp:simplePos x="0" y="0"/>
            <wp:positionH relativeFrom="margin">
              <wp:posOffset>0</wp:posOffset>
            </wp:positionH>
            <wp:positionV relativeFrom="paragraph">
              <wp:posOffset>610870</wp:posOffset>
            </wp:positionV>
            <wp:extent cx="5715000" cy="4152900"/>
            <wp:effectExtent l="0" t="0" r="0" b="0"/>
            <wp:wrapThrough wrapText="bothSides">
              <wp:wrapPolygon edited="0">
                <wp:start x="0" y="0"/>
                <wp:lineTo x="0" y="21501"/>
                <wp:lineTo x="21528" y="21501"/>
                <wp:lineTo x="21528"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sz w:val="24"/>
          <w:szCs w:val="32"/>
        </w:rPr>
        <w:t xml:space="preserve">Ans. In Average Sales vs Category we can observe that the category Technology has the maximum sales. </w:t>
      </w:r>
    </w:p>
    <w:p w14:paraId="5418D8DF"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b/>
          <w:sz w:val="24"/>
          <w:szCs w:val="32"/>
        </w:rPr>
        <w:lastRenderedPageBreak/>
        <w:t>Q6.</w:t>
      </w:r>
      <w:r>
        <w:rPr>
          <w:rFonts w:ascii="Times New Roman" w:hAnsi="Times New Roman" w:cs="Times New Roman"/>
          <w:sz w:val="24"/>
          <w:szCs w:val="32"/>
        </w:rPr>
        <w:t xml:space="preserve"> Find out state wise mode for Customer and </w:t>
      </w:r>
      <w:proofErr w:type="spellStart"/>
      <w:r>
        <w:rPr>
          <w:rFonts w:ascii="Times New Roman" w:hAnsi="Times New Roman" w:cs="Times New Roman"/>
          <w:sz w:val="24"/>
          <w:szCs w:val="32"/>
        </w:rPr>
        <w:t>Segment.California</w:t>
      </w:r>
      <w:proofErr w:type="spellEnd"/>
      <w:r>
        <w:rPr>
          <w:rFonts w:ascii="Times New Roman" w:hAnsi="Times New Roman" w:cs="Times New Roman"/>
          <w:sz w:val="24"/>
          <w:szCs w:val="32"/>
        </w:rPr>
        <w:t xml:space="preserve">, Illinois, New York, Texas, </w:t>
      </w:r>
      <w:proofErr w:type="spellStart"/>
      <w:r>
        <w:rPr>
          <w:rFonts w:ascii="Times New Roman" w:hAnsi="Times New Roman" w:cs="Times New Roman"/>
          <w:sz w:val="24"/>
          <w:szCs w:val="32"/>
        </w:rPr>
        <w:t>Waashington</w:t>
      </w:r>
      <w:proofErr w:type="spellEnd"/>
    </w:p>
    <w:p w14:paraId="5844D0EE"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 xml:space="preserve">Ans. </w:t>
      </w:r>
    </w:p>
    <w:p w14:paraId="63102635" w14:textId="77777777" w:rsidR="008A059F" w:rsidRDefault="00000000" w:rsidP="00E70564">
      <w:pPr>
        <w:spacing w:line="278" w:lineRule="auto"/>
        <w:ind w:left="360"/>
        <w:jc w:val="both"/>
        <w:rPr>
          <w:rFonts w:ascii="Times New Roman" w:hAnsi="Times New Roman" w:cs="Times New Roman"/>
          <w:sz w:val="24"/>
          <w:szCs w:val="32"/>
        </w:rPr>
      </w:pPr>
      <w:r>
        <w:rPr>
          <w:rFonts w:ascii="Times New Roman" w:hAnsi="Times New Roman" w:cs="Times New Roman"/>
          <w:sz w:val="24"/>
          <w:szCs w:val="32"/>
        </w:rPr>
        <w:t>For California: Customer- William Brown, Segment-Consumer</w:t>
      </w:r>
    </w:p>
    <w:p w14:paraId="7D96A0BB" w14:textId="77777777" w:rsidR="008A059F" w:rsidRDefault="00000000" w:rsidP="00E70564">
      <w:pPr>
        <w:spacing w:line="278" w:lineRule="auto"/>
        <w:ind w:left="360"/>
        <w:jc w:val="both"/>
        <w:rPr>
          <w:rFonts w:ascii="Times New Roman" w:hAnsi="Times New Roman" w:cs="Times New Roman"/>
          <w:sz w:val="24"/>
          <w:szCs w:val="32"/>
        </w:rPr>
      </w:pPr>
      <w:r>
        <w:rPr>
          <w:rFonts w:ascii="Times New Roman" w:hAnsi="Times New Roman" w:cs="Times New Roman"/>
          <w:sz w:val="24"/>
          <w:szCs w:val="32"/>
        </w:rPr>
        <w:t>For Illinois: -Customer- William Brown, Segment-Consumer</w:t>
      </w:r>
    </w:p>
    <w:p w14:paraId="16A13234" w14:textId="77777777" w:rsidR="008A059F" w:rsidRDefault="00000000" w:rsidP="00E70564">
      <w:pPr>
        <w:spacing w:line="278" w:lineRule="auto"/>
        <w:ind w:left="360"/>
        <w:jc w:val="both"/>
        <w:rPr>
          <w:rFonts w:ascii="Times New Roman" w:hAnsi="Times New Roman" w:cs="Times New Roman"/>
          <w:sz w:val="24"/>
          <w:szCs w:val="32"/>
        </w:rPr>
      </w:pPr>
      <w:r>
        <w:rPr>
          <w:rFonts w:ascii="Times New Roman" w:hAnsi="Times New Roman" w:cs="Times New Roman"/>
          <w:sz w:val="24"/>
          <w:szCs w:val="32"/>
        </w:rPr>
        <w:t>For New York: Customer- William Brown, Segment-Consumer</w:t>
      </w:r>
    </w:p>
    <w:p w14:paraId="410FA991" w14:textId="77777777" w:rsidR="008A059F" w:rsidRDefault="00000000" w:rsidP="00E70564">
      <w:pPr>
        <w:spacing w:line="276" w:lineRule="auto"/>
        <w:ind w:left="360"/>
        <w:jc w:val="both"/>
        <w:rPr>
          <w:rFonts w:ascii="Times New Roman" w:hAnsi="Times New Roman" w:cs="Times New Roman"/>
          <w:sz w:val="24"/>
          <w:szCs w:val="32"/>
        </w:rPr>
      </w:pPr>
      <w:r>
        <w:rPr>
          <w:rFonts w:ascii="Times New Roman" w:hAnsi="Times New Roman" w:cs="Times New Roman"/>
          <w:sz w:val="24"/>
          <w:szCs w:val="32"/>
        </w:rPr>
        <w:t>For Texas: Customer- William Brown, Segment-Consumer</w:t>
      </w:r>
    </w:p>
    <w:p w14:paraId="5CE688FA" w14:textId="61CFC926" w:rsidR="008A059F" w:rsidRDefault="00000000" w:rsidP="00BF7F95">
      <w:pPr>
        <w:spacing w:line="276" w:lineRule="auto"/>
        <w:ind w:left="360"/>
        <w:jc w:val="both"/>
        <w:rPr>
          <w:rFonts w:ascii="Times New Roman" w:hAnsi="Times New Roman" w:cs="Times New Roman"/>
          <w:sz w:val="24"/>
          <w:szCs w:val="32"/>
        </w:rPr>
      </w:pPr>
      <w:r>
        <w:rPr>
          <w:rFonts w:ascii="Times New Roman" w:hAnsi="Times New Roman" w:cs="Times New Roman"/>
          <w:sz w:val="24"/>
          <w:szCs w:val="32"/>
        </w:rPr>
        <w:t>For Washington: Customer- William Brown, Segment-Consumer</w:t>
      </w:r>
    </w:p>
    <w:p w14:paraId="5C80D670" w14:textId="77777777" w:rsidR="00BF7F95" w:rsidRPr="00BF7F95" w:rsidRDefault="00BF7F95" w:rsidP="00BF7F95">
      <w:pPr>
        <w:spacing w:line="276" w:lineRule="auto"/>
        <w:ind w:left="360"/>
        <w:jc w:val="both"/>
        <w:rPr>
          <w:rFonts w:ascii="Times New Roman" w:hAnsi="Times New Roman" w:cs="Times New Roman"/>
          <w:sz w:val="24"/>
          <w:szCs w:val="32"/>
        </w:rPr>
      </w:pPr>
    </w:p>
    <w:p w14:paraId="1321B43E" w14:textId="77777777" w:rsidR="008A059F" w:rsidRDefault="00000000" w:rsidP="00E70564">
      <w:pPr>
        <w:autoSpaceDE w:val="0"/>
        <w:autoSpaceDN w:val="0"/>
        <w:adjustRightInd w:val="0"/>
        <w:spacing w:after="0" w:line="276" w:lineRule="auto"/>
        <w:jc w:val="both"/>
        <w:rPr>
          <w:rFonts w:ascii="Times New Roman" w:hAnsi="Times New Roman" w:cs="Times New Roman"/>
          <w:bCs/>
          <w:sz w:val="32"/>
          <w:szCs w:val="24"/>
        </w:rPr>
      </w:pPr>
      <w:r>
        <w:rPr>
          <w:rFonts w:ascii="Times New Roman" w:hAnsi="Times New Roman" w:cs="Times New Roman"/>
          <w:bCs/>
          <w:sz w:val="32"/>
          <w:szCs w:val="24"/>
        </w:rPr>
        <w:t>Regression and ANOVA:</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74"/>
        <w:gridCol w:w="1174"/>
        <w:gridCol w:w="1174"/>
        <w:gridCol w:w="1174"/>
        <w:gridCol w:w="1174"/>
        <w:gridCol w:w="1174"/>
        <w:gridCol w:w="1174"/>
        <w:gridCol w:w="1174"/>
      </w:tblGrid>
      <w:tr w:rsidR="008A059F" w14:paraId="2242EFDE" w14:textId="77777777">
        <w:trPr>
          <w:trHeight w:val="316"/>
        </w:trPr>
        <w:tc>
          <w:tcPr>
            <w:tcW w:w="1177" w:type="dxa"/>
            <w:shd w:val="clear" w:color="auto" w:fill="auto"/>
            <w:noWrap/>
            <w:vAlign w:val="bottom"/>
          </w:tcPr>
          <w:p w14:paraId="0F0C64B3"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SUMMARY OUTPUT</w:t>
            </w:r>
          </w:p>
        </w:tc>
        <w:tc>
          <w:tcPr>
            <w:tcW w:w="1037" w:type="dxa"/>
            <w:shd w:val="clear" w:color="auto" w:fill="auto"/>
            <w:noWrap/>
            <w:vAlign w:val="bottom"/>
          </w:tcPr>
          <w:p w14:paraId="697FE704" w14:textId="77777777" w:rsidR="008A059F" w:rsidRDefault="008A059F" w:rsidP="00E70564">
            <w:pPr>
              <w:spacing w:after="0" w:line="240" w:lineRule="auto"/>
              <w:jc w:val="both"/>
              <w:rPr>
                <w:rFonts w:ascii="Calibri" w:eastAsia="Times New Roman" w:hAnsi="Calibri" w:cs="Calibri"/>
                <w:color w:val="000000"/>
                <w:sz w:val="18"/>
              </w:rPr>
            </w:pPr>
          </w:p>
        </w:tc>
        <w:tc>
          <w:tcPr>
            <w:tcW w:w="1037" w:type="dxa"/>
            <w:shd w:val="clear" w:color="auto" w:fill="auto"/>
            <w:noWrap/>
            <w:vAlign w:val="bottom"/>
          </w:tcPr>
          <w:p w14:paraId="6ACE62EF"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0AB66CE7"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37C99FC"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2E2C17A3"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6C939FC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66688A2"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694B725"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27953E98" w14:textId="77777777">
        <w:trPr>
          <w:trHeight w:val="332"/>
        </w:trPr>
        <w:tc>
          <w:tcPr>
            <w:tcW w:w="1177" w:type="dxa"/>
            <w:shd w:val="clear" w:color="auto" w:fill="auto"/>
            <w:noWrap/>
            <w:vAlign w:val="bottom"/>
          </w:tcPr>
          <w:p w14:paraId="7CF8E0ED"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72D9D6A9"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2A0D0742"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50DC3E2D"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2C4A1DF7"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326C4980"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F4C72E3"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32E061E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6519BDDA"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0C2DAC24" w14:textId="77777777">
        <w:trPr>
          <w:trHeight w:val="316"/>
        </w:trPr>
        <w:tc>
          <w:tcPr>
            <w:tcW w:w="2214" w:type="dxa"/>
            <w:gridSpan w:val="2"/>
            <w:shd w:val="clear" w:color="auto" w:fill="auto"/>
            <w:noWrap/>
            <w:vAlign w:val="bottom"/>
          </w:tcPr>
          <w:p w14:paraId="238F245D" w14:textId="77777777" w:rsidR="008A059F" w:rsidRDefault="00000000" w:rsidP="00E70564">
            <w:pPr>
              <w:spacing w:after="0" w:line="240" w:lineRule="auto"/>
              <w:jc w:val="both"/>
              <w:rPr>
                <w:rFonts w:ascii="Calibri" w:eastAsia="Times New Roman" w:hAnsi="Calibri" w:cs="Calibri"/>
                <w:i/>
                <w:iCs/>
                <w:color w:val="000000"/>
                <w:sz w:val="18"/>
              </w:rPr>
            </w:pPr>
            <w:r>
              <w:rPr>
                <w:rFonts w:ascii="Calibri" w:eastAsia="Times New Roman" w:hAnsi="Calibri" w:cs="Calibri"/>
                <w:i/>
                <w:iCs/>
                <w:color w:val="000000"/>
                <w:sz w:val="18"/>
              </w:rPr>
              <w:t>Regression Statistics</w:t>
            </w:r>
          </w:p>
        </w:tc>
        <w:tc>
          <w:tcPr>
            <w:tcW w:w="1037" w:type="dxa"/>
            <w:shd w:val="clear" w:color="auto" w:fill="auto"/>
            <w:noWrap/>
            <w:vAlign w:val="bottom"/>
          </w:tcPr>
          <w:p w14:paraId="4572C0C7" w14:textId="77777777" w:rsidR="008A059F" w:rsidRDefault="008A059F" w:rsidP="00E70564">
            <w:pPr>
              <w:spacing w:after="0" w:line="240" w:lineRule="auto"/>
              <w:jc w:val="both"/>
              <w:rPr>
                <w:rFonts w:ascii="Calibri" w:eastAsia="Times New Roman" w:hAnsi="Calibri" w:cs="Calibri"/>
                <w:i/>
                <w:iCs/>
                <w:color w:val="000000"/>
                <w:sz w:val="18"/>
              </w:rPr>
            </w:pPr>
          </w:p>
        </w:tc>
        <w:tc>
          <w:tcPr>
            <w:tcW w:w="1037" w:type="dxa"/>
            <w:shd w:val="clear" w:color="auto" w:fill="auto"/>
            <w:noWrap/>
            <w:vAlign w:val="bottom"/>
          </w:tcPr>
          <w:p w14:paraId="5E5A6696"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4D1E6F98"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23ABF1AA"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662B943"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646A0326"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207B167"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3CB817B3" w14:textId="77777777">
        <w:trPr>
          <w:trHeight w:val="316"/>
        </w:trPr>
        <w:tc>
          <w:tcPr>
            <w:tcW w:w="1177" w:type="dxa"/>
            <w:shd w:val="clear" w:color="auto" w:fill="auto"/>
            <w:noWrap/>
            <w:vAlign w:val="bottom"/>
          </w:tcPr>
          <w:p w14:paraId="4F318DE2"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Multiple R</w:t>
            </w:r>
          </w:p>
        </w:tc>
        <w:tc>
          <w:tcPr>
            <w:tcW w:w="1037" w:type="dxa"/>
            <w:shd w:val="clear" w:color="auto" w:fill="auto"/>
            <w:noWrap/>
            <w:vAlign w:val="bottom"/>
          </w:tcPr>
          <w:p w14:paraId="3B1D08C5"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0.003989285</w:t>
            </w:r>
          </w:p>
        </w:tc>
        <w:tc>
          <w:tcPr>
            <w:tcW w:w="1037" w:type="dxa"/>
            <w:shd w:val="clear" w:color="auto" w:fill="auto"/>
            <w:noWrap/>
            <w:vAlign w:val="bottom"/>
          </w:tcPr>
          <w:p w14:paraId="63E63618" w14:textId="77777777" w:rsidR="008A059F" w:rsidRDefault="008A059F" w:rsidP="00E70564">
            <w:pPr>
              <w:spacing w:after="0" w:line="240" w:lineRule="auto"/>
              <w:jc w:val="both"/>
              <w:rPr>
                <w:rFonts w:ascii="Calibri" w:eastAsia="Times New Roman" w:hAnsi="Calibri" w:cs="Calibri"/>
                <w:color w:val="000000"/>
                <w:sz w:val="18"/>
              </w:rPr>
            </w:pPr>
          </w:p>
        </w:tc>
        <w:tc>
          <w:tcPr>
            <w:tcW w:w="1037" w:type="dxa"/>
            <w:shd w:val="clear" w:color="auto" w:fill="auto"/>
            <w:noWrap/>
            <w:vAlign w:val="bottom"/>
          </w:tcPr>
          <w:p w14:paraId="11B63055"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568D8CA"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25181CA"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3BED1C5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26610E7"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0A31DB8"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0AC0A940" w14:textId="77777777">
        <w:trPr>
          <w:trHeight w:val="316"/>
        </w:trPr>
        <w:tc>
          <w:tcPr>
            <w:tcW w:w="1177" w:type="dxa"/>
            <w:shd w:val="clear" w:color="auto" w:fill="auto"/>
            <w:noWrap/>
            <w:vAlign w:val="bottom"/>
          </w:tcPr>
          <w:p w14:paraId="7D72119B"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R Square</w:t>
            </w:r>
          </w:p>
        </w:tc>
        <w:tc>
          <w:tcPr>
            <w:tcW w:w="1037" w:type="dxa"/>
            <w:shd w:val="clear" w:color="auto" w:fill="auto"/>
            <w:noWrap/>
            <w:vAlign w:val="bottom"/>
          </w:tcPr>
          <w:p w14:paraId="1C1A5083"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1.59144E-05</w:t>
            </w:r>
          </w:p>
        </w:tc>
        <w:tc>
          <w:tcPr>
            <w:tcW w:w="1037" w:type="dxa"/>
            <w:shd w:val="clear" w:color="auto" w:fill="auto"/>
            <w:noWrap/>
            <w:vAlign w:val="bottom"/>
          </w:tcPr>
          <w:p w14:paraId="388F65F7" w14:textId="77777777" w:rsidR="008A059F" w:rsidRDefault="008A059F" w:rsidP="00E70564">
            <w:pPr>
              <w:spacing w:after="0" w:line="240" w:lineRule="auto"/>
              <w:jc w:val="both"/>
              <w:rPr>
                <w:rFonts w:ascii="Calibri" w:eastAsia="Times New Roman" w:hAnsi="Calibri" w:cs="Calibri"/>
                <w:color w:val="000000"/>
                <w:sz w:val="18"/>
              </w:rPr>
            </w:pPr>
          </w:p>
        </w:tc>
        <w:tc>
          <w:tcPr>
            <w:tcW w:w="1037" w:type="dxa"/>
            <w:shd w:val="clear" w:color="auto" w:fill="auto"/>
            <w:noWrap/>
            <w:vAlign w:val="bottom"/>
          </w:tcPr>
          <w:p w14:paraId="70478D4B"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04046AEA"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38863F7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13CA0E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DF48E82"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0A0C08F7"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5488800B" w14:textId="77777777">
        <w:trPr>
          <w:trHeight w:val="316"/>
        </w:trPr>
        <w:tc>
          <w:tcPr>
            <w:tcW w:w="1177" w:type="dxa"/>
            <w:shd w:val="clear" w:color="auto" w:fill="auto"/>
            <w:noWrap/>
            <w:vAlign w:val="bottom"/>
          </w:tcPr>
          <w:p w14:paraId="1C29B499"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Adjusted R Square</w:t>
            </w:r>
          </w:p>
        </w:tc>
        <w:tc>
          <w:tcPr>
            <w:tcW w:w="1037" w:type="dxa"/>
            <w:shd w:val="clear" w:color="auto" w:fill="auto"/>
            <w:noWrap/>
            <w:vAlign w:val="bottom"/>
          </w:tcPr>
          <w:p w14:paraId="07021BD7"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-0.000484829</w:t>
            </w:r>
          </w:p>
        </w:tc>
        <w:tc>
          <w:tcPr>
            <w:tcW w:w="1037" w:type="dxa"/>
            <w:shd w:val="clear" w:color="auto" w:fill="auto"/>
            <w:noWrap/>
            <w:vAlign w:val="bottom"/>
          </w:tcPr>
          <w:p w14:paraId="76F2BACE" w14:textId="77777777" w:rsidR="008A059F" w:rsidRDefault="008A059F" w:rsidP="00E70564">
            <w:pPr>
              <w:spacing w:after="0" w:line="240" w:lineRule="auto"/>
              <w:jc w:val="both"/>
              <w:rPr>
                <w:rFonts w:ascii="Calibri" w:eastAsia="Times New Roman" w:hAnsi="Calibri" w:cs="Calibri"/>
                <w:color w:val="000000"/>
                <w:sz w:val="18"/>
              </w:rPr>
            </w:pPr>
          </w:p>
        </w:tc>
        <w:tc>
          <w:tcPr>
            <w:tcW w:w="1037" w:type="dxa"/>
            <w:shd w:val="clear" w:color="auto" w:fill="auto"/>
            <w:noWrap/>
            <w:vAlign w:val="bottom"/>
          </w:tcPr>
          <w:p w14:paraId="58F55769"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7274A9C"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96618F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CD98556"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3FDD35D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246868C8"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4158D7F1" w14:textId="77777777">
        <w:trPr>
          <w:trHeight w:val="316"/>
        </w:trPr>
        <w:tc>
          <w:tcPr>
            <w:tcW w:w="1177" w:type="dxa"/>
            <w:shd w:val="clear" w:color="auto" w:fill="auto"/>
            <w:noWrap/>
            <w:vAlign w:val="bottom"/>
          </w:tcPr>
          <w:p w14:paraId="13A51977"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Standard Error</w:t>
            </w:r>
          </w:p>
        </w:tc>
        <w:tc>
          <w:tcPr>
            <w:tcW w:w="1037" w:type="dxa"/>
            <w:shd w:val="clear" w:color="auto" w:fill="auto"/>
            <w:noWrap/>
            <w:vAlign w:val="bottom"/>
          </w:tcPr>
          <w:p w14:paraId="3FCE9A2F"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525.2842121</w:t>
            </w:r>
          </w:p>
        </w:tc>
        <w:tc>
          <w:tcPr>
            <w:tcW w:w="1037" w:type="dxa"/>
            <w:shd w:val="clear" w:color="auto" w:fill="auto"/>
            <w:noWrap/>
            <w:vAlign w:val="bottom"/>
          </w:tcPr>
          <w:p w14:paraId="73FDE080" w14:textId="77777777" w:rsidR="008A059F" w:rsidRDefault="008A059F" w:rsidP="00E70564">
            <w:pPr>
              <w:spacing w:after="0" w:line="240" w:lineRule="auto"/>
              <w:jc w:val="both"/>
              <w:rPr>
                <w:rFonts w:ascii="Calibri" w:eastAsia="Times New Roman" w:hAnsi="Calibri" w:cs="Calibri"/>
                <w:color w:val="000000"/>
                <w:sz w:val="18"/>
              </w:rPr>
            </w:pPr>
          </w:p>
        </w:tc>
        <w:tc>
          <w:tcPr>
            <w:tcW w:w="1037" w:type="dxa"/>
            <w:shd w:val="clear" w:color="auto" w:fill="auto"/>
            <w:noWrap/>
            <w:vAlign w:val="bottom"/>
          </w:tcPr>
          <w:p w14:paraId="6D9A9020"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D97FEC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2B1517F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63444C9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4E3C41F5"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8BB37CE"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7DD2E7A5" w14:textId="77777777">
        <w:trPr>
          <w:trHeight w:val="332"/>
        </w:trPr>
        <w:tc>
          <w:tcPr>
            <w:tcW w:w="1177" w:type="dxa"/>
            <w:shd w:val="clear" w:color="auto" w:fill="auto"/>
            <w:noWrap/>
            <w:vAlign w:val="bottom"/>
          </w:tcPr>
          <w:p w14:paraId="08610701"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Observations</w:t>
            </w:r>
          </w:p>
        </w:tc>
        <w:tc>
          <w:tcPr>
            <w:tcW w:w="1037" w:type="dxa"/>
            <w:shd w:val="clear" w:color="auto" w:fill="auto"/>
            <w:noWrap/>
            <w:vAlign w:val="bottom"/>
          </w:tcPr>
          <w:p w14:paraId="0D566BA9"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1999</w:t>
            </w:r>
          </w:p>
        </w:tc>
        <w:tc>
          <w:tcPr>
            <w:tcW w:w="1037" w:type="dxa"/>
            <w:shd w:val="clear" w:color="auto" w:fill="auto"/>
            <w:noWrap/>
            <w:vAlign w:val="bottom"/>
          </w:tcPr>
          <w:p w14:paraId="476CF202" w14:textId="77777777" w:rsidR="008A059F" w:rsidRDefault="008A059F" w:rsidP="00E70564">
            <w:pPr>
              <w:spacing w:after="0" w:line="240" w:lineRule="auto"/>
              <w:jc w:val="both"/>
              <w:rPr>
                <w:rFonts w:ascii="Calibri" w:eastAsia="Times New Roman" w:hAnsi="Calibri" w:cs="Calibri"/>
                <w:color w:val="000000"/>
                <w:sz w:val="18"/>
              </w:rPr>
            </w:pPr>
          </w:p>
        </w:tc>
        <w:tc>
          <w:tcPr>
            <w:tcW w:w="1037" w:type="dxa"/>
            <w:shd w:val="clear" w:color="auto" w:fill="auto"/>
            <w:noWrap/>
            <w:vAlign w:val="bottom"/>
          </w:tcPr>
          <w:p w14:paraId="398D18BC"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4FAAE40"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4FFBB1C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05E0FCB0"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234A9F0A"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00C417D5"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302C9D09" w14:textId="77777777">
        <w:trPr>
          <w:trHeight w:val="316"/>
        </w:trPr>
        <w:tc>
          <w:tcPr>
            <w:tcW w:w="1177" w:type="dxa"/>
            <w:shd w:val="clear" w:color="auto" w:fill="auto"/>
            <w:noWrap/>
            <w:vAlign w:val="bottom"/>
          </w:tcPr>
          <w:p w14:paraId="1F0D97A9"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677FF10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324D9F90"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66EF15E0"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D2725E9"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61E65F4B"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DE29FA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A12C618"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D46620F"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592D499C" w14:textId="77777777">
        <w:trPr>
          <w:trHeight w:val="332"/>
        </w:trPr>
        <w:tc>
          <w:tcPr>
            <w:tcW w:w="1177" w:type="dxa"/>
            <w:shd w:val="clear" w:color="auto" w:fill="auto"/>
            <w:noWrap/>
            <w:vAlign w:val="bottom"/>
          </w:tcPr>
          <w:p w14:paraId="3A9135F7"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ANOVA</w:t>
            </w:r>
          </w:p>
        </w:tc>
        <w:tc>
          <w:tcPr>
            <w:tcW w:w="1037" w:type="dxa"/>
            <w:shd w:val="clear" w:color="auto" w:fill="auto"/>
            <w:noWrap/>
            <w:vAlign w:val="bottom"/>
          </w:tcPr>
          <w:p w14:paraId="6FD01A72" w14:textId="77777777" w:rsidR="008A059F" w:rsidRDefault="008A059F" w:rsidP="00E70564">
            <w:pPr>
              <w:spacing w:after="0" w:line="240" w:lineRule="auto"/>
              <w:jc w:val="both"/>
              <w:rPr>
                <w:rFonts w:ascii="Calibri" w:eastAsia="Times New Roman" w:hAnsi="Calibri" w:cs="Calibri"/>
                <w:color w:val="000000"/>
                <w:sz w:val="18"/>
              </w:rPr>
            </w:pPr>
          </w:p>
        </w:tc>
        <w:tc>
          <w:tcPr>
            <w:tcW w:w="1037" w:type="dxa"/>
            <w:shd w:val="clear" w:color="auto" w:fill="auto"/>
            <w:noWrap/>
            <w:vAlign w:val="bottom"/>
          </w:tcPr>
          <w:p w14:paraId="1D937FD4"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3E9B9798"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213892B"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282267C"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060B6A99"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F051352"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00C32349"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57025811" w14:textId="77777777">
        <w:trPr>
          <w:trHeight w:val="316"/>
        </w:trPr>
        <w:tc>
          <w:tcPr>
            <w:tcW w:w="1177" w:type="dxa"/>
            <w:shd w:val="clear" w:color="auto" w:fill="auto"/>
            <w:noWrap/>
            <w:vAlign w:val="bottom"/>
          </w:tcPr>
          <w:p w14:paraId="396DD850" w14:textId="77777777" w:rsidR="008A059F" w:rsidRDefault="008A059F" w:rsidP="00E70564">
            <w:pPr>
              <w:spacing w:after="0" w:line="240" w:lineRule="auto"/>
              <w:jc w:val="both"/>
              <w:rPr>
                <w:rFonts w:ascii="Calibri" w:eastAsia="Times New Roman" w:hAnsi="Calibri" w:cs="Calibri"/>
                <w:i/>
                <w:iCs/>
                <w:color w:val="000000"/>
                <w:sz w:val="18"/>
              </w:rPr>
            </w:pPr>
          </w:p>
        </w:tc>
        <w:tc>
          <w:tcPr>
            <w:tcW w:w="1037" w:type="dxa"/>
            <w:shd w:val="clear" w:color="auto" w:fill="auto"/>
            <w:noWrap/>
            <w:vAlign w:val="bottom"/>
          </w:tcPr>
          <w:p w14:paraId="461056EB" w14:textId="77777777" w:rsidR="008A059F" w:rsidRDefault="00000000" w:rsidP="00E70564">
            <w:pPr>
              <w:spacing w:after="0" w:line="240" w:lineRule="auto"/>
              <w:jc w:val="both"/>
              <w:rPr>
                <w:rFonts w:ascii="Calibri" w:eastAsia="Times New Roman" w:hAnsi="Calibri" w:cs="Calibri"/>
                <w:i/>
                <w:iCs/>
                <w:color w:val="000000"/>
                <w:sz w:val="18"/>
              </w:rPr>
            </w:pPr>
            <w:proofErr w:type="spellStart"/>
            <w:r>
              <w:rPr>
                <w:rFonts w:ascii="Calibri" w:eastAsia="Times New Roman" w:hAnsi="Calibri" w:cs="Calibri"/>
                <w:i/>
                <w:iCs/>
                <w:color w:val="000000"/>
                <w:sz w:val="18"/>
              </w:rPr>
              <w:t>df</w:t>
            </w:r>
            <w:proofErr w:type="spellEnd"/>
          </w:p>
        </w:tc>
        <w:tc>
          <w:tcPr>
            <w:tcW w:w="1037" w:type="dxa"/>
            <w:shd w:val="clear" w:color="auto" w:fill="auto"/>
            <w:noWrap/>
            <w:vAlign w:val="bottom"/>
          </w:tcPr>
          <w:p w14:paraId="7BE357C0" w14:textId="77777777" w:rsidR="008A059F" w:rsidRDefault="00000000" w:rsidP="00E70564">
            <w:pPr>
              <w:spacing w:after="0" w:line="240" w:lineRule="auto"/>
              <w:jc w:val="both"/>
              <w:rPr>
                <w:rFonts w:ascii="Calibri" w:eastAsia="Times New Roman" w:hAnsi="Calibri" w:cs="Calibri"/>
                <w:i/>
                <w:iCs/>
                <w:color w:val="000000"/>
                <w:sz w:val="18"/>
              </w:rPr>
            </w:pPr>
            <w:r>
              <w:rPr>
                <w:rFonts w:ascii="Calibri" w:eastAsia="Times New Roman" w:hAnsi="Calibri" w:cs="Calibri"/>
                <w:i/>
                <w:iCs/>
                <w:color w:val="000000"/>
                <w:sz w:val="18"/>
              </w:rPr>
              <w:t>SS</w:t>
            </w:r>
          </w:p>
        </w:tc>
        <w:tc>
          <w:tcPr>
            <w:tcW w:w="1037" w:type="dxa"/>
            <w:shd w:val="clear" w:color="auto" w:fill="auto"/>
            <w:noWrap/>
            <w:vAlign w:val="bottom"/>
          </w:tcPr>
          <w:p w14:paraId="5BAA4D8B" w14:textId="77777777" w:rsidR="008A059F" w:rsidRDefault="00000000" w:rsidP="00E70564">
            <w:pPr>
              <w:spacing w:after="0" w:line="240" w:lineRule="auto"/>
              <w:jc w:val="both"/>
              <w:rPr>
                <w:rFonts w:ascii="Calibri" w:eastAsia="Times New Roman" w:hAnsi="Calibri" w:cs="Calibri"/>
                <w:i/>
                <w:iCs/>
                <w:color w:val="000000"/>
                <w:sz w:val="18"/>
              </w:rPr>
            </w:pPr>
            <w:r>
              <w:rPr>
                <w:rFonts w:ascii="Calibri" w:eastAsia="Times New Roman" w:hAnsi="Calibri" w:cs="Calibri"/>
                <w:i/>
                <w:iCs/>
                <w:color w:val="000000"/>
                <w:sz w:val="18"/>
              </w:rPr>
              <w:t>MS</w:t>
            </w:r>
          </w:p>
        </w:tc>
        <w:tc>
          <w:tcPr>
            <w:tcW w:w="1036" w:type="dxa"/>
            <w:shd w:val="clear" w:color="auto" w:fill="auto"/>
            <w:noWrap/>
            <w:vAlign w:val="bottom"/>
          </w:tcPr>
          <w:p w14:paraId="2F6DC3CF" w14:textId="77777777" w:rsidR="008A059F" w:rsidRDefault="00000000" w:rsidP="00E70564">
            <w:pPr>
              <w:spacing w:after="0" w:line="240" w:lineRule="auto"/>
              <w:jc w:val="both"/>
              <w:rPr>
                <w:rFonts w:ascii="Calibri" w:eastAsia="Times New Roman" w:hAnsi="Calibri" w:cs="Calibri"/>
                <w:i/>
                <w:iCs/>
                <w:color w:val="000000"/>
                <w:sz w:val="18"/>
              </w:rPr>
            </w:pPr>
            <w:r>
              <w:rPr>
                <w:rFonts w:ascii="Calibri" w:eastAsia="Times New Roman" w:hAnsi="Calibri" w:cs="Calibri"/>
                <w:i/>
                <w:iCs/>
                <w:color w:val="000000"/>
                <w:sz w:val="18"/>
              </w:rPr>
              <w:t>F</w:t>
            </w:r>
          </w:p>
        </w:tc>
        <w:tc>
          <w:tcPr>
            <w:tcW w:w="1036" w:type="dxa"/>
            <w:shd w:val="clear" w:color="auto" w:fill="auto"/>
            <w:noWrap/>
            <w:vAlign w:val="bottom"/>
          </w:tcPr>
          <w:p w14:paraId="20FDAEC6" w14:textId="77777777" w:rsidR="008A059F" w:rsidRDefault="00000000" w:rsidP="00E70564">
            <w:pPr>
              <w:spacing w:after="0" w:line="240" w:lineRule="auto"/>
              <w:jc w:val="both"/>
              <w:rPr>
                <w:rFonts w:ascii="Calibri" w:eastAsia="Times New Roman" w:hAnsi="Calibri" w:cs="Calibri"/>
                <w:i/>
                <w:iCs/>
                <w:color w:val="000000"/>
                <w:sz w:val="18"/>
              </w:rPr>
            </w:pPr>
            <w:r>
              <w:rPr>
                <w:rFonts w:ascii="Calibri" w:eastAsia="Times New Roman" w:hAnsi="Calibri" w:cs="Calibri"/>
                <w:i/>
                <w:iCs/>
                <w:color w:val="000000"/>
                <w:sz w:val="18"/>
              </w:rPr>
              <w:t>Significance F</w:t>
            </w:r>
          </w:p>
        </w:tc>
        <w:tc>
          <w:tcPr>
            <w:tcW w:w="1036" w:type="dxa"/>
            <w:shd w:val="clear" w:color="auto" w:fill="auto"/>
            <w:noWrap/>
            <w:vAlign w:val="bottom"/>
          </w:tcPr>
          <w:p w14:paraId="3F269BDA" w14:textId="77777777" w:rsidR="008A059F" w:rsidRDefault="008A059F" w:rsidP="00E70564">
            <w:pPr>
              <w:spacing w:after="0" w:line="240" w:lineRule="auto"/>
              <w:jc w:val="both"/>
              <w:rPr>
                <w:rFonts w:ascii="Calibri" w:eastAsia="Times New Roman" w:hAnsi="Calibri" w:cs="Calibri"/>
                <w:i/>
                <w:iCs/>
                <w:color w:val="000000"/>
                <w:sz w:val="18"/>
              </w:rPr>
            </w:pPr>
          </w:p>
        </w:tc>
        <w:tc>
          <w:tcPr>
            <w:tcW w:w="1036" w:type="dxa"/>
            <w:shd w:val="clear" w:color="auto" w:fill="auto"/>
            <w:noWrap/>
            <w:vAlign w:val="bottom"/>
          </w:tcPr>
          <w:p w14:paraId="4735BD55"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73AD3620"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348431A5" w14:textId="77777777">
        <w:trPr>
          <w:trHeight w:val="316"/>
        </w:trPr>
        <w:tc>
          <w:tcPr>
            <w:tcW w:w="1177" w:type="dxa"/>
            <w:shd w:val="clear" w:color="auto" w:fill="auto"/>
            <w:noWrap/>
            <w:vAlign w:val="bottom"/>
          </w:tcPr>
          <w:p w14:paraId="0FF97A7E"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Regression</w:t>
            </w:r>
          </w:p>
        </w:tc>
        <w:tc>
          <w:tcPr>
            <w:tcW w:w="1037" w:type="dxa"/>
            <w:shd w:val="clear" w:color="auto" w:fill="auto"/>
            <w:noWrap/>
            <w:vAlign w:val="bottom"/>
          </w:tcPr>
          <w:p w14:paraId="70DCDFFA"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w:t>
            </w:r>
          </w:p>
        </w:tc>
        <w:tc>
          <w:tcPr>
            <w:tcW w:w="1037" w:type="dxa"/>
            <w:shd w:val="clear" w:color="auto" w:fill="auto"/>
            <w:noWrap/>
            <w:vAlign w:val="bottom"/>
          </w:tcPr>
          <w:p w14:paraId="64898077"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8769.275428</w:t>
            </w:r>
          </w:p>
        </w:tc>
        <w:tc>
          <w:tcPr>
            <w:tcW w:w="1037" w:type="dxa"/>
            <w:shd w:val="clear" w:color="auto" w:fill="auto"/>
            <w:noWrap/>
            <w:vAlign w:val="bottom"/>
          </w:tcPr>
          <w:p w14:paraId="0A123ECF"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8769.275428</w:t>
            </w:r>
          </w:p>
        </w:tc>
        <w:tc>
          <w:tcPr>
            <w:tcW w:w="1036" w:type="dxa"/>
            <w:shd w:val="clear" w:color="auto" w:fill="auto"/>
            <w:noWrap/>
            <w:vAlign w:val="bottom"/>
          </w:tcPr>
          <w:p w14:paraId="79003C0D"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0.031781546</w:t>
            </w:r>
          </w:p>
        </w:tc>
        <w:tc>
          <w:tcPr>
            <w:tcW w:w="1036" w:type="dxa"/>
            <w:shd w:val="clear" w:color="auto" w:fill="auto"/>
            <w:noWrap/>
            <w:vAlign w:val="bottom"/>
          </w:tcPr>
          <w:p w14:paraId="190CA90C"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0.85852604</w:t>
            </w:r>
          </w:p>
        </w:tc>
        <w:tc>
          <w:tcPr>
            <w:tcW w:w="1036" w:type="dxa"/>
            <w:shd w:val="clear" w:color="auto" w:fill="auto"/>
            <w:noWrap/>
            <w:vAlign w:val="bottom"/>
          </w:tcPr>
          <w:p w14:paraId="15BE019C" w14:textId="77777777" w:rsidR="008A059F" w:rsidRDefault="008A059F" w:rsidP="00E70564">
            <w:pPr>
              <w:spacing w:after="0" w:line="240" w:lineRule="auto"/>
              <w:jc w:val="both"/>
              <w:rPr>
                <w:rFonts w:ascii="Calibri" w:eastAsia="Times New Roman" w:hAnsi="Calibri" w:cs="Calibri"/>
                <w:color w:val="000000"/>
                <w:sz w:val="18"/>
              </w:rPr>
            </w:pPr>
          </w:p>
        </w:tc>
        <w:tc>
          <w:tcPr>
            <w:tcW w:w="1036" w:type="dxa"/>
            <w:shd w:val="clear" w:color="auto" w:fill="auto"/>
            <w:noWrap/>
            <w:vAlign w:val="bottom"/>
          </w:tcPr>
          <w:p w14:paraId="355085C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6D280CE9"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4B4DB042" w14:textId="77777777">
        <w:trPr>
          <w:trHeight w:val="316"/>
        </w:trPr>
        <w:tc>
          <w:tcPr>
            <w:tcW w:w="1177" w:type="dxa"/>
            <w:shd w:val="clear" w:color="auto" w:fill="auto"/>
            <w:noWrap/>
            <w:vAlign w:val="bottom"/>
          </w:tcPr>
          <w:p w14:paraId="4E71491A"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Residual</w:t>
            </w:r>
          </w:p>
        </w:tc>
        <w:tc>
          <w:tcPr>
            <w:tcW w:w="1037" w:type="dxa"/>
            <w:shd w:val="clear" w:color="auto" w:fill="auto"/>
            <w:noWrap/>
            <w:vAlign w:val="bottom"/>
          </w:tcPr>
          <w:p w14:paraId="6B0E5331"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1997</w:t>
            </w:r>
          </w:p>
        </w:tc>
        <w:tc>
          <w:tcPr>
            <w:tcW w:w="1037" w:type="dxa"/>
            <w:shd w:val="clear" w:color="auto" w:fill="auto"/>
            <w:noWrap/>
            <w:vAlign w:val="bottom"/>
          </w:tcPr>
          <w:p w14:paraId="1F9A7C75"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551019236.5</w:t>
            </w:r>
          </w:p>
        </w:tc>
        <w:tc>
          <w:tcPr>
            <w:tcW w:w="1037" w:type="dxa"/>
            <w:shd w:val="clear" w:color="auto" w:fill="auto"/>
            <w:noWrap/>
            <w:vAlign w:val="bottom"/>
          </w:tcPr>
          <w:p w14:paraId="04A55F83"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275923.5035</w:t>
            </w:r>
          </w:p>
        </w:tc>
        <w:tc>
          <w:tcPr>
            <w:tcW w:w="1036" w:type="dxa"/>
            <w:shd w:val="clear" w:color="auto" w:fill="auto"/>
            <w:noWrap/>
            <w:vAlign w:val="bottom"/>
          </w:tcPr>
          <w:p w14:paraId="574DD13F" w14:textId="77777777" w:rsidR="008A059F" w:rsidRDefault="008A059F" w:rsidP="00E70564">
            <w:pPr>
              <w:spacing w:after="0" w:line="240" w:lineRule="auto"/>
              <w:jc w:val="both"/>
              <w:rPr>
                <w:rFonts w:ascii="Calibri" w:eastAsia="Times New Roman" w:hAnsi="Calibri" w:cs="Calibri"/>
                <w:color w:val="000000"/>
                <w:sz w:val="18"/>
              </w:rPr>
            </w:pPr>
          </w:p>
        </w:tc>
        <w:tc>
          <w:tcPr>
            <w:tcW w:w="1036" w:type="dxa"/>
            <w:shd w:val="clear" w:color="auto" w:fill="auto"/>
            <w:noWrap/>
            <w:vAlign w:val="bottom"/>
          </w:tcPr>
          <w:p w14:paraId="5F61419D"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311F1B2C"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162397C"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0043FD01"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112E0F2E" w14:textId="77777777">
        <w:trPr>
          <w:trHeight w:val="332"/>
        </w:trPr>
        <w:tc>
          <w:tcPr>
            <w:tcW w:w="1177" w:type="dxa"/>
            <w:shd w:val="clear" w:color="auto" w:fill="auto"/>
            <w:noWrap/>
            <w:vAlign w:val="bottom"/>
          </w:tcPr>
          <w:p w14:paraId="7E6FA3D9"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Total</w:t>
            </w:r>
          </w:p>
        </w:tc>
        <w:tc>
          <w:tcPr>
            <w:tcW w:w="1037" w:type="dxa"/>
            <w:shd w:val="clear" w:color="auto" w:fill="auto"/>
            <w:noWrap/>
            <w:vAlign w:val="bottom"/>
          </w:tcPr>
          <w:p w14:paraId="1BEDBC30"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1998</w:t>
            </w:r>
          </w:p>
        </w:tc>
        <w:tc>
          <w:tcPr>
            <w:tcW w:w="1037" w:type="dxa"/>
            <w:shd w:val="clear" w:color="auto" w:fill="auto"/>
            <w:noWrap/>
            <w:vAlign w:val="bottom"/>
          </w:tcPr>
          <w:p w14:paraId="0A5936C3"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551028005.8</w:t>
            </w:r>
          </w:p>
        </w:tc>
        <w:tc>
          <w:tcPr>
            <w:tcW w:w="1037" w:type="dxa"/>
            <w:shd w:val="clear" w:color="auto" w:fill="auto"/>
            <w:noWrap/>
            <w:vAlign w:val="bottom"/>
          </w:tcPr>
          <w:p w14:paraId="1B968898" w14:textId="77777777" w:rsidR="008A059F" w:rsidRDefault="008A059F" w:rsidP="00E70564">
            <w:pPr>
              <w:spacing w:after="0" w:line="240" w:lineRule="auto"/>
              <w:jc w:val="both"/>
              <w:rPr>
                <w:rFonts w:ascii="Calibri" w:eastAsia="Times New Roman" w:hAnsi="Calibri" w:cs="Calibri"/>
                <w:color w:val="000000"/>
                <w:sz w:val="18"/>
              </w:rPr>
            </w:pPr>
          </w:p>
        </w:tc>
        <w:tc>
          <w:tcPr>
            <w:tcW w:w="1036" w:type="dxa"/>
            <w:shd w:val="clear" w:color="auto" w:fill="auto"/>
            <w:noWrap/>
            <w:vAlign w:val="bottom"/>
          </w:tcPr>
          <w:p w14:paraId="7902FA12" w14:textId="77777777" w:rsidR="008A059F" w:rsidRDefault="008A059F" w:rsidP="00E70564">
            <w:pPr>
              <w:spacing w:after="0" w:line="240" w:lineRule="auto"/>
              <w:jc w:val="both"/>
              <w:rPr>
                <w:rFonts w:ascii="Calibri" w:eastAsia="Times New Roman" w:hAnsi="Calibri" w:cs="Calibri"/>
                <w:color w:val="000000"/>
                <w:sz w:val="18"/>
              </w:rPr>
            </w:pPr>
          </w:p>
        </w:tc>
        <w:tc>
          <w:tcPr>
            <w:tcW w:w="1036" w:type="dxa"/>
            <w:shd w:val="clear" w:color="auto" w:fill="auto"/>
            <w:noWrap/>
            <w:vAlign w:val="bottom"/>
          </w:tcPr>
          <w:p w14:paraId="02406FFE" w14:textId="77777777" w:rsidR="008A059F" w:rsidRDefault="008A059F" w:rsidP="00E70564">
            <w:pPr>
              <w:spacing w:after="0" w:line="240" w:lineRule="auto"/>
              <w:jc w:val="both"/>
              <w:rPr>
                <w:rFonts w:ascii="Calibri" w:eastAsia="Times New Roman" w:hAnsi="Calibri" w:cs="Calibri"/>
                <w:color w:val="000000"/>
                <w:sz w:val="18"/>
              </w:rPr>
            </w:pPr>
          </w:p>
        </w:tc>
        <w:tc>
          <w:tcPr>
            <w:tcW w:w="1036" w:type="dxa"/>
            <w:shd w:val="clear" w:color="auto" w:fill="auto"/>
            <w:noWrap/>
            <w:vAlign w:val="bottom"/>
          </w:tcPr>
          <w:p w14:paraId="7D1502AA" w14:textId="77777777" w:rsidR="008A059F" w:rsidRDefault="008A059F" w:rsidP="00E70564">
            <w:pPr>
              <w:spacing w:after="0" w:line="240" w:lineRule="auto"/>
              <w:jc w:val="both"/>
              <w:rPr>
                <w:rFonts w:ascii="Calibri" w:eastAsia="Times New Roman" w:hAnsi="Calibri" w:cs="Calibri"/>
                <w:color w:val="000000"/>
                <w:sz w:val="18"/>
              </w:rPr>
            </w:pPr>
          </w:p>
        </w:tc>
        <w:tc>
          <w:tcPr>
            <w:tcW w:w="1036" w:type="dxa"/>
            <w:shd w:val="clear" w:color="auto" w:fill="auto"/>
            <w:noWrap/>
            <w:vAlign w:val="bottom"/>
          </w:tcPr>
          <w:p w14:paraId="2A143816"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64B86601"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387DFF3F" w14:textId="77777777">
        <w:trPr>
          <w:trHeight w:val="316"/>
        </w:trPr>
        <w:tc>
          <w:tcPr>
            <w:tcW w:w="1177" w:type="dxa"/>
            <w:shd w:val="clear" w:color="auto" w:fill="auto"/>
            <w:noWrap/>
            <w:vAlign w:val="bottom"/>
          </w:tcPr>
          <w:p w14:paraId="2F0910E2"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09D97849"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76E83540"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454FC2F3"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FF6B0EE"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55EE6D55"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36E52BAC"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0C93E81"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6" w:type="dxa"/>
            <w:shd w:val="clear" w:color="auto" w:fill="auto"/>
            <w:noWrap/>
            <w:vAlign w:val="bottom"/>
          </w:tcPr>
          <w:p w14:paraId="136F8640" w14:textId="77777777" w:rsidR="008A059F" w:rsidRDefault="008A059F" w:rsidP="00E70564">
            <w:pPr>
              <w:spacing w:after="0" w:line="240" w:lineRule="auto"/>
              <w:jc w:val="both"/>
              <w:rPr>
                <w:rFonts w:ascii="Times New Roman" w:eastAsia="Times New Roman" w:hAnsi="Times New Roman" w:cs="Times New Roman"/>
                <w:sz w:val="18"/>
                <w:szCs w:val="20"/>
              </w:rPr>
            </w:pPr>
          </w:p>
        </w:tc>
      </w:tr>
      <w:tr w:rsidR="008A059F" w14:paraId="124A1CAA" w14:textId="77777777">
        <w:trPr>
          <w:trHeight w:val="316"/>
        </w:trPr>
        <w:tc>
          <w:tcPr>
            <w:tcW w:w="1177" w:type="dxa"/>
            <w:shd w:val="clear" w:color="auto" w:fill="auto"/>
            <w:noWrap/>
            <w:vAlign w:val="bottom"/>
          </w:tcPr>
          <w:p w14:paraId="54B5DDFD" w14:textId="77777777" w:rsidR="008A059F" w:rsidRDefault="008A059F" w:rsidP="00E70564">
            <w:pPr>
              <w:spacing w:after="0" w:line="240" w:lineRule="auto"/>
              <w:jc w:val="both"/>
              <w:rPr>
                <w:rFonts w:ascii="Times New Roman" w:eastAsia="Times New Roman" w:hAnsi="Times New Roman" w:cs="Times New Roman"/>
                <w:sz w:val="18"/>
                <w:szCs w:val="20"/>
              </w:rPr>
            </w:pPr>
          </w:p>
        </w:tc>
        <w:tc>
          <w:tcPr>
            <w:tcW w:w="1037" w:type="dxa"/>
            <w:shd w:val="clear" w:color="auto" w:fill="auto"/>
            <w:noWrap/>
            <w:vAlign w:val="bottom"/>
          </w:tcPr>
          <w:p w14:paraId="60122566"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Coefficients</w:t>
            </w:r>
          </w:p>
        </w:tc>
        <w:tc>
          <w:tcPr>
            <w:tcW w:w="1037" w:type="dxa"/>
            <w:shd w:val="clear" w:color="auto" w:fill="auto"/>
            <w:noWrap/>
            <w:vAlign w:val="bottom"/>
          </w:tcPr>
          <w:p w14:paraId="3331A8E0"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Standard Error</w:t>
            </w:r>
          </w:p>
        </w:tc>
        <w:tc>
          <w:tcPr>
            <w:tcW w:w="1037" w:type="dxa"/>
            <w:shd w:val="clear" w:color="auto" w:fill="auto"/>
            <w:noWrap/>
            <w:vAlign w:val="bottom"/>
          </w:tcPr>
          <w:p w14:paraId="132865A8"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t Stat</w:t>
            </w:r>
          </w:p>
        </w:tc>
        <w:tc>
          <w:tcPr>
            <w:tcW w:w="1036" w:type="dxa"/>
            <w:shd w:val="clear" w:color="auto" w:fill="auto"/>
            <w:noWrap/>
            <w:vAlign w:val="bottom"/>
          </w:tcPr>
          <w:p w14:paraId="0FD08E10"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P-value</w:t>
            </w:r>
          </w:p>
        </w:tc>
        <w:tc>
          <w:tcPr>
            <w:tcW w:w="1036" w:type="dxa"/>
            <w:shd w:val="clear" w:color="auto" w:fill="auto"/>
            <w:noWrap/>
            <w:vAlign w:val="bottom"/>
          </w:tcPr>
          <w:p w14:paraId="4EE6BFD9"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Lower 95%</w:t>
            </w:r>
          </w:p>
        </w:tc>
        <w:tc>
          <w:tcPr>
            <w:tcW w:w="1036" w:type="dxa"/>
            <w:shd w:val="clear" w:color="auto" w:fill="auto"/>
            <w:noWrap/>
            <w:vAlign w:val="bottom"/>
          </w:tcPr>
          <w:p w14:paraId="055ABEFA"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Upper 95%</w:t>
            </w:r>
          </w:p>
        </w:tc>
        <w:tc>
          <w:tcPr>
            <w:tcW w:w="1036" w:type="dxa"/>
            <w:shd w:val="clear" w:color="auto" w:fill="auto"/>
            <w:noWrap/>
            <w:vAlign w:val="bottom"/>
          </w:tcPr>
          <w:p w14:paraId="055D39D1"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Lower 95.0%</w:t>
            </w:r>
          </w:p>
        </w:tc>
        <w:tc>
          <w:tcPr>
            <w:tcW w:w="1036" w:type="dxa"/>
            <w:shd w:val="clear" w:color="auto" w:fill="auto"/>
            <w:noWrap/>
            <w:vAlign w:val="bottom"/>
          </w:tcPr>
          <w:p w14:paraId="647FB4DB"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Upper 95.0%</w:t>
            </w:r>
          </w:p>
        </w:tc>
      </w:tr>
      <w:tr w:rsidR="008A059F" w14:paraId="56247035" w14:textId="77777777">
        <w:trPr>
          <w:trHeight w:val="316"/>
        </w:trPr>
        <w:tc>
          <w:tcPr>
            <w:tcW w:w="1177" w:type="dxa"/>
            <w:shd w:val="clear" w:color="auto" w:fill="auto"/>
            <w:noWrap/>
            <w:vAlign w:val="bottom"/>
          </w:tcPr>
          <w:p w14:paraId="403A56D6"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Intercept</w:t>
            </w:r>
          </w:p>
        </w:tc>
        <w:tc>
          <w:tcPr>
            <w:tcW w:w="1037" w:type="dxa"/>
            <w:shd w:val="clear" w:color="auto" w:fill="auto"/>
            <w:noWrap/>
            <w:vAlign w:val="bottom"/>
          </w:tcPr>
          <w:p w14:paraId="1922289C"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232.5093842</w:t>
            </w:r>
          </w:p>
        </w:tc>
        <w:tc>
          <w:tcPr>
            <w:tcW w:w="1037" w:type="dxa"/>
            <w:shd w:val="clear" w:color="auto" w:fill="auto"/>
            <w:noWrap/>
            <w:vAlign w:val="bottom"/>
          </w:tcPr>
          <w:p w14:paraId="4E7CAC7B"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22.96786412</w:t>
            </w:r>
          </w:p>
        </w:tc>
        <w:tc>
          <w:tcPr>
            <w:tcW w:w="1037" w:type="dxa"/>
            <w:shd w:val="clear" w:color="auto" w:fill="auto"/>
            <w:noWrap/>
            <w:vAlign w:val="bottom"/>
          </w:tcPr>
          <w:p w14:paraId="1FF1D349"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10.12324799</w:t>
            </w:r>
          </w:p>
        </w:tc>
        <w:tc>
          <w:tcPr>
            <w:tcW w:w="1036" w:type="dxa"/>
            <w:shd w:val="clear" w:color="auto" w:fill="auto"/>
            <w:noWrap/>
            <w:vAlign w:val="bottom"/>
          </w:tcPr>
          <w:p w14:paraId="1B4360E0"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1.59291E-23</w:t>
            </w:r>
          </w:p>
        </w:tc>
        <w:tc>
          <w:tcPr>
            <w:tcW w:w="1036" w:type="dxa"/>
            <w:shd w:val="clear" w:color="auto" w:fill="auto"/>
            <w:noWrap/>
            <w:vAlign w:val="bottom"/>
          </w:tcPr>
          <w:p w14:paraId="02E8448D"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187.4658976</w:t>
            </w:r>
          </w:p>
        </w:tc>
        <w:tc>
          <w:tcPr>
            <w:tcW w:w="1036" w:type="dxa"/>
            <w:shd w:val="clear" w:color="auto" w:fill="auto"/>
            <w:noWrap/>
            <w:vAlign w:val="bottom"/>
          </w:tcPr>
          <w:p w14:paraId="239A7A2A"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277.5528709</w:t>
            </w:r>
          </w:p>
        </w:tc>
        <w:tc>
          <w:tcPr>
            <w:tcW w:w="1036" w:type="dxa"/>
            <w:shd w:val="clear" w:color="auto" w:fill="auto"/>
            <w:noWrap/>
            <w:vAlign w:val="bottom"/>
          </w:tcPr>
          <w:p w14:paraId="784D65CA"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187.4658976</w:t>
            </w:r>
          </w:p>
        </w:tc>
        <w:tc>
          <w:tcPr>
            <w:tcW w:w="1036" w:type="dxa"/>
            <w:shd w:val="clear" w:color="auto" w:fill="auto"/>
            <w:noWrap/>
            <w:vAlign w:val="bottom"/>
          </w:tcPr>
          <w:p w14:paraId="4C46E0A1"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277.5528709</w:t>
            </w:r>
          </w:p>
        </w:tc>
      </w:tr>
      <w:tr w:rsidR="008A059F" w14:paraId="24FD47D3" w14:textId="77777777">
        <w:trPr>
          <w:trHeight w:val="316"/>
        </w:trPr>
        <w:tc>
          <w:tcPr>
            <w:tcW w:w="1177" w:type="dxa"/>
            <w:shd w:val="clear" w:color="auto" w:fill="auto"/>
            <w:noWrap/>
            <w:vAlign w:val="bottom"/>
          </w:tcPr>
          <w:p w14:paraId="4EF1746C"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Postal Code</w:t>
            </w:r>
          </w:p>
        </w:tc>
        <w:tc>
          <w:tcPr>
            <w:tcW w:w="1037" w:type="dxa"/>
            <w:shd w:val="clear" w:color="auto" w:fill="auto"/>
            <w:noWrap/>
            <w:vAlign w:val="bottom"/>
          </w:tcPr>
          <w:p w14:paraId="200C44E7"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-6.54575E-05</w:t>
            </w:r>
          </w:p>
        </w:tc>
        <w:tc>
          <w:tcPr>
            <w:tcW w:w="1037" w:type="dxa"/>
            <w:shd w:val="clear" w:color="auto" w:fill="auto"/>
            <w:noWrap/>
            <w:vAlign w:val="bottom"/>
          </w:tcPr>
          <w:p w14:paraId="11BC1A74"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0.000367174</w:t>
            </w:r>
          </w:p>
        </w:tc>
        <w:tc>
          <w:tcPr>
            <w:tcW w:w="1037" w:type="dxa"/>
            <w:shd w:val="clear" w:color="auto" w:fill="auto"/>
            <w:noWrap/>
            <w:vAlign w:val="bottom"/>
          </w:tcPr>
          <w:p w14:paraId="784F8105"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-0.178273794</w:t>
            </w:r>
          </w:p>
        </w:tc>
        <w:tc>
          <w:tcPr>
            <w:tcW w:w="1036" w:type="dxa"/>
            <w:shd w:val="clear" w:color="auto" w:fill="auto"/>
            <w:noWrap/>
            <w:vAlign w:val="bottom"/>
          </w:tcPr>
          <w:p w14:paraId="1D159574"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0.85852604</w:t>
            </w:r>
          </w:p>
        </w:tc>
        <w:tc>
          <w:tcPr>
            <w:tcW w:w="1036" w:type="dxa"/>
            <w:shd w:val="clear" w:color="auto" w:fill="auto"/>
            <w:noWrap/>
            <w:vAlign w:val="bottom"/>
          </w:tcPr>
          <w:p w14:paraId="601347B3"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-0.000785542</w:t>
            </w:r>
          </w:p>
        </w:tc>
        <w:tc>
          <w:tcPr>
            <w:tcW w:w="1036" w:type="dxa"/>
            <w:shd w:val="clear" w:color="auto" w:fill="auto"/>
            <w:noWrap/>
            <w:vAlign w:val="bottom"/>
          </w:tcPr>
          <w:p w14:paraId="5EB27F95"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0.000654627</w:t>
            </w:r>
          </w:p>
        </w:tc>
        <w:tc>
          <w:tcPr>
            <w:tcW w:w="1036" w:type="dxa"/>
            <w:shd w:val="clear" w:color="auto" w:fill="auto"/>
            <w:noWrap/>
            <w:vAlign w:val="bottom"/>
          </w:tcPr>
          <w:p w14:paraId="00D56401"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-0.000785542</w:t>
            </w:r>
          </w:p>
        </w:tc>
        <w:tc>
          <w:tcPr>
            <w:tcW w:w="1036" w:type="dxa"/>
            <w:shd w:val="clear" w:color="auto" w:fill="auto"/>
            <w:noWrap/>
            <w:vAlign w:val="bottom"/>
          </w:tcPr>
          <w:p w14:paraId="156A2AEB" w14:textId="77777777" w:rsidR="008A059F" w:rsidRDefault="00000000" w:rsidP="00E70564">
            <w:pPr>
              <w:spacing w:after="0" w:line="240" w:lineRule="auto"/>
              <w:jc w:val="both"/>
              <w:rPr>
                <w:rFonts w:ascii="Calibri" w:eastAsia="Times New Roman" w:hAnsi="Calibri" w:cs="Calibri"/>
                <w:color w:val="000000"/>
                <w:sz w:val="18"/>
              </w:rPr>
            </w:pPr>
            <w:r>
              <w:rPr>
                <w:rFonts w:ascii="Calibri" w:eastAsia="Times New Roman" w:hAnsi="Calibri" w:cs="Calibri"/>
                <w:color w:val="000000"/>
                <w:sz w:val="18"/>
              </w:rPr>
              <w:t>0.000654627</w:t>
            </w:r>
          </w:p>
        </w:tc>
      </w:tr>
    </w:tbl>
    <w:p w14:paraId="23B92F73"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regression output provides information about the relationship between the predictor variable (Postal Code) and the response variable (which is not explicitly mentioned in the output).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break down each section of the output:</w:t>
      </w:r>
    </w:p>
    <w:p w14:paraId="125E1D0B" w14:textId="77777777" w:rsidR="008A059F" w:rsidRDefault="008A059F" w:rsidP="00E70564">
      <w:pPr>
        <w:autoSpaceDE w:val="0"/>
        <w:autoSpaceDN w:val="0"/>
        <w:adjustRightInd w:val="0"/>
        <w:spacing w:after="0" w:line="276" w:lineRule="auto"/>
        <w:jc w:val="both"/>
        <w:rPr>
          <w:rFonts w:ascii="Times New Roman" w:hAnsi="Times New Roman" w:cs="Times New Roman"/>
          <w:sz w:val="24"/>
          <w:szCs w:val="24"/>
        </w:rPr>
      </w:pPr>
    </w:p>
    <w:p w14:paraId="0299A7E8" w14:textId="77777777" w:rsidR="00BF7F95" w:rsidRDefault="00BF7F95" w:rsidP="00E70564">
      <w:pPr>
        <w:autoSpaceDE w:val="0"/>
        <w:autoSpaceDN w:val="0"/>
        <w:adjustRightInd w:val="0"/>
        <w:spacing w:after="0" w:line="276" w:lineRule="auto"/>
        <w:jc w:val="both"/>
        <w:rPr>
          <w:rFonts w:ascii="Times New Roman" w:hAnsi="Times New Roman" w:cs="Times New Roman"/>
          <w:sz w:val="36"/>
          <w:szCs w:val="36"/>
        </w:rPr>
      </w:pPr>
    </w:p>
    <w:p w14:paraId="3F8CEB0D" w14:textId="4995603C" w:rsidR="008A059F" w:rsidRPr="00BF7F95" w:rsidRDefault="00000000" w:rsidP="00E70564">
      <w:pPr>
        <w:autoSpaceDE w:val="0"/>
        <w:autoSpaceDN w:val="0"/>
        <w:adjustRightInd w:val="0"/>
        <w:spacing w:after="0" w:line="276" w:lineRule="auto"/>
        <w:jc w:val="both"/>
        <w:rPr>
          <w:rFonts w:ascii="Times New Roman" w:hAnsi="Times New Roman" w:cs="Times New Roman"/>
          <w:sz w:val="36"/>
          <w:szCs w:val="36"/>
        </w:rPr>
      </w:pPr>
      <w:r w:rsidRPr="00BF7F95">
        <w:rPr>
          <w:rFonts w:ascii="Times New Roman" w:hAnsi="Times New Roman" w:cs="Times New Roman"/>
          <w:sz w:val="36"/>
          <w:szCs w:val="36"/>
        </w:rPr>
        <w:lastRenderedPageBreak/>
        <w:t>Regression Statistics:</w:t>
      </w:r>
    </w:p>
    <w:p w14:paraId="1C222ED3" w14:textId="1B37F4FB"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F7F95">
        <w:rPr>
          <w:rFonts w:ascii="Times New Roman" w:hAnsi="Times New Roman" w:cs="Times New Roman"/>
          <w:sz w:val="32"/>
          <w:szCs w:val="32"/>
        </w:rPr>
        <w:t>Multiple R:</w:t>
      </w:r>
      <w:r w:rsidR="00BF7F95">
        <w:rPr>
          <w:rFonts w:ascii="Times New Roman" w:hAnsi="Times New Roman" w:cs="Times New Roman"/>
          <w:sz w:val="24"/>
          <w:szCs w:val="24"/>
        </w:rPr>
        <w:t xml:space="preserve"> </w:t>
      </w:r>
      <w:r>
        <w:rPr>
          <w:rFonts w:ascii="Times New Roman" w:hAnsi="Times New Roman" w:cs="Times New Roman"/>
          <w:sz w:val="24"/>
          <w:szCs w:val="24"/>
        </w:rPr>
        <w:t xml:space="preserve">This is the correlation coefficient, which measures the strength and direction of the linear relationship between the predictor and response variables. In this case,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very close to zero (0.00399), indicating a very weak linear relationship.</w:t>
      </w:r>
    </w:p>
    <w:p w14:paraId="666B0F65" w14:textId="4074B1CC"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F7F95">
        <w:rPr>
          <w:rFonts w:ascii="Times New Roman" w:hAnsi="Times New Roman" w:cs="Times New Roman"/>
          <w:sz w:val="32"/>
          <w:szCs w:val="32"/>
        </w:rPr>
        <w:t>R Square:</w:t>
      </w:r>
      <w:r>
        <w:rPr>
          <w:rFonts w:ascii="Times New Roman" w:hAnsi="Times New Roman" w:cs="Times New Roman"/>
          <w:sz w:val="24"/>
          <w:szCs w:val="24"/>
        </w:rPr>
        <w:t xml:space="preserve"> This is the coefficient of determination, which represents the proportion of the variance in the response variable that is explained by the predictor variable. A value close to zero (1.59144E-05) indicates that the predictor variable explains very little of the variance in the response variable.</w:t>
      </w:r>
    </w:p>
    <w:p w14:paraId="343A7F1E"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sidRPr="00BF7F95">
        <w:rPr>
          <w:rFonts w:ascii="Times New Roman" w:hAnsi="Times New Roman" w:cs="Times New Roman"/>
          <w:sz w:val="32"/>
          <w:szCs w:val="32"/>
        </w:rPr>
        <w:t>Adjusted R Square:</w:t>
      </w:r>
      <w:r>
        <w:rPr>
          <w:rFonts w:ascii="Times New Roman" w:hAnsi="Times New Roman" w:cs="Times New Roman"/>
          <w:sz w:val="24"/>
          <w:szCs w:val="24"/>
        </w:rPr>
        <w:t xml:space="preserve"> This is a modified version of R Square that adjusts for the number of predictor variables in the model. A negative value (-0.000484829) suggests that the model may be overfitting or that the predictor variable is not adding any explanatory power to the model.</w:t>
      </w:r>
    </w:p>
    <w:p w14:paraId="432B6B2E"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Standard Error: This represents the average deviation of the observed values from the regression line. A higher standard error (525.2842121) indicates greater variability in the data points around the regression line.</w:t>
      </w:r>
    </w:p>
    <w:p w14:paraId="73BB8FE9"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Observations: This indicates the number of data points used in the regression analysis.</w:t>
      </w:r>
    </w:p>
    <w:p w14:paraId="7D8CD36E" w14:textId="77777777" w:rsidR="008A059F" w:rsidRDefault="008A059F" w:rsidP="00E70564">
      <w:pPr>
        <w:autoSpaceDE w:val="0"/>
        <w:autoSpaceDN w:val="0"/>
        <w:adjustRightInd w:val="0"/>
        <w:spacing w:after="0" w:line="276" w:lineRule="auto"/>
        <w:jc w:val="both"/>
        <w:rPr>
          <w:rFonts w:ascii="Times New Roman" w:hAnsi="Times New Roman" w:cs="Times New Roman"/>
          <w:sz w:val="24"/>
          <w:szCs w:val="24"/>
        </w:rPr>
      </w:pPr>
    </w:p>
    <w:p w14:paraId="1E98117C" w14:textId="77777777" w:rsidR="008A059F" w:rsidRDefault="00000000" w:rsidP="00E70564">
      <w:pPr>
        <w:autoSpaceDE w:val="0"/>
        <w:autoSpaceDN w:val="0"/>
        <w:adjustRightInd w:val="0"/>
        <w:spacing w:after="0" w:line="276" w:lineRule="auto"/>
        <w:jc w:val="both"/>
        <w:rPr>
          <w:rFonts w:ascii="Times New Roman" w:hAnsi="Times New Roman" w:cs="Times New Roman"/>
          <w:sz w:val="32"/>
          <w:szCs w:val="24"/>
        </w:rPr>
      </w:pPr>
      <w:r>
        <w:rPr>
          <w:rFonts w:ascii="Times New Roman" w:hAnsi="Times New Roman" w:cs="Times New Roman"/>
          <w:sz w:val="32"/>
          <w:szCs w:val="24"/>
        </w:rPr>
        <w:t>ANOVA (Analysis of Variance):</w:t>
      </w:r>
    </w:p>
    <w:p w14:paraId="4AE37286"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Degrees of freedom represent the number of independent pieces of information available in the data.</w:t>
      </w:r>
    </w:p>
    <w:p w14:paraId="12AD6C87"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SS: Sum of squares measures the total variation in the response variable.</w:t>
      </w:r>
    </w:p>
    <w:p w14:paraId="22293576"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MS: Mean square is the average variation within groups or between groups.</w:t>
      </w:r>
    </w:p>
    <w:p w14:paraId="21F4AF1C"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 The F-statistic tests the overall significance of the regression model. A low F-value relative to the critical value indicates that the model is not significant.</w:t>
      </w:r>
    </w:p>
    <w:p w14:paraId="42EE8456"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Significance F: This is the p-value associated with the F-statistic. A high p-value (0.85852604) suggests that the model is not statistically significant.</w:t>
      </w:r>
    </w:p>
    <w:p w14:paraId="5357B5CD" w14:textId="77777777" w:rsidR="008A059F" w:rsidRDefault="008A059F" w:rsidP="00E70564">
      <w:pPr>
        <w:autoSpaceDE w:val="0"/>
        <w:autoSpaceDN w:val="0"/>
        <w:adjustRightInd w:val="0"/>
        <w:spacing w:after="0" w:line="276" w:lineRule="auto"/>
        <w:jc w:val="both"/>
        <w:rPr>
          <w:rFonts w:ascii="Times New Roman" w:hAnsi="Times New Roman" w:cs="Times New Roman"/>
          <w:sz w:val="32"/>
          <w:szCs w:val="24"/>
        </w:rPr>
      </w:pPr>
    </w:p>
    <w:p w14:paraId="66E65C27" w14:textId="77777777" w:rsidR="008A059F" w:rsidRDefault="00000000" w:rsidP="00E70564">
      <w:pPr>
        <w:autoSpaceDE w:val="0"/>
        <w:autoSpaceDN w:val="0"/>
        <w:adjustRightInd w:val="0"/>
        <w:spacing w:after="0" w:line="276" w:lineRule="auto"/>
        <w:jc w:val="both"/>
        <w:rPr>
          <w:rFonts w:ascii="Times New Roman" w:hAnsi="Times New Roman" w:cs="Times New Roman"/>
          <w:sz w:val="32"/>
          <w:szCs w:val="24"/>
        </w:rPr>
      </w:pPr>
      <w:r>
        <w:rPr>
          <w:rFonts w:ascii="Times New Roman" w:hAnsi="Times New Roman" w:cs="Times New Roman"/>
          <w:sz w:val="32"/>
          <w:szCs w:val="24"/>
        </w:rPr>
        <w:t>Coefficients:</w:t>
      </w:r>
    </w:p>
    <w:p w14:paraId="2E6A267A"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Intercept: This is the y-intercept of the regression line, representing the predicted value of the response variable when the predictor variable is zero. The coefficient (232.5093842) indicates the average value of the response variable when the predictor variable is zero.</w:t>
      </w:r>
    </w:p>
    <w:p w14:paraId="3952D5C9"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Postal Code: This is the coefficient for the predictor variable. It represents the change in the response variable for a one-unit change in the predictor variable. The coefficient (-6.54575E-05) suggests a very small negative effect of the Postal Code on the response variable, but it is not statistically significant given the high p-value (0.85852604).</w:t>
      </w:r>
    </w:p>
    <w:p w14:paraId="39E05417" w14:textId="77777777" w:rsidR="008A059F" w:rsidRDefault="008A059F" w:rsidP="00E70564">
      <w:pPr>
        <w:autoSpaceDE w:val="0"/>
        <w:autoSpaceDN w:val="0"/>
        <w:adjustRightInd w:val="0"/>
        <w:spacing w:after="0" w:line="276" w:lineRule="auto"/>
        <w:jc w:val="both"/>
        <w:rPr>
          <w:rFonts w:ascii="Times New Roman" w:hAnsi="Times New Roman" w:cs="Times New Roman"/>
          <w:sz w:val="24"/>
          <w:szCs w:val="24"/>
        </w:rPr>
      </w:pPr>
    </w:p>
    <w:p w14:paraId="6E06C88D"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Overall, based on this regression output, the model does not appear to provide a meaningful explanation of the variation in the response variable, and the predictor variable (Postal Code) does not appear to have a significant effect on the response variable.</w:t>
      </w:r>
    </w:p>
    <w:p w14:paraId="1548AD08" w14:textId="77777777" w:rsidR="008A059F" w:rsidRDefault="008A059F" w:rsidP="00E70564">
      <w:pPr>
        <w:autoSpaceDE w:val="0"/>
        <w:autoSpaceDN w:val="0"/>
        <w:adjustRightInd w:val="0"/>
        <w:spacing w:after="0" w:line="276" w:lineRule="auto"/>
        <w:jc w:val="both"/>
        <w:rPr>
          <w:rFonts w:ascii="Times New Roman" w:hAnsi="Times New Roman" w:cs="Times New Roman"/>
          <w:b/>
          <w:bCs/>
          <w:sz w:val="32"/>
          <w:szCs w:val="24"/>
        </w:rPr>
      </w:pPr>
    </w:p>
    <w:p w14:paraId="2022BD49" w14:textId="77777777" w:rsidR="008A059F" w:rsidRDefault="00000000" w:rsidP="00E70564">
      <w:pPr>
        <w:autoSpaceDE w:val="0"/>
        <w:autoSpaceDN w:val="0"/>
        <w:adjustRightInd w:val="0"/>
        <w:spacing w:after="0" w:line="276" w:lineRule="auto"/>
        <w:jc w:val="both"/>
        <w:rPr>
          <w:rFonts w:ascii="Times New Roman" w:hAnsi="Times New Roman" w:cs="Times New Roman"/>
          <w:bCs/>
          <w:sz w:val="32"/>
          <w:szCs w:val="24"/>
        </w:rPr>
      </w:pPr>
      <w:r>
        <w:rPr>
          <w:rFonts w:ascii="Times New Roman" w:hAnsi="Times New Roman" w:cs="Times New Roman"/>
          <w:bCs/>
          <w:sz w:val="32"/>
          <w:szCs w:val="24"/>
        </w:rPr>
        <w:t>Correlation:</w:t>
      </w:r>
    </w:p>
    <w:p w14:paraId="6FC467E4" w14:textId="77777777" w:rsidR="008A059F" w:rsidRDefault="00000000" w:rsidP="00E7056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The absolute value of the correlation coefficient (0.024067424) is close to zero. This suggests a</w:t>
      </w:r>
    </w:p>
    <w:p w14:paraId="5CD295E1" w14:textId="77777777" w:rsidR="008A059F" w:rsidRDefault="00000000" w:rsidP="00E70564">
      <w:pPr>
        <w:spacing w:line="276" w:lineRule="auto"/>
        <w:jc w:val="both"/>
        <w:rPr>
          <w:rFonts w:ascii="Times New Roman" w:hAnsi="Times New Roman" w:cs="Times New Roman"/>
          <w:sz w:val="24"/>
          <w:szCs w:val="24"/>
        </w:rPr>
      </w:pPr>
      <w:r>
        <w:rPr>
          <w:rFonts w:ascii="Times New Roman" w:hAnsi="Times New Roman" w:cs="Times New Roman"/>
          <w:sz w:val="24"/>
          <w:szCs w:val="24"/>
        </w:rPr>
        <w:t>very weak linear relationship between the two variables.</w:t>
      </w:r>
    </w:p>
    <w:p w14:paraId="15CCC2EA" w14:textId="77777777" w:rsidR="008A059F" w:rsidRDefault="008A059F" w:rsidP="00E70564">
      <w:pPr>
        <w:autoSpaceDE w:val="0"/>
        <w:autoSpaceDN w:val="0"/>
        <w:adjustRightInd w:val="0"/>
        <w:spacing w:after="0" w:line="276" w:lineRule="auto"/>
        <w:jc w:val="both"/>
        <w:rPr>
          <w:rFonts w:ascii="Times New Roman" w:hAnsi="Times New Roman" w:cs="Times New Roman"/>
          <w:bCs/>
          <w:sz w:val="32"/>
          <w:szCs w:val="24"/>
        </w:rPr>
      </w:pPr>
    </w:p>
    <w:p w14:paraId="6B5E4D3E" w14:textId="77777777" w:rsidR="008A059F" w:rsidRDefault="008A059F" w:rsidP="00E70564">
      <w:pPr>
        <w:autoSpaceDE w:val="0"/>
        <w:autoSpaceDN w:val="0"/>
        <w:adjustRightInd w:val="0"/>
        <w:spacing w:after="0" w:line="276" w:lineRule="auto"/>
        <w:jc w:val="both"/>
        <w:rPr>
          <w:rFonts w:ascii="Times New Roman" w:hAnsi="Times New Roman" w:cs="Times New Roman"/>
          <w:bCs/>
          <w:sz w:val="32"/>
          <w:szCs w:val="24"/>
        </w:rPr>
      </w:pPr>
    </w:p>
    <w:p w14:paraId="1BC6333E" w14:textId="77777777" w:rsidR="008A059F" w:rsidRDefault="008A059F" w:rsidP="00E70564">
      <w:pPr>
        <w:autoSpaceDE w:val="0"/>
        <w:autoSpaceDN w:val="0"/>
        <w:adjustRightInd w:val="0"/>
        <w:spacing w:after="0" w:line="276" w:lineRule="auto"/>
        <w:jc w:val="both"/>
        <w:rPr>
          <w:rFonts w:ascii="Times New Roman" w:hAnsi="Times New Roman" w:cs="Times New Roman"/>
          <w:bCs/>
          <w:sz w:val="32"/>
          <w:szCs w:val="24"/>
        </w:rPr>
      </w:pPr>
    </w:p>
    <w:p w14:paraId="1DA8A4C5" w14:textId="77777777" w:rsidR="008A059F" w:rsidRDefault="00000000" w:rsidP="00E70564">
      <w:pPr>
        <w:autoSpaceDE w:val="0"/>
        <w:autoSpaceDN w:val="0"/>
        <w:adjustRightInd w:val="0"/>
        <w:spacing w:after="0" w:line="276" w:lineRule="auto"/>
        <w:jc w:val="both"/>
        <w:rPr>
          <w:rFonts w:ascii="Times New Roman" w:hAnsi="Times New Roman" w:cs="Times New Roman"/>
          <w:bCs/>
          <w:sz w:val="32"/>
          <w:szCs w:val="24"/>
        </w:rPr>
      </w:pPr>
      <w:r>
        <w:rPr>
          <w:rFonts w:ascii="Times New Roman" w:hAnsi="Times New Roman" w:cs="Times New Roman"/>
          <w:bCs/>
          <w:sz w:val="32"/>
          <w:szCs w:val="24"/>
        </w:rPr>
        <w:t>Descriptive Statistics:</w:t>
      </w:r>
    </w:p>
    <w:tbl>
      <w:tblPr>
        <w:tblW w:w="2400" w:type="dxa"/>
        <w:tblInd w:w="108" w:type="dxa"/>
        <w:tblLook w:val="04A0" w:firstRow="1" w:lastRow="0" w:firstColumn="1" w:lastColumn="0" w:noHBand="0" w:noVBand="1"/>
      </w:tblPr>
      <w:tblGrid>
        <w:gridCol w:w="1920"/>
        <w:gridCol w:w="1053"/>
      </w:tblGrid>
      <w:tr w:rsidR="008A059F" w14:paraId="68F55B83" w14:textId="77777777">
        <w:trPr>
          <w:trHeight w:val="300"/>
        </w:trPr>
        <w:tc>
          <w:tcPr>
            <w:tcW w:w="2400" w:type="dxa"/>
            <w:gridSpan w:val="2"/>
            <w:tcBorders>
              <w:top w:val="single" w:sz="8" w:space="0" w:color="auto"/>
              <w:left w:val="nil"/>
              <w:bottom w:val="single" w:sz="4" w:space="0" w:color="auto"/>
              <w:right w:val="nil"/>
            </w:tcBorders>
            <w:shd w:val="clear" w:color="auto" w:fill="auto"/>
            <w:noWrap/>
            <w:vAlign w:val="bottom"/>
          </w:tcPr>
          <w:p w14:paraId="69C5EBD6" w14:textId="77777777" w:rsidR="008A059F" w:rsidRDefault="00000000" w:rsidP="00E70564">
            <w:pPr>
              <w:spacing w:after="0" w:line="240" w:lineRule="auto"/>
              <w:jc w:val="both"/>
              <w:rPr>
                <w:rFonts w:ascii="Calibri" w:eastAsia="Times New Roman" w:hAnsi="Calibri" w:cs="Calibri"/>
                <w:i/>
                <w:iCs/>
                <w:color w:val="000000"/>
              </w:rPr>
            </w:pPr>
            <w:r>
              <w:rPr>
                <w:rFonts w:ascii="Calibri" w:eastAsia="Times New Roman" w:hAnsi="Calibri" w:cs="Calibri"/>
                <w:i/>
                <w:iCs/>
                <w:color w:val="000000"/>
              </w:rPr>
              <w:t>Sales</w:t>
            </w:r>
          </w:p>
        </w:tc>
      </w:tr>
      <w:tr w:rsidR="008A059F" w14:paraId="6369E655" w14:textId="77777777">
        <w:trPr>
          <w:trHeight w:val="300"/>
        </w:trPr>
        <w:tc>
          <w:tcPr>
            <w:tcW w:w="1920" w:type="dxa"/>
            <w:tcBorders>
              <w:top w:val="nil"/>
              <w:left w:val="nil"/>
              <w:bottom w:val="nil"/>
              <w:right w:val="nil"/>
            </w:tcBorders>
            <w:shd w:val="clear" w:color="auto" w:fill="auto"/>
            <w:noWrap/>
            <w:vAlign w:val="bottom"/>
          </w:tcPr>
          <w:p w14:paraId="27C4AA93" w14:textId="77777777" w:rsidR="008A059F" w:rsidRDefault="008A059F" w:rsidP="00E70564">
            <w:pPr>
              <w:spacing w:after="0" w:line="240" w:lineRule="auto"/>
              <w:jc w:val="both"/>
              <w:rPr>
                <w:rFonts w:ascii="Calibri" w:eastAsia="Times New Roman" w:hAnsi="Calibri" w:cs="Calibri"/>
                <w:i/>
                <w:iCs/>
                <w:color w:val="000000"/>
              </w:rPr>
            </w:pPr>
          </w:p>
        </w:tc>
        <w:tc>
          <w:tcPr>
            <w:tcW w:w="480" w:type="dxa"/>
            <w:tcBorders>
              <w:top w:val="nil"/>
              <w:left w:val="nil"/>
              <w:bottom w:val="nil"/>
              <w:right w:val="nil"/>
            </w:tcBorders>
            <w:shd w:val="clear" w:color="auto" w:fill="auto"/>
            <w:noWrap/>
            <w:vAlign w:val="bottom"/>
          </w:tcPr>
          <w:p w14:paraId="3ED09827" w14:textId="77777777" w:rsidR="008A059F" w:rsidRDefault="008A059F" w:rsidP="00E70564">
            <w:pPr>
              <w:spacing w:after="0" w:line="240" w:lineRule="auto"/>
              <w:jc w:val="both"/>
              <w:rPr>
                <w:rFonts w:ascii="Times New Roman" w:eastAsia="Times New Roman" w:hAnsi="Times New Roman" w:cs="Times New Roman"/>
                <w:sz w:val="20"/>
                <w:szCs w:val="20"/>
              </w:rPr>
            </w:pPr>
          </w:p>
        </w:tc>
      </w:tr>
      <w:tr w:rsidR="008A059F" w14:paraId="5C1B03B4" w14:textId="77777777">
        <w:trPr>
          <w:trHeight w:val="300"/>
        </w:trPr>
        <w:tc>
          <w:tcPr>
            <w:tcW w:w="1920" w:type="dxa"/>
            <w:tcBorders>
              <w:top w:val="nil"/>
              <w:left w:val="nil"/>
              <w:bottom w:val="nil"/>
              <w:right w:val="nil"/>
            </w:tcBorders>
            <w:shd w:val="clear" w:color="auto" w:fill="auto"/>
            <w:noWrap/>
            <w:vAlign w:val="bottom"/>
          </w:tcPr>
          <w:p w14:paraId="70B646BC"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Mean</w:t>
            </w:r>
          </w:p>
        </w:tc>
        <w:tc>
          <w:tcPr>
            <w:tcW w:w="480" w:type="dxa"/>
            <w:tcBorders>
              <w:top w:val="nil"/>
              <w:left w:val="nil"/>
              <w:bottom w:val="nil"/>
              <w:right w:val="nil"/>
            </w:tcBorders>
            <w:shd w:val="clear" w:color="auto" w:fill="auto"/>
            <w:noWrap/>
            <w:vAlign w:val="bottom"/>
          </w:tcPr>
          <w:p w14:paraId="1BC47DCE"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230.7691</w:t>
            </w:r>
          </w:p>
        </w:tc>
      </w:tr>
      <w:tr w:rsidR="008A059F" w14:paraId="0B5DBAE0" w14:textId="77777777">
        <w:trPr>
          <w:trHeight w:val="300"/>
        </w:trPr>
        <w:tc>
          <w:tcPr>
            <w:tcW w:w="1920" w:type="dxa"/>
            <w:tcBorders>
              <w:top w:val="nil"/>
              <w:left w:val="nil"/>
              <w:bottom w:val="nil"/>
              <w:right w:val="nil"/>
            </w:tcBorders>
            <w:shd w:val="clear" w:color="auto" w:fill="auto"/>
            <w:noWrap/>
            <w:vAlign w:val="bottom"/>
          </w:tcPr>
          <w:p w14:paraId="1369EF41"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Standard Error</w:t>
            </w:r>
          </w:p>
        </w:tc>
        <w:tc>
          <w:tcPr>
            <w:tcW w:w="480" w:type="dxa"/>
            <w:tcBorders>
              <w:top w:val="nil"/>
              <w:left w:val="nil"/>
              <w:bottom w:val="nil"/>
              <w:right w:val="nil"/>
            </w:tcBorders>
            <w:shd w:val="clear" w:color="auto" w:fill="auto"/>
            <w:noWrap/>
            <w:vAlign w:val="bottom"/>
          </w:tcPr>
          <w:p w14:paraId="620C4270"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6.33014</w:t>
            </w:r>
          </w:p>
        </w:tc>
      </w:tr>
      <w:tr w:rsidR="008A059F" w14:paraId="404AA45C" w14:textId="77777777">
        <w:trPr>
          <w:trHeight w:val="300"/>
        </w:trPr>
        <w:tc>
          <w:tcPr>
            <w:tcW w:w="1920" w:type="dxa"/>
            <w:tcBorders>
              <w:top w:val="nil"/>
              <w:left w:val="nil"/>
              <w:bottom w:val="nil"/>
              <w:right w:val="nil"/>
            </w:tcBorders>
            <w:shd w:val="clear" w:color="auto" w:fill="auto"/>
            <w:noWrap/>
            <w:vAlign w:val="bottom"/>
          </w:tcPr>
          <w:p w14:paraId="25D6E457"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Median</w:t>
            </w:r>
          </w:p>
        </w:tc>
        <w:tc>
          <w:tcPr>
            <w:tcW w:w="480" w:type="dxa"/>
            <w:tcBorders>
              <w:top w:val="nil"/>
              <w:left w:val="nil"/>
              <w:bottom w:val="nil"/>
              <w:right w:val="nil"/>
            </w:tcBorders>
            <w:shd w:val="clear" w:color="auto" w:fill="auto"/>
            <w:noWrap/>
            <w:vAlign w:val="bottom"/>
          </w:tcPr>
          <w:p w14:paraId="4002A397"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54.49</w:t>
            </w:r>
          </w:p>
        </w:tc>
      </w:tr>
      <w:tr w:rsidR="008A059F" w14:paraId="751BFFFB" w14:textId="77777777">
        <w:trPr>
          <w:trHeight w:val="300"/>
        </w:trPr>
        <w:tc>
          <w:tcPr>
            <w:tcW w:w="1920" w:type="dxa"/>
            <w:tcBorders>
              <w:top w:val="nil"/>
              <w:left w:val="nil"/>
              <w:bottom w:val="nil"/>
              <w:right w:val="nil"/>
            </w:tcBorders>
            <w:shd w:val="clear" w:color="auto" w:fill="auto"/>
            <w:noWrap/>
            <w:vAlign w:val="bottom"/>
          </w:tcPr>
          <w:p w14:paraId="0A90225C"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Mode</w:t>
            </w:r>
          </w:p>
        </w:tc>
        <w:tc>
          <w:tcPr>
            <w:tcW w:w="480" w:type="dxa"/>
            <w:tcBorders>
              <w:top w:val="nil"/>
              <w:left w:val="nil"/>
              <w:bottom w:val="nil"/>
              <w:right w:val="nil"/>
            </w:tcBorders>
            <w:shd w:val="clear" w:color="auto" w:fill="auto"/>
            <w:noWrap/>
            <w:vAlign w:val="bottom"/>
          </w:tcPr>
          <w:p w14:paraId="5682DB18"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12.96</w:t>
            </w:r>
          </w:p>
        </w:tc>
      </w:tr>
      <w:tr w:rsidR="008A059F" w14:paraId="388E4702" w14:textId="77777777">
        <w:trPr>
          <w:trHeight w:val="300"/>
        </w:trPr>
        <w:tc>
          <w:tcPr>
            <w:tcW w:w="1920" w:type="dxa"/>
            <w:tcBorders>
              <w:top w:val="nil"/>
              <w:left w:val="nil"/>
              <w:bottom w:val="nil"/>
              <w:right w:val="nil"/>
            </w:tcBorders>
            <w:shd w:val="clear" w:color="auto" w:fill="auto"/>
            <w:noWrap/>
            <w:vAlign w:val="bottom"/>
          </w:tcPr>
          <w:p w14:paraId="4E383F56"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Standard Deviation</w:t>
            </w:r>
          </w:p>
        </w:tc>
        <w:tc>
          <w:tcPr>
            <w:tcW w:w="480" w:type="dxa"/>
            <w:tcBorders>
              <w:top w:val="nil"/>
              <w:left w:val="nil"/>
              <w:bottom w:val="nil"/>
              <w:right w:val="nil"/>
            </w:tcBorders>
            <w:shd w:val="clear" w:color="auto" w:fill="auto"/>
            <w:noWrap/>
            <w:vAlign w:val="bottom"/>
          </w:tcPr>
          <w:p w14:paraId="5EE2A985"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626.6519</w:t>
            </w:r>
          </w:p>
        </w:tc>
      </w:tr>
      <w:tr w:rsidR="008A059F" w14:paraId="0E0B7357" w14:textId="77777777">
        <w:trPr>
          <w:trHeight w:val="300"/>
        </w:trPr>
        <w:tc>
          <w:tcPr>
            <w:tcW w:w="1920" w:type="dxa"/>
            <w:tcBorders>
              <w:top w:val="nil"/>
              <w:left w:val="nil"/>
              <w:bottom w:val="nil"/>
              <w:right w:val="nil"/>
            </w:tcBorders>
            <w:shd w:val="clear" w:color="auto" w:fill="auto"/>
            <w:noWrap/>
            <w:vAlign w:val="bottom"/>
          </w:tcPr>
          <w:p w14:paraId="4546DC96"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Sample Variance</w:t>
            </w:r>
          </w:p>
        </w:tc>
        <w:tc>
          <w:tcPr>
            <w:tcW w:w="480" w:type="dxa"/>
            <w:tcBorders>
              <w:top w:val="nil"/>
              <w:left w:val="nil"/>
              <w:bottom w:val="nil"/>
              <w:right w:val="nil"/>
            </w:tcBorders>
            <w:shd w:val="clear" w:color="auto" w:fill="auto"/>
            <w:noWrap/>
            <w:vAlign w:val="bottom"/>
          </w:tcPr>
          <w:p w14:paraId="4A893D8F"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392692.6</w:t>
            </w:r>
          </w:p>
        </w:tc>
      </w:tr>
      <w:tr w:rsidR="008A059F" w14:paraId="6B24E670" w14:textId="77777777">
        <w:trPr>
          <w:trHeight w:val="300"/>
        </w:trPr>
        <w:tc>
          <w:tcPr>
            <w:tcW w:w="1920" w:type="dxa"/>
            <w:tcBorders>
              <w:top w:val="nil"/>
              <w:left w:val="nil"/>
              <w:bottom w:val="nil"/>
              <w:right w:val="nil"/>
            </w:tcBorders>
            <w:shd w:val="clear" w:color="auto" w:fill="auto"/>
            <w:noWrap/>
            <w:vAlign w:val="bottom"/>
          </w:tcPr>
          <w:p w14:paraId="685482A8"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Kurtosis</w:t>
            </w:r>
          </w:p>
        </w:tc>
        <w:tc>
          <w:tcPr>
            <w:tcW w:w="480" w:type="dxa"/>
            <w:tcBorders>
              <w:top w:val="nil"/>
              <w:left w:val="nil"/>
              <w:bottom w:val="nil"/>
              <w:right w:val="nil"/>
            </w:tcBorders>
            <w:shd w:val="clear" w:color="auto" w:fill="auto"/>
            <w:noWrap/>
            <w:vAlign w:val="bottom"/>
          </w:tcPr>
          <w:p w14:paraId="0D254DC3"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304.4451</w:t>
            </w:r>
          </w:p>
        </w:tc>
      </w:tr>
      <w:tr w:rsidR="008A059F" w14:paraId="404B9119" w14:textId="77777777">
        <w:trPr>
          <w:trHeight w:val="300"/>
        </w:trPr>
        <w:tc>
          <w:tcPr>
            <w:tcW w:w="1920" w:type="dxa"/>
            <w:tcBorders>
              <w:top w:val="nil"/>
              <w:left w:val="nil"/>
              <w:bottom w:val="nil"/>
              <w:right w:val="nil"/>
            </w:tcBorders>
            <w:shd w:val="clear" w:color="auto" w:fill="auto"/>
            <w:noWrap/>
            <w:vAlign w:val="bottom"/>
          </w:tcPr>
          <w:p w14:paraId="01A94429"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Skewness</w:t>
            </w:r>
          </w:p>
        </w:tc>
        <w:tc>
          <w:tcPr>
            <w:tcW w:w="480" w:type="dxa"/>
            <w:tcBorders>
              <w:top w:val="nil"/>
              <w:left w:val="nil"/>
              <w:bottom w:val="nil"/>
              <w:right w:val="nil"/>
            </w:tcBorders>
            <w:shd w:val="clear" w:color="auto" w:fill="auto"/>
            <w:noWrap/>
            <w:vAlign w:val="bottom"/>
          </w:tcPr>
          <w:p w14:paraId="55A89AE8"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12.98348</w:t>
            </w:r>
          </w:p>
        </w:tc>
      </w:tr>
      <w:tr w:rsidR="008A059F" w14:paraId="70C1A01C" w14:textId="77777777">
        <w:trPr>
          <w:trHeight w:val="300"/>
        </w:trPr>
        <w:tc>
          <w:tcPr>
            <w:tcW w:w="1920" w:type="dxa"/>
            <w:tcBorders>
              <w:top w:val="nil"/>
              <w:left w:val="nil"/>
              <w:bottom w:val="nil"/>
              <w:right w:val="nil"/>
            </w:tcBorders>
            <w:shd w:val="clear" w:color="auto" w:fill="auto"/>
            <w:noWrap/>
            <w:vAlign w:val="bottom"/>
          </w:tcPr>
          <w:p w14:paraId="2E0A30B8"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Range</w:t>
            </w:r>
          </w:p>
        </w:tc>
        <w:tc>
          <w:tcPr>
            <w:tcW w:w="480" w:type="dxa"/>
            <w:tcBorders>
              <w:top w:val="nil"/>
              <w:left w:val="nil"/>
              <w:bottom w:val="nil"/>
              <w:right w:val="nil"/>
            </w:tcBorders>
            <w:shd w:val="clear" w:color="auto" w:fill="auto"/>
            <w:noWrap/>
            <w:vAlign w:val="bottom"/>
          </w:tcPr>
          <w:p w14:paraId="57FBC501"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22638.04</w:t>
            </w:r>
          </w:p>
        </w:tc>
      </w:tr>
      <w:tr w:rsidR="008A059F" w14:paraId="7196E9D6" w14:textId="77777777">
        <w:trPr>
          <w:trHeight w:val="300"/>
        </w:trPr>
        <w:tc>
          <w:tcPr>
            <w:tcW w:w="1920" w:type="dxa"/>
            <w:tcBorders>
              <w:top w:val="nil"/>
              <w:left w:val="nil"/>
              <w:bottom w:val="nil"/>
              <w:right w:val="nil"/>
            </w:tcBorders>
            <w:shd w:val="clear" w:color="auto" w:fill="auto"/>
            <w:noWrap/>
            <w:vAlign w:val="bottom"/>
          </w:tcPr>
          <w:p w14:paraId="4F284FD3"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Minimum</w:t>
            </w:r>
          </w:p>
        </w:tc>
        <w:tc>
          <w:tcPr>
            <w:tcW w:w="480" w:type="dxa"/>
            <w:tcBorders>
              <w:top w:val="nil"/>
              <w:left w:val="nil"/>
              <w:bottom w:val="nil"/>
              <w:right w:val="nil"/>
            </w:tcBorders>
            <w:shd w:val="clear" w:color="auto" w:fill="auto"/>
            <w:noWrap/>
            <w:vAlign w:val="bottom"/>
          </w:tcPr>
          <w:p w14:paraId="588B4305"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0.444</w:t>
            </w:r>
          </w:p>
        </w:tc>
      </w:tr>
      <w:tr w:rsidR="008A059F" w14:paraId="087D8C4E" w14:textId="77777777">
        <w:trPr>
          <w:trHeight w:val="300"/>
        </w:trPr>
        <w:tc>
          <w:tcPr>
            <w:tcW w:w="1920" w:type="dxa"/>
            <w:tcBorders>
              <w:top w:val="nil"/>
              <w:left w:val="nil"/>
              <w:bottom w:val="nil"/>
              <w:right w:val="nil"/>
            </w:tcBorders>
            <w:shd w:val="clear" w:color="auto" w:fill="auto"/>
            <w:noWrap/>
            <w:vAlign w:val="bottom"/>
          </w:tcPr>
          <w:p w14:paraId="45959A79"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Maximum</w:t>
            </w:r>
          </w:p>
        </w:tc>
        <w:tc>
          <w:tcPr>
            <w:tcW w:w="480" w:type="dxa"/>
            <w:tcBorders>
              <w:top w:val="nil"/>
              <w:left w:val="nil"/>
              <w:bottom w:val="nil"/>
              <w:right w:val="nil"/>
            </w:tcBorders>
            <w:shd w:val="clear" w:color="auto" w:fill="auto"/>
            <w:noWrap/>
            <w:vAlign w:val="bottom"/>
          </w:tcPr>
          <w:p w14:paraId="1753E4CF"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22638.48</w:t>
            </w:r>
          </w:p>
        </w:tc>
      </w:tr>
      <w:tr w:rsidR="008A059F" w14:paraId="14A191F8" w14:textId="77777777">
        <w:trPr>
          <w:trHeight w:val="300"/>
        </w:trPr>
        <w:tc>
          <w:tcPr>
            <w:tcW w:w="1920" w:type="dxa"/>
            <w:tcBorders>
              <w:top w:val="nil"/>
              <w:left w:val="nil"/>
              <w:bottom w:val="nil"/>
              <w:right w:val="nil"/>
            </w:tcBorders>
            <w:shd w:val="clear" w:color="auto" w:fill="auto"/>
            <w:noWrap/>
            <w:vAlign w:val="bottom"/>
          </w:tcPr>
          <w:p w14:paraId="537C3B2A"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Sum</w:t>
            </w:r>
          </w:p>
        </w:tc>
        <w:tc>
          <w:tcPr>
            <w:tcW w:w="480" w:type="dxa"/>
            <w:tcBorders>
              <w:top w:val="nil"/>
              <w:left w:val="nil"/>
              <w:bottom w:val="nil"/>
              <w:right w:val="nil"/>
            </w:tcBorders>
            <w:shd w:val="clear" w:color="auto" w:fill="auto"/>
            <w:noWrap/>
            <w:vAlign w:val="bottom"/>
          </w:tcPr>
          <w:p w14:paraId="5FF6A840"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2261537</w:t>
            </w:r>
          </w:p>
        </w:tc>
      </w:tr>
      <w:tr w:rsidR="008A059F" w14:paraId="0CDB945F" w14:textId="77777777">
        <w:trPr>
          <w:trHeight w:val="315"/>
        </w:trPr>
        <w:tc>
          <w:tcPr>
            <w:tcW w:w="1920" w:type="dxa"/>
            <w:tcBorders>
              <w:top w:val="nil"/>
              <w:left w:val="nil"/>
              <w:bottom w:val="single" w:sz="8" w:space="0" w:color="auto"/>
              <w:right w:val="nil"/>
            </w:tcBorders>
            <w:shd w:val="clear" w:color="auto" w:fill="auto"/>
            <w:noWrap/>
            <w:vAlign w:val="bottom"/>
          </w:tcPr>
          <w:p w14:paraId="15698E18"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Count</w:t>
            </w:r>
          </w:p>
        </w:tc>
        <w:tc>
          <w:tcPr>
            <w:tcW w:w="480" w:type="dxa"/>
            <w:tcBorders>
              <w:top w:val="nil"/>
              <w:left w:val="nil"/>
              <w:bottom w:val="single" w:sz="8" w:space="0" w:color="auto"/>
              <w:right w:val="nil"/>
            </w:tcBorders>
            <w:shd w:val="clear" w:color="auto" w:fill="auto"/>
            <w:noWrap/>
            <w:vAlign w:val="bottom"/>
          </w:tcPr>
          <w:p w14:paraId="0D7CEEA3" w14:textId="77777777" w:rsidR="008A059F" w:rsidRDefault="00000000" w:rsidP="00E70564">
            <w:pPr>
              <w:spacing w:after="0" w:line="240" w:lineRule="auto"/>
              <w:jc w:val="both"/>
              <w:rPr>
                <w:rFonts w:ascii="Calibri" w:eastAsia="Times New Roman" w:hAnsi="Calibri" w:cs="Calibri"/>
                <w:color w:val="000000"/>
              </w:rPr>
            </w:pPr>
            <w:r>
              <w:rPr>
                <w:rFonts w:ascii="Calibri" w:eastAsia="Times New Roman" w:hAnsi="Calibri" w:cs="Calibri"/>
                <w:color w:val="000000"/>
              </w:rPr>
              <w:t>9800</w:t>
            </w:r>
          </w:p>
        </w:tc>
      </w:tr>
    </w:tbl>
    <w:p w14:paraId="5ED7B9FB" w14:textId="77777777" w:rsidR="008A059F" w:rsidRDefault="008A059F" w:rsidP="00E70564">
      <w:pPr>
        <w:spacing w:line="276" w:lineRule="auto"/>
        <w:jc w:val="both"/>
        <w:rPr>
          <w:rFonts w:ascii="Times New Roman" w:hAnsi="Times New Roman" w:cs="Times New Roman"/>
          <w:sz w:val="24"/>
          <w:szCs w:val="32"/>
        </w:rPr>
      </w:pPr>
    </w:p>
    <w:p w14:paraId="1506B83D" w14:textId="77777777" w:rsidR="008A059F" w:rsidRDefault="008A059F" w:rsidP="00E70564">
      <w:pPr>
        <w:spacing w:line="278" w:lineRule="auto"/>
        <w:jc w:val="both"/>
        <w:rPr>
          <w:rFonts w:ascii="Times New Roman" w:hAnsi="Times New Roman" w:cs="Times New Roman"/>
          <w:sz w:val="24"/>
          <w:szCs w:val="32"/>
        </w:rPr>
      </w:pPr>
    </w:p>
    <w:p w14:paraId="3DD6BEC6" w14:textId="77777777" w:rsidR="008A059F" w:rsidRDefault="008A059F" w:rsidP="00E70564">
      <w:pPr>
        <w:spacing w:line="278" w:lineRule="auto"/>
        <w:jc w:val="both"/>
        <w:rPr>
          <w:rFonts w:ascii="Times New Roman" w:hAnsi="Times New Roman" w:cs="Times New Roman"/>
          <w:sz w:val="24"/>
          <w:szCs w:val="32"/>
        </w:rPr>
      </w:pPr>
    </w:p>
    <w:p w14:paraId="726177C3"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br/>
      </w:r>
    </w:p>
    <w:p w14:paraId="203C58C5" w14:textId="77777777" w:rsidR="008A059F" w:rsidRDefault="008A059F" w:rsidP="00E70564">
      <w:pPr>
        <w:spacing w:line="278" w:lineRule="auto"/>
        <w:jc w:val="both"/>
        <w:rPr>
          <w:rFonts w:ascii="Times New Roman" w:hAnsi="Times New Roman" w:cs="Times New Roman"/>
          <w:sz w:val="24"/>
          <w:szCs w:val="32"/>
        </w:rPr>
      </w:pPr>
    </w:p>
    <w:p w14:paraId="46264AD1" w14:textId="77777777" w:rsidR="008A059F" w:rsidRDefault="008A059F" w:rsidP="00E70564">
      <w:pPr>
        <w:spacing w:line="278" w:lineRule="auto"/>
        <w:jc w:val="both"/>
        <w:rPr>
          <w:rFonts w:ascii="Times New Roman" w:hAnsi="Times New Roman" w:cs="Times New Roman"/>
          <w:sz w:val="32"/>
          <w:szCs w:val="32"/>
        </w:rPr>
      </w:pPr>
    </w:p>
    <w:p w14:paraId="4611182E" w14:textId="77777777" w:rsidR="008A059F" w:rsidRDefault="008A059F" w:rsidP="00E70564">
      <w:pPr>
        <w:pStyle w:val="ListParagraph"/>
        <w:spacing w:line="278" w:lineRule="auto"/>
        <w:jc w:val="both"/>
        <w:rPr>
          <w:rFonts w:ascii="Times New Roman" w:hAnsi="Times New Roman" w:cs="Times New Roman"/>
          <w:sz w:val="32"/>
          <w:szCs w:val="32"/>
        </w:rPr>
      </w:pPr>
    </w:p>
    <w:p w14:paraId="18D977E7" w14:textId="77777777" w:rsidR="008A059F" w:rsidRDefault="008A059F" w:rsidP="00E70564">
      <w:pPr>
        <w:pStyle w:val="ListParagraph"/>
        <w:spacing w:line="278" w:lineRule="auto"/>
        <w:jc w:val="both"/>
        <w:rPr>
          <w:rFonts w:ascii="Times New Roman" w:hAnsi="Times New Roman" w:cs="Times New Roman"/>
          <w:sz w:val="32"/>
          <w:szCs w:val="32"/>
        </w:rPr>
      </w:pPr>
    </w:p>
    <w:p w14:paraId="69D98E90" w14:textId="77777777" w:rsidR="008A059F" w:rsidRDefault="008A059F" w:rsidP="00E70564">
      <w:pPr>
        <w:pStyle w:val="ListParagraph"/>
        <w:spacing w:line="278" w:lineRule="auto"/>
        <w:jc w:val="both"/>
        <w:rPr>
          <w:rFonts w:ascii="Times New Roman" w:hAnsi="Times New Roman" w:cs="Times New Roman"/>
          <w:sz w:val="32"/>
          <w:szCs w:val="32"/>
        </w:rPr>
      </w:pPr>
    </w:p>
    <w:p w14:paraId="5A3F2C9D" w14:textId="77777777" w:rsidR="008A059F" w:rsidRDefault="008A059F" w:rsidP="00E70564">
      <w:pPr>
        <w:pStyle w:val="ListParagraph"/>
        <w:spacing w:line="278" w:lineRule="auto"/>
        <w:jc w:val="both"/>
        <w:rPr>
          <w:rFonts w:ascii="Times New Roman" w:hAnsi="Times New Roman" w:cs="Times New Roman"/>
          <w:sz w:val="32"/>
          <w:szCs w:val="32"/>
        </w:rPr>
      </w:pPr>
    </w:p>
    <w:p w14:paraId="449F5801" w14:textId="77777777" w:rsidR="008A059F" w:rsidRDefault="008A059F" w:rsidP="00E70564">
      <w:pPr>
        <w:pStyle w:val="ListParagraph"/>
        <w:spacing w:line="278" w:lineRule="auto"/>
        <w:jc w:val="both"/>
        <w:rPr>
          <w:rFonts w:ascii="Times New Roman" w:hAnsi="Times New Roman" w:cs="Times New Roman"/>
          <w:sz w:val="32"/>
          <w:szCs w:val="32"/>
        </w:rPr>
      </w:pPr>
    </w:p>
    <w:p w14:paraId="2FFFF774" w14:textId="77777777" w:rsidR="008A059F" w:rsidRDefault="008A059F" w:rsidP="00E70564">
      <w:pPr>
        <w:pStyle w:val="ListParagraph"/>
        <w:spacing w:line="278" w:lineRule="auto"/>
        <w:jc w:val="both"/>
        <w:rPr>
          <w:rFonts w:ascii="Times New Roman" w:hAnsi="Times New Roman" w:cs="Times New Roman"/>
          <w:sz w:val="32"/>
          <w:szCs w:val="32"/>
        </w:rPr>
      </w:pPr>
    </w:p>
    <w:p w14:paraId="09C4F5DC" w14:textId="77777777" w:rsidR="008A059F" w:rsidRDefault="008A059F" w:rsidP="00E70564">
      <w:pPr>
        <w:pStyle w:val="ListParagraph"/>
        <w:spacing w:line="278" w:lineRule="auto"/>
        <w:jc w:val="both"/>
        <w:rPr>
          <w:rFonts w:ascii="Times New Roman" w:hAnsi="Times New Roman" w:cs="Times New Roman"/>
          <w:sz w:val="32"/>
          <w:szCs w:val="32"/>
        </w:rPr>
      </w:pPr>
    </w:p>
    <w:p w14:paraId="6418AECB" w14:textId="77777777" w:rsidR="008A059F" w:rsidRDefault="008A059F" w:rsidP="00E70564">
      <w:pPr>
        <w:pStyle w:val="ListParagraph"/>
        <w:spacing w:line="278" w:lineRule="auto"/>
        <w:jc w:val="both"/>
        <w:rPr>
          <w:rFonts w:ascii="Times New Roman" w:hAnsi="Times New Roman" w:cs="Times New Roman"/>
          <w:sz w:val="32"/>
          <w:szCs w:val="32"/>
        </w:rPr>
      </w:pPr>
    </w:p>
    <w:p w14:paraId="21F69297" w14:textId="77777777" w:rsidR="008A059F" w:rsidRDefault="008A059F" w:rsidP="00E70564">
      <w:pPr>
        <w:pStyle w:val="ListParagraph"/>
        <w:spacing w:line="278" w:lineRule="auto"/>
        <w:jc w:val="both"/>
        <w:rPr>
          <w:rFonts w:ascii="Times New Roman" w:hAnsi="Times New Roman" w:cs="Times New Roman"/>
          <w:sz w:val="32"/>
          <w:szCs w:val="32"/>
        </w:rPr>
      </w:pPr>
    </w:p>
    <w:p w14:paraId="0B627377" w14:textId="77777777" w:rsidR="008A059F" w:rsidRDefault="008A059F" w:rsidP="00E70564">
      <w:pPr>
        <w:pStyle w:val="ListParagraph"/>
        <w:spacing w:line="278" w:lineRule="auto"/>
        <w:jc w:val="both"/>
        <w:rPr>
          <w:rFonts w:ascii="Times New Roman" w:hAnsi="Times New Roman" w:cs="Times New Roman"/>
          <w:sz w:val="32"/>
          <w:szCs w:val="32"/>
        </w:rPr>
      </w:pPr>
    </w:p>
    <w:p w14:paraId="5AF45014" w14:textId="77777777" w:rsidR="008A059F" w:rsidRDefault="00000000" w:rsidP="00E70564">
      <w:pPr>
        <w:pStyle w:val="ListParagraph"/>
        <w:numPr>
          <w:ilvl w:val="0"/>
          <w:numId w:val="4"/>
        </w:numPr>
        <w:spacing w:line="278" w:lineRule="auto"/>
        <w:jc w:val="both"/>
        <w:rPr>
          <w:rFonts w:ascii="Times New Roman" w:hAnsi="Times New Roman" w:cs="Times New Roman"/>
          <w:sz w:val="32"/>
          <w:szCs w:val="32"/>
        </w:rPr>
      </w:pPr>
      <w:r>
        <w:rPr>
          <w:rFonts w:ascii="Times New Roman" w:hAnsi="Times New Roman" w:cs="Times New Roman"/>
          <w:sz w:val="32"/>
          <w:szCs w:val="32"/>
        </w:rPr>
        <w:t>CONCLUSION AND REVIEWS:</w:t>
      </w:r>
    </w:p>
    <w:p w14:paraId="69B103C7" w14:textId="77777777" w:rsidR="008A059F" w:rsidRDefault="00000000" w:rsidP="00E70564">
      <w:pPr>
        <w:spacing w:line="278" w:lineRule="auto"/>
        <w:jc w:val="both"/>
        <w:rPr>
          <w:rFonts w:ascii="Times New Roman" w:hAnsi="Times New Roman" w:cs="Times New Roman"/>
          <w:sz w:val="32"/>
          <w:szCs w:val="32"/>
        </w:rPr>
      </w:pPr>
      <w:r>
        <w:rPr>
          <w:rFonts w:ascii="Times New Roman" w:hAnsi="Times New Roman" w:cs="Times New Roman"/>
          <w:sz w:val="32"/>
          <w:szCs w:val="32"/>
        </w:rPr>
        <w:t>Conclusion:</w:t>
      </w:r>
    </w:p>
    <w:p w14:paraId="46EAD471"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In delving into the sales data across various segments in different US states, our analysis has unearthed valuable insights. The dataset provided a comprehensive view, encompassing crucial variables such as geographical location, product categorization, transactional details, and performance metrics. Through meticulous scrutiny, we addressed pertinent questions and gleaned actionable conclusions.</w:t>
      </w:r>
    </w:p>
    <w:p w14:paraId="39E4C326"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California emerged as a focal point, exhibiting the highest sales volume among the states analyzed. Notably, the consumer segment showcased consistent performance across all states, underscoring its significance in the market landscape.</w:t>
      </w:r>
    </w:p>
    <w:p w14:paraId="181F6951"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Across categories, office supplies emerged as the top performer in all states, indicating a universal demand for these products. Furthermore, the consumer segment demonstrated dominance in terms of sales across the US, including California, Texas, and Washington.</w:t>
      </w:r>
    </w:p>
    <w:p w14:paraId="0817FA1B"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Analysis of total versus average sales per segment revealed significant disparities, with total sales outweighing average sales across the board. This highlights the presence of outlier transactions or high-value sales within each segment.</w:t>
      </w:r>
    </w:p>
    <w:p w14:paraId="1AE2A1B2"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Delving deeper into category and sub-category analysis, technology emerged as the category with the highest average sales, suggesting a strong market demand for technological products. Subsequently, copiers emerged as the top contributor to average sales distribution, emphasizing their importance within the technology category.</w:t>
      </w:r>
    </w:p>
    <w:p w14:paraId="0361F2DF" w14:textId="77777777" w:rsidR="008A059F" w:rsidRDefault="00000000" w:rsidP="00E70564">
      <w:pPr>
        <w:spacing w:line="278" w:lineRule="auto"/>
        <w:jc w:val="both"/>
        <w:rPr>
          <w:rFonts w:ascii="Times New Roman" w:hAnsi="Times New Roman" w:cs="Times New Roman"/>
          <w:sz w:val="32"/>
          <w:szCs w:val="32"/>
        </w:rPr>
      </w:pPr>
      <w:r>
        <w:rPr>
          <w:rFonts w:ascii="Times New Roman" w:hAnsi="Times New Roman" w:cs="Times New Roman"/>
          <w:sz w:val="32"/>
          <w:szCs w:val="32"/>
        </w:rPr>
        <w:t>Reviews:</w:t>
      </w:r>
    </w:p>
    <w:p w14:paraId="5FAF1A3E"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1. Thorough Analysis with Actionable Insights: The exploration of sales data across US states provides a comprehensive understanding of market dynamics. The inclusion of key attributes and performance metrics ensures a robust analysis, enabling stakeholders to derive actionable insights for strategic decision-making.</w:t>
      </w:r>
    </w:p>
    <w:p w14:paraId="5B8EB66E"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lastRenderedPageBreak/>
        <w:t>2. Clear Presentation of Findings: The presentation of findings is concise and structured, facilitating easy comprehension of complex data. The use of slicers enhances the visual representation, aiding in the interpretation of results and facilitating informed decision-making.</w:t>
      </w:r>
    </w:p>
    <w:p w14:paraId="0CF9881C" w14:textId="77777777" w:rsidR="008A059F" w:rsidRDefault="00000000" w:rsidP="00E70564">
      <w:pPr>
        <w:spacing w:line="278" w:lineRule="auto"/>
        <w:jc w:val="both"/>
        <w:rPr>
          <w:rFonts w:ascii="Times New Roman" w:hAnsi="Times New Roman" w:cs="Times New Roman"/>
          <w:sz w:val="24"/>
          <w:szCs w:val="32"/>
        </w:rPr>
      </w:pPr>
      <w:r>
        <w:rPr>
          <w:rFonts w:ascii="Times New Roman" w:hAnsi="Times New Roman" w:cs="Times New Roman"/>
          <w:sz w:val="24"/>
          <w:szCs w:val="32"/>
        </w:rPr>
        <w:t>3. Insightful Conclusions: The conclusion succinctly summarizes key findings and draws meaningful conclusions from the analysis. By highlighting overarching trends and significant observations, it provides valuable guidance for market strategies and future research endeavors.</w:t>
      </w:r>
    </w:p>
    <w:p w14:paraId="5BE74E19" w14:textId="77777777" w:rsidR="008A059F" w:rsidRDefault="00000000" w:rsidP="00E70564">
      <w:pPr>
        <w:spacing w:line="278" w:lineRule="auto"/>
        <w:jc w:val="both"/>
        <w:rPr>
          <w:rFonts w:ascii="Times New Roman" w:hAnsi="Times New Roman" w:cs="Times New Roman"/>
          <w:sz w:val="32"/>
          <w:szCs w:val="32"/>
        </w:rPr>
      </w:pPr>
      <w:r>
        <w:rPr>
          <w:rFonts w:ascii="Times New Roman" w:hAnsi="Times New Roman" w:cs="Times New Roman"/>
          <w:sz w:val="24"/>
          <w:szCs w:val="32"/>
        </w:rPr>
        <w:t>Overall, the exploration of sales data offers valuable insights into market trends and consumer behavior, serving as a foundation for informed business strategies and market interventions.</w:t>
      </w:r>
    </w:p>
    <w:sectPr w:rsidR="008A0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D039" w14:textId="77777777" w:rsidR="000541D7" w:rsidRDefault="000541D7">
      <w:pPr>
        <w:spacing w:line="240" w:lineRule="auto"/>
      </w:pPr>
      <w:r>
        <w:separator/>
      </w:r>
    </w:p>
  </w:endnote>
  <w:endnote w:type="continuationSeparator" w:id="0">
    <w:p w14:paraId="3981AC8A" w14:textId="77777777" w:rsidR="000541D7" w:rsidRDefault="00054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E1E8" w14:textId="77777777" w:rsidR="000541D7" w:rsidRDefault="000541D7">
      <w:pPr>
        <w:spacing w:after="0"/>
      </w:pPr>
      <w:r>
        <w:separator/>
      </w:r>
    </w:p>
  </w:footnote>
  <w:footnote w:type="continuationSeparator" w:id="0">
    <w:p w14:paraId="1297215B" w14:textId="77777777" w:rsidR="000541D7" w:rsidRDefault="000541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B6B"/>
    <w:multiLevelType w:val="multilevel"/>
    <w:tmpl w:val="00A72B6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052CB4"/>
    <w:multiLevelType w:val="multilevel"/>
    <w:tmpl w:val="41052CB4"/>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15:restartNumberingAfterBreak="0">
    <w:nsid w:val="62505B87"/>
    <w:multiLevelType w:val="multilevel"/>
    <w:tmpl w:val="62505B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642721"/>
    <w:multiLevelType w:val="multilevel"/>
    <w:tmpl w:val="7D642721"/>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heme="minorEastAsia" w:hAnsi="Times New Roman" w:cs="Times New Roman"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3481398">
    <w:abstractNumId w:val="1"/>
  </w:num>
  <w:num w:numId="2" w16cid:durableId="1137456155">
    <w:abstractNumId w:val="3"/>
  </w:num>
  <w:num w:numId="3" w16cid:durableId="453669887">
    <w:abstractNumId w:val="2"/>
  </w:num>
  <w:num w:numId="4" w16cid:durableId="183830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6D"/>
    <w:rsid w:val="00004CED"/>
    <w:rsid w:val="00014A96"/>
    <w:rsid w:val="000541D7"/>
    <w:rsid w:val="000671D8"/>
    <w:rsid w:val="000846A8"/>
    <w:rsid w:val="000927CA"/>
    <w:rsid w:val="000A371C"/>
    <w:rsid w:val="001076E2"/>
    <w:rsid w:val="0011571B"/>
    <w:rsid w:val="00131771"/>
    <w:rsid w:val="00145529"/>
    <w:rsid w:val="001A0EA9"/>
    <w:rsid w:val="001B0CE9"/>
    <w:rsid w:val="001F669B"/>
    <w:rsid w:val="00235162"/>
    <w:rsid w:val="00247F7B"/>
    <w:rsid w:val="00251CA2"/>
    <w:rsid w:val="0025294F"/>
    <w:rsid w:val="002646E0"/>
    <w:rsid w:val="00286461"/>
    <w:rsid w:val="002C6D7A"/>
    <w:rsid w:val="002E1FC9"/>
    <w:rsid w:val="002F577F"/>
    <w:rsid w:val="00304793"/>
    <w:rsid w:val="00333B16"/>
    <w:rsid w:val="00456C80"/>
    <w:rsid w:val="0047103E"/>
    <w:rsid w:val="00471BF2"/>
    <w:rsid w:val="00474EC9"/>
    <w:rsid w:val="0058106F"/>
    <w:rsid w:val="005D49E2"/>
    <w:rsid w:val="005D6355"/>
    <w:rsid w:val="006B0DA0"/>
    <w:rsid w:val="006E0590"/>
    <w:rsid w:val="006F6D54"/>
    <w:rsid w:val="00731401"/>
    <w:rsid w:val="00775A36"/>
    <w:rsid w:val="0078581C"/>
    <w:rsid w:val="0079112B"/>
    <w:rsid w:val="00827A53"/>
    <w:rsid w:val="008312E0"/>
    <w:rsid w:val="00834D22"/>
    <w:rsid w:val="00836FE6"/>
    <w:rsid w:val="008A059F"/>
    <w:rsid w:val="008B02C9"/>
    <w:rsid w:val="008D6F30"/>
    <w:rsid w:val="009756D5"/>
    <w:rsid w:val="009A2B13"/>
    <w:rsid w:val="009B1210"/>
    <w:rsid w:val="009F2CCD"/>
    <w:rsid w:val="00A618B1"/>
    <w:rsid w:val="00A65C9E"/>
    <w:rsid w:val="00A7673D"/>
    <w:rsid w:val="00A867F6"/>
    <w:rsid w:val="00AB1A18"/>
    <w:rsid w:val="00BB2875"/>
    <w:rsid w:val="00BB64C4"/>
    <w:rsid w:val="00BD039F"/>
    <w:rsid w:val="00BF7F95"/>
    <w:rsid w:val="00C34A8B"/>
    <w:rsid w:val="00C45E6D"/>
    <w:rsid w:val="00C47DB3"/>
    <w:rsid w:val="00C8000D"/>
    <w:rsid w:val="00CF283E"/>
    <w:rsid w:val="00D105C8"/>
    <w:rsid w:val="00D15293"/>
    <w:rsid w:val="00D9063B"/>
    <w:rsid w:val="00DD5218"/>
    <w:rsid w:val="00E122BD"/>
    <w:rsid w:val="00E34D2D"/>
    <w:rsid w:val="00E350B2"/>
    <w:rsid w:val="00E70564"/>
    <w:rsid w:val="00E92071"/>
    <w:rsid w:val="00EE16F0"/>
    <w:rsid w:val="00F24F43"/>
    <w:rsid w:val="00F51F0F"/>
    <w:rsid w:val="00F94D99"/>
    <w:rsid w:val="00FB1267"/>
    <w:rsid w:val="00FF4E63"/>
    <w:rsid w:val="00FF740F"/>
    <w:rsid w:val="28D409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907120"/>
  <w15:docId w15:val="{5D1A989F-33F4-449A-8E50-B589D430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thak\Downloads\Order_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hruv%20Maheshwari\Downloads\Order_Data%20%20harsh%20complete%20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thak\Downloads\Order_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rthak\Downloads\Order_Data%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rthak\Downloads\Order_Data%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rthak\Downloads\Order_Data%20(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 (2).xlsx]Q1!PivotTable1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Sales of Segments across Different States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'Q1'!$B$3:$B$4</c:f>
              <c:strCache>
                <c:ptCount val="1"/>
                <c:pt idx="0">
                  <c:v>Consumer</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'Q1'!$A$5:$A$54</c:f>
              <c:strCache>
                <c:ptCount val="49"/>
                <c:pt idx="0">
                  <c:v>Alabama</c:v>
                </c:pt>
                <c:pt idx="1">
                  <c:v>Arizona</c:v>
                </c:pt>
                <c:pt idx="2">
                  <c:v>Arkansas</c:v>
                </c:pt>
                <c:pt idx="3">
                  <c:v>California</c:v>
                </c:pt>
                <c:pt idx="4">
                  <c:v>Colorado</c:v>
                </c:pt>
                <c:pt idx="5">
                  <c:v>Connecticut</c:v>
                </c:pt>
                <c:pt idx="6">
                  <c:v>Delaware</c:v>
                </c:pt>
                <c:pt idx="7">
                  <c:v>District of Columbia</c:v>
                </c:pt>
                <c:pt idx="8">
                  <c:v>Florida</c:v>
                </c:pt>
                <c:pt idx="9">
                  <c:v>Georgia</c:v>
                </c:pt>
                <c:pt idx="10">
                  <c:v>Idaho</c:v>
                </c:pt>
                <c:pt idx="11">
                  <c:v>Illinois</c:v>
                </c:pt>
                <c:pt idx="12">
                  <c:v>Indiana</c:v>
                </c:pt>
                <c:pt idx="13">
                  <c:v>Iowa</c:v>
                </c:pt>
                <c:pt idx="14">
                  <c:v>Kansas</c:v>
                </c:pt>
                <c:pt idx="15">
                  <c:v>Kentucky</c:v>
                </c:pt>
                <c:pt idx="16">
                  <c:v>Louisiana</c:v>
                </c:pt>
                <c:pt idx="17">
                  <c:v>Maine</c:v>
                </c:pt>
                <c:pt idx="18">
                  <c:v>Maryland</c:v>
                </c:pt>
                <c:pt idx="19">
                  <c:v>Massachusetts</c:v>
                </c:pt>
                <c:pt idx="20">
                  <c:v>Michigan</c:v>
                </c:pt>
                <c:pt idx="21">
                  <c:v>Minnesota</c:v>
                </c:pt>
                <c:pt idx="22">
                  <c:v>Mississippi</c:v>
                </c:pt>
                <c:pt idx="23">
                  <c:v>Missouri</c:v>
                </c:pt>
                <c:pt idx="24">
                  <c:v>Montana</c:v>
                </c:pt>
                <c:pt idx="25">
                  <c:v>Nebraska</c:v>
                </c:pt>
                <c:pt idx="26">
                  <c:v>Nevada</c:v>
                </c:pt>
                <c:pt idx="27">
                  <c:v>New Hampshire</c:v>
                </c:pt>
                <c:pt idx="28">
                  <c:v>New Jersey</c:v>
                </c:pt>
                <c:pt idx="29">
                  <c:v>New Mexico</c:v>
                </c:pt>
                <c:pt idx="30">
                  <c:v>New York</c:v>
                </c:pt>
                <c:pt idx="31">
                  <c:v>North Carolina</c:v>
                </c:pt>
                <c:pt idx="32">
                  <c:v>North Dakota</c:v>
                </c:pt>
                <c:pt idx="33">
                  <c:v>Ohio</c:v>
                </c:pt>
                <c:pt idx="34">
                  <c:v>Oklahoma</c:v>
                </c:pt>
                <c:pt idx="35">
                  <c:v>Oregon</c:v>
                </c:pt>
                <c:pt idx="36">
                  <c:v>Pennsylvania</c:v>
                </c:pt>
                <c:pt idx="37">
                  <c:v>Rhode Island</c:v>
                </c:pt>
                <c:pt idx="38">
                  <c:v>South Carolina</c:v>
                </c:pt>
                <c:pt idx="39">
                  <c:v>South Dakota</c:v>
                </c:pt>
                <c:pt idx="40">
                  <c:v>Tennessee</c:v>
                </c:pt>
                <c:pt idx="41">
                  <c:v>Texas</c:v>
                </c:pt>
                <c:pt idx="42">
                  <c:v>Utah</c:v>
                </c:pt>
                <c:pt idx="43">
                  <c:v>Vermont</c:v>
                </c:pt>
                <c:pt idx="44">
                  <c:v>Virginia</c:v>
                </c:pt>
                <c:pt idx="45">
                  <c:v>Washington</c:v>
                </c:pt>
                <c:pt idx="46">
                  <c:v>West Virginia</c:v>
                </c:pt>
                <c:pt idx="47">
                  <c:v>Wisconsin</c:v>
                </c:pt>
                <c:pt idx="48">
                  <c:v>Wyoming</c:v>
                </c:pt>
              </c:strCache>
            </c:strRef>
          </c:cat>
          <c:val>
            <c:numRef>
              <c:f>'Q1'!$B$5:$B$54</c:f>
              <c:numCache>
                <c:formatCode>General</c:formatCode>
                <c:ptCount val="49"/>
                <c:pt idx="0">
                  <c:v>7537.54</c:v>
                </c:pt>
                <c:pt idx="1">
                  <c:v>16415.078000000001</c:v>
                </c:pt>
                <c:pt idx="2">
                  <c:v>8802.01</c:v>
                </c:pt>
                <c:pt idx="3">
                  <c:v>222419.05</c:v>
                </c:pt>
                <c:pt idx="4">
                  <c:v>15527.972</c:v>
                </c:pt>
                <c:pt idx="5">
                  <c:v>5933.4769999999999</c:v>
                </c:pt>
                <c:pt idx="6">
                  <c:v>16961.762999999999</c:v>
                </c:pt>
                <c:pt idx="7">
                  <c:v>2753.34</c:v>
                </c:pt>
                <c:pt idx="8">
                  <c:v>32675.948</c:v>
                </c:pt>
                <c:pt idx="9">
                  <c:v>24116.79</c:v>
                </c:pt>
                <c:pt idx="10">
                  <c:v>1444.4960000000001</c:v>
                </c:pt>
                <c:pt idx="11">
                  <c:v>44252.610999999997</c:v>
                </c:pt>
                <c:pt idx="12">
                  <c:v>14981.02</c:v>
                </c:pt>
                <c:pt idx="13">
                  <c:v>1963.87</c:v>
                </c:pt>
                <c:pt idx="14">
                  <c:v>697.18</c:v>
                </c:pt>
                <c:pt idx="15">
                  <c:v>20430.72</c:v>
                </c:pt>
                <c:pt idx="16">
                  <c:v>6088.28</c:v>
                </c:pt>
                <c:pt idx="18">
                  <c:v>10054.013000000001</c:v>
                </c:pt>
                <c:pt idx="19">
                  <c:v>11151.54</c:v>
                </c:pt>
                <c:pt idx="20">
                  <c:v>36576.370999999999</c:v>
                </c:pt>
                <c:pt idx="21">
                  <c:v>19235.18</c:v>
                </c:pt>
                <c:pt idx="22">
                  <c:v>7688.58</c:v>
                </c:pt>
                <c:pt idx="23">
                  <c:v>5150.92</c:v>
                </c:pt>
                <c:pt idx="24">
                  <c:v>898.08799999999997</c:v>
                </c:pt>
                <c:pt idx="25">
                  <c:v>5261.25</c:v>
                </c:pt>
                <c:pt idx="26">
                  <c:v>6584.4139999999998</c:v>
                </c:pt>
                <c:pt idx="27">
                  <c:v>908.64</c:v>
                </c:pt>
                <c:pt idx="28">
                  <c:v>12189.582</c:v>
                </c:pt>
                <c:pt idx="29">
                  <c:v>2186.3240000000001</c:v>
                </c:pt>
                <c:pt idx="30">
                  <c:v>174100.92300000001</c:v>
                </c:pt>
                <c:pt idx="31">
                  <c:v>29560.026000000002</c:v>
                </c:pt>
                <c:pt idx="32">
                  <c:v>891.53</c:v>
                </c:pt>
                <c:pt idx="33">
                  <c:v>42628.544000000002</c:v>
                </c:pt>
                <c:pt idx="34">
                  <c:v>11561.77</c:v>
                </c:pt>
                <c:pt idx="35">
                  <c:v>8747.2450000000008</c:v>
                </c:pt>
                <c:pt idx="36">
                  <c:v>66818.653000000006</c:v>
                </c:pt>
                <c:pt idx="37">
                  <c:v>2380.4059999999999</c:v>
                </c:pt>
                <c:pt idx="38">
                  <c:v>5539.75</c:v>
                </c:pt>
                <c:pt idx="39">
                  <c:v>45.73</c:v>
                </c:pt>
                <c:pt idx="40">
                  <c:v>16578.938999999998</c:v>
                </c:pt>
                <c:pt idx="41">
                  <c:v>95360.73</c:v>
                </c:pt>
                <c:pt idx="42">
                  <c:v>7152.0039999999999</c:v>
                </c:pt>
                <c:pt idx="43">
                  <c:v>1352.38</c:v>
                </c:pt>
                <c:pt idx="44">
                  <c:v>35683.629999999997</c:v>
                </c:pt>
                <c:pt idx="45">
                  <c:v>73866.519999999902</c:v>
                </c:pt>
                <c:pt idx="46">
                  <c:v>673.34400000000005</c:v>
                </c:pt>
                <c:pt idx="47">
                  <c:v>14232.36</c:v>
                </c:pt>
              </c:numCache>
            </c:numRef>
          </c:val>
          <c:extLst>
            <c:ext xmlns:c16="http://schemas.microsoft.com/office/drawing/2014/chart" uri="{C3380CC4-5D6E-409C-BE32-E72D297353CC}">
              <c16:uniqueId val="{00000000-81F4-4654-9EE3-D107F8B3847C}"/>
            </c:ext>
          </c:extLst>
        </c:ser>
        <c:ser>
          <c:idx val="1"/>
          <c:order val="1"/>
          <c:tx>
            <c:strRef>
              <c:f>'Q1'!$C$3:$C$4</c:f>
              <c:strCache>
                <c:ptCount val="1"/>
                <c:pt idx="0">
                  <c:v>Corporate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'Q1'!$A$5:$A$54</c:f>
              <c:strCache>
                <c:ptCount val="49"/>
                <c:pt idx="0">
                  <c:v>Alabama</c:v>
                </c:pt>
                <c:pt idx="1">
                  <c:v>Arizona</c:v>
                </c:pt>
                <c:pt idx="2">
                  <c:v>Arkansas</c:v>
                </c:pt>
                <c:pt idx="3">
                  <c:v>California</c:v>
                </c:pt>
                <c:pt idx="4">
                  <c:v>Colorado</c:v>
                </c:pt>
                <c:pt idx="5">
                  <c:v>Connecticut</c:v>
                </c:pt>
                <c:pt idx="6">
                  <c:v>Delaware</c:v>
                </c:pt>
                <c:pt idx="7">
                  <c:v>District of Columbia</c:v>
                </c:pt>
                <c:pt idx="8">
                  <c:v>Florida</c:v>
                </c:pt>
                <c:pt idx="9">
                  <c:v>Georgia</c:v>
                </c:pt>
                <c:pt idx="10">
                  <c:v>Idaho</c:v>
                </c:pt>
                <c:pt idx="11">
                  <c:v>Illinois</c:v>
                </c:pt>
                <c:pt idx="12">
                  <c:v>Indiana</c:v>
                </c:pt>
                <c:pt idx="13">
                  <c:v>Iowa</c:v>
                </c:pt>
                <c:pt idx="14">
                  <c:v>Kansas</c:v>
                </c:pt>
                <c:pt idx="15">
                  <c:v>Kentucky</c:v>
                </c:pt>
                <c:pt idx="16">
                  <c:v>Louisiana</c:v>
                </c:pt>
                <c:pt idx="17">
                  <c:v>Maine</c:v>
                </c:pt>
                <c:pt idx="18">
                  <c:v>Maryland</c:v>
                </c:pt>
                <c:pt idx="19">
                  <c:v>Massachusetts</c:v>
                </c:pt>
                <c:pt idx="20">
                  <c:v>Michigan</c:v>
                </c:pt>
                <c:pt idx="21">
                  <c:v>Minnesota</c:v>
                </c:pt>
                <c:pt idx="22">
                  <c:v>Mississippi</c:v>
                </c:pt>
                <c:pt idx="23">
                  <c:v>Missouri</c:v>
                </c:pt>
                <c:pt idx="24">
                  <c:v>Montana</c:v>
                </c:pt>
                <c:pt idx="25">
                  <c:v>Nebraska</c:v>
                </c:pt>
                <c:pt idx="26">
                  <c:v>Nevada</c:v>
                </c:pt>
                <c:pt idx="27">
                  <c:v>New Hampshire</c:v>
                </c:pt>
                <c:pt idx="28">
                  <c:v>New Jersey</c:v>
                </c:pt>
                <c:pt idx="29">
                  <c:v>New Mexico</c:v>
                </c:pt>
                <c:pt idx="30">
                  <c:v>New York</c:v>
                </c:pt>
                <c:pt idx="31">
                  <c:v>North Carolina</c:v>
                </c:pt>
                <c:pt idx="32">
                  <c:v>North Dakota</c:v>
                </c:pt>
                <c:pt idx="33">
                  <c:v>Ohio</c:v>
                </c:pt>
                <c:pt idx="34">
                  <c:v>Oklahoma</c:v>
                </c:pt>
                <c:pt idx="35">
                  <c:v>Oregon</c:v>
                </c:pt>
                <c:pt idx="36">
                  <c:v>Pennsylvania</c:v>
                </c:pt>
                <c:pt idx="37">
                  <c:v>Rhode Island</c:v>
                </c:pt>
                <c:pt idx="38">
                  <c:v>South Carolina</c:v>
                </c:pt>
                <c:pt idx="39">
                  <c:v>South Dakota</c:v>
                </c:pt>
                <c:pt idx="40">
                  <c:v>Tennessee</c:v>
                </c:pt>
                <c:pt idx="41">
                  <c:v>Texas</c:v>
                </c:pt>
                <c:pt idx="42">
                  <c:v>Utah</c:v>
                </c:pt>
                <c:pt idx="43">
                  <c:v>Vermont</c:v>
                </c:pt>
                <c:pt idx="44">
                  <c:v>Virginia</c:v>
                </c:pt>
                <c:pt idx="45">
                  <c:v>Washington</c:v>
                </c:pt>
                <c:pt idx="46">
                  <c:v>West Virginia</c:v>
                </c:pt>
                <c:pt idx="47">
                  <c:v>Wisconsin</c:v>
                </c:pt>
                <c:pt idx="48">
                  <c:v>Wyoming</c:v>
                </c:pt>
              </c:strCache>
            </c:strRef>
          </c:cat>
          <c:val>
            <c:numRef>
              <c:f>'Q1'!$C$5:$C$54</c:f>
              <c:numCache>
                <c:formatCode>General</c:formatCode>
                <c:ptCount val="49"/>
                <c:pt idx="0">
                  <c:v>10969.38</c:v>
                </c:pt>
                <c:pt idx="1">
                  <c:v>11736.322</c:v>
                </c:pt>
                <c:pt idx="2">
                  <c:v>2463.7800000000002</c:v>
                </c:pt>
                <c:pt idx="3">
                  <c:v>144731.4105</c:v>
                </c:pt>
                <c:pt idx="4">
                  <c:v>9945.9120000000003</c:v>
                </c:pt>
                <c:pt idx="5">
                  <c:v>5715.69</c:v>
                </c:pt>
                <c:pt idx="6">
                  <c:v>8183.5860000000002</c:v>
                </c:pt>
                <c:pt idx="8">
                  <c:v>21539.983499999998</c:v>
                </c:pt>
                <c:pt idx="9">
                  <c:v>15696.16</c:v>
                </c:pt>
                <c:pt idx="10">
                  <c:v>2630.25</c:v>
                </c:pt>
                <c:pt idx="11">
                  <c:v>15984.28</c:v>
                </c:pt>
                <c:pt idx="12">
                  <c:v>27316.42</c:v>
                </c:pt>
                <c:pt idx="13">
                  <c:v>911.45</c:v>
                </c:pt>
                <c:pt idx="14">
                  <c:v>898.18</c:v>
                </c:pt>
                <c:pt idx="15">
                  <c:v>7812.47</c:v>
                </c:pt>
                <c:pt idx="16">
                  <c:v>1882.35</c:v>
                </c:pt>
                <c:pt idx="17">
                  <c:v>1164.45</c:v>
                </c:pt>
                <c:pt idx="18">
                  <c:v>11386.13</c:v>
                </c:pt>
                <c:pt idx="19">
                  <c:v>9639.5939999999991</c:v>
                </c:pt>
                <c:pt idx="20">
                  <c:v>23391.553</c:v>
                </c:pt>
                <c:pt idx="21">
                  <c:v>3111.11</c:v>
                </c:pt>
                <c:pt idx="22">
                  <c:v>1362.72</c:v>
                </c:pt>
                <c:pt idx="23">
                  <c:v>10500.43</c:v>
                </c:pt>
                <c:pt idx="24">
                  <c:v>48.188000000000002</c:v>
                </c:pt>
                <c:pt idx="25">
                  <c:v>1266.74</c:v>
                </c:pt>
                <c:pt idx="26">
                  <c:v>4802.4059999999999</c:v>
                </c:pt>
                <c:pt idx="27">
                  <c:v>968.9</c:v>
                </c:pt>
                <c:pt idx="28">
                  <c:v>18259.25</c:v>
                </c:pt>
                <c:pt idx="29">
                  <c:v>1269.7760000000001</c:v>
                </c:pt>
                <c:pt idx="30">
                  <c:v>74828.350999999995</c:v>
                </c:pt>
                <c:pt idx="31">
                  <c:v>18656.745999999999</c:v>
                </c:pt>
                <c:pt idx="33">
                  <c:v>23112.647000000001</c:v>
                </c:pt>
                <c:pt idx="34">
                  <c:v>2569.75</c:v>
                </c:pt>
                <c:pt idx="35">
                  <c:v>6563.97</c:v>
                </c:pt>
                <c:pt idx="36">
                  <c:v>30975.437000000002</c:v>
                </c:pt>
                <c:pt idx="37">
                  <c:v>5381.15</c:v>
                </c:pt>
                <c:pt idx="38">
                  <c:v>2916.04</c:v>
                </c:pt>
                <c:pt idx="39">
                  <c:v>1269.83</c:v>
                </c:pt>
                <c:pt idx="40">
                  <c:v>9745.7649999999994</c:v>
                </c:pt>
                <c:pt idx="41">
                  <c:v>53357.303800000002</c:v>
                </c:pt>
                <c:pt idx="42">
                  <c:v>1956.614</c:v>
                </c:pt>
                <c:pt idx="43">
                  <c:v>6282.24</c:v>
                </c:pt>
                <c:pt idx="44">
                  <c:v>27501.48</c:v>
                </c:pt>
                <c:pt idx="45">
                  <c:v>36333.43</c:v>
                </c:pt>
                <c:pt idx="47">
                  <c:v>11454.45</c:v>
                </c:pt>
              </c:numCache>
            </c:numRef>
          </c:val>
          <c:extLst>
            <c:ext xmlns:c16="http://schemas.microsoft.com/office/drawing/2014/chart" uri="{C3380CC4-5D6E-409C-BE32-E72D297353CC}">
              <c16:uniqueId val="{00000001-81F4-4654-9EE3-D107F8B3847C}"/>
            </c:ext>
          </c:extLst>
        </c:ser>
        <c:dLbls>
          <c:showLegendKey val="0"/>
          <c:showVal val="0"/>
          <c:showCatName val="0"/>
          <c:showSerName val="0"/>
          <c:showPercent val="0"/>
          <c:showBubbleSize val="0"/>
        </c:dLbls>
        <c:gapWidth val="150"/>
        <c:axId val="550999184"/>
        <c:axId val="550989616"/>
      </c:barChart>
      <c:lineChart>
        <c:grouping val="standard"/>
        <c:varyColors val="0"/>
        <c:ser>
          <c:idx val="2"/>
          <c:order val="2"/>
          <c:tx>
            <c:strRef>
              <c:f>'Q1'!$D$3:$D$4</c:f>
              <c:strCache>
                <c:ptCount val="1"/>
                <c:pt idx="0">
                  <c:v>Home Office</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'Q1'!$A$5:$A$54</c:f>
              <c:strCache>
                <c:ptCount val="49"/>
                <c:pt idx="0">
                  <c:v>Alabama</c:v>
                </c:pt>
                <c:pt idx="1">
                  <c:v>Arizona</c:v>
                </c:pt>
                <c:pt idx="2">
                  <c:v>Arkansas</c:v>
                </c:pt>
                <c:pt idx="3">
                  <c:v>California</c:v>
                </c:pt>
                <c:pt idx="4">
                  <c:v>Colorado</c:v>
                </c:pt>
                <c:pt idx="5">
                  <c:v>Connecticut</c:v>
                </c:pt>
                <c:pt idx="6">
                  <c:v>Delaware</c:v>
                </c:pt>
                <c:pt idx="7">
                  <c:v>District of Columbia</c:v>
                </c:pt>
                <c:pt idx="8">
                  <c:v>Florida</c:v>
                </c:pt>
                <c:pt idx="9">
                  <c:v>Georgia</c:v>
                </c:pt>
                <c:pt idx="10">
                  <c:v>Idaho</c:v>
                </c:pt>
                <c:pt idx="11">
                  <c:v>Illinois</c:v>
                </c:pt>
                <c:pt idx="12">
                  <c:v>Indiana</c:v>
                </c:pt>
                <c:pt idx="13">
                  <c:v>Iowa</c:v>
                </c:pt>
                <c:pt idx="14">
                  <c:v>Kansas</c:v>
                </c:pt>
                <c:pt idx="15">
                  <c:v>Kentucky</c:v>
                </c:pt>
                <c:pt idx="16">
                  <c:v>Louisiana</c:v>
                </c:pt>
                <c:pt idx="17">
                  <c:v>Maine</c:v>
                </c:pt>
                <c:pt idx="18">
                  <c:v>Maryland</c:v>
                </c:pt>
                <c:pt idx="19">
                  <c:v>Massachusetts</c:v>
                </c:pt>
                <c:pt idx="20">
                  <c:v>Michigan</c:v>
                </c:pt>
                <c:pt idx="21">
                  <c:v>Minnesota</c:v>
                </c:pt>
                <c:pt idx="22">
                  <c:v>Mississippi</c:v>
                </c:pt>
                <c:pt idx="23">
                  <c:v>Missouri</c:v>
                </c:pt>
                <c:pt idx="24">
                  <c:v>Montana</c:v>
                </c:pt>
                <c:pt idx="25">
                  <c:v>Nebraska</c:v>
                </c:pt>
                <c:pt idx="26">
                  <c:v>Nevada</c:v>
                </c:pt>
                <c:pt idx="27">
                  <c:v>New Hampshire</c:v>
                </c:pt>
                <c:pt idx="28">
                  <c:v>New Jersey</c:v>
                </c:pt>
                <c:pt idx="29">
                  <c:v>New Mexico</c:v>
                </c:pt>
                <c:pt idx="30">
                  <c:v>New York</c:v>
                </c:pt>
                <c:pt idx="31">
                  <c:v>North Carolina</c:v>
                </c:pt>
                <c:pt idx="32">
                  <c:v>North Dakota</c:v>
                </c:pt>
                <c:pt idx="33">
                  <c:v>Ohio</c:v>
                </c:pt>
                <c:pt idx="34">
                  <c:v>Oklahoma</c:v>
                </c:pt>
                <c:pt idx="35">
                  <c:v>Oregon</c:v>
                </c:pt>
                <c:pt idx="36">
                  <c:v>Pennsylvania</c:v>
                </c:pt>
                <c:pt idx="37">
                  <c:v>Rhode Island</c:v>
                </c:pt>
                <c:pt idx="38">
                  <c:v>South Carolina</c:v>
                </c:pt>
                <c:pt idx="39">
                  <c:v>South Dakota</c:v>
                </c:pt>
                <c:pt idx="40">
                  <c:v>Tennessee</c:v>
                </c:pt>
                <c:pt idx="41">
                  <c:v>Texas</c:v>
                </c:pt>
                <c:pt idx="42">
                  <c:v>Utah</c:v>
                </c:pt>
                <c:pt idx="43">
                  <c:v>Vermont</c:v>
                </c:pt>
                <c:pt idx="44">
                  <c:v>Virginia</c:v>
                </c:pt>
                <c:pt idx="45">
                  <c:v>Washington</c:v>
                </c:pt>
                <c:pt idx="46">
                  <c:v>West Virginia</c:v>
                </c:pt>
                <c:pt idx="47">
                  <c:v>Wisconsin</c:v>
                </c:pt>
                <c:pt idx="48">
                  <c:v>Wyoming</c:v>
                </c:pt>
              </c:strCache>
            </c:strRef>
          </c:cat>
          <c:val>
            <c:numRef>
              <c:f>'Q1'!$D$5:$D$54</c:f>
              <c:numCache>
                <c:formatCode>General</c:formatCode>
                <c:ptCount val="49"/>
                <c:pt idx="0">
                  <c:v>1003.72</c:v>
                </c:pt>
                <c:pt idx="1">
                  <c:v>7121.2569999999996</c:v>
                </c:pt>
                <c:pt idx="2">
                  <c:v>412.34</c:v>
                </c:pt>
                <c:pt idx="3">
                  <c:v>79156.002999999997</c:v>
                </c:pt>
                <c:pt idx="4">
                  <c:v>6367.7139999999999</c:v>
                </c:pt>
                <c:pt idx="5">
                  <c:v>1735.19</c:v>
                </c:pt>
                <c:pt idx="6">
                  <c:v>2177.65</c:v>
                </c:pt>
                <c:pt idx="7">
                  <c:v>111.68</c:v>
                </c:pt>
                <c:pt idx="8">
                  <c:v>34220.6005</c:v>
                </c:pt>
                <c:pt idx="9">
                  <c:v>8406.16</c:v>
                </c:pt>
                <c:pt idx="10">
                  <c:v>307.74</c:v>
                </c:pt>
                <c:pt idx="11">
                  <c:v>18999.626</c:v>
                </c:pt>
                <c:pt idx="12">
                  <c:v>6420.96</c:v>
                </c:pt>
                <c:pt idx="13">
                  <c:v>1568.24</c:v>
                </c:pt>
                <c:pt idx="14">
                  <c:v>1318.95</c:v>
                </c:pt>
                <c:pt idx="15">
                  <c:v>8215.2000000000007</c:v>
                </c:pt>
                <c:pt idx="16">
                  <c:v>1160.42</c:v>
                </c:pt>
                <c:pt idx="17">
                  <c:v>106.08</c:v>
                </c:pt>
                <c:pt idx="18">
                  <c:v>2265.38</c:v>
                </c:pt>
                <c:pt idx="19">
                  <c:v>7843.3</c:v>
                </c:pt>
                <c:pt idx="20">
                  <c:v>16168.15</c:v>
                </c:pt>
                <c:pt idx="21">
                  <c:v>7516.86</c:v>
                </c:pt>
                <c:pt idx="22">
                  <c:v>1720.04</c:v>
                </c:pt>
                <c:pt idx="23">
                  <c:v>6553.8</c:v>
                </c:pt>
                <c:pt idx="24">
                  <c:v>4643.076</c:v>
                </c:pt>
                <c:pt idx="25">
                  <c:v>936.94</c:v>
                </c:pt>
                <c:pt idx="26">
                  <c:v>5342.2820000000002</c:v>
                </c:pt>
                <c:pt idx="27">
                  <c:v>5414.9840000000004</c:v>
                </c:pt>
                <c:pt idx="28">
                  <c:v>4162.1400000000003</c:v>
                </c:pt>
                <c:pt idx="29">
                  <c:v>1327.422</c:v>
                </c:pt>
                <c:pt idx="30">
                  <c:v>57431.873</c:v>
                </c:pt>
                <c:pt idx="31">
                  <c:v>6949.192</c:v>
                </c:pt>
                <c:pt idx="32">
                  <c:v>28.38</c:v>
                </c:pt>
                <c:pt idx="33">
                  <c:v>9389.1589999999997</c:v>
                </c:pt>
                <c:pt idx="34">
                  <c:v>5551.87</c:v>
                </c:pt>
                <c:pt idx="35">
                  <c:v>1973.2470000000001</c:v>
                </c:pt>
                <c:pt idx="36">
                  <c:v>18482.560000000001</c:v>
                </c:pt>
                <c:pt idx="37">
                  <c:v>14763.47</c:v>
                </c:pt>
                <c:pt idx="38">
                  <c:v>25.92</c:v>
                </c:pt>
                <c:pt idx="40">
                  <c:v>4337.1689999999999</c:v>
                </c:pt>
                <c:pt idx="41">
                  <c:v>19854.4984</c:v>
                </c:pt>
                <c:pt idx="42">
                  <c:v>2111.4380000000001</c:v>
                </c:pt>
                <c:pt idx="43">
                  <c:v>1294.75</c:v>
                </c:pt>
                <c:pt idx="44">
                  <c:v>7451.61</c:v>
                </c:pt>
                <c:pt idx="45">
                  <c:v>25006.9</c:v>
                </c:pt>
                <c:pt idx="46">
                  <c:v>536.48</c:v>
                </c:pt>
                <c:pt idx="47">
                  <c:v>5486.62</c:v>
                </c:pt>
                <c:pt idx="48">
                  <c:v>1603.136</c:v>
                </c:pt>
              </c:numCache>
            </c:numRef>
          </c:val>
          <c:smooth val="0"/>
          <c:extLst>
            <c:ext xmlns:c16="http://schemas.microsoft.com/office/drawing/2014/chart" uri="{C3380CC4-5D6E-409C-BE32-E72D297353CC}">
              <c16:uniqueId val="{00000002-81F4-4654-9EE3-D107F8B3847C}"/>
            </c:ext>
          </c:extLst>
        </c:ser>
        <c:dLbls>
          <c:showLegendKey val="0"/>
          <c:showVal val="0"/>
          <c:showCatName val="0"/>
          <c:showSerName val="0"/>
          <c:showPercent val="0"/>
          <c:showBubbleSize val="0"/>
        </c:dLbls>
        <c:marker val="1"/>
        <c:smooth val="0"/>
        <c:axId val="550999184"/>
        <c:axId val="550989616"/>
      </c:lineChart>
      <c:catAx>
        <c:axId val="5509991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States</a:t>
                </a:r>
              </a:p>
            </c:rich>
          </c:tx>
          <c:layout>
            <c:manualLayout>
              <c:xMode val="edge"/>
              <c:yMode val="edge"/>
              <c:x val="0.45833556112190699"/>
              <c:y val="0.819120354019072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89616"/>
        <c:crosses val="autoZero"/>
        <c:auto val="1"/>
        <c:lblAlgn val="ctr"/>
        <c:lblOffset val="100"/>
        <c:noMultiLvlLbl val="0"/>
      </c:catAx>
      <c:valAx>
        <c:axId val="55098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Sales</a:t>
                </a:r>
              </a:p>
            </c:rich>
          </c:tx>
          <c:layout>
            <c:manualLayout>
              <c:xMode val="edge"/>
              <c:yMode val="edge"/>
              <c:x val="9.8541326496220608E-3"/>
              <c:y val="0.4080273432777539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99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  harsh complete A.xlsx]Sheet1!PivotTable1</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IN"/>
              <a:t>Top categories in all sales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c:v>
                </c:pt>
              </c:strCache>
            </c:strRef>
          </c:tx>
          <c:spPr>
            <a:pattFill prst="ltUpDiag">
              <a:fgClr>
                <a:schemeClr val="accent6"/>
              </a:fgClr>
              <a:bgClr>
                <a:schemeClr val="lt1"/>
              </a:bgClr>
            </a:pattFill>
            <a:ln>
              <a:noFill/>
            </a:ln>
            <a:effectLst/>
          </c:spPr>
          <c:invertIfNegative val="0"/>
          <c:dLbls>
            <c:spPr>
              <a:solidFill>
                <a:schemeClr val="accent6">
                  <a:alpha val="7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6">
                          <a:lumMod val="60000"/>
                          <a:lumOff val="40000"/>
                        </a:schemeClr>
                      </a:solidFill>
                    </a:ln>
                    <a:effectLst/>
                  </c:spPr>
                </c15:leaderLines>
              </c:ext>
            </c:extLst>
          </c:dLbls>
          <c:cat>
            <c:strRef>
              <c:f>Sheet1!$A$2:$A$5</c:f>
              <c:strCache>
                <c:ptCount val="3"/>
                <c:pt idx="0">
                  <c:v>Furniture</c:v>
                </c:pt>
                <c:pt idx="1">
                  <c:v>Office Supplies</c:v>
                </c:pt>
                <c:pt idx="2">
                  <c:v>Technology</c:v>
                </c:pt>
              </c:strCache>
            </c:strRef>
          </c:cat>
          <c:val>
            <c:numRef>
              <c:f>Sheet1!$B$2:$B$5</c:f>
              <c:numCache>
                <c:formatCode>General</c:formatCode>
                <c:ptCount val="3"/>
                <c:pt idx="0">
                  <c:v>2078</c:v>
                </c:pt>
                <c:pt idx="1">
                  <c:v>5909</c:v>
                </c:pt>
                <c:pt idx="2">
                  <c:v>1813</c:v>
                </c:pt>
              </c:numCache>
            </c:numRef>
          </c:val>
          <c:extLst>
            <c:ext xmlns:c16="http://schemas.microsoft.com/office/drawing/2014/chart" uri="{C3380CC4-5D6E-409C-BE32-E72D297353CC}">
              <c16:uniqueId val="{00000000-FA34-43F9-BFF0-1A3DC4F9D57B}"/>
            </c:ext>
          </c:extLst>
        </c:ser>
        <c:dLbls>
          <c:showLegendKey val="0"/>
          <c:showVal val="1"/>
          <c:showCatName val="0"/>
          <c:showSerName val="0"/>
          <c:showPercent val="0"/>
          <c:showBubbleSize val="0"/>
        </c:dLbls>
        <c:gapWidth val="269"/>
        <c:overlap val="-20"/>
        <c:axId val="144343424"/>
        <c:axId val="144344960"/>
      </c:barChart>
      <c:catAx>
        <c:axId val="14434342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a:t>Category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0"/>
        <c:majorTickMark val="none"/>
        <c:minorTickMark val="none"/>
        <c:tickLblPos val="nextTo"/>
        <c:spPr>
          <a:no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44344960"/>
        <c:crosses val="autoZero"/>
        <c:auto val="1"/>
        <c:lblAlgn val="ctr"/>
        <c:lblOffset val="100"/>
        <c:noMultiLvlLbl val="0"/>
      </c:catAx>
      <c:valAx>
        <c:axId val="14434496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a:t>count of sales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44343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Segment Sales Across Different States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areaChart>
        <c:grouping val="standard"/>
        <c:varyColors val="0"/>
        <c:ser>
          <c:idx val="0"/>
          <c:order val="0"/>
          <c:tx>
            <c:strRef>
              <c:f>Consumer</c:f>
              <c:strCache>
                <c:ptCount val="1"/>
                <c:pt idx="0">
                  <c:v>Consumer</c:v>
                </c:pt>
              </c:strCache>
            </c:strRef>
          </c:tx>
          <c:spPr>
            <a:pattFill prst="ltUpDiag">
              <a:fgClr>
                <a:schemeClr val="accent6"/>
              </a:fgClr>
              <a:bgClr>
                <a:schemeClr val="accent6">
                  <a:lumMod val="20000"/>
                  <a:lumOff val="80000"/>
                </a:schemeClr>
              </a:bgClr>
            </a:pattFill>
            <a:ln>
              <a:noFill/>
            </a:ln>
            <a:effectLst>
              <a:innerShdw blurRad="114300">
                <a:schemeClr val="accent6"/>
              </a:inn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{"California","Texas","Washington"}</c:f>
              <c:strCache>
                <c:ptCount val="3"/>
                <c:pt idx="0">
                  <c:v>California</c:v>
                </c:pt>
                <c:pt idx="1">
                  <c:v>Texas</c:v>
                </c:pt>
                <c:pt idx="2">
                  <c:v>Washington</c:v>
                </c:pt>
              </c:strCache>
            </c:strRef>
          </c:cat>
          <c:val>
            <c:numRef>
              <c:f>{1020,516,275}</c:f>
              <c:numCache>
                <c:formatCode>General</c:formatCode>
                <c:ptCount val="3"/>
                <c:pt idx="0">
                  <c:v>1020</c:v>
                </c:pt>
                <c:pt idx="1">
                  <c:v>516</c:v>
                </c:pt>
                <c:pt idx="2">
                  <c:v>275</c:v>
                </c:pt>
              </c:numCache>
            </c:numRef>
          </c:val>
          <c:extLst>
            <c:ext xmlns:c16="http://schemas.microsoft.com/office/drawing/2014/chart" uri="{C3380CC4-5D6E-409C-BE32-E72D297353CC}">
              <c16:uniqueId val="{00000000-B322-418B-98D2-5BFE90FB8B71}"/>
            </c:ext>
          </c:extLst>
        </c:ser>
        <c:ser>
          <c:idx val="1"/>
          <c:order val="1"/>
          <c:tx>
            <c:strRef>
              <c:f>Corporate</c:f>
              <c:strCache>
                <c:ptCount val="1"/>
                <c:pt idx="0">
                  <c:v>Corporate</c:v>
                </c:pt>
              </c:strCache>
            </c:strRef>
          </c:tx>
          <c:spPr>
            <a:pattFill prst="ltUpDiag">
              <a:fgClr>
                <a:schemeClr val="accent5"/>
              </a:fgClr>
              <a:bgClr>
                <a:schemeClr val="accent5">
                  <a:lumMod val="20000"/>
                  <a:lumOff val="80000"/>
                </a:schemeClr>
              </a:bgClr>
            </a:pattFill>
            <a:ln>
              <a:noFill/>
            </a:ln>
            <a:effectLst>
              <a:innerShdw blurRad="114300">
                <a:schemeClr val="accent5"/>
              </a:inn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{"California","Texas","Washington"}</c:f>
              <c:strCache>
                <c:ptCount val="3"/>
                <c:pt idx="0">
                  <c:v>California</c:v>
                </c:pt>
                <c:pt idx="1">
                  <c:v>Texas</c:v>
                </c:pt>
                <c:pt idx="2">
                  <c:v>Washington</c:v>
                </c:pt>
              </c:strCache>
            </c:strRef>
          </c:cat>
          <c:val>
            <c:numRef>
              <c:f>{601,310,130}</c:f>
              <c:numCache>
                <c:formatCode>General</c:formatCode>
                <c:ptCount val="3"/>
                <c:pt idx="0">
                  <c:v>601</c:v>
                </c:pt>
                <c:pt idx="1">
                  <c:v>310</c:v>
                </c:pt>
                <c:pt idx="2">
                  <c:v>130</c:v>
                </c:pt>
              </c:numCache>
            </c:numRef>
          </c:val>
          <c:extLst>
            <c:ext xmlns:c16="http://schemas.microsoft.com/office/drawing/2014/chart" uri="{C3380CC4-5D6E-409C-BE32-E72D297353CC}">
              <c16:uniqueId val="{00000001-B322-418B-98D2-5BFE90FB8B71}"/>
            </c:ext>
          </c:extLst>
        </c:ser>
        <c:ser>
          <c:idx val="2"/>
          <c:order val="2"/>
          <c:tx>
            <c:strRef>
              <c:f>Home Office</c:f>
              <c:strCache>
                <c:ptCount val="1"/>
                <c:pt idx="0">
                  <c:v>Home Office</c:v>
                </c:pt>
              </c:strCache>
            </c:strRef>
          </c:tx>
          <c:spPr>
            <a:pattFill prst="ltUpDiag">
              <a:fgClr>
                <a:schemeClr val="accent4"/>
              </a:fgClr>
              <a:bgClr>
                <a:schemeClr val="accent4">
                  <a:lumMod val="20000"/>
                  <a:lumOff val="80000"/>
                </a:schemeClr>
              </a:bgClr>
            </a:pattFill>
            <a:ln>
              <a:noFill/>
            </a:ln>
            <a:effectLst>
              <a:innerShdw blurRad="114300">
                <a:schemeClr val="accent4"/>
              </a:inn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{"California","Texas","Washington"}</c:f>
              <c:strCache>
                <c:ptCount val="3"/>
                <c:pt idx="0">
                  <c:v>California</c:v>
                </c:pt>
                <c:pt idx="1">
                  <c:v>Texas</c:v>
                </c:pt>
                <c:pt idx="2">
                  <c:v>Washington</c:v>
                </c:pt>
              </c:strCache>
            </c:strRef>
          </c:cat>
          <c:val>
            <c:numRef>
              <c:f>{325,147,99}</c:f>
              <c:numCache>
                <c:formatCode>General</c:formatCode>
                <c:ptCount val="3"/>
                <c:pt idx="0">
                  <c:v>325</c:v>
                </c:pt>
                <c:pt idx="1">
                  <c:v>147</c:v>
                </c:pt>
                <c:pt idx="2">
                  <c:v>99</c:v>
                </c:pt>
              </c:numCache>
            </c:numRef>
          </c:val>
          <c:extLst>
            <c:ext xmlns:c16="http://schemas.microsoft.com/office/drawing/2014/chart" uri="{C3380CC4-5D6E-409C-BE32-E72D297353CC}">
              <c16:uniqueId val="{00000002-B322-418B-98D2-5BFE90FB8B71}"/>
            </c:ext>
          </c:extLst>
        </c:ser>
        <c:dLbls>
          <c:showLegendKey val="0"/>
          <c:showVal val="1"/>
          <c:showCatName val="0"/>
          <c:showSerName val="0"/>
          <c:showPercent val="0"/>
          <c:showBubbleSize val="0"/>
        </c:dLbls>
        <c:axId val="148440192"/>
        <c:axId val="148441728"/>
      </c:areaChart>
      <c:catAx>
        <c:axId val="148440192"/>
        <c:scaling>
          <c:orientation val="minMax"/>
        </c:scaling>
        <c:delete val="0"/>
        <c:axPos val="b"/>
        <c:numFmt formatCode="General" sourceLinked="0"/>
        <c:majorTickMark val="out"/>
        <c:minorTickMark val="out"/>
        <c:tickLblPos val="nextTo"/>
        <c:spPr>
          <a:noFill/>
          <a:ln>
            <a:noFill/>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48441728"/>
        <c:crosses val="autoZero"/>
        <c:auto val="1"/>
        <c:lblAlgn val="ctr"/>
        <c:lblOffset val="100"/>
        <c:noMultiLvlLbl val="0"/>
      </c:catAx>
      <c:valAx>
        <c:axId val="14844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Sales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40192"/>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 (2).xlsx]Q4!PivotTable4</c:name>
    <c:fmtId val="-1"/>
  </c:pivotSource>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IN"/>
              <a:t>Total vs Average Sales of Different Categories</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'Q4'!$B$2:$B$3</c:f>
              <c:strCache>
                <c:ptCount val="1"/>
                <c:pt idx="0">
                  <c:v>Sum of Sales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2-85A8-4554-819F-E6E66B55D676}"/>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85A8-4554-819F-E6E66B55D676}"/>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4-85A8-4554-819F-E6E66B55D676}"/>
              </c:ext>
            </c:extLst>
          </c:dPt>
          <c:dLbls>
            <c:dLbl>
              <c:idx val="0"/>
              <c:spPr>
                <a:solidFill>
                  <a:schemeClr val="lt1">
                    <a:alpha val="90000"/>
                  </a:schemeClr>
                </a:solidFill>
                <a:ln w="12700" cap="flat" cmpd="sng" algn="ctr">
                  <a:solidFill>
                    <a:schemeClr val="accent6"/>
                  </a:solidFill>
                  <a:round/>
                </a:ln>
                <a:effectLst>
                  <a:outerShdw blurRad="50800" dist="38100" dir="2700000" algn="tl" rotWithShape="0">
                    <a:schemeClr val="accent6">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inEnd"/>
              <c:showLegendKey val="0"/>
              <c:showVal val="1"/>
              <c:showCatName val="1"/>
              <c:showSerName val="0"/>
              <c:showPercent val="0"/>
              <c:showBubbleSize val="0"/>
              <c:extLst>
                <c:ext xmlns:c16="http://schemas.microsoft.com/office/drawing/2014/chart" uri="{C3380CC4-5D6E-409C-BE32-E72D297353CC}">
                  <c16:uniqueId val="{00000002-85A8-4554-819F-E6E66B55D676}"/>
                </c:ext>
              </c:extLst>
            </c:dLbl>
            <c:dLbl>
              <c:idx val="1"/>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inEnd"/>
              <c:showLegendKey val="0"/>
              <c:showVal val="1"/>
              <c:showCatName val="1"/>
              <c:showSerName val="0"/>
              <c:showPercent val="0"/>
              <c:showBubbleSize val="0"/>
              <c:extLst>
                <c:ext xmlns:c16="http://schemas.microsoft.com/office/drawing/2014/chart" uri="{C3380CC4-5D6E-409C-BE32-E72D297353CC}">
                  <c16:uniqueId val="{00000003-85A8-4554-819F-E6E66B55D676}"/>
                </c:ext>
              </c:extLst>
            </c:dLbl>
            <c:dLbl>
              <c:idx val="2"/>
              <c:spPr>
                <a:solidFill>
                  <a:schemeClr val="lt1">
                    <a:alpha val="90000"/>
                  </a:schemeClr>
                </a:solidFill>
                <a:ln w="12700" cap="flat" cmpd="sng" algn="ctr">
                  <a:solidFill>
                    <a:schemeClr val="accent4"/>
                  </a:solidFill>
                  <a:round/>
                </a:ln>
                <a:effectLst>
                  <a:outerShdw blurRad="50800" dist="38100" dir="2700000" algn="tl" rotWithShape="0">
                    <a:schemeClr val="accent4">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inEnd"/>
              <c:showLegendKey val="0"/>
              <c:showVal val="1"/>
              <c:showCatName val="1"/>
              <c:showSerName val="0"/>
              <c:showPercent val="0"/>
              <c:showBubbleSize val="0"/>
              <c:extLst>
                <c:ext xmlns:c16="http://schemas.microsoft.com/office/drawing/2014/chart" uri="{C3380CC4-5D6E-409C-BE32-E72D297353CC}">
                  <c16:uniqueId val="{00000004-85A8-4554-819F-E6E66B55D676}"/>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'Q4'!$A$4:$A$7</c:f>
              <c:strCache>
                <c:ptCount val="3"/>
                <c:pt idx="0">
                  <c:v>Consumer</c:v>
                </c:pt>
                <c:pt idx="1">
                  <c:v>Corporate</c:v>
                </c:pt>
                <c:pt idx="2">
                  <c:v>Home Office</c:v>
                </c:pt>
              </c:strCache>
            </c:strRef>
          </c:cat>
          <c:val>
            <c:numRef>
              <c:f>'Q4'!$B$4:$B$7</c:f>
              <c:numCache>
                <c:formatCode>General</c:formatCode>
                <c:ptCount val="3"/>
                <c:pt idx="0">
                  <c:v>1148060.5309999899</c:v>
                </c:pt>
                <c:pt idx="1">
                  <c:v>688494.07479999994</c:v>
                </c:pt>
                <c:pt idx="2">
                  <c:v>424982.17690000002</c:v>
                </c:pt>
              </c:numCache>
            </c:numRef>
          </c:val>
          <c:extLst>
            <c:ext xmlns:c16="http://schemas.microsoft.com/office/drawing/2014/chart" uri="{C3380CC4-5D6E-409C-BE32-E72D297353CC}">
              <c16:uniqueId val="{00000000-85A8-4554-819F-E6E66B55D676}"/>
            </c:ext>
          </c:extLst>
        </c:ser>
        <c:ser>
          <c:idx val="1"/>
          <c:order val="1"/>
          <c:tx>
            <c:strRef>
              <c:f>'Q4'!$C$2:$C$3</c:f>
              <c:strCache>
                <c:ptCount val="1"/>
                <c:pt idx="0">
                  <c:v>Average of Sales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5-85A8-4554-819F-E6E66B55D676}"/>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6-85A8-4554-819F-E6E66B55D676}"/>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7-85A8-4554-819F-E6E66B55D676}"/>
              </c:ext>
            </c:extLst>
          </c:dPt>
          <c:dLbls>
            <c:dLbl>
              <c:idx val="0"/>
              <c:spPr>
                <a:solidFill>
                  <a:schemeClr val="lt1">
                    <a:alpha val="90000"/>
                  </a:schemeClr>
                </a:solidFill>
                <a:ln w="12700" cap="flat" cmpd="sng" algn="ctr">
                  <a:solidFill>
                    <a:schemeClr val="accent6"/>
                  </a:solidFill>
                  <a:round/>
                </a:ln>
                <a:effectLst>
                  <a:outerShdw blurRad="50800" dist="38100" dir="2700000" algn="tl" rotWithShape="0">
                    <a:schemeClr val="accent6">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inEnd"/>
              <c:showLegendKey val="0"/>
              <c:showVal val="1"/>
              <c:showCatName val="1"/>
              <c:showSerName val="0"/>
              <c:showPercent val="0"/>
              <c:showBubbleSize val="0"/>
              <c:extLst>
                <c:ext xmlns:c16="http://schemas.microsoft.com/office/drawing/2014/chart" uri="{C3380CC4-5D6E-409C-BE32-E72D297353CC}">
                  <c16:uniqueId val="{00000005-85A8-4554-819F-E6E66B55D676}"/>
                </c:ext>
              </c:extLst>
            </c:dLbl>
            <c:dLbl>
              <c:idx val="1"/>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inEnd"/>
              <c:showLegendKey val="0"/>
              <c:showVal val="1"/>
              <c:showCatName val="1"/>
              <c:showSerName val="0"/>
              <c:showPercent val="0"/>
              <c:showBubbleSize val="0"/>
              <c:extLst>
                <c:ext xmlns:c16="http://schemas.microsoft.com/office/drawing/2014/chart" uri="{C3380CC4-5D6E-409C-BE32-E72D297353CC}">
                  <c16:uniqueId val="{00000006-85A8-4554-819F-E6E66B55D676}"/>
                </c:ext>
              </c:extLst>
            </c:dLbl>
            <c:dLbl>
              <c:idx val="2"/>
              <c:spPr>
                <a:solidFill>
                  <a:schemeClr val="lt1">
                    <a:alpha val="90000"/>
                  </a:schemeClr>
                </a:solidFill>
                <a:ln w="12700" cap="flat" cmpd="sng" algn="ctr">
                  <a:solidFill>
                    <a:schemeClr val="accent4"/>
                  </a:solidFill>
                  <a:round/>
                </a:ln>
                <a:effectLst>
                  <a:outerShdw blurRad="50800" dist="38100" dir="2700000" algn="tl" rotWithShape="0">
                    <a:schemeClr val="accent4">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inEnd"/>
              <c:showLegendKey val="0"/>
              <c:showVal val="1"/>
              <c:showCatName val="1"/>
              <c:showSerName val="0"/>
              <c:showPercent val="0"/>
              <c:showBubbleSize val="0"/>
              <c:extLst>
                <c:ext xmlns:c16="http://schemas.microsoft.com/office/drawing/2014/chart" uri="{C3380CC4-5D6E-409C-BE32-E72D297353CC}">
                  <c16:uniqueId val="{00000007-85A8-4554-819F-E6E66B55D676}"/>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'Q4'!$A$4:$A$7</c:f>
              <c:strCache>
                <c:ptCount val="3"/>
                <c:pt idx="0">
                  <c:v>Consumer</c:v>
                </c:pt>
                <c:pt idx="1">
                  <c:v>Corporate</c:v>
                </c:pt>
                <c:pt idx="2">
                  <c:v>Home Office</c:v>
                </c:pt>
              </c:strCache>
            </c:strRef>
          </c:cat>
          <c:val>
            <c:numRef>
              <c:f>'Q4'!$C$4:$C$7</c:f>
              <c:numCache>
                <c:formatCode>General</c:formatCode>
                <c:ptCount val="3"/>
                <c:pt idx="0">
                  <c:v>225.065777494607</c:v>
                </c:pt>
                <c:pt idx="1">
                  <c:v>233.15071953945099</c:v>
                </c:pt>
                <c:pt idx="2">
                  <c:v>243.40330864833899</c:v>
                </c:pt>
              </c:numCache>
            </c:numRef>
          </c:val>
          <c:extLst>
            <c:ext xmlns:c16="http://schemas.microsoft.com/office/drawing/2014/chart" uri="{C3380CC4-5D6E-409C-BE32-E72D297353CC}">
              <c16:uniqueId val="{00000001-85A8-4554-819F-E6E66B55D676}"/>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[Order_Data (2).xlsx]Q5(a)!PivotTable1</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IN"/>
              <a:t>Average Sales vs Category</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'Q5(a)'!$B$3</c:f>
              <c:strCache>
                <c:ptCount val="1"/>
                <c:pt idx="0">
                  <c:v>Total</c:v>
                </c:pt>
              </c:strCache>
            </c:strRef>
          </c:tx>
          <c:spPr>
            <a:ln w="34925" cap="rnd">
              <a:solidFill>
                <a:schemeClr val="lt1"/>
              </a:solidFill>
              <a:round/>
            </a:ln>
            <a:effectLst>
              <a:outerShdw dist="25400" dir="2700000" algn="tl" rotWithShape="0">
                <a:schemeClr val="accent3"/>
              </a:outerShdw>
            </a:effectLst>
          </c:spPr>
          <c:marker>
            <c:symbol val="none"/>
          </c:marker>
          <c:dPt>
            <c:idx val="0"/>
            <c:marker>
              <c:symbol val="none"/>
            </c:marker>
            <c:bubble3D val="0"/>
            <c:extLst>
              <c:ext xmlns:c16="http://schemas.microsoft.com/office/drawing/2014/chart" uri="{C3380CC4-5D6E-409C-BE32-E72D297353CC}">
                <c16:uniqueId val="{00000001-56C6-4275-B67B-C4FA5D25F553}"/>
              </c:ext>
            </c:extLst>
          </c:dPt>
          <c:dPt>
            <c:idx val="1"/>
            <c:marker>
              <c:symbol val="none"/>
            </c:marker>
            <c:bubble3D val="0"/>
            <c:extLst>
              <c:ext xmlns:c16="http://schemas.microsoft.com/office/drawing/2014/chart" uri="{C3380CC4-5D6E-409C-BE32-E72D297353CC}">
                <c16:uniqueId val="{00000003-56C6-4275-B67B-C4FA5D25F553}"/>
              </c:ext>
            </c:extLst>
          </c:dPt>
          <c:dPt>
            <c:idx val="2"/>
            <c:marker>
              <c:symbol val="none"/>
            </c:marker>
            <c:bubble3D val="0"/>
            <c:extLst>
              <c:ext xmlns:c16="http://schemas.microsoft.com/office/drawing/2014/chart" uri="{C3380CC4-5D6E-409C-BE32-E72D297353CC}">
                <c16:uniqueId val="{00000005-56C6-4275-B67B-C4FA5D25F55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3">
                          <a:lumMod val="60000"/>
                          <a:lumOff val="40000"/>
                        </a:schemeClr>
                      </a:solidFill>
                    </a:ln>
                    <a:effectLst/>
                  </c:spPr>
                </c15:leaderLines>
              </c:ext>
            </c:extLst>
          </c:dLbls>
          <c:cat>
            <c:strRef>
              <c:f>'Q5(a)'!$A$4:$A$7</c:f>
              <c:strCache>
                <c:ptCount val="3"/>
                <c:pt idx="0">
                  <c:v>Furniture</c:v>
                </c:pt>
                <c:pt idx="1">
                  <c:v>Office Supplies</c:v>
                </c:pt>
                <c:pt idx="2">
                  <c:v>Technology</c:v>
                </c:pt>
              </c:strCache>
            </c:strRef>
          </c:cat>
          <c:val>
            <c:numRef>
              <c:f>'Q5(a)'!$B$4:$B$7</c:f>
              <c:numCache>
                <c:formatCode>General</c:formatCode>
                <c:ptCount val="3"/>
                <c:pt idx="0">
                  <c:v>350.65379003849802</c:v>
                </c:pt>
                <c:pt idx="1">
                  <c:v>119.381000846167</c:v>
                </c:pt>
                <c:pt idx="2">
                  <c:v>456.40147435190102</c:v>
                </c:pt>
              </c:numCache>
            </c:numRef>
          </c:val>
          <c:smooth val="0"/>
          <c:extLst>
            <c:ext xmlns:c16="http://schemas.microsoft.com/office/drawing/2014/chart" uri="{C3380CC4-5D6E-409C-BE32-E72D297353CC}">
              <c16:uniqueId val="{00000006-56C6-4275-B67B-C4FA5D25F553}"/>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42068495"/>
        <c:axId val="642060815"/>
      </c:lineChart>
      <c:catAx>
        <c:axId val="642068495"/>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642060815"/>
        <c:crosses val="autoZero"/>
        <c:auto val="1"/>
        <c:lblAlgn val="ctr"/>
        <c:lblOffset val="100"/>
        <c:noMultiLvlLbl val="0"/>
      </c:catAx>
      <c:valAx>
        <c:axId val="6420608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642068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showDLblsOverMax val="0"/>
  </c:chart>
  <c:spPr>
    <a:solidFill>
      <a:schemeClr val="accent3"/>
    </a:solidFill>
    <a:ln w="9525" cap="flat" cmpd="sng" algn="ctr">
      <a:solidFill>
        <a:schemeClr val="accent3"/>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 (2).xlsx]Q5(b)!PivotTable2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Average Sales Distribution on basis of Sub-categories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'Q5(b)'!$B$3</c:f>
              <c:strCache>
                <c:ptCount val="1"/>
                <c:pt idx="0">
                  <c:v>Total</c:v>
                </c:pt>
              </c:strCache>
            </c:strRef>
          </c:tx>
          <c:dPt>
            <c:idx val="0"/>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1-0FD0-40BE-ABBB-3EA5EB5ABC01}"/>
              </c:ext>
            </c:extLst>
          </c:dPt>
          <c:dPt>
            <c:idx val="1"/>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3-0FD0-40BE-ABBB-3EA5EB5ABC01}"/>
              </c:ext>
            </c:extLst>
          </c:dPt>
          <c:dPt>
            <c:idx val="2"/>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5-0FD0-40BE-ABBB-3EA5EB5ABC01}"/>
              </c:ext>
            </c:extLst>
          </c:dPt>
          <c:dPt>
            <c:idx val="3"/>
            <c:bubble3D val="0"/>
            <c:spPr>
              <a:pattFill prst="ltUpDiag">
                <a:fgClr>
                  <a:schemeClr val="accent6">
                    <a:lumMod val="60000"/>
                  </a:schemeClr>
                </a:fgClr>
                <a:bgClr>
                  <a:schemeClr val="accent6">
                    <a:lumMod val="60000"/>
                    <a:lumMod val="20000"/>
                    <a:lumOff val="80000"/>
                  </a:schemeClr>
                </a:bgClr>
              </a:pattFill>
              <a:ln w="19050">
                <a:solidFill>
                  <a:schemeClr val="lt1"/>
                </a:solidFill>
              </a:ln>
              <a:effectLst>
                <a:innerShdw blurRad="114300">
                  <a:schemeClr val="accent6">
                    <a:lumMod val="60000"/>
                  </a:schemeClr>
                </a:innerShdw>
              </a:effectLst>
            </c:spPr>
            <c:extLst>
              <c:ext xmlns:c16="http://schemas.microsoft.com/office/drawing/2014/chart" uri="{C3380CC4-5D6E-409C-BE32-E72D297353CC}">
                <c16:uniqueId val="{00000007-0FD0-40BE-ABBB-3EA5EB5ABC01}"/>
              </c:ext>
            </c:extLst>
          </c:dPt>
          <c:dPt>
            <c:idx val="4"/>
            <c:bubble3D val="0"/>
            <c:spPr>
              <a:pattFill prst="ltUpDiag">
                <a:fgClr>
                  <a:schemeClr val="accent5">
                    <a:lumMod val="60000"/>
                  </a:schemeClr>
                </a:fgClr>
                <a:bgClr>
                  <a:schemeClr val="accent5">
                    <a:lumMod val="60000"/>
                    <a:lumMod val="20000"/>
                    <a:lumOff val="80000"/>
                  </a:schemeClr>
                </a:bgClr>
              </a:pattFill>
              <a:ln w="19050">
                <a:solidFill>
                  <a:schemeClr val="lt1"/>
                </a:solidFill>
              </a:ln>
              <a:effectLst>
                <a:innerShdw blurRad="114300">
                  <a:schemeClr val="accent5">
                    <a:lumMod val="60000"/>
                  </a:schemeClr>
                </a:innerShdw>
              </a:effectLst>
            </c:spPr>
            <c:extLst>
              <c:ext xmlns:c16="http://schemas.microsoft.com/office/drawing/2014/chart" uri="{C3380CC4-5D6E-409C-BE32-E72D297353CC}">
                <c16:uniqueId val="{00000009-0FD0-40BE-ABBB-3EA5EB5ABC01}"/>
              </c:ext>
            </c:extLst>
          </c:dPt>
          <c:dPt>
            <c:idx val="5"/>
            <c:bubble3D val="0"/>
            <c:spPr>
              <a:pattFill prst="ltUpDiag">
                <a:fgClr>
                  <a:schemeClr val="accent4">
                    <a:lumMod val="60000"/>
                  </a:schemeClr>
                </a:fgClr>
                <a:bgClr>
                  <a:schemeClr val="accent4">
                    <a:lumMod val="60000"/>
                    <a:lumMod val="20000"/>
                    <a:lumOff val="80000"/>
                  </a:schemeClr>
                </a:bgClr>
              </a:pattFill>
              <a:ln w="19050">
                <a:solidFill>
                  <a:schemeClr val="lt1"/>
                </a:solidFill>
              </a:ln>
              <a:effectLst>
                <a:innerShdw blurRad="114300">
                  <a:schemeClr val="accent4">
                    <a:lumMod val="60000"/>
                  </a:schemeClr>
                </a:innerShdw>
              </a:effectLst>
            </c:spPr>
            <c:extLst>
              <c:ext xmlns:c16="http://schemas.microsoft.com/office/drawing/2014/chart" uri="{C3380CC4-5D6E-409C-BE32-E72D297353CC}">
                <c16:uniqueId val="{0000000B-0FD0-40BE-ABBB-3EA5EB5ABC01}"/>
              </c:ext>
            </c:extLst>
          </c:dPt>
          <c:dPt>
            <c:idx val="6"/>
            <c:bubble3D val="0"/>
            <c:spPr>
              <a:pattFill prst="ltUpDiag">
                <a:fgClr>
                  <a:schemeClr val="accent6">
                    <a:lumMod val="80000"/>
                    <a:lumOff val="20000"/>
                  </a:schemeClr>
                </a:fgClr>
                <a:bgClr>
                  <a:schemeClr val="accent6">
                    <a:lumMod val="80000"/>
                    <a:lumOff val="20000"/>
                    <a:lumMod val="20000"/>
                    <a:lumOff val="80000"/>
                  </a:schemeClr>
                </a:bgClr>
              </a:pattFill>
              <a:ln w="19050">
                <a:solidFill>
                  <a:schemeClr val="lt1"/>
                </a:solidFill>
              </a:ln>
              <a:effectLst>
                <a:innerShdw blurRad="114300">
                  <a:schemeClr val="accent6">
                    <a:lumMod val="80000"/>
                    <a:lumOff val="20000"/>
                  </a:schemeClr>
                </a:innerShdw>
              </a:effectLst>
            </c:spPr>
            <c:extLst>
              <c:ext xmlns:c16="http://schemas.microsoft.com/office/drawing/2014/chart" uri="{C3380CC4-5D6E-409C-BE32-E72D297353CC}">
                <c16:uniqueId val="{0000000D-0FD0-40BE-ABBB-3EA5EB5ABC01}"/>
              </c:ext>
            </c:extLst>
          </c:dPt>
          <c:dPt>
            <c:idx val="7"/>
            <c:bubble3D val="0"/>
            <c:spPr>
              <a:pattFill prst="ltUpDiag">
                <a:fgClr>
                  <a:schemeClr val="accent5">
                    <a:lumMod val="80000"/>
                    <a:lumOff val="20000"/>
                  </a:schemeClr>
                </a:fgClr>
                <a:bgClr>
                  <a:schemeClr val="accent5">
                    <a:lumMod val="80000"/>
                    <a:lumOff val="20000"/>
                    <a:lumMod val="20000"/>
                    <a:lumOff val="80000"/>
                  </a:schemeClr>
                </a:bgClr>
              </a:pattFill>
              <a:ln w="19050">
                <a:solidFill>
                  <a:schemeClr val="lt1"/>
                </a:solidFill>
              </a:ln>
              <a:effectLst>
                <a:innerShdw blurRad="114300">
                  <a:schemeClr val="accent5">
                    <a:lumMod val="80000"/>
                    <a:lumOff val="20000"/>
                  </a:schemeClr>
                </a:innerShdw>
              </a:effectLst>
            </c:spPr>
            <c:extLst>
              <c:ext xmlns:c16="http://schemas.microsoft.com/office/drawing/2014/chart" uri="{C3380CC4-5D6E-409C-BE32-E72D297353CC}">
                <c16:uniqueId val="{0000000F-0FD0-40BE-ABBB-3EA5EB5ABC01}"/>
              </c:ext>
            </c:extLst>
          </c:dPt>
          <c:dPt>
            <c:idx val="8"/>
            <c:bubble3D val="0"/>
            <c:spPr>
              <a:pattFill prst="ltUpDiag">
                <a:fgClr>
                  <a:schemeClr val="accent4">
                    <a:lumMod val="80000"/>
                    <a:lumOff val="20000"/>
                  </a:schemeClr>
                </a:fgClr>
                <a:bgClr>
                  <a:schemeClr val="accent4">
                    <a:lumMod val="80000"/>
                    <a:lumOff val="20000"/>
                    <a:lumMod val="20000"/>
                    <a:lumOff val="80000"/>
                  </a:schemeClr>
                </a:bgClr>
              </a:pattFill>
              <a:ln w="19050">
                <a:solidFill>
                  <a:schemeClr val="lt1"/>
                </a:solidFill>
              </a:ln>
              <a:effectLst>
                <a:innerShdw blurRad="114300">
                  <a:schemeClr val="accent4">
                    <a:lumMod val="80000"/>
                    <a:lumOff val="20000"/>
                  </a:schemeClr>
                </a:innerShdw>
              </a:effectLst>
            </c:spPr>
            <c:extLst>
              <c:ext xmlns:c16="http://schemas.microsoft.com/office/drawing/2014/chart" uri="{C3380CC4-5D6E-409C-BE32-E72D297353CC}">
                <c16:uniqueId val="{00000011-0FD0-40BE-ABBB-3EA5EB5ABC01}"/>
              </c:ext>
            </c:extLst>
          </c:dPt>
          <c:dPt>
            <c:idx val="9"/>
            <c:bubble3D val="0"/>
            <c:spPr>
              <a:pattFill prst="ltUpDiag">
                <a:fgClr>
                  <a:schemeClr val="accent6">
                    <a:lumMod val="80000"/>
                  </a:schemeClr>
                </a:fgClr>
                <a:bgClr>
                  <a:schemeClr val="accent6">
                    <a:lumMod val="80000"/>
                    <a:lumMod val="20000"/>
                    <a:lumOff val="80000"/>
                  </a:schemeClr>
                </a:bgClr>
              </a:pattFill>
              <a:ln w="19050">
                <a:solidFill>
                  <a:schemeClr val="lt1"/>
                </a:solidFill>
              </a:ln>
              <a:effectLst>
                <a:innerShdw blurRad="114300">
                  <a:schemeClr val="accent6">
                    <a:lumMod val="80000"/>
                  </a:schemeClr>
                </a:innerShdw>
              </a:effectLst>
            </c:spPr>
            <c:extLst>
              <c:ext xmlns:c16="http://schemas.microsoft.com/office/drawing/2014/chart" uri="{C3380CC4-5D6E-409C-BE32-E72D297353CC}">
                <c16:uniqueId val="{00000013-0FD0-40BE-ABBB-3EA5EB5ABC01}"/>
              </c:ext>
            </c:extLst>
          </c:dPt>
          <c:dPt>
            <c:idx val="10"/>
            <c:bubble3D val="0"/>
            <c:spPr>
              <a:pattFill prst="ltUpDiag">
                <a:fgClr>
                  <a:schemeClr val="accent5">
                    <a:lumMod val="80000"/>
                  </a:schemeClr>
                </a:fgClr>
                <a:bgClr>
                  <a:schemeClr val="accent5">
                    <a:lumMod val="80000"/>
                    <a:lumMod val="20000"/>
                    <a:lumOff val="80000"/>
                  </a:schemeClr>
                </a:bgClr>
              </a:pattFill>
              <a:ln w="19050">
                <a:solidFill>
                  <a:schemeClr val="lt1"/>
                </a:solidFill>
              </a:ln>
              <a:effectLst>
                <a:innerShdw blurRad="114300">
                  <a:schemeClr val="accent5">
                    <a:lumMod val="80000"/>
                  </a:schemeClr>
                </a:innerShdw>
              </a:effectLst>
            </c:spPr>
            <c:extLst>
              <c:ext xmlns:c16="http://schemas.microsoft.com/office/drawing/2014/chart" uri="{C3380CC4-5D6E-409C-BE32-E72D297353CC}">
                <c16:uniqueId val="{00000015-0FD0-40BE-ABBB-3EA5EB5ABC01}"/>
              </c:ext>
            </c:extLst>
          </c:dPt>
          <c:dPt>
            <c:idx val="11"/>
            <c:bubble3D val="0"/>
            <c:spPr>
              <a:pattFill prst="ltUpDiag">
                <a:fgClr>
                  <a:schemeClr val="accent4">
                    <a:lumMod val="80000"/>
                  </a:schemeClr>
                </a:fgClr>
                <a:bgClr>
                  <a:schemeClr val="accent4">
                    <a:lumMod val="80000"/>
                    <a:lumMod val="20000"/>
                    <a:lumOff val="80000"/>
                  </a:schemeClr>
                </a:bgClr>
              </a:pattFill>
              <a:ln w="19050">
                <a:solidFill>
                  <a:schemeClr val="lt1"/>
                </a:solidFill>
              </a:ln>
              <a:effectLst>
                <a:innerShdw blurRad="114300">
                  <a:schemeClr val="accent4">
                    <a:lumMod val="80000"/>
                  </a:schemeClr>
                </a:innerShdw>
              </a:effectLst>
            </c:spPr>
            <c:extLst>
              <c:ext xmlns:c16="http://schemas.microsoft.com/office/drawing/2014/chart" uri="{C3380CC4-5D6E-409C-BE32-E72D297353CC}">
                <c16:uniqueId val="{00000017-0FD0-40BE-ABBB-3EA5EB5ABC01}"/>
              </c:ext>
            </c:extLst>
          </c:dPt>
          <c:dPt>
            <c:idx val="12"/>
            <c:bubble3D val="0"/>
            <c:spPr>
              <a:pattFill prst="ltUpDiag">
                <a:fgClr>
                  <a:schemeClr val="accent6">
                    <a:lumMod val="60000"/>
                    <a:lumOff val="40000"/>
                  </a:schemeClr>
                </a:fgClr>
                <a:bgClr>
                  <a:schemeClr val="accent6">
                    <a:lumMod val="60000"/>
                    <a:lumOff val="40000"/>
                    <a:lumMod val="20000"/>
                    <a:lumOff val="80000"/>
                  </a:schemeClr>
                </a:bgClr>
              </a:pattFill>
              <a:ln w="19050">
                <a:solidFill>
                  <a:schemeClr val="lt1"/>
                </a:solidFill>
              </a:ln>
              <a:effectLst>
                <a:innerShdw blurRad="114300">
                  <a:schemeClr val="accent6">
                    <a:lumMod val="60000"/>
                    <a:lumOff val="40000"/>
                  </a:schemeClr>
                </a:innerShdw>
              </a:effectLst>
            </c:spPr>
            <c:extLst>
              <c:ext xmlns:c16="http://schemas.microsoft.com/office/drawing/2014/chart" uri="{C3380CC4-5D6E-409C-BE32-E72D297353CC}">
                <c16:uniqueId val="{00000019-0FD0-40BE-ABBB-3EA5EB5ABC01}"/>
              </c:ext>
            </c:extLst>
          </c:dPt>
          <c:dPt>
            <c:idx val="13"/>
            <c:bubble3D val="0"/>
            <c:spPr>
              <a:pattFill prst="ltUpDiag">
                <a:fgClr>
                  <a:schemeClr val="accent5">
                    <a:lumMod val="60000"/>
                    <a:lumOff val="40000"/>
                  </a:schemeClr>
                </a:fgClr>
                <a:bgClr>
                  <a:schemeClr val="accent5">
                    <a:lumMod val="60000"/>
                    <a:lumOff val="40000"/>
                    <a:lumMod val="20000"/>
                    <a:lumOff val="80000"/>
                  </a:schemeClr>
                </a:bgClr>
              </a:pattFill>
              <a:ln w="19050">
                <a:solidFill>
                  <a:schemeClr val="lt1"/>
                </a:solidFill>
              </a:ln>
              <a:effectLst>
                <a:innerShdw blurRad="114300">
                  <a:schemeClr val="accent5">
                    <a:lumMod val="60000"/>
                    <a:lumOff val="40000"/>
                  </a:schemeClr>
                </a:innerShdw>
              </a:effectLst>
            </c:spPr>
            <c:extLst>
              <c:ext xmlns:c16="http://schemas.microsoft.com/office/drawing/2014/chart" uri="{C3380CC4-5D6E-409C-BE32-E72D297353CC}">
                <c16:uniqueId val="{0000001B-0FD0-40BE-ABBB-3EA5EB5ABC01}"/>
              </c:ext>
            </c:extLst>
          </c:dPt>
          <c:dPt>
            <c:idx val="14"/>
            <c:bubble3D val="0"/>
            <c:spPr>
              <a:pattFill prst="ltUpDiag">
                <a:fgClr>
                  <a:schemeClr val="accent4">
                    <a:lumMod val="60000"/>
                    <a:lumOff val="40000"/>
                  </a:schemeClr>
                </a:fgClr>
                <a:bgClr>
                  <a:schemeClr val="accent4">
                    <a:lumMod val="60000"/>
                    <a:lumOff val="40000"/>
                    <a:lumMod val="20000"/>
                    <a:lumOff val="80000"/>
                  </a:schemeClr>
                </a:bgClr>
              </a:pattFill>
              <a:ln w="19050">
                <a:solidFill>
                  <a:schemeClr val="lt1"/>
                </a:solidFill>
              </a:ln>
              <a:effectLst>
                <a:innerShdw blurRad="114300">
                  <a:schemeClr val="accent4">
                    <a:lumMod val="60000"/>
                    <a:lumOff val="40000"/>
                  </a:schemeClr>
                </a:innerShdw>
              </a:effectLst>
            </c:spPr>
            <c:extLst>
              <c:ext xmlns:c16="http://schemas.microsoft.com/office/drawing/2014/chart" uri="{C3380CC4-5D6E-409C-BE32-E72D297353CC}">
                <c16:uniqueId val="{0000001D-0FD0-40BE-ABBB-3EA5EB5ABC01}"/>
              </c:ext>
            </c:extLst>
          </c:dPt>
          <c:dPt>
            <c:idx val="15"/>
            <c:bubble3D val="0"/>
            <c:spPr>
              <a:pattFill prst="ltUpDiag">
                <a:fgClr>
                  <a:schemeClr val="accent6">
                    <a:lumMod val="50000"/>
                  </a:schemeClr>
                </a:fgClr>
                <a:bgClr>
                  <a:schemeClr val="accent6">
                    <a:lumMod val="50000"/>
                    <a:lumMod val="20000"/>
                    <a:lumOff val="80000"/>
                  </a:schemeClr>
                </a:bgClr>
              </a:pattFill>
              <a:ln w="19050">
                <a:solidFill>
                  <a:schemeClr val="lt1"/>
                </a:solidFill>
              </a:ln>
              <a:effectLst>
                <a:innerShdw blurRad="114300">
                  <a:schemeClr val="accent6">
                    <a:lumMod val="50000"/>
                  </a:schemeClr>
                </a:innerShdw>
              </a:effectLst>
            </c:spPr>
            <c:extLst>
              <c:ext xmlns:c16="http://schemas.microsoft.com/office/drawing/2014/chart" uri="{C3380CC4-5D6E-409C-BE32-E72D297353CC}">
                <c16:uniqueId val="{0000001F-0FD0-40BE-ABBB-3EA5EB5ABC01}"/>
              </c:ext>
            </c:extLst>
          </c:dPt>
          <c:dPt>
            <c:idx val="16"/>
            <c:bubble3D val="0"/>
            <c:spPr>
              <a:pattFill prst="ltUpDiag">
                <a:fgClr>
                  <a:schemeClr val="accent5">
                    <a:lumMod val="50000"/>
                  </a:schemeClr>
                </a:fgClr>
                <a:bgClr>
                  <a:schemeClr val="accent5">
                    <a:lumMod val="50000"/>
                    <a:lumMod val="20000"/>
                    <a:lumOff val="80000"/>
                  </a:schemeClr>
                </a:bgClr>
              </a:pattFill>
              <a:ln w="19050">
                <a:solidFill>
                  <a:schemeClr val="lt1"/>
                </a:solidFill>
              </a:ln>
              <a:effectLst>
                <a:innerShdw blurRad="114300">
                  <a:schemeClr val="accent5">
                    <a:lumMod val="50000"/>
                  </a:schemeClr>
                </a:innerShdw>
              </a:effectLst>
            </c:spPr>
            <c:extLst>
              <c:ext xmlns:c16="http://schemas.microsoft.com/office/drawing/2014/chart" uri="{C3380CC4-5D6E-409C-BE32-E72D297353CC}">
                <c16:uniqueId val="{00000021-0FD0-40BE-ABBB-3EA5EB5ABC01}"/>
              </c:ext>
            </c:extLst>
          </c:dPt>
          <c:dLbls>
            <c:dLbl>
              <c:idx val="2"/>
              <c:layout>
                <c:manualLayout>
                  <c:x val="-0.54626965701841601"/>
                  <c:y val="0.45806452683529097"/>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FD0-40BE-ABBB-3EA5EB5ABC01}"/>
                </c:ext>
              </c:extLst>
            </c:dLbl>
            <c:dLbl>
              <c:idx val="5"/>
              <c:layout>
                <c:manualLayout>
                  <c:x val="1.90476166669644E-2"/>
                  <c:y val="9.6153846153845604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B-0FD0-40BE-ABBB-3EA5EB5ABC01}"/>
                </c:ext>
              </c:extLst>
            </c:dLbl>
            <c:dLbl>
              <c:idx val="7"/>
              <c:layout>
                <c:manualLayout>
                  <c:x val="-0.29378840893392399"/>
                  <c:y val="-9.9311817750356093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0FD0-40BE-ABBB-3EA5EB5ABC01}"/>
                </c:ext>
              </c:extLst>
            </c:dLbl>
            <c:dLbl>
              <c:idx val="8"/>
              <c:layout>
                <c:manualLayout>
                  <c:x val="-0.27743626824966799"/>
                  <c:y val="-0.2641753595241970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0FD0-40BE-ABBB-3EA5EB5ABC01}"/>
                </c:ext>
              </c:extLst>
            </c:dLbl>
            <c:dLbl>
              <c:idx val="9"/>
              <c:layout>
                <c:manualLayout>
                  <c:x val="-0.26124016799108202"/>
                  <c:y val="-1.5259657286235399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0FD0-40BE-ABBB-3EA5EB5ABC01}"/>
                </c:ext>
              </c:extLst>
            </c:dLbl>
            <c:dLbl>
              <c:idx val="10"/>
              <c:layout>
                <c:manualLayout>
                  <c:x val="-0.237169750207152"/>
                  <c:y val="-0.169566480031596"/>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0FD0-40BE-ABBB-3EA5EB5ABC01}"/>
                </c:ext>
              </c:extLst>
            </c:dLbl>
            <c:dLbl>
              <c:idx val="12"/>
              <c:layout>
                <c:manualLayout>
                  <c:x val="1.5779347567464301E-3"/>
                  <c:y val="1.674552114995580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9-0FD0-40BE-ABBB-3EA5EB5ABC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'Q5(b)'!$A$4:$A$21</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'Q5(b)'!$B$4:$B$21</c:f>
              <c:numCache>
                <c:formatCode>General</c:formatCode>
                <c:ptCount val="17"/>
                <c:pt idx="0">
                  <c:v>217.17817460317499</c:v>
                </c:pt>
                <c:pt idx="1">
                  <c:v>227.92680392156899</c:v>
                </c:pt>
                <c:pt idx="2">
                  <c:v>34.0196305732483</c:v>
                </c:pt>
                <c:pt idx="3">
                  <c:v>134.06755026809699</c:v>
                </c:pt>
                <c:pt idx="4">
                  <c:v>503.59822433628301</c:v>
                </c:pt>
                <c:pt idx="5">
                  <c:v>531.83316474464698</c:v>
                </c:pt>
                <c:pt idx="6">
                  <c:v>2215.8802121212102</c:v>
                </c:pt>
                <c:pt idx="7">
                  <c:v>65.032443548387107</c:v>
                </c:pt>
                <c:pt idx="8">
                  <c:v>14.027850467289699</c:v>
                </c:pt>
                <c:pt idx="9">
                  <c:v>95.823864661654198</c:v>
                </c:pt>
                <c:pt idx="10">
                  <c:v>34.587467787114797</c:v>
                </c:pt>
                <c:pt idx="11">
                  <c:v>1645.5533130434801</c:v>
                </c:pt>
                <c:pt idx="12">
                  <c:v>57.420257100149499</c:v>
                </c:pt>
                <c:pt idx="13">
                  <c:v>374.180876712329</c:v>
                </c:pt>
                <c:pt idx="14">
                  <c:v>263.633884615385</c:v>
                </c:pt>
                <c:pt idx="15">
                  <c:v>252.284282608696</c:v>
                </c:pt>
                <c:pt idx="16">
                  <c:v>645.89371974522305</c:v>
                </c:pt>
              </c:numCache>
            </c:numRef>
          </c:val>
          <c:extLst>
            <c:ext xmlns:c16="http://schemas.microsoft.com/office/drawing/2014/chart" uri="{C3380CC4-5D6E-409C-BE32-E72D297353CC}">
              <c16:uniqueId val="{00000022-0FD0-40BE-ABBB-3EA5EB5ABC01}"/>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4.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11</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Kunal Yadav</cp:lastModifiedBy>
  <cp:revision>5</cp:revision>
  <dcterms:created xsi:type="dcterms:W3CDTF">2024-04-26T01:16:00Z</dcterms:created>
  <dcterms:modified xsi:type="dcterms:W3CDTF">2024-04-26T08:50:00Z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72BCE6275BD54705AB863BFCA5666DF3_12</vt:lpwstr>
  </property>
</Properties>
</file>