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w:t>
      </w:r>
      <w:r>
        <w:t xml:space="preserve"> </w:t>
      </w:r>
      <w:r>
        <w:t xml:space="preserve">Does</w:t>
      </w:r>
      <w:r>
        <w:t xml:space="preserve"> </w:t>
      </w:r>
      <w:r>
        <w:t xml:space="preserve">Data</w:t>
      </w:r>
      <w:r>
        <w:t xml:space="preserve"> </w:t>
      </w:r>
      <w:r>
        <w:t xml:space="preserve">Quality</w:t>
      </w:r>
      <w:r>
        <w:t xml:space="preserve"> </w:t>
      </w:r>
      <w:r>
        <w:t xml:space="preserve">Help</w:t>
      </w:r>
      <w:r>
        <w:t xml:space="preserve"> </w:t>
      </w:r>
      <w:r>
        <w:t xml:space="preserve">Human</w:t>
      </w:r>
      <w:r>
        <w:t xml:space="preserve"> </w:t>
      </w:r>
      <w:r>
        <w:t xml:space="preserve">Deferral?</w:t>
      </w:r>
      <w:r>
        <w:t xml:space="preserve"> </w:t>
      </w:r>
      <w:r>
        <w:t xml:space="preserve">Governance-Constrained</w:t>
      </w:r>
      <w:r>
        <w:t xml:space="preserve"> </w:t>
      </w:r>
      <w:r>
        <w:t xml:space="preserve">Review</w:t>
      </w:r>
      <w:r>
        <w:t xml:space="preserve"> </w:t>
      </w:r>
      <w:r>
        <w:t xml:space="preserve">Allocation</w:t>
      </w:r>
      <w:r>
        <w:t xml:space="preserve"> </w:t>
      </w:r>
      <w:r>
        <w:t xml:space="preserve">in</w:t>
      </w:r>
      <w:r>
        <w:t xml:space="preserve"> </w:t>
      </w:r>
      <w:r>
        <w:t xml:space="preserve">Knowledge-Based</w:t>
      </w:r>
      <w:r>
        <w:t xml:space="preserve"> </w:t>
      </w:r>
      <w:r>
        <w:t xml:space="preserve">Decision</w:t>
      </w:r>
      <w:r>
        <w:t xml:space="preserve"> </w:t>
      </w:r>
      <w:r>
        <w:t xml:space="preserve">Systems</w:t>
      </w:r>
    </w:p>
    <w:p>
      <w:pPr>
        <w:pStyle w:val="FirstParagraph"/>
      </w:pPr>
      <w:r>
        <w:rPr>
          <w:bCs/>
          <w:b/>
        </w:rPr>
        <w:t xml:space="preserve">Yeshwanth Reddy Kunam</w:t>
      </w:r>
      <w:r>
        <w:rPr>
          <w:vertAlign w:val="superscript"/>
        </w:rPr>
        <w:t xml:space="preserve">a,*</w:t>
      </w:r>
    </w:p>
    <w:p>
      <w:pPr>
        <w:pStyle w:val="BodyText"/>
      </w:pPr>
      <w:r>
        <w:rPr>
          <w:vertAlign w:val="superscript"/>
        </w:rPr>
        <w:t xml:space="preserve">a</w:t>
      </w:r>
      <w:r>
        <w:t xml:space="preserve"> </w:t>
      </w:r>
      <w:r>
        <w:t xml:space="preserve">Doctor of Business Administration, Midwest University, 851 Parr Road, Wentzville, MO 63385, United States</w:t>
      </w:r>
    </w:p>
    <w:p>
      <w:pPr>
        <w:pStyle w:val="BodyText"/>
      </w:pPr>
      <w:r>
        <w:t xml:space="preserve">* Corresponding author. E-mail: yeshwanthkunam05@gmail.com</w:t>
      </w:r>
    </w:p>
    <w:p>
      <w:pPr>
        <w:pStyle w:val="BodyText"/>
      </w:pPr>
      <w:r>
        <w:rPr>
          <w:iCs/>
          <w:i/>
        </w:rPr>
        <w:t xml:space="preserve">Revised author-review draft (October 2026). Not yet submitted or peer reviewed.</w:t>
      </w:r>
    </w:p>
    <w:bookmarkStart w:id="20" w:name="highlights"/>
    <w:p>
      <w:pPr>
        <w:pStyle w:val="Heading1"/>
      </w:pPr>
      <w:r>
        <w:t xml:space="preserve">Highlights</w:t>
      </w:r>
    </w:p>
    <w:p>
      <w:pPr>
        <w:numPr>
          <w:ilvl w:val="0"/>
          <w:numId w:val="1001"/>
        </w:numPr>
        <w:pStyle w:val="Compact"/>
      </w:pPr>
      <w:r>
        <w:t xml:space="preserve">Exact sorting solves governance-constrained review allocation in both regimes.</w:t>
      </w:r>
    </w:p>
    <w:p>
      <w:pPr>
        <w:numPr>
          <w:ilvl w:val="0"/>
          <w:numId w:val="1001"/>
        </w:numPr>
        <w:pStyle w:val="Compact"/>
      </w:pPr>
      <w:r>
        <w:t xml:space="preserve">Backlog depends on staffing, not on how mandatory cases are prioritised.</w:t>
      </w:r>
    </w:p>
    <w:p>
      <w:pPr>
        <w:numPr>
          <w:ilvl w:val="0"/>
          <w:numId w:val="1001"/>
        </w:numPr>
        <w:pStyle w:val="Compact"/>
      </w:pPr>
      <w:r>
        <w:t xml:space="preserve">Learned deferral beat cost-aware heuristics only with thousands of review logs.</w:t>
      </w:r>
    </w:p>
    <w:p>
      <w:pPr>
        <w:numPr>
          <w:ilvl w:val="0"/>
          <w:numId w:val="1001"/>
        </w:numPr>
        <w:pStyle w:val="Compact"/>
      </w:pPr>
      <w:r>
        <w:t xml:space="preserve">Quality inputs helped most when missingness was informative about outcomes.</w:t>
      </w:r>
    </w:p>
    <w:p>
      <w:pPr>
        <w:numPr>
          <w:ilvl w:val="0"/>
          <w:numId w:val="1001"/>
        </w:numPr>
        <w:pStyle w:val="Compact"/>
      </w:pPr>
      <w:r>
        <w:t xml:space="preserve">Quality-triggered rules missed three-quarters of records with invisible defects.</w:t>
      </w:r>
    </w:p>
    <w:bookmarkEnd w:id="20"/>
    <w:bookmarkStart w:id="21" w:name="abstract"/>
    <w:p>
      <w:pPr>
        <w:pStyle w:val="Heading1"/>
      </w:pPr>
      <w:r>
        <w:t xml:space="preserve">Abstract</w:t>
      </w:r>
    </w:p>
    <w:p>
      <w:pPr>
        <w:pStyle w:val="FirstParagraph"/>
      </w:pPr>
      <w:r>
        <w:t xml:space="preserve">Organisations that automate decisions must decide which records a model may decide alone, where scarce human review reduces expected loss, and whether staff can absorb the review demand that governance rules make compulsory. We study these choices in a knowledge-based routing system combining a calibrated predictor, a data-quality rule base, a two-head loss estimator that learns from incomplete review logs, and an allocator that enforces review capacity and holds mandatory cases it cannot serve. Sorting solves this governance-constrained allocation exactly in feasible and overloaded regimes, and in a multi-period system the backlog does not depend on how mandatory cases are prioritised. We compare the system with published learning-to-defer surrogates, differential triage and cost-aware heuristics under matched information, rules, costs and capacity. The evaluation spans four credit datasets (one with natural missingness), nine data-quality conditions including defects invisible to validation checks, and five simulated reviewer models, over 20 corrected repeated splits. Pooled, the proposed router was the best learning-based method but 1.2% costlier than Chow’s cost-risk rule. Learned routing overtook that rule only with roughly 1,800 or more training records, and with 6,000 it beat every comparator on all splits. Quality information reduced cost mainly when missingness was informative about outcomes (1.2–3.5%), by improving estimates of automated rather than reviewer error. In a 40-day simulation with a deterioration episode, staffing determined backlog and service completion far more than routing did. Quality-triggered rules blocked most visibly degraded records but missed three-quarters of records with invisible defects.</w:t>
      </w:r>
    </w:p>
    <w:p>
      <w:pPr>
        <w:pStyle w:val="BodyText"/>
      </w:pPr>
      <w:r>
        <w:rPr>
          <w:bCs/>
          <w:b/>
        </w:rPr>
        <w:t xml:space="preserve">Keywords:</w:t>
      </w:r>
      <w:r>
        <w:t xml:space="preserve"> </w:t>
      </w:r>
      <w:r>
        <w:t xml:space="preserve">Knowledge-based systems; Learning to defer; Data quality; AI governance; Human–AI collaboration; Review capacity; Managerial decision-making</w:t>
      </w:r>
    </w:p>
    <w:bookmarkEnd w:id="21"/>
    <w:bookmarkStart w:id="22" w:name="introduction"/>
    <w:p>
      <w:pPr>
        <w:pStyle w:val="Heading1"/>
      </w:pPr>
      <w:r>
        <w:t xml:space="preserve">1. Introduction</w:t>
      </w:r>
    </w:p>
    <w:p>
      <w:pPr>
        <w:pStyle w:val="FirstParagraph"/>
      </w:pPr>
      <w:r>
        <w:t xml:space="preserve">Organizations that automate operational decisions with machine-learning models rarely automate everything. Credit, claims, compliance and service-eligibility decisions are typically routed through a hybrid process in which a model decides routine records and human reviewers examine the remainder. AI-governance frameworks describe this division of labour in terms of accountability, data controls and human oversight [1–4], and recent regulation makes human oversight an explicit obligation for high-risk uses such as creditworthiness assessment [5]. Requiring oversight, however, does not establish that oversight is effective [6]. Managers still have to decide which records may be automated, where scarce review effort reduces expected loss, and whether staffing can absorb the review demand that governance rules make compulsory.</w:t>
      </w:r>
    </w:p>
    <w:p>
      <w:pPr>
        <w:pStyle w:val="BodyText"/>
      </w:pPr>
      <w:r>
        <w:t xml:space="preserve">Two research streams address parts of this problem. Learning to reject and learning to defer (L2D) decide when a model should abstain or pass a case to a human, trading model error against the cost or error of deferral [7–12]. Algorithmic triage estimates human and model error separately and automates the cases where the model is relatively stronger [13, 14], and recent work adds expert workload constraints [15] or limited expert predictions [16]. In parallel, data-management research treats completeness, validity and timeliness as measurable properties of the inputs a model receives [17–19]. Governance practice links the two: input-validation rules and model-risk controls often require that records failing quality checks be reviewed rather than automated [20].</w:t>
      </w:r>
    </w:p>
    <w:p>
      <w:pPr>
        <w:pStyle w:val="BodyText"/>
      </w:pPr>
      <w:r>
        <w:t xml:space="preserve">What is less well understood is how these elements interact when data quality deteriorates. Mandatory-review rules triggered by quality checks increase review demand precisely when review capacity is fixed; records that cannot be reviewed are neither automated nor resolved; and a quality signal that is informative about model error may or may not be informative about reviewer error. Existing deferral studies typically evaluate accuracy–coverage trade-offs with no compulsory review and no unresolved cases, and data-quality studies rarely evaluate the downstream allocation of human effort. An earlier draft of the present study proposed a compact quality-conditioned gain model with two quality rules and reported that, under a reviewer whose errors were simulated from the same quality signals given to the router, the quality-aware policy changed expected cost by only about 0.2% relative to a feature-aware comparator, with an interval that crossed zero. That result raised three questions this revision is designed to answer: whether the proposed method adds anything beyond published deferral algorithms, whether its apparent value depended on a reviewer simulation that favoured its own representation, and under which conditions observable quality information is useful at all.</w:t>
      </w:r>
    </w:p>
    <w:p>
      <w:pPr>
        <w:pStyle w:val="BodyText"/>
      </w:pPr>
      <w:r>
        <w:t xml:space="preserve">This paper therefore asks:</w:t>
      </w:r>
    </w:p>
    <w:p>
      <w:pPr>
        <w:pStyle w:val="BlockText"/>
      </w:pPr>
      <w:r>
        <w:rPr>
          <w:bCs/>
          <w:b/>
        </w:rPr>
        <w:t xml:space="preserve">RQ.</w:t>
      </w:r>
      <w:r>
        <w:t xml:space="preserve"> </w:t>
      </w:r>
      <w:r>
        <w:t xml:space="preserve">Under what data-quality and review-capacity conditions does quality-aware deferral improve decision cost and service completion while satisfying explicit governance rules?</w:t>
      </w:r>
    </w:p>
    <w:p>
      <w:pPr>
        <w:pStyle w:val="FirstParagraph"/>
      </w:pPr>
      <w:r>
        <w:t xml:space="preserve">We study the question with a knowledge-based routing system consisting of a calibrated predictor, a two-rule quality knowledge base, a two-head loss estimator and an exact capacity-constrained allocator. The contributions are as follows.</w:t>
      </w:r>
    </w:p>
    <w:p>
      <w:pPr>
        <w:numPr>
          <w:ilvl w:val="0"/>
          <w:numId w:val="1002"/>
        </w:numPr>
        <w:pStyle w:val="Compact"/>
      </w:pPr>
      <w:r>
        <w:rPr>
          <w:bCs/>
          <w:b/>
        </w:rPr>
        <w:t xml:space="preserve">A governance-constrained allocation problem and its exact solution.</w:t>
      </w:r>
      <w:r>
        <w:t xml:space="preserve"> </w:t>
      </w:r>
      <w:r>
        <w:t xml:space="preserve">We formalise routing with automation, review and hold actions under a review budget, mandatory-review rules and a service-first constraint. We show that sorting solves the estimated problem exactly in both the feasible and the overloaded regime (Proposition 1). The overloaded case corrects the earlier draft, which ranked mandatory records by estimated gain even though automation loss is irrelevant for records that cannot be automated. We also show that, in a multi-period system, backlog size, workload and waiting cost do not depend on how mandatory records are prioritised (Proposition 2), which separates staffing decisions from prioritisation decisions.</w:t>
      </w:r>
    </w:p>
    <w:p>
      <w:pPr>
        <w:numPr>
          <w:ilvl w:val="0"/>
          <w:numId w:val="1002"/>
        </w:numPr>
        <w:pStyle w:val="Compact"/>
      </w:pPr>
      <w:r>
        <w:rPr>
          <w:bCs/>
          <w:b/>
        </w:rPr>
        <w:t xml:space="preserve">A two-head estimator that learns from incomplete review logs.</w:t>
      </w:r>
      <w:r>
        <w:t xml:space="preserve"> </w:t>
      </w:r>
      <w:r>
        <w:t xml:space="preserve">Expected review benefit is decomposed into an automation-loss head trained on all labelled records and a reviewer-loss head trained only on records with a logged review. This follows the triage logic of Raghu et al. [13] but is tied to the allocation problem above and uses the reviewer-loss head directly for overload ordering.</w:t>
      </w:r>
    </w:p>
    <w:p>
      <w:pPr>
        <w:numPr>
          <w:ilvl w:val="0"/>
          <w:numId w:val="1002"/>
        </w:numPr>
        <w:pStyle w:val="Compact"/>
      </w:pPr>
      <w:r>
        <w:rPr>
          <w:bCs/>
          <w:b/>
        </w:rPr>
        <w:t xml:space="preserve">A matched benchmark against published deferral methods.</w:t>
      </w:r>
      <w:r>
        <w:t xml:space="preserve"> </w:t>
      </w:r>
      <w:r>
        <w:t xml:space="preserve">We compare the system with the cost-sensitive cross-entropy surrogate of Mozannar and Sontag [10], the one-vs-all surrogate of Verma and Nalisnick [11], differential triage [13] and Chow-type cost-risk rejection [7]. All methods receive the same information, rules, costs and capacity and are trained on noisy, incomplete review logs rather than on expected reviewer losses.</w:t>
      </w:r>
    </w:p>
    <w:p>
      <w:pPr>
        <w:numPr>
          <w:ilvl w:val="0"/>
          <w:numId w:val="1002"/>
        </w:numPr>
        <w:pStyle w:val="Compact"/>
      </w:pPr>
      <w:r>
        <w:rPr>
          <w:bCs/>
          <w:b/>
        </w:rPr>
        <w:t xml:space="preserve">A conditions analysis rather than a superiority claim.</w:t>
      </w:r>
      <w:r>
        <w:t xml:space="preserve"> </w:t>
      </w:r>
      <w:r>
        <w:t xml:space="preserve">Five reviewer models, four of whose errors do not depend on the router’s quality signals and two of which err on information the router cannot observe, are crossed with two families of data defects: defects visible to completeness and range checks, and domain-valid defects (informative missingness, stale records and mis-keyed codes) that such checks largely miss. We add an external dataset with naturally occurring missingness. We report where quality information helps, where it does not and where it hurts, and how much review history a learned router needs before it beats a cost-aware heuristic. We also report managerial outcomes: review workload, backlog, waiting time, service-level attainment, override rate and cost per completed case.</w:t>
      </w:r>
    </w:p>
    <w:p>
      <w:pPr>
        <w:pStyle w:val="FirstParagraph"/>
      </w:pPr>
      <w:r>
        <w:t xml:space="preserve">Section 2 reviews related work. Section 3 formulates the problem and the method. Section 4 describes the experimental design and prespecified hypotheses. Section 5 reports results, Section 6 discusses implications, and Section 7 sets out limitations.</w:t>
      </w:r>
    </w:p>
    <w:bookmarkEnd w:id="22"/>
    <w:bookmarkStart w:id="26" w:name="related-work"/>
    <w:p>
      <w:pPr>
        <w:pStyle w:val="Heading1"/>
      </w:pPr>
      <w:r>
        <w:t xml:space="preserve">2. Related work</w:t>
      </w:r>
    </w:p>
    <w:bookmarkStart w:id="23" w:name="rejection-deferral-and-triage"/>
    <w:p>
      <w:pPr>
        <w:pStyle w:val="Heading2"/>
      </w:pPr>
      <w:r>
        <w:t xml:space="preserve">2.1. Rejection, deferral and triage</w:t>
      </w:r>
    </w:p>
    <w:p>
      <w:pPr>
        <w:pStyle w:val="FirstParagraph"/>
      </w:pPr>
      <w:r>
        <w:t xml:space="preserve">Chow’s rule rejects an input when the expected loss of the best decision exceeds a fixed rejection cost [7]; modern variants learn the rejector jointly with the classifier [8, 21] or wrap black-box models [22]. Learning to defer replaces the constant rejection cost with the loss of a specific human decision maker. Madras et al. [9] introduced the setting; Mozannar and Sontag [10] gave a consistent cost-sensitive surrogate; Verma and Nalisnick [11] proposed a one-vs-all surrogate with calibrated deferral probabilities; and later work studied multiple experts [23, 24], underfitting [25], exact mixed-integer formulations [12] and human–AI dependence [26]. Triage methods estimate human and algorithmic error separately and rank cases by their difference [13], or learn the model and triage policy jointly [14]. Several studies relax the assumption of complete expert data: Hemmer et al. [16] learn with limited expert predictions, and Alves et al. [15] combine a human-error model with a constrained assignment step under analyst workload limits. Budgeted multiple-expert deferral [27], congestion-aware deferral [28] and multi-stage human–AI frameworks [29] extend the setting further. Bansal et al. [30] show that the most accurate model is not necessarily the best teammate once human behaviour is considered.</w:t>
      </w:r>
    </w:p>
    <w:p>
      <w:pPr>
        <w:pStyle w:val="BodyText"/>
      </w:pPr>
      <w:r>
        <w:t xml:space="preserve">None of these methods, to our knowledge, combines (i) mandatory review triggered by input-quality rules, (ii) a hard capacity constraint that can be exceeded by mandatory demand, and (iii) explicit accounting for unresolved cases. Table 1 summarises the positioning. Our claim is correspondingly narrow: we do not propose a new consistent surrogate, and we do not claim to be the first quality-aware router [31].</w:t>
      </w:r>
    </w:p>
    <w:p>
      <w:pPr>
        <w:pStyle w:val="TableCaption"/>
      </w:pPr>
      <w:r>
        <w:t xml:space="preserve">Table 1. Positioning relative to deferral and triage studies.</w:t>
      </w:r>
      <w:r>
        <w:t xml:space="preserve"> </w:t>
      </w:r>
      <w:r>
        <w:t xml:space="preserve">“</w:t>
      </w:r>
      <w:r>
        <w:t xml:space="preserve">Partly</w:t>
      </w:r>
      <w:r>
        <w:t xml:space="preserve">”</w:t>
      </w:r>
      <w:r>
        <w:t xml:space="preserve"> </w:t>
      </w:r>
      <w:r>
        <w:t xml:space="preserve">denotes cost asymmetry handled by weighting rather than in the objective.</w:t>
      </w:r>
    </w:p>
    <w:tbl>
      <w:tblPr>
        <w:tblStyle w:val="Table"/>
        <w:tblW w:type="pct" w:w="5000"/>
        <w:tblLook w:firstRow="1" w:lastRow="0" w:firstColumn="0" w:lastColumn="0" w:noHBand="0" w:noVBand="0" w:val="0020"/>
        <w:jc w:val="start"/>
        <w:tblCaption w:val="Table 1. Positioning relative to deferral and triage studies. “Partly” denotes cost asymmetry handled by weighting rather than in the objective."/>
        <w:tblBorders>
          <w:top w:val="single" w:sz="8" w:color="000000"/>
          <w:bottom w:val="single" w:sz="8" w:color="000000"/>
          <w:insideH w:val="nil" w:sz="8" w:color="000000"/>
          <w:insideV w:val="nil" w:sz="8" w:color="000000"/>
          <w:left w:val="nil" w:sz="8" w:color="000000"/>
          <w:right w:val="nil" w:sz="8" w:color="000000"/>
        </w:tblBorders>
      </w:tblPr>
      <w:tblGrid>
        <w:gridCol w:w="1131"/>
        <w:gridCol w:w="1131"/>
        <w:gridCol w:w="1131"/>
        <w:gridCol w:w="1131"/>
        <w:gridCol w:w="1131"/>
        <w:gridCol w:w="1131"/>
        <w:gridCol w:w="1131"/>
      </w:tblGrid>
      <w:tr>
        <w:trPr>
          <w:tblHeader w:val="true"/>
        </w:trPr>
        <w:tc>
          <w:tcPr>
            <w:tcBorders>
              <w:bottom w:val="single" w:sz="6"/>
            </w:tcBorders>
          </w:tcPr>
          <w:p>
            <w:pPr>
              <w:pStyle w:val="Compact"/>
              <w:spacing w:after="20" w:before="20"/>
              <w:jc w:val="left"/>
            </w:pPr>
            <w:r>
              <w:rPr>
                <w:b/>
                <w:sz w:val="17"/>
              </w:rPr>
              <w:t xml:space="preserve">Study</w:t>
            </w:r>
          </w:p>
        </w:tc>
        <w:tc>
          <w:tcPr>
            <w:tcBorders>
              <w:bottom w:val="single" w:sz="6"/>
            </w:tcBorders>
          </w:tcPr>
          <w:p>
            <w:pPr>
              <w:pStyle w:val="Compact"/>
              <w:spacing w:after="20" w:before="20"/>
              <w:jc w:val="left"/>
            </w:pPr>
            <w:r>
              <w:rPr>
                <w:b/>
                <w:sz w:val="17"/>
              </w:rPr>
              <w:t xml:space="preserve">Asymmetric costs</w:t>
            </w:r>
          </w:p>
        </w:tc>
        <w:tc>
          <w:tcPr>
            <w:tcBorders>
              <w:bottom w:val="single" w:sz="6"/>
            </w:tcBorders>
          </w:tcPr>
          <w:p>
            <w:pPr>
              <w:pStyle w:val="Compact"/>
              <w:spacing w:after="20" w:before="20"/>
              <w:jc w:val="left"/>
            </w:pPr>
            <w:r>
              <w:rPr>
                <w:b/>
                <w:sz w:val="17"/>
              </w:rPr>
              <w:t xml:space="preserve">Review capacity</w:t>
            </w:r>
          </w:p>
        </w:tc>
        <w:tc>
          <w:tcPr>
            <w:tcBorders>
              <w:bottom w:val="single" w:sz="6"/>
            </w:tcBorders>
          </w:tcPr>
          <w:p>
            <w:pPr>
              <w:pStyle w:val="Compact"/>
              <w:spacing w:after="20" w:before="20"/>
              <w:jc w:val="left"/>
            </w:pPr>
            <w:r>
              <w:rPr>
                <w:b/>
                <w:sz w:val="17"/>
              </w:rPr>
              <w:t xml:space="preserve">Mandatory rules</w:t>
            </w:r>
          </w:p>
        </w:tc>
        <w:tc>
          <w:tcPr>
            <w:tcBorders>
              <w:bottom w:val="single" w:sz="6"/>
            </w:tcBorders>
          </w:tcPr>
          <w:p>
            <w:pPr>
              <w:pStyle w:val="Compact"/>
              <w:spacing w:after="20" w:before="20"/>
              <w:jc w:val="left"/>
            </w:pPr>
            <w:r>
              <w:rPr>
                <w:b/>
                <w:sz w:val="17"/>
              </w:rPr>
              <w:t xml:space="preserve">Unresolved cases / backlog</w:t>
            </w:r>
          </w:p>
        </w:tc>
        <w:tc>
          <w:tcPr>
            <w:tcBorders>
              <w:bottom w:val="single" w:sz="6"/>
            </w:tcBorders>
          </w:tcPr>
          <w:p>
            <w:pPr>
              <w:pStyle w:val="Compact"/>
              <w:spacing w:after="20" w:before="20"/>
              <w:jc w:val="left"/>
            </w:pPr>
            <w:r>
              <w:rPr>
                <w:b/>
                <w:sz w:val="17"/>
              </w:rPr>
              <w:t xml:space="preserve">Input-quality signals</w:t>
            </w:r>
          </w:p>
        </w:tc>
        <w:tc>
          <w:tcPr>
            <w:tcBorders>
              <w:bottom w:val="single" w:sz="6"/>
            </w:tcBorders>
          </w:tcPr>
          <w:p>
            <w:pPr>
              <w:pStyle w:val="Compact"/>
              <w:spacing w:after="20" w:before="20"/>
              <w:jc w:val="left"/>
            </w:pPr>
            <w:r>
              <w:rPr>
                <w:b/>
                <w:sz w:val="17"/>
              </w:rPr>
              <w:t xml:space="preserve">Incomplete reviewer logs</w:t>
            </w:r>
          </w:p>
        </w:tc>
      </w:tr>
      <w:tr>
        <w:tc>
          <w:tcPr/>
          <w:p>
            <w:pPr>
              <w:pStyle w:val="Compact"/>
              <w:spacing w:after="20" w:before="20"/>
              <w:jc w:val="left"/>
            </w:pPr>
            <w:r>
              <w:rPr>
                <w:sz w:val="17"/>
              </w:rPr>
              <w:t xml:space="preserve">Chow [7]</w:t>
            </w:r>
          </w:p>
        </w:tc>
        <w:tc>
          <w:tcPr/>
          <w:p>
            <w:pPr>
              <w:pStyle w:val="Compact"/>
              <w:spacing w:after="20" w:before="20"/>
              <w:jc w:val="left"/>
            </w:pPr>
            <w:r>
              <w:rPr>
                <w:sz w:val="17"/>
              </w:rPr>
              <w:t xml:space="preserve">yes</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n/a</w:t>
            </w:r>
          </w:p>
        </w:tc>
      </w:tr>
      <w:tr>
        <w:tc>
          <w:tcPr/>
          <w:p>
            <w:pPr>
              <w:pStyle w:val="Compact"/>
              <w:spacing w:after="20" w:before="20"/>
              <w:jc w:val="left"/>
            </w:pPr>
            <w:r>
              <w:rPr>
                <w:sz w:val="17"/>
              </w:rPr>
              <w:t xml:space="preserve">Madras et al. [9]; Mozannar &amp; Sontag [10]</w:t>
            </w:r>
          </w:p>
        </w:tc>
        <w:tc>
          <w:tcPr/>
          <w:p>
            <w:pPr>
              <w:pStyle w:val="Compact"/>
              <w:spacing w:after="20" w:before="20"/>
              <w:jc w:val="left"/>
            </w:pPr>
            <w:r>
              <w:rPr>
                <w:sz w:val="17"/>
              </w:rPr>
              <w:t xml:space="preserve">yes</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no</w:t>
            </w:r>
          </w:p>
        </w:tc>
      </w:tr>
      <w:tr>
        <w:tc>
          <w:tcPr/>
          <w:p>
            <w:pPr>
              <w:pStyle w:val="Compact"/>
              <w:spacing w:after="20" w:before="20"/>
              <w:jc w:val="left"/>
            </w:pPr>
            <w:r>
              <w:rPr>
                <w:sz w:val="17"/>
              </w:rPr>
              <w:t xml:space="preserve">Verma &amp; Nalisnick [11]</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no</w:t>
            </w:r>
          </w:p>
        </w:tc>
      </w:tr>
      <w:tr>
        <w:tc>
          <w:tcPr/>
          <w:p>
            <w:pPr>
              <w:pStyle w:val="Compact"/>
              <w:spacing w:after="20" w:before="20"/>
              <w:jc w:val="left"/>
            </w:pPr>
            <w:r>
              <w:rPr>
                <w:sz w:val="17"/>
              </w:rPr>
              <w:t xml:space="preserve">Raghu et al. [13]; Okati et al. [14]</w:t>
            </w:r>
          </w:p>
        </w:tc>
        <w:tc>
          <w:tcPr/>
          <w:p>
            <w:pPr>
              <w:pStyle w:val="Compact"/>
              <w:spacing w:after="20" w:before="20"/>
              <w:jc w:val="left"/>
            </w:pPr>
            <w:r>
              <w:rPr>
                <w:sz w:val="17"/>
              </w:rPr>
              <w:t xml:space="preserve">partly</w:t>
            </w:r>
          </w:p>
        </w:tc>
        <w:tc>
          <w:tcPr/>
          <w:p>
            <w:pPr>
              <w:pStyle w:val="Compact"/>
              <w:spacing w:after="20" w:before="20"/>
              <w:jc w:val="left"/>
            </w:pPr>
            <w:r>
              <w:rPr>
                <w:sz w:val="17"/>
              </w:rPr>
              <w:t xml:space="preserve">coverage level</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no</w:t>
            </w:r>
          </w:p>
        </w:tc>
      </w:tr>
      <w:tr>
        <w:tc>
          <w:tcPr/>
          <w:p>
            <w:pPr>
              <w:pStyle w:val="Compact"/>
              <w:spacing w:after="20" w:before="20"/>
              <w:jc w:val="left"/>
            </w:pPr>
            <w:r>
              <w:rPr>
                <w:sz w:val="17"/>
              </w:rPr>
              <w:t xml:space="preserve">Hemmer et al. [16]</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yes</w:t>
            </w:r>
          </w:p>
        </w:tc>
      </w:tr>
      <w:tr>
        <w:tc>
          <w:tcPr/>
          <w:p>
            <w:pPr>
              <w:pStyle w:val="Compact"/>
              <w:spacing w:after="20" w:before="20"/>
              <w:jc w:val="left"/>
            </w:pPr>
            <w:r>
              <w:rPr>
                <w:sz w:val="17"/>
              </w:rPr>
              <w:t xml:space="preserve">Alves et al. [15]</w:t>
            </w:r>
          </w:p>
        </w:tc>
        <w:tc>
          <w:tcPr/>
          <w:p>
            <w:pPr>
              <w:pStyle w:val="Compact"/>
              <w:spacing w:after="20" w:before="20"/>
              <w:jc w:val="left"/>
            </w:pPr>
            <w:r>
              <w:rPr>
                <w:sz w:val="17"/>
              </w:rPr>
              <w:t xml:space="preserve">yes</w:t>
            </w:r>
          </w:p>
        </w:tc>
        <w:tc>
          <w:tcPr/>
          <w:p>
            <w:pPr>
              <w:pStyle w:val="Compact"/>
              <w:spacing w:after="20" w:before="20"/>
              <w:jc w:val="left"/>
            </w:pPr>
            <w:r>
              <w:rPr>
                <w:sz w:val="17"/>
              </w:rPr>
              <w:t xml:space="preserve">per-expert workload</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one prediction per case</w:t>
            </w:r>
          </w:p>
        </w:tc>
      </w:tr>
      <w:tr>
        <w:tc>
          <w:tcPr/>
          <w:p>
            <w:pPr>
              <w:pStyle w:val="Compact"/>
              <w:spacing w:after="20" w:before="20"/>
              <w:jc w:val="left"/>
            </w:pPr>
            <w:r>
              <w:rPr>
                <w:sz w:val="17"/>
              </w:rPr>
              <w:t xml:space="preserve">Farinhas et al. [31]</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budget</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output-quality estimates</w:t>
            </w:r>
          </w:p>
        </w:tc>
        <w:tc>
          <w:tcPr/>
          <w:p>
            <w:pPr>
              <w:pStyle w:val="Compact"/>
              <w:spacing w:after="20" w:before="20"/>
              <w:jc w:val="left"/>
            </w:pPr>
            <w:r>
              <w:rPr>
                <w:sz w:val="17"/>
              </w:rPr>
              <w:t xml:space="preserve">n/a</w:t>
            </w:r>
          </w:p>
        </w:tc>
      </w:tr>
      <w:tr>
        <w:tc>
          <w:tcPr/>
          <w:p>
            <w:pPr>
              <w:pStyle w:val="Compact"/>
              <w:spacing w:after="20" w:before="20"/>
              <w:jc w:val="left"/>
            </w:pPr>
            <w:r>
              <w:rPr>
                <w:sz w:val="17"/>
              </w:rPr>
              <w:t xml:space="preserve">Saketos et al. [28]</w:t>
            </w:r>
          </w:p>
        </w:tc>
        <w:tc>
          <w:tcPr/>
          <w:p>
            <w:pPr>
              <w:pStyle w:val="Compact"/>
              <w:spacing w:after="20" w:before="20"/>
              <w:jc w:val="left"/>
            </w:pPr>
            <w:r>
              <w:rPr>
                <w:sz w:val="17"/>
              </w:rPr>
              <w:t xml:space="preserve">yes</w:t>
            </w:r>
          </w:p>
        </w:tc>
        <w:tc>
          <w:tcPr/>
          <w:p>
            <w:pPr>
              <w:pStyle w:val="Compact"/>
              <w:spacing w:after="20" w:before="20"/>
              <w:jc w:val="left"/>
            </w:pPr>
            <w:r>
              <w:rPr>
                <w:sz w:val="17"/>
              </w:rPr>
              <w:t xml:space="preserve">congestion</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queueing</w:t>
            </w:r>
          </w:p>
        </w:tc>
        <w:tc>
          <w:tcPr/>
          <w:p>
            <w:pPr>
              <w:pStyle w:val="Compact"/>
              <w:spacing w:after="20" w:before="20"/>
              <w:jc w:val="left"/>
            </w:pPr>
            <w:r>
              <w:rPr>
                <w:sz w:val="17"/>
              </w:rPr>
              <w:t xml:space="preserve">no</w:t>
            </w:r>
          </w:p>
        </w:tc>
        <w:tc>
          <w:tcPr/>
          <w:p>
            <w:pPr>
              <w:pStyle w:val="Compact"/>
              <w:spacing w:after="20" w:before="20"/>
              <w:jc w:val="left"/>
            </w:pPr>
            <w:r>
              <w:rPr>
                <w:sz w:val="17"/>
              </w:rPr>
              <w:t xml:space="preserve">online</w:t>
            </w:r>
          </w:p>
        </w:tc>
      </w:tr>
      <w:tr>
        <w:tc>
          <w:tcPr/>
          <w:p>
            <w:pPr>
              <w:pStyle w:val="Compact"/>
              <w:spacing w:after="20" w:before="20"/>
              <w:jc w:val="left"/>
            </w:pPr>
            <w:r>
              <w:rPr>
                <w:sz w:val="17"/>
              </w:rPr>
              <w:t xml:space="preserve">This study</w:t>
            </w:r>
          </w:p>
        </w:tc>
        <w:tc>
          <w:tcPr/>
          <w:p>
            <w:pPr>
              <w:pStyle w:val="Compact"/>
              <w:spacing w:after="20" w:before="20"/>
              <w:jc w:val="left"/>
            </w:pPr>
            <w:r>
              <w:rPr>
                <w:sz w:val="17"/>
              </w:rPr>
              <w:t xml:space="preserve">yes</w:t>
            </w:r>
          </w:p>
        </w:tc>
        <w:tc>
          <w:tcPr/>
          <w:p>
            <w:pPr>
              <w:pStyle w:val="Compact"/>
              <w:spacing w:after="20" w:before="20"/>
              <w:jc w:val="left"/>
            </w:pPr>
            <w:r>
              <w:rPr>
                <w:sz w:val="17"/>
              </w:rPr>
              <w:t xml:space="preserve">batch budget</w:t>
            </w:r>
          </w:p>
        </w:tc>
        <w:tc>
          <w:tcPr/>
          <w:p>
            <w:pPr>
              <w:pStyle w:val="Compact"/>
              <w:spacing w:after="20" w:before="20"/>
              <w:jc w:val="left"/>
            </w:pPr>
            <w:r>
              <w:rPr>
                <w:sz w:val="17"/>
              </w:rPr>
              <w:t xml:space="preserve">quality-triggered</w:t>
            </w:r>
          </w:p>
        </w:tc>
        <w:tc>
          <w:tcPr/>
          <w:p>
            <w:pPr>
              <w:pStyle w:val="Compact"/>
              <w:spacing w:after="20" w:before="20"/>
              <w:jc w:val="left"/>
            </w:pPr>
            <w:r>
              <w:rPr>
                <w:sz w:val="17"/>
              </w:rPr>
              <w:t xml:space="preserve">holds and multi-period backlog</w:t>
            </w:r>
          </w:p>
        </w:tc>
        <w:tc>
          <w:tcPr/>
          <w:p>
            <w:pPr>
              <w:pStyle w:val="Compact"/>
              <w:spacing w:after="20" w:before="20"/>
              <w:jc w:val="left"/>
            </w:pPr>
            <w:r>
              <w:rPr>
                <w:sz w:val="17"/>
              </w:rPr>
              <w:t xml:space="preserve">completeness and range</w:t>
            </w:r>
          </w:p>
        </w:tc>
        <w:tc>
          <w:tcPr/>
          <w:p>
            <w:pPr>
              <w:pStyle w:val="Compact"/>
              <w:spacing w:after="20" w:before="20"/>
              <w:jc w:val="left"/>
            </w:pPr>
            <w:r>
              <w:rPr>
                <w:sz w:val="17"/>
              </w:rPr>
              <w:t xml:space="preserve">yes (40% logged, single decision)</w:t>
            </w:r>
          </w:p>
        </w:tc>
      </w:tr>
    </w:tbl>
    <w:bookmarkEnd w:id="23"/>
    <w:bookmarkStart w:id="24" w:name="data-quality-and-validation"/>
    <w:p>
      <w:pPr>
        <w:pStyle w:val="Heading2"/>
      </w:pPr>
      <w:r>
        <w:t xml:space="preserve">2.2. Data quality and validation</w:t>
      </w:r>
    </w:p>
    <w:p>
      <w:pPr>
        <w:pStyle w:val="FirstParagraph"/>
      </w:pPr>
      <w:r>
        <w:t xml:space="preserve">Data quality is multidimensional, spanning accuracy, completeness, consistency and timeliness [17]. Production machine-learning pipelines validate schemas, ranges and distributions before scoring [18, 19], and IoT and enterprise settings add timeliness and provenance concerns [32]. Two properties of such checks matter for deferral. First, they measure the visible symptoms of defects (an empty field, an implausible value) rather than the defects themselves; stale but plausible values and mis-keyed but valid codes pass them. Second, missingness may be informative about the outcome rather than random [33], so a completeness signal can carry predictive information that has nothing to do with reviewer accuracy. Both properties are central to our experimental design.</w:t>
      </w:r>
    </w:p>
    <w:bookmarkEnd w:id="24"/>
    <w:bookmarkStart w:id="25" w:name="Xafe13d0204d949ac0c78f5aeff8cd074565a977"/>
    <w:p>
      <w:pPr>
        <w:pStyle w:val="Heading2"/>
      </w:pPr>
      <w:r>
        <w:t xml:space="preserve">2.3. Governance, oversight and managerial decision-making</w:t>
      </w:r>
    </w:p>
    <w:p>
      <w:pPr>
        <w:pStyle w:val="FirstParagraph"/>
      </w:pPr>
      <w:r>
        <w:t xml:space="preserve">Governance frameworks emphasise accountable processes, documented controls and human oversight [1–4, 34]. Supervisory guidance on model risk requires validation, monitoring and controls on input data [20], and the EU AI Act requires that high-risk systems be designed so that natural persons can effectively oversee them [5]. Green [6] warns that oversight requirements can legitimise flawed systems if reviewers lack the capacity or information to correct them. From a managerial perspective, human–AI complementarity [35] and organisational AI capability [36] depend on how human effort is deployed. Explainable decision-support work in knowledge-based systems links model outputs to business actions [37] but seldom models the capacity of the humans who act on them. Our audit record, which stores probability, quality measures, rule flags, estimated losses and actions, documents routing decisions; it is not an explanation of model behaviour in the XAI sense [38–40].</w:t>
      </w:r>
    </w:p>
    <w:bookmarkEnd w:id="25"/>
    <w:bookmarkEnd w:id="26"/>
    <w:bookmarkStart w:id="34" w:name="problem-formulation-and-method"/>
    <w:p>
      <w:pPr>
        <w:pStyle w:val="Heading1"/>
      </w:pPr>
      <w:r>
        <w:t xml:space="preserve">3. Problem formulation and method</w:t>
      </w:r>
    </w:p>
    <w:bookmarkStart w:id="27" w:name="setting-and-notation"/>
    <w:p>
      <w:pPr>
        <w:pStyle w:val="Heading2"/>
      </w:pPr>
      <w:r>
        <w:t xml:space="preserve">3.1. Setting and notation</w:t>
      </w:r>
    </w:p>
    <w:p>
      <w:pPr>
        <w:pStyle w:val="FirstParagraph"/>
      </w:pPr>
      <w:r>
        <w:t xml:space="preserve">A batch contains</w:t>
      </w:r>
      <w:r>
        <w:t xml:space="preserve"> </w:t>
      </w:r>
      <m:oMath>
        <m:r>
          <m:t>n</m:t>
        </m:r>
      </m:oMath>
      <w:r>
        <w:t xml:space="preserve"> </w:t>
      </w:r>
      <w:r>
        <w:t xml:space="preserve">records with feature vectors</w:t>
      </w:r>
      <w:r>
        <w:t xml:space="preserve"> </w:t>
      </w:r>
      <m:oMath>
        <m:sSub>
          <m:e>
            <m:r>
              <m:t>x</m:t>
            </m:r>
          </m:e>
          <m:sub>
            <m:r>
              <m:t>i</m:t>
            </m:r>
          </m:sub>
        </m:sSub>
      </m:oMath>
      <w:r>
        <w:t xml:space="preserve">, which may be degraded, and unknown labels</w:t>
      </w:r>
      <w:r>
        <w:t xml:space="preserve"> </w:t>
      </w:r>
      <m:oMath>
        <m:sSub>
          <m:e>
            <m:r>
              <m:t>y</m:t>
            </m:r>
          </m:e>
          <m:sub>
            <m:r>
              <m:t>i</m:t>
            </m:r>
          </m:sub>
        </m:sSub>
        <m:r>
          <m:rPr>
            <m:sty m:val="p"/>
          </m:rPr>
          <m:t>∈</m:t>
        </m:r>
        <m:r>
          <m:rPr>
            <m:sty m:val="p"/>
          </m:rPr>
          <m:t>{</m:t>
        </m:r>
        <m:r>
          <m:t>0</m:t>
        </m:r>
        <m:r>
          <m:rPr>
            <m:sty m:val="p"/>
          </m:rPr>
          <m:t>,</m:t>
        </m:r>
        <m:r>
          <m:t>1</m:t>
        </m:r>
        <m:r>
          <m:rPr>
            <m:sty m:val="p"/>
          </m:rPr>
          <m:t>}</m:t>
        </m:r>
      </m:oMath>
      <w:r>
        <w:t xml:space="preserve">. A base predictor produces a calibrated probability</w:t>
      </w:r>
      <w:r>
        <w:t xml:space="preserve"> </w:t>
      </w:r>
      <m:oMath>
        <m:sSub>
          <m:e>
            <m:r>
              <m:t>p</m:t>
            </m:r>
          </m:e>
          <m:sub>
            <m:r>
              <m:t>i</m:t>
            </m:r>
          </m:sub>
        </m:sSub>
      </m:oMath>
      <w:r>
        <w:t xml:space="preserve"> </w:t>
      </w:r>
      <w:r>
        <w:t xml:space="preserve">of class 1. With false-negative cost</w:t>
      </w:r>
      <w:r>
        <w:t xml:space="preserve"> </w:t>
      </w:r>
      <m:oMath>
        <m:sSub>
          <m:e>
            <m:r>
              <m:t>c</m:t>
            </m:r>
          </m:e>
          <m:sub>
            <m:r>
              <m:t>F</m:t>
            </m:r>
            <m:r>
              <m:t>N</m:t>
            </m:r>
          </m:sub>
        </m:sSub>
      </m:oMath>
      <w:r>
        <w:t xml:space="preserve"> </w:t>
      </w:r>
      <w:r>
        <w:t xml:space="preserve">and false-positive cost</w:t>
      </w:r>
      <w:r>
        <w:t xml:space="preserve"> </w:t>
      </w:r>
      <m:oMath>
        <m:sSub>
          <m:e>
            <m:r>
              <m:t>c</m:t>
            </m:r>
          </m:e>
          <m:sub>
            <m:r>
              <m:t>F</m:t>
            </m:r>
            <m:r>
              <m:t>P</m:t>
            </m:r>
          </m:sub>
        </m:sSub>
      </m:oMath>
      <w:r>
        <w:t xml:space="preserve"> </w:t>
      </w:r>
      <w:r>
        <w:t xml:space="preserve">(5 and 1 in the main analysis), the automated decision is</w:t>
      </w:r>
      <w:r>
        <w:t xml:space="preserve"> </w:t>
      </w:r>
      <m:oMath>
        <m:sSub>
          <m:e>
            <m:acc>
              <m:accPr>
                <m:chr m:val="̂"/>
              </m:accPr>
              <m:e>
                <m:r>
                  <m:t>y</m:t>
                </m:r>
              </m:e>
            </m:acc>
          </m:e>
          <m:sub>
            <m:r>
              <m:t>i</m:t>
            </m:r>
          </m:sub>
        </m:sSub>
        <m:r>
          <m:rPr>
            <m:sty m:val="p"/>
          </m:rPr>
          <m:t>=</m:t>
        </m:r>
        <m:r>
          <m:rPr>
            <m:sty m:val="p"/>
            <m:scr m:val="double-struck"/>
          </m:rPr>
          <m:t>1</m:t>
        </m:r>
        <m:d>
          <m:dPr>
            <m:begChr m:val="["/>
            <m:endChr m:val="]"/>
            <m:sepChr m:val=""/>
            <m:grow/>
          </m:dPr>
          <m:e>
            <m:sSub>
              <m:e>
                <m:r>
                  <m:t>p</m:t>
                </m:r>
              </m:e>
              <m:sub>
                <m:r>
                  <m:t>i</m:t>
                </m:r>
              </m:sub>
            </m:sSub>
            <m:r>
              <m:rPr>
                <m:sty m:val="p"/>
              </m:rPr>
              <m:t>≥</m:t>
            </m:r>
            <m:sSub>
              <m:e>
                <m:r>
                  <m:t>c</m:t>
                </m:r>
              </m:e>
              <m:sub>
                <m:r>
                  <m:t>F</m:t>
                </m:r>
                <m:r>
                  <m:t>P</m:t>
                </m:r>
              </m:sub>
            </m:sSub>
            <m:r>
              <m:rPr>
                <m:sty m:val="p"/>
              </m:rPr>
              <m:t>/</m:t>
            </m:r>
            <m:d>
              <m:dPr>
                <m:begChr m:val="("/>
                <m:endChr m:val=")"/>
                <m:sepChr m:val=""/>
                <m:grow/>
              </m:dPr>
              <m:e>
                <m:sSub>
                  <m:e>
                    <m:r>
                      <m:t>c</m:t>
                    </m:r>
                  </m:e>
                  <m:sub>
                    <m:r>
                      <m:t>F</m:t>
                    </m:r>
                    <m:r>
                      <m:t>P</m:t>
                    </m:r>
                  </m:sub>
                </m:sSub>
                <m:r>
                  <m:rPr>
                    <m:sty m:val="p"/>
                  </m:rPr>
                  <m:t>+</m:t>
                </m:r>
                <m:sSub>
                  <m:e>
                    <m:r>
                      <m:t>c</m:t>
                    </m:r>
                  </m:e>
                  <m:sub>
                    <m:r>
                      <m:t>F</m:t>
                    </m:r>
                    <m:r>
                      <m:t>N</m:t>
                    </m:r>
                  </m:sub>
                </m:sSub>
              </m:e>
            </m:d>
          </m:e>
        </m:d>
      </m:oMath>
      <w:r>
        <w:t xml:space="preserve"> </w:t>
      </w:r>
      <w:r>
        <w:t xml:space="preserve">and its loss is</w:t>
      </w:r>
    </w:p>
    <w:p>
      <w:pPr>
        <w:pStyle w:val="BodyText"/>
      </w:pPr>
      <m:oMathPara>
        <m:oMathParaPr>
          <m:jc m:val="center"/>
        </m:oMathParaPr>
        <m:oMath>
          <m:sSubSup>
            <m:e>
              <m:r>
                <m:rPr>
                  <m:sty m:val="p"/>
                </m:rPr>
                <m:t>ℓ</m:t>
              </m:r>
            </m:e>
            <m:sub>
              <m:r>
                <m:t>i</m:t>
              </m:r>
            </m:sub>
            <m:sup>
              <m:r>
                <m:t>A</m:t>
              </m:r>
            </m:sup>
          </m:sSubSup>
          <m:r>
            <m:rPr>
              <m:sty m:val="p"/>
            </m:rPr>
            <m:t>=</m:t>
          </m:r>
          <m:r>
            <m:t>w</m:t>
          </m:r>
          <m:d>
            <m:dPr>
              <m:begChr m:val="("/>
              <m:endChr m:val=")"/>
              <m:sepChr m:val=""/>
              <m:grow/>
            </m:dPr>
            <m:e>
              <m:sSub>
                <m:e>
                  <m:r>
                    <m:t>y</m:t>
                  </m:r>
                </m:e>
                <m:sub>
                  <m:r>
                    <m:t>i</m:t>
                  </m:r>
                </m:sub>
              </m:sSub>
            </m:e>
          </m:d>
          <m:r>
            <m:t> </m:t>
          </m:r>
          <m:r>
            <m:rPr>
              <m:sty m:val="p"/>
              <m:scr m:val="double-struck"/>
            </m:rPr>
            <m:t>1</m:t>
          </m:r>
          <m:d>
            <m:dPr>
              <m:begChr m:val="["/>
              <m:endChr m:val="]"/>
              <m:sepChr m:val=""/>
              <m:grow/>
            </m:dPr>
            <m:e>
              <m:sSub>
                <m:e>
                  <m:acc>
                    <m:accPr>
                      <m:chr m:val="̂"/>
                    </m:accPr>
                    <m:e>
                      <m:r>
                        <m:t>y</m:t>
                      </m:r>
                    </m:e>
                  </m:acc>
                </m:e>
                <m:sub>
                  <m:r>
                    <m:t>i</m:t>
                  </m:r>
                </m:sub>
              </m:sSub>
              <m:r>
                <m:rPr>
                  <m:sty m:val="p"/>
                </m:rPr>
                <m:t>≠</m:t>
              </m:r>
              <m:sSub>
                <m:e>
                  <m:r>
                    <m:t>y</m:t>
                  </m:r>
                </m:e>
                <m:sub>
                  <m:r>
                    <m:t>i</m:t>
                  </m:r>
                </m:sub>
              </m:sSub>
            </m:e>
          </m:d>
          <m:r>
            <m:rPr>
              <m:sty m:val="p"/>
            </m:rPr>
            <m:t>,</m:t>
          </m:r>
          <m:r>
            <m:t>  </m:t>
          </m:r>
          <m:r>
            <m:t>w</m:t>
          </m:r>
          <m:d>
            <m:dPr>
              <m:begChr m:val="("/>
              <m:endChr m:val=")"/>
              <m:sepChr m:val=""/>
              <m:grow/>
            </m:dPr>
            <m:e>
              <m:r>
                <m:t>1</m:t>
              </m:r>
            </m:e>
          </m:d>
          <m:r>
            <m:rPr>
              <m:sty m:val="p"/>
            </m:rPr>
            <m:t>=</m:t>
          </m:r>
          <m:sSub>
            <m:e>
              <m:r>
                <m:t>c</m:t>
              </m:r>
            </m:e>
            <m:sub>
              <m:r>
                <m:t>F</m:t>
              </m:r>
              <m:r>
                <m:t>N</m:t>
              </m:r>
            </m:sub>
          </m:sSub>
          <m:r>
            <m:rPr>
              <m:sty m:val="p"/>
            </m:rPr>
            <m:t>,</m:t>
          </m:r>
          <m:r>
            <m:t> </m:t>
          </m:r>
          <m:r>
            <m:t>w</m:t>
          </m:r>
          <m:d>
            <m:dPr>
              <m:begChr m:val="("/>
              <m:endChr m:val=")"/>
              <m:sepChr m:val=""/>
              <m:grow/>
            </m:dPr>
            <m:e>
              <m:r>
                <m:t>0</m:t>
              </m:r>
            </m:e>
          </m:d>
          <m:r>
            <m:rPr>
              <m:sty m:val="p"/>
            </m:rPr>
            <m:t>=</m:t>
          </m:r>
          <m:sSub>
            <m:e>
              <m:r>
                <m:t>c</m:t>
              </m:r>
            </m:e>
            <m:sub>
              <m:r>
                <m:t>F</m:t>
              </m:r>
              <m:r>
                <m:t>P</m:t>
              </m:r>
            </m:sub>
          </m:sSub>
          <m:r>
            <m:rPr>
              <m:sty m:val="p"/>
            </m:rPr>
            <m:t>.</m:t>
          </m:r>
        </m:oMath>
      </m:oMathPara>
    </w:p>
    <w:p>
      <w:pPr>
        <w:pStyle w:val="FirstParagraph"/>
      </w:pPr>
      <w:r>
        <w:t xml:space="preserve">A human reviewer errs with probability</w:t>
      </w:r>
      <w:r>
        <w:t xml:space="preserve"> </w:t>
      </w:r>
      <m:oMath>
        <m:sSub>
          <m:e>
            <m:r>
              <m:t>e</m:t>
            </m:r>
          </m:e>
          <m:sub>
            <m:r>
              <m:t>i</m:t>
            </m:r>
          </m:sub>
        </m:sSub>
      </m:oMath>
      <w:r>
        <w:t xml:space="preserve">, so the expected reviewed loss is</w:t>
      </w:r>
      <w:r>
        <w:t xml:space="preserve"> </w:t>
      </w:r>
      <m:oMath>
        <m:sSubSup>
          <m:e>
            <m:r>
              <m:rPr>
                <m:sty m:val="p"/>
              </m:rPr>
              <m:t>ℓ</m:t>
            </m:r>
          </m:e>
          <m:sub>
            <m:r>
              <m:t>i</m:t>
            </m:r>
          </m:sub>
          <m:sup>
            <m:r>
              <m:t>H</m:t>
            </m:r>
          </m:sup>
        </m:sSubSup>
        <m:r>
          <m:rPr>
            <m:sty m:val="p"/>
          </m:rPr>
          <m:t>=</m:t>
        </m:r>
        <m:r>
          <m:t>w</m:t>
        </m:r>
        <m:d>
          <m:dPr>
            <m:begChr m:val="("/>
            <m:endChr m:val=")"/>
            <m:sepChr m:val=""/>
            <m:grow/>
          </m:dPr>
          <m:e>
            <m:sSub>
              <m:e>
                <m:r>
                  <m:t>y</m:t>
                </m:r>
              </m:e>
              <m:sub>
                <m:r>
                  <m:t>i</m:t>
                </m:r>
              </m:sub>
            </m:sSub>
          </m:e>
        </m:d>
        <m:r>
          <m:t> </m:t>
        </m:r>
        <m:sSub>
          <m:e>
            <m:r>
              <m:t>e</m:t>
            </m:r>
          </m:e>
          <m:sub>
            <m:r>
              <m:t>i</m:t>
            </m:r>
          </m:sub>
        </m:sSub>
      </m:oMath>
      <w:r>
        <w:t xml:space="preserve">. A review costs a fee</w:t>
      </w:r>
      <w:r>
        <w:t xml:space="preserve"> </w:t>
      </w:r>
      <m:oMath>
        <m:sSub>
          <m:e>
            <m:r>
              <m:t>c</m:t>
            </m:r>
          </m:e>
          <m:sub>
            <m:r>
              <m:t>R</m:t>
            </m:r>
          </m:sub>
        </m:sSub>
      </m:oMath>
      <w:r>
        <w:t xml:space="preserve"> </w:t>
      </w:r>
      <w:r>
        <w:t xml:space="preserve">(0.05), and a record that is neither automated nor reviewed is held at penalty</w:t>
      </w:r>
      <w:r>
        <w:t xml:space="preserve"> </w:t>
      </w:r>
      <m:oMath>
        <m:sSub>
          <m:e>
            <m:r>
              <m:t>c</m:t>
            </m:r>
          </m:e>
          <m:sub>
            <m:r>
              <m:t>H</m:t>
            </m:r>
          </m:sub>
        </m:sSub>
      </m:oMath>
      <w:r>
        <w:t xml:space="preserve"> </w:t>
      </w:r>
      <w:r>
        <w:t xml:space="preserve">(1.5), representing unresolved service rather than a correct decision. The expected benefit of review is</w:t>
      </w:r>
    </w:p>
    <w:p>
      <w:pPr>
        <w:pStyle w:val="BodyText"/>
      </w:pPr>
      <m:oMathPara>
        <m:oMathParaPr>
          <m:jc m:val="center"/>
        </m:oMathParaPr>
        <m:oMath>
          <m:sSub>
            <m:e>
              <m:r>
                <m:t>g</m:t>
              </m:r>
            </m:e>
            <m:sub>
              <m:r>
                <m:t>i</m:t>
              </m:r>
            </m:sub>
          </m:sSub>
          <m:r>
            <m:rPr>
              <m:sty m:val="p"/>
            </m:rPr>
            <m:t>=</m:t>
          </m:r>
          <m:sSubSup>
            <m:e>
              <m:r>
                <m:rPr>
                  <m:sty m:val="p"/>
                </m:rPr>
                <m:t>ℓ</m:t>
              </m:r>
            </m:e>
            <m:sub>
              <m:r>
                <m:t>i</m:t>
              </m:r>
            </m:sub>
            <m:sup>
              <m:r>
                <m:t>A</m:t>
              </m:r>
            </m:sup>
          </m:sSubSup>
          <m:r>
            <m:rPr>
              <m:sty m:val="p"/>
            </m:rPr>
            <m:t>−</m:t>
          </m:r>
          <m:sSubSup>
            <m:e>
              <m:r>
                <m:rPr>
                  <m:sty m:val="p"/>
                </m:rPr>
                <m:t>ℓ</m:t>
              </m:r>
            </m:e>
            <m:sub>
              <m:r>
                <m:t>i</m:t>
              </m:r>
            </m:sub>
            <m:sup>
              <m:r>
                <m:t>H</m:t>
              </m:r>
            </m:sup>
          </m:sSubSup>
          <m:r>
            <m:rPr>
              <m:sty m:val="p"/>
            </m:rPr>
            <m:t>−</m:t>
          </m:r>
          <m:sSub>
            <m:e>
              <m:r>
                <m:t>c</m:t>
              </m:r>
            </m:e>
            <m:sub>
              <m:r>
                <m:t>R</m:t>
              </m:r>
            </m:sub>
          </m:sSub>
          <m:r>
            <m:rPr>
              <m:sty m:val="p"/>
            </m:rPr>
            <m:t>.</m:t>
          </m:r>
        </m:oMath>
      </m:oMathPara>
    </w:p>
    <w:bookmarkEnd w:id="27"/>
    <w:bookmarkStart w:id="28" w:name="quality-measures-and-the-rule-base"/>
    <w:p>
      <w:pPr>
        <w:pStyle w:val="Heading2"/>
      </w:pPr>
      <w:r>
        <w:t xml:space="preserve">3.2. Quality measures and the rule base</w:t>
      </w:r>
    </w:p>
    <w:p>
      <w:pPr>
        <w:pStyle w:val="FirstParagraph"/>
      </w:pPr>
      <w:r>
        <w:t xml:space="preserve">The quality monitor computes two observable measures from the record alone: the missing-field fraction</w:t>
      </w:r>
      <w:r>
        <w:t xml:space="preserve"> </w:t>
      </w:r>
      <m:oMath>
        <m:sSub>
          <m:e>
            <m:r>
              <m:t>u</m:t>
            </m:r>
          </m:e>
          <m:sub>
            <m:r>
              <m:t>i</m:t>
            </m:r>
          </m:sub>
        </m:sSub>
      </m:oMath>
      <w:r>
        <w:t xml:space="preserve"> </w:t>
      </w:r>
      <w:r>
        <w:t xml:space="preserve">and the out-of-range fraction</w:t>
      </w:r>
      <w:r>
        <w:t xml:space="preserve"> </w:t>
      </w:r>
      <m:oMath>
        <m:sSub>
          <m:e>
            <m:r>
              <m:t>v</m:t>
            </m:r>
          </m:e>
          <m:sub>
            <m:r>
              <m:t>i</m:t>
            </m:r>
          </m:sub>
        </m:sSub>
      </m:oMath>
      <w:r>
        <w:t xml:space="preserve">, where a non-missing value is out of range if it falls outside</w:t>
      </w:r>
      <w:r>
        <w:t xml:space="preserve"> </w:t>
      </w:r>
      <m:oMath>
        <m:d>
          <m:dPr>
            <m:begChr m:val="["/>
            <m:endChr m:val="]"/>
            <m:sepChr m:val=""/>
            <m:grow/>
          </m:dPr>
          <m:e>
            <m:sSub>
              <m:e>
                <m:r>
                  <m:t>Q</m:t>
                </m:r>
              </m:e>
              <m:sub>
                <m:r>
                  <m:t>.01</m:t>
                </m:r>
                <m:r>
                  <m:rPr>
                    <m:sty m:val="p"/>
                  </m:rPr>
                  <m:t>,</m:t>
                </m:r>
                <m:r>
                  <m:t>j</m:t>
                </m:r>
              </m:sub>
            </m:sSub>
            <m:r>
              <m:rPr>
                <m:sty m:val="p"/>
              </m:rPr>
              <m:t>−</m:t>
            </m:r>
            <m:r>
              <m:t>0.1</m:t>
            </m:r>
            <m:sSub>
              <m:e>
                <m:r>
                  <m:t>t</m:t>
                </m:r>
              </m:e>
              <m:sub>
                <m:r>
                  <m:t>j</m:t>
                </m:r>
              </m:sub>
            </m:sSub>
            <m:r>
              <m:rPr>
                <m:sty m:val="p"/>
              </m:rPr>
              <m:t>,</m:t>
            </m:r>
            <m:r>
              <m:t> </m:t>
            </m:r>
            <m:sSub>
              <m:e>
                <m:r>
                  <m:t>Q</m:t>
                </m:r>
              </m:e>
              <m:sub>
                <m:r>
                  <m:t>.99</m:t>
                </m:r>
                <m:r>
                  <m:rPr>
                    <m:sty m:val="p"/>
                  </m:rPr>
                  <m:t>,</m:t>
                </m:r>
                <m:r>
                  <m:t>j</m:t>
                </m:r>
              </m:sub>
            </m:sSub>
            <m:r>
              <m:rPr>
                <m:sty m:val="p"/>
              </m:rPr>
              <m:t>+</m:t>
            </m:r>
            <m:r>
              <m:t>0.1</m:t>
            </m:r>
            <m:sSub>
              <m:e>
                <m:r>
                  <m:t>t</m:t>
                </m:r>
              </m:e>
              <m:sub>
                <m:r>
                  <m:t>j</m:t>
                </m:r>
              </m:sub>
            </m:sSub>
          </m:e>
        </m:d>
      </m:oMath>
      <w:r>
        <w:t xml:space="preserve"> </w:t>
      </w:r>
      <w:r>
        <w:t xml:space="preserve">with</w:t>
      </w:r>
      <w:r>
        <w:t xml:space="preserve"> </w:t>
      </w:r>
      <m:oMath>
        <m:sSub>
          <m:e>
            <m:r>
              <m:t>t</m:t>
            </m:r>
          </m:e>
          <m:sub>
            <m:r>
              <m:t>j</m:t>
            </m:r>
          </m:sub>
        </m:sSub>
        <m:r>
          <m:rPr>
            <m:sty m:val="p"/>
          </m:rPr>
          <m:t>=</m:t>
        </m:r>
        <m:r>
          <m:rPr>
            <m:sty m:val="p"/>
          </m:rPr>
          <m:t>max</m:t>
        </m:r>
        <m:d>
          <m:dPr>
            <m:begChr m:val="("/>
            <m:endChr m:val=")"/>
            <m:sepChr m:val=""/>
            <m:grow/>
          </m:dPr>
          <m:e>
            <m:sSub>
              <m:e>
                <m:r>
                  <m:t>Q</m:t>
                </m:r>
              </m:e>
              <m:sub>
                <m:r>
                  <m:t>.99</m:t>
                </m:r>
                <m:r>
                  <m:rPr>
                    <m:sty m:val="p"/>
                  </m:rPr>
                  <m:t>,</m:t>
                </m:r>
                <m:r>
                  <m:t>j</m:t>
                </m:r>
              </m:sub>
            </m:sSub>
            <m:r>
              <m:rPr>
                <m:sty m:val="p"/>
              </m:rPr>
              <m:t>−</m:t>
            </m:r>
            <m:sSub>
              <m:e>
                <m:r>
                  <m:t>Q</m:t>
                </m:r>
              </m:e>
              <m:sub>
                <m:r>
                  <m:t>.01</m:t>
                </m:r>
                <m:r>
                  <m:rPr>
                    <m:sty m:val="p"/>
                  </m:rPr>
                  <m:t>,</m:t>
                </m:r>
                <m:r>
                  <m:t>j</m:t>
                </m:r>
              </m:sub>
            </m:sSub>
            <m:r>
              <m:rPr>
                <m:sty m:val="p"/>
              </m:rPr>
              <m:t>,</m:t>
            </m:r>
            <m:r>
              <m:t>1</m:t>
            </m:r>
          </m:e>
        </m:d>
      </m:oMath>
      <w:r>
        <w:t xml:space="preserve">, using quantiles of predictor-training rows. Both fractions use all features as denominator. The router sees these measures, never the injected-defect labels.</w:t>
      </w:r>
    </w:p>
    <w:p>
      <w:pPr>
        <w:pStyle w:val="BodyText"/>
      </w:pPr>
      <w:r>
        <w:t xml:space="preserve">The knowledge base contains two forward rules,</w:t>
      </w:r>
    </w:p>
    <w:p>
      <w:pPr>
        <w:pStyle w:val="BodyText"/>
      </w:pPr>
      <m:oMathPara>
        <m:oMathParaPr>
          <m:jc m:val="center"/>
        </m:oMathParaPr>
        <m:oMath>
          <m:r>
            <m:rPr>
              <m:nor/>
              <m:sty m:val="p"/>
            </m:rPr>
            <m:t>R1: </m:t>
          </m:r>
          <m:sSub>
            <m:e>
              <m:r>
                <m:t>u</m:t>
              </m:r>
            </m:e>
            <m:sub>
              <m:r>
                <m:t>i</m:t>
              </m:r>
            </m:sub>
          </m:sSub>
          <m:r>
            <m:rPr>
              <m:sty m:val="p"/>
            </m:rPr>
            <m:t>≥</m:t>
          </m:r>
          <m:sSub>
            <m:e>
              <m:r>
                <m:t>τ</m:t>
              </m:r>
            </m:e>
            <m:sub>
              <m:r>
                <m:t>u</m:t>
              </m:r>
            </m:sub>
          </m:sSub>
          <m:r>
            <m:rPr>
              <m:sty m:val="p"/>
            </m:rPr>
            <m:t>⇒</m:t>
          </m:r>
          <m:sSub>
            <m:e>
              <m:r>
                <m:t>m</m:t>
              </m:r>
            </m:e>
            <m:sub>
              <m:r>
                <m:t>i</m:t>
              </m:r>
            </m:sub>
          </m:sSub>
          <m:r>
            <m:rPr>
              <m:sty m:val="p"/>
            </m:rPr>
            <m:t>=</m:t>
          </m:r>
          <m:r>
            <m:t>1</m:t>
          </m:r>
          <m:r>
            <m:rPr>
              <m:sty m:val="p"/>
            </m:rPr>
            <m:t>,</m:t>
          </m:r>
          <m:r>
            <m:t>  </m:t>
          </m:r>
          <m:r>
            <m:rPr>
              <m:nor/>
              <m:sty m:val="p"/>
            </m:rPr>
            <m:t>R2: </m:t>
          </m:r>
          <m:sSub>
            <m:e>
              <m:r>
                <m:t>v</m:t>
              </m:r>
            </m:e>
            <m:sub>
              <m:r>
                <m:t>i</m:t>
              </m:r>
            </m:sub>
          </m:sSub>
          <m:r>
            <m:rPr>
              <m:sty m:val="p"/>
            </m:rPr>
            <m:t>≥</m:t>
          </m:r>
          <m:sSub>
            <m:e>
              <m:r>
                <m:t>τ</m:t>
              </m:r>
            </m:e>
            <m:sub>
              <m:r>
                <m:t>v</m:t>
              </m:r>
            </m:sub>
          </m:sSub>
          <m:r>
            <m:rPr>
              <m:sty m:val="p"/>
            </m:rPr>
            <m:t>⇒</m:t>
          </m:r>
          <m:sSub>
            <m:e>
              <m:r>
                <m:t>m</m:t>
              </m:r>
            </m:e>
            <m:sub>
              <m:r>
                <m:t>i</m:t>
              </m:r>
            </m:sub>
          </m:sSub>
          <m:r>
            <m:rPr>
              <m:sty m:val="p"/>
            </m:rPr>
            <m:t>=</m:t>
          </m:r>
          <m:r>
            <m:t>1</m:t>
          </m:r>
          <m:r>
            <m:rPr>
              <m:sty m:val="p"/>
            </m:rPr>
            <m:t>,</m:t>
          </m:r>
        </m:oMath>
      </m:oMathPara>
    </w:p>
    <w:p>
      <w:pPr>
        <w:pStyle w:val="FirstParagraph"/>
      </w:pPr>
      <w:r>
        <w:t xml:space="preserve">with</w:t>
      </w:r>
      <w:r>
        <w:t xml:space="preserve"> </w:t>
      </w:r>
      <m:oMath>
        <m:d>
          <m:dPr>
            <m:begChr m:val="("/>
            <m:endChr m:val=")"/>
            <m:sepChr m:val=""/>
            <m:grow/>
          </m:dPr>
          <m:e>
            <m:sSub>
              <m:e>
                <m:r>
                  <m:t>τ</m:t>
                </m:r>
              </m:e>
              <m:sub>
                <m:r>
                  <m:t>u</m:t>
                </m:r>
              </m:sub>
            </m:sSub>
            <m:r>
              <m:rPr>
                <m:sty m:val="p"/>
              </m:rPr>
              <m:t>,</m:t>
            </m:r>
            <m:sSub>
              <m:e>
                <m:r>
                  <m:t>τ</m:t>
                </m:r>
              </m:e>
              <m:sub>
                <m:r>
                  <m:t>v</m:t>
                </m:r>
              </m:sub>
            </m:sSub>
          </m:e>
        </m:d>
        <m:r>
          <m:rPr>
            <m:sty m:val="p"/>
          </m:rPr>
          <m:t>=</m:t>
        </m:r>
        <m:d>
          <m:dPr>
            <m:begChr m:val="("/>
            <m:endChr m:val=")"/>
            <m:sepChr m:val=""/>
            <m:grow/>
          </m:dPr>
          <m:e>
            <m:r>
              <m:t>0.5</m:t>
            </m:r>
            <m:r>
              <m:rPr>
                <m:sty m:val="p"/>
              </m:rPr>
              <m:t>,</m:t>
            </m:r>
            <m:r>
              <m:t>0.25</m:t>
            </m:r>
          </m:e>
        </m:d>
      </m:oMath>
      <w:r>
        <w:t xml:space="preserve"> </w:t>
      </w:r>
      <w:r>
        <w:t xml:space="preserve">in the main analysis. These encode an organisational policy that heavily incomplete or implausible records must not be decided automatically. They are illustrative, and Section 5.7 evaluates stricter, more lenient and absent rule sets. Let</w:t>
      </w:r>
      <w:r>
        <w:t xml:space="preserve"> </w:t>
      </w:r>
      <m:oMath>
        <m:r>
          <m:t>M</m:t>
        </m:r>
        <m:r>
          <m:rPr>
            <m:sty m:val="p"/>
          </m:rPr>
          <m:t>=</m:t>
        </m:r>
        <m:r>
          <m:rPr>
            <m:sty m:val="p"/>
          </m:rPr>
          <m:t>{</m:t>
        </m:r>
        <m:r>
          <m:t>i</m:t>
        </m:r>
        <m:r>
          <m:rPr>
            <m:sty m:val="p"/>
          </m:rPr>
          <m:t>:</m:t>
        </m:r>
        <m:sSub>
          <m:e>
            <m:r>
              <m:t>m</m:t>
            </m:r>
          </m:e>
          <m:sub>
            <m:r>
              <m:t>i</m:t>
            </m:r>
          </m:sub>
        </m:sSub>
        <m:r>
          <m:rPr>
            <m:sty m:val="p"/>
          </m:rPr>
          <m:t>=</m:t>
        </m:r>
        <m:r>
          <m:t>1</m:t>
        </m:r>
        <m:r>
          <m:rPr>
            <m:sty m:val="p"/>
          </m:rPr>
          <m:t>}</m:t>
        </m:r>
      </m:oMath>
      <w:r>
        <w:t xml:space="preserve">.</w:t>
      </w:r>
    </w:p>
    <w:bookmarkEnd w:id="28"/>
    <w:bookmarkStart w:id="29" w:name="governance-constrained-allocation"/>
    <w:p>
      <w:pPr>
        <w:pStyle w:val="Heading2"/>
      </w:pPr>
      <w:r>
        <w:t xml:space="preserve">3.3. Governance-constrained allocation</w:t>
      </w:r>
    </w:p>
    <w:p>
      <w:pPr>
        <w:pStyle w:val="FirstParagraph"/>
      </w:pPr>
      <w:r>
        <w:t xml:space="preserve">Each record receives exactly one action: automate (</w:t>
      </w:r>
      <m:oMath>
        <m:sSub>
          <m:e>
            <m:r>
              <m:t>a</m:t>
            </m:r>
          </m:e>
          <m:sub>
            <m:r>
              <m:t>i</m:t>
            </m:r>
          </m:sub>
        </m:sSub>
      </m:oMath>
      <w:r>
        <w:t xml:space="preserve">), review (</w:t>
      </w:r>
      <m:oMath>
        <m:sSub>
          <m:e>
            <m:r>
              <m:t>r</m:t>
            </m:r>
          </m:e>
          <m:sub>
            <m:r>
              <m:t>i</m:t>
            </m:r>
          </m:sub>
        </m:sSub>
      </m:oMath>
      <w:r>
        <w:t xml:space="preserve">) or hold (</w:t>
      </w:r>
      <m:oMath>
        <m:sSub>
          <m:e>
            <m:r>
              <m:t>h</m:t>
            </m:r>
          </m:e>
          <m:sub>
            <m:r>
              <m:t>i</m:t>
            </m:r>
          </m:sub>
        </m:sSub>
      </m:oMath>
      <w:r>
        <w:t xml:space="preserve">). Given capacity</w:t>
      </w:r>
      <w:r>
        <w:t xml:space="preserve"> </w:t>
      </w:r>
      <m:oMath>
        <m:r>
          <m:t>B</m:t>
        </m:r>
        <m:r>
          <m:rPr>
            <m:sty m:val="p"/>
          </m:rPr>
          <m:t>=</m:t>
        </m:r>
        <m:r>
          <m:rPr>
            <m:sty m:val="p"/>
          </m:rPr>
          <m:t>⌊</m:t>
        </m:r>
        <m:r>
          <m:t>b</m:t>
        </m:r>
        <m:r>
          <m:t>n</m:t>
        </m:r>
        <m:r>
          <m:rPr>
            <m:sty m:val="p"/>
          </m:rPr>
          <m:t>⌋</m:t>
        </m:r>
      </m:oMath>
      <w:r>
        <w:t xml:space="preserve">, the allocation problem is</w:t>
      </w:r>
    </w:p>
    <w:p>
      <w:pPr>
        <w:pStyle w:val="BodyText"/>
      </w:pPr>
      <m:oMathPara>
        <m:oMathParaPr>
          <m:jc m:val="center"/>
        </m:oMathParaPr>
        <m:oMath>
          <m:limLow>
            <m:e>
              <m:r>
                <m:rPr>
                  <m:sty m:val="p"/>
                </m:rPr>
                <m:t>min</m:t>
              </m:r>
            </m:e>
            <m:lim>
              <m:r>
                <m:t>a</m:t>
              </m:r>
              <m:r>
                <m:rPr>
                  <m:sty m:val="p"/>
                </m:rPr>
                <m:t>,</m:t>
              </m:r>
              <m:r>
                <m:t>r</m:t>
              </m:r>
              <m:r>
                <m:rPr>
                  <m:sty m:val="p"/>
                </m:rPr>
                <m:t>,</m:t>
              </m:r>
              <m:r>
                <m:t>h</m:t>
              </m:r>
            </m:lim>
          </m:limLow>
          <m:r>
            <m:t> </m:t>
          </m:r>
          <m:f>
            <m:fPr>
              <m:type m:val="bar"/>
            </m:fPr>
            <m:num>
              <m:r>
                <m:t>1</m:t>
              </m:r>
            </m:num>
            <m:den>
              <m:r>
                <m:t>n</m:t>
              </m:r>
            </m:den>
          </m:f>
          <m:nary>
            <m:naryPr>
              <m:chr m:val="∑"/>
              <m:limLoc m:val="undOvr"/>
              <m:subHide m:val="off"/>
              <m:supHide m:val="on"/>
            </m:naryPr>
            <m:sub>
              <m:r>
                <m:t>i</m:t>
              </m:r>
            </m:sub>
            <m:sup>
              <m:r>
                <m:t>​</m:t>
              </m:r>
            </m:sup>
            <m:e>
              <m:d>
                <m:dPr>
                  <m:begChr m:val="["/>
                  <m:endChr m:val="]"/>
                  <m:sepChr m:val=""/>
                  <m:grow/>
                </m:dPr>
                <m:e>
                  <m:sSub>
                    <m:e>
                      <m:r>
                        <m:t>a</m:t>
                      </m:r>
                    </m:e>
                    <m:sub>
                      <m:r>
                        <m:t>i</m:t>
                      </m:r>
                    </m:sub>
                  </m:sSub>
                  <m:sSubSup>
                    <m:e>
                      <m:r>
                        <m:rPr>
                          <m:sty m:val="p"/>
                        </m:rPr>
                        <m:t>ℓ</m:t>
                      </m:r>
                    </m:e>
                    <m:sub>
                      <m:r>
                        <m:t>i</m:t>
                      </m:r>
                    </m:sub>
                    <m:sup>
                      <m:r>
                        <m:t>A</m:t>
                      </m:r>
                    </m:sup>
                  </m:sSubSup>
                  <m:r>
                    <m:rPr>
                      <m:sty m:val="p"/>
                    </m:rPr>
                    <m:t>+</m:t>
                  </m:r>
                  <m:sSub>
                    <m:e>
                      <m:r>
                        <m:t>r</m:t>
                      </m:r>
                    </m:e>
                    <m:sub>
                      <m:r>
                        <m:t>i</m:t>
                      </m:r>
                    </m:sub>
                  </m:sSub>
                  <m:d>
                    <m:dPr>
                      <m:begChr m:val="("/>
                      <m:endChr m:val=")"/>
                      <m:sepChr m:val=""/>
                      <m:grow/>
                    </m:dPr>
                    <m:e>
                      <m:sSubSup>
                        <m:e>
                          <m:r>
                            <m:rPr>
                              <m:sty m:val="p"/>
                            </m:rPr>
                            <m:t>ℓ</m:t>
                          </m:r>
                        </m:e>
                        <m:sub>
                          <m:r>
                            <m:t>i</m:t>
                          </m:r>
                        </m:sub>
                        <m:sup>
                          <m:r>
                            <m:t>H</m:t>
                          </m:r>
                        </m:sup>
                      </m:sSubSup>
                      <m:r>
                        <m:rPr>
                          <m:sty m:val="p"/>
                        </m:rPr>
                        <m:t>+</m:t>
                      </m:r>
                      <m:sSub>
                        <m:e>
                          <m:r>
                            <m:t>c</m:t>
                          </m:r>
                        </m:e>
                        <m:sub>
                          <m:r>
                            <m:t>R</m:t>
                          </m:r>
                        </m:sub>
                      </m:sSub>
                    </m:e>
                  </m:d>
                  <m:r>
                    <m:rPr>
                      <m:sty m:val="p"/>
                    </m:rPr>
                    <m:t>+</m:t>
                  </m:r>
                  <m:sSub>
                    <m:e>
                      <m:r>
                        <m:t>h</m:t>
                      </m:r>
                    </m:e>
                    <m:sub>
                      <m:r>
                        <m:t>i</m:t>
                      </m:r>
                    </m:sub>
                  </m:sSub>
                  <m:sSub>
                    <m:e>
                      <m:r>
                        <m:t>c</m:t>
                      </m:r>
                    </m:e>
                    <m:sub>
                      <m:r>
                        <m:t>H</m:t>
                      </m:r>
                    </m:sub>
                  </m:sSub>
                </m:e>
              </m:d>
            </m:e>
          </m:nary>
        </m:oMath>
      </m:oMathPara>
    </w:p>
    <w:p>
      <w:pPr>
        <w:pStyle w:val="FirstParagraph"/>
      </w:pPr>
      <w:r>
        <w:t xml:space="preserve">subject to</w:t>
      </w:r>
      <w:r>
        <w:t xml:space="preserve"> </w:t>
      </w:r>
      <m:oMath>
        <m:sSub>
          <m:e>
            <m:r>
              <m:t>a</m:t>
            </m:r>
          </m:e>
          <m:sub>
            <m:r>
              <m:t>i</m:t>
            </m:r>
          </m:sub>
        </m:sSub>
        <m:r>
          <m:rPr>
            <m:sty m:val="p"/>
          </m:rPr>
          <m:t>+</m:t>
        </m:r>
        <m:sSub>
          <m:e>
            <m:r>
              <m:t>r</m:t>
            </m:r>
          </m:e>
          <m:sub>
            <m:r>
              <m:t>i</m:t>
            </m:r>
          </m:sub>
        </m:sSub>
        <m:r>
          <m:rPr>
            <m:sty m:val="p"/>
          </m:rPr>
          <m:t>+</m:t>
        </m:r>
        <m:sSub>
          <m:e>
            <m:r>
              <m:t>h</m:t>
            </m:r>
          </m:e>
          <m:sub>
            <m:r>
              <m:t>i</m:t>
            </m:r>
          </m:sub>
        </m:sSub>
        <m:r>
          <m:rPr>
            <m:sty m:val="p"/>
          </m:rPr>
          <m:t>=</m:t>
        </m:r>
        <m:r>
          <m:t>1</m:t>
        </m:r>
      </m:oMath>
      <w:r>
        <w:t xml:space="preserve">,</w:t>
      </w:r>
      <w:r>
        <w:t xml:space="preserve"> </w:t>
      </w:r>
      <m:oMath>
        <m:nary>
          <m:naryPr>
            <m:chr m:val="∑"/>
            <m:limLoc m:val="undOvr"/>
            <m:subHide m:val="off"/>
            <m:supHide m:val="on"/>
          </m:naryPr>
          <m:sub>
            <m:r>
              <m:t>i</m:t>
            </m:r>
          </m:sub>
          <m:sup>
            <m:r>
              <m:t>​</m:t>
            </m:r>
          </m:sup>
          <m:e>
            <m:sSub>
              <m:e>
                <m:r>
                  <m:t>r</m:t>
                </m:r>
              </m:e>
              <m:sub>
                <m:r>
                  <m:t>i</m:t>
                </m:r>
              </m:sub>
            </m:sSub>
          </m:e>
        </m:nary>
        <m:r>
          <m:rPr>
            <m:sty m:val="p"/>
          </m:rPr>
          <m:t>≤</m:t>
        </m:r>
        <m:r>
          <m:t>B</m:t>
        </m:r>
      </m:oMath>
      <w:r>
        <w:t xml:space="preserve">,</w:t>
      </w:r>
      <w:r>
        <w:t xml:space="preserve"> </w:t>
      </w:r>
      <m:oMath>
        <m:sSub>
          <m:e>
            <m:r>
              <m:t>a</m:t>
            </m:r>
          </m:e>
          <m:sub>
            <m:r>
              <m:t>i</m:t>
            </m:r>
          </m:sub>
        </m:sSub>
        <m:r>
          <m:rPr>
            <m:sty m:val="p"/>
          </m:rPr>
          <m:t>≤</m:t>
        </m:r>
        <m:r>
          <m:t>1</m:t>
        </m:r>
        <m:r>
          <m:rPr>
            <m:sty m:val="p"/>
          </m:rPr>
          <m:t>−</m:t>
        </m:r>
        <m:sSub>
          <m:e>
            <m:r>
              <m:t>m</m:t>
            </m:r>
          </m:e>
          <m:sub>
            <m:r>
              <m:t>i</m:t>
            </m:r>
          </m:sub>
        </m:sSub>
      </m:oMath>
      <w:r>
        <w:t xml:space="preserve"> </w:t>
      </w:r>
      <w:r>
        <w:t xml:space="preserve">(no automation of mandatory records),</w:t>
      </w:r>
      <w:r>
        <w:t xml:space="preserve"> </w:t>
      </w:r>
      <m:oMath>
        <m:sSub>
          <m:e>
            <m:r>
              <m:t>h</m:t>
            </m:r>
          </m:e>
          <m:sub>
            <m:r>
              <m:t>i</m:t>
            </m:r>
          </m:sub>
        </m:sSub>
        <m:r>
          <m:rPr>
            <m:sty m:val="p"/>
          </m:rPr>
          <m:t>≤</m:t>
        </m:r>
        <m:sSub>
          <m:e>
            <m:r>
              <m:t>m</m:t>
            </m:r>
          </m:e>
          <m:sub>
            <m:r>
              <m:t>i</m:t>
            </m:r>
          </m:sub>
        </m:sSub>
      </m:oMath>
      <w:r>
        <w:t xml:space="preserve"> </w:t>
      </w:r>
      <w:r>
        <w:t xml:space="preserve">(only mandatory records may be held), and the service-first constraint</w:t>
      </w:r>
      <w:r>
        <w:t xml:space="preserve"> </w:t>
      </w:r>
      <m:oMath>
        <m:nary>
          <m:naryPr>
            <m:chr m:val="∑"/>
            <m:limLoc m:val="undOvr"/>
            <m:subHide m:val="off"/>
            <m:supHide m:val="on"/>
          </m:naryPr>
          <m:sub>
            <m:r>
              <m:t>i</m:t>
            </m:r>
          </m:sub>
          <m:sup>
            <m:r>
              <m:t>​</m:t>
            </m:r>
          </m:sup>
          <m:e>
            <m:sSub>
              <m:e>
                <m:r>
                  <m:t>h</m:t>
                </m:r>
              </m:e>
              <m:sub>
                <m:r>
                  <m:t>i</m:t>
                </m:r>
              </m:sub>
            </m:sSub>
          </m:e>
        </m:nary>
        <m:r>
          <m:rPr>
            <m:sty m:val="p"/>
          </m:rPr>
          <m:t>=</m:t>
        </m:r>
        <m:sSup>
          <m:e>
            <m:d>
              <m:dPr>
                <m:begChr m:val="("/>
                <m:endChr m:val=")"/>
                <m:sepChr m:val=""/>
                <m:grow/>
              </m:dPr>
              <m:e>
                <m:d>
                  <m:dPr>
                    <m:begChr m:val="|"/>
                    <m:endChr m:val="|"/>
                    <m:sepChr m:val=""/>
                    <m:grow/>
                  </m:dPr>
                  <m:e>
                    <m:r>
                      <m:t>M</m:t>
                    </m:r>
                  </m:e>
                </m:d>
                <m:r>
                  <m:rPr>
                    <m:sty m:val="p"/>
                  </m:rPr>
                  <m:t>−</m:t>
                </m:r>
                <m:r>
                  <m:t>B</m:t>
                </m:r>
              </m:e>
            </m:d>
          </m:e>
          <m:sup>
            <m:r>
              <m:rPr>
                <m:sty m:val="p"/>
              </m:rPr>
              <m:t>+</m:t>
            </m:r>
          </m:sup>
        </m:sSup>
      </m:oMath>
      <w:r>
        <w:t xml:space="preserve">, which forbids voluntary holds when mandatory review is feasible. In deployment,</w:t>
      </w:r>
      <w:r>
        <w:t xml:space="preserve"> </w:t>
      </w:r>
      <m:oMath>
        <m:sSubSup>
          <m:e>
            <m:r>
              <m:rPr>
                <m:sty m:val="p"/>
              </m:rPr>
              <m:t>ℓ</m:t>
            </m:r>
          </m:e>
          <m:sub>
            <m:r>
              <m:t>i</m:t>
            </m:r>
          </m:sub>
          <m:sup>
            <m:r>
              <m:t>A</m:t>
            </m:r>
          </m:sup>
        </m:sSubSup>
      </m:oMath>
      <w:r>
        <w:t xml:space="preserve"> </w:t>
      </w:r>
      <w:r>
        <w:t xml:space="preserve">and</w:t>
      </w:r>
      <w:r>
        <w:t xml:space="preserve"> </w:t>
      </w:r>
      <m:oMath>
        <m:sSubSup>
          <m:e>
            <m:r>
              <m:rPr>
                <m:sty m:val="p"/>
              </m:rPr>
              <m:t>ℓ</m:t>
            </m:r>
          </m:e>
          <m:sub>
            <m:r>
              <m:t>i</m:t>
            </m:r>
          </m:sub>
          <m:sup>
            <m:r>
              <m:t>H</m:t>
            </m:r>
          </m:sup>
        </m:sSubSup>
      </m:oMath>
      <w:r>
        <w:t xml:space="preserve"> </w:t>
      </w:r>
      <w:r>
        <w:t xml:space="preserve">are replaced by estimates.</w:t>
      </w:r>
    </w:p>
    <w:p>
      <w:pPr>
        <w:pStyle w:val="BodyText"/>
      </w:pPr>
      <w:r>
        <w:rPr>
          <w:bCs/>
          <w:b/>
        </w:rPr>
        <w:t xml:space="preserve">Proposition 1 (exact allocation).</w:t>
      </w:r>
      <w:r>
        <w:t xml:space="preserve"> </w:t>
      </w:r>
      <w:r>
        <w:rPr>
          <w:iCs/>
          <w:i/>
        </w:rPr>
        <w:t xml:space="preserve">(a) If</w:t>
      </w:r>
      <w:r>
        <w:rPr>
          <w:iCs/>
          <w:i/>
        </w:rPr>
        <w:t xml:space="preserve"> </w:t>
      </w:r>
      <m:oMath>
        <m:d>
          <m:dPr>
            <m:begChr m:val="|"/>
            <m:endChr m:val="|"/>
            <m:sepChr m:val=""/>
            <m:grow/>
          </m:dPr>
          <m:e>
            <m:r>
              <m:t>M</m:t>
            </m:r>
          </m:e>
        </m:d>
        <m:r>
          <m:rPr>
            <m:sty m:val="p"/>
          </m:rPr>
          <m:t>≤</m:t>
        </m:r>
        <m:r>
          <m:t>B</m:t>
        </m:r>
      </m:oMath>
      <w:r>
        <w:rPr>
          <w:iCs/>
          <w:i/>
        </w:rPr>
        <w:t xml:space="preserve">, an optimal solution reviews every mandatory record and the</w:t>
      </w:r>
      <w:r>
        <w:rPr>
          <w:iCs/>
          <w:i/>
        </w:rPr>
        <w:t xml:space="preserve"> </w:t>
      </w:r>
      <m:oMath>
        <m:r>
          <m:rPr>
            <m:sty m:val="p"/>
          </m:rPr>
          <m:t>min</m:t>
        </m:r>
        <m:r>
          <m:rPr>
            <m:sty m:val="p"/>
          </m:rPr>
          <m:t>{</m:t>
        </m:r>
        <m:r>
          <m:t>B</m:t>
        </m:r>
        <m:r>
          <m:rPr>
            <m:sty m:val="p"/>
          </m:rPr>
          <m:t>−</m:t>
        </m:r>
        <m:d>
          <m:dPr>
            <m:begChr m:val="|"/>
            <m:endChr m:val="|"/>
            <m:sepChr m:val=""/>
            <m:grow/>
          </m:dPr>
          <m:e>
            <m:r>
              <m:t>M</m:t>
            </m:r>
          </m:e>
        </m:d>
        <m:r>
          <m:rPr>
            <m:sty m:val="p"/>
          </m:rPr>
          <m:t>,</m:t>
        </m:r>
        <m:r>
          <m:t> </m:t>
        </m:r>
        <m:d>
          <m:dPr>
            <m:begChr m:val="|"/>
            <m:endChr m:val="|"/>
            <m:sepChr m:val=""/>
            <m:grow/>
          </m:dPr>
          <m:e>
            <m:r>
              <m:rPr>
                <m:sty m:val="p"/>
              </m:rPr>
              <m:t>{</m:t>
            </m:r>
            <m:r>
              <m:t>i</m:t>
            </m:r>
            <m:r>
              <m:rPr>
                <m:sty m:val="p"/>
              </m:rPr>
              <m:t>∉</m:t>
            </m:r>
            <m:r>
              <m:t>M</m:t>
            </m:r>
            <m:r>
              <m:rPr>
                <m:sty m:val="p"/>
              </m:rPr>
              <m:t>:</m:t>
            </m:r>
            <m:sSub>
              <m:e>
                <m:r>
                  <m:t>g</m:t>
                </m:r>
              </m:e>
              <m:sub>
                <m:r>
                  <m:t>i</m:t>
                </m:r>
              </m:sub>
            </m:sSub>
            <m:r>
              <m:rPr>
                <m:sty m:val="p"/>
              </m:rPr>
              <m:t>&gt;</m:t>
            </m:r>
            <m:r>
              <m:t>0</m:t>
            </m:r>
            <m:r>
              <m:rPr>
                <m:sty m:val="p"/>
              </m:rPr>
              <m:t>}</m:t>
            </m:r>
          </m:e>
        </m:d>
        <m:r>
          <m:rPr>
            <m:sty m:val="p"/>
          </m:rPr>
          <m:t>}</m:t>
        </m:r>
      </m:oMath>
      <w:r>
        <w:rPr>
          <w:iCs/>
          <w:i/>
        </w:rPr>
        <w:t xml:space="preserve"> </w:t>
      </w:r>
      <w:r>
        <w:rPr>
          <w:iCs/>
          <w:i/>
        </w:rPr>
        <w:t xml:space="preserve">optional records with the largest</w:t>
      </w:r>
      <w:r>
        <w:rPr>
          <w:iCs/>
          <w:i/>
        </w:rPr>
        <w:t xml:space="preserve"> </w:t>
      </w:r>
      <m:oMath>
        <m:sSub>
          <m:e>
            <m:r>
              <m:t>g</m:t>
            </m:r>
          </m:e>
          <m:sub>
            <m:r>
              <m:t>i</m:t>
            </m:r>
          </m:sub>
        </m:sSub>
      </m:oMath>
      <w:r>
        <w:rPr>
          <w:iCs/>
          <w:i/>
        </w:rPr>
        <w:t xml:space="preserve">, and automates all other records. (b) If</w:t>
      </w:r>
      <w:r>
        <w:rPr>
          <w:iCs/>
          <w:i/>
        </w:rPr>
        <w:t xml:space="preserve"> </w:t>
      </w:r>
      <m:oMath>
        <m:d>
          <m:dPr>
            <m:begChr m:val="|"/>
            <m:endChr m:val="|"/>
            <m:sepChr m:val=""/>
            <m:grow/>
          </m:dPr>
          <m:e>
            <m:r>
              <m:t>M</m:t>
            </m:r>
          </m:e>
        </m:d>
        <m:r>
          <m:rPr>
            <m:sty m:val="p"/>
          </m:rPr>
          <m:t>&gt;</m:t>
        </m:r>
        <m:r>
          <m:t>B</m:t>
        </m:r>
      </m:oMath>
      <w:r>
        <w:rPr>
          <w:iCs/>
          <w:i/>
        </w:rPr>
        <w:t xml:space="preserve">, every feasible solution reviews exactly</w:t>
      </w:r>
      <w:r>
        <w:rPr>
          <w:iCs/>
          <w:i/>
        </w:rPr>
        <w:t xml:space="preserve"> </w:t>
      </w:r>
      <m:oMath>
        <m:r>
          <m:t>B</m:t>
        </m:r>
      </m:oMath>
      <w:r>
        <w:rPr>
          <w:iCs/>
          <w:i/>
        </w:rPr>
        <w:t xml:space="preserve"> </w:t>
      </w:r>
      <w:r>
        <w:rPr>
          <w:iCs/>
          <w:i/>
        </w:rPr>
        <w:t xml:space="preserve">mandatory records and no optional record, and holds</w:t>
      </w:r>
      <w:r>
        <w:rPr>
          <w:iCs/>
          <w:i/>
        </w:rPr>
        <w:t xml:space="preserve"> </w:t>
      </w:r>
      <m:oMath>
        <m:d>
          <m:dPr>
            <m:begChr m:val="|"/>
            <m:endChr m:val="|"/>
            <m:sepChr m:val=""/>
            <m:grow/>
          </m:dPr>
          <m:e>
            <m:r>
              <m:t>M</m:t>
            </m:r>
          </m:e>
        </m:d>
        <m:r>
          <m:rPr>
            <m:sty m:val="p"/>
          </m:rPr>
          <m:t>−</m:t>
        </m:r>
        <m:r>
          <m:t>B</m:t>
        </m:r>
      </m:oMath>
      <w:r>
        <w:rPr>
          <w:iCs/>
          <w:i/>
        </w:rPr>
        <w:t xml:space="preserve"> </w:t>
      </w:r>
      <w:r>
        <w:rPr>
          <w:iCs/>
          <w:i/>
        </w:rPr>
        <w:t xml:space="preserve">records; an optimal solution reviews the</w:t>
      </w:r>
      <w:r>
        <w:rPr>
          <w:iCs/>
          <w:i/>
        </w:rPr>
        <w:t xml:space="preserve"> </w:t>
      </w:r>
      <m:oMath>
        <m:r>
          <m:t>B</m:t>
        </m:r>
      </m:oMath>
      <w:r>
        <w:rPr>
          <w:iCs/>
          <w:i/>
        </w:rPr>
        <w:t xml:space="preserve"> </w:t>
      </w:r>
      <w:r>
        <w:rPr>
          <w:iCs/>
          <w:i/>
        </w:rPr>
        <w:t xml:space="preserve">mandatory records with the smallest</w:t>
      </w:r>
      <w:r>
        <w:rPr>
          <w:iCs/>
          <w:i/>
        </w:rPr>
        <w:t xml:space="preserve"> </w:t>
      </w:r>
      <m:oMath>
        <m:sSubSup>
          <m:e>
            <m:r>
              <m:rPr>
                <m:sty m:val="p"/>
              </m:rPr>
              <m:t>ℓ</m:t>
            </m:r>
          </m:e>
          <m:sub>
            <m:r>
              <m:t>i</m:t>
            </m:r>
          </m:sub>
          <m:sup>
            <m:r>
              <m:t>H</m:t>
            </m:r>
          </m:sup>
        </m:sSubSup>
      </m:oMath>
      <w:r>
        <w:rPr>
          <w:iCs/>
          <w:i/>
        </w:rPr>
        <w:t xml:space="preserve">. In both regimes the optimal routes do not depend on</w:t>
      </w:r>
      <w:r>
        <w:rPr>
          <w:iCs/>
          <w:i/>
        </w:rPr>
        <w:t xml:space="preserve"> </w:t>
      </w:r>
      <m:oMath>
        <m:sSub>
          <m:e>
            <m:r>
              <m:t>c</m:t>
            </m:r>
          </m:e>
          <m:sub>
            <m:r>
              <m:t>H</m:t>
            </m:r>
          </m:sub>
        </m:sSub>
      </m:oMath>
      <w:r>
        <w:rPr>
          <w:iCs/>
          <w:i/>
        </w:rPr>
        <w:t xml:space="preserve">.</w:t>
      </w:r>
    </w:p>
    <w:p>
      <w:pPr>
        <w:pStyle w:val="BodyText"/>
      </w:pPr>
      <w:r>
        <w:rPr>
          <w:iCs/>
          <w:i/>
        </w:rPr>
        <w:t xml:space="preserve">Proof.</w:t>
      </w:r>
      <w:r>
        <w:t xml:space="preserve"> </w:t>
      </w:r>
      <w:r>
        <w:t xml:space="preserve">(a) The service-first constraint gives</w:t>
      </w:r>
      <w:r>
        <w:t xml:space="preserve"> </w:t>
      </w:r>
      <m:oMath>
        <m:r>
          <m:rPr>
            <m:sty m:val="p"/>
          </m:rPr>
          <m:t>∑</m:t>
        </m:r>
        <m:sSub>
          <m:e>
            <m:r>
              <m:t>h</m:t>
            </m:r>
          </m:e>
          <m:sub>
            <m:r>
              <m:t>i</m:t>
            </m:r>
          </m:sub>
        </m:sSub>
        <m:r>
          <m:rPr>
            <m:sty m:val="p"/>
          </m:rPr>
          <m:t>=</m:t>
        </m:r>
        <m:r>
          <m:t>0</m:t>
        </m:r>
      </m:oMath>
      <w:r>
        <w:t xml:space="preserve">, so every</w:t>
      </w:r>
      <w:r>
        <w:t xml:space="preserve"> </w:t>
      </w:r>
      <m:oMath>
        <m:r>
          <m:t>i</m:t>
        </m:r>
        <m:r>
          <m:rPr>
            <m:sty m:val="p"/>
          </m:rPr>
          <m:t>∈</m:t>
        </m:r>
        <m:r>
          <m:t>M</m:t>
        </m:r>
      </m:oMath>
      <w:r>
        <w:t xml:space="preserve"> </w:t>
      </w:r>
      <w:r>
        <w:t xml:space="preserve">has</w:t>
      </w:r>
      <w:r>
        <w:t xml:space="preserve"> </w:t>
      </w:r>
      <m:oMath>
        <m:sSub>
          <m:e>
            <m:r>
              <m:t>h</m:t>
            </m:r>
          </m:e>
          <m:sub>
            <m:r>
              <m:t>i</m:t>
            </m:r>
          </m:sub>
        </m:sSub>
        <m:r>
          <m:rPr>
            <m:sty m:val="p"/>
          </m:rPr>
          <m:t>=</m:t>
        </m:r>
        <m:sSub>
          <m:e>
            <m:r>
              <m:t>a</m:t>
            </m:r>
          </m:e>
          <m:sub>
            <m:r>
              <m:t>i</m:t>
            </m:r>
          </m:sub>
        </m:sSub>
        <m:r>
          <m:rPr>
            <m:sty m:val="p"/>
          </m:rPr>
          <m:t>=</m:t>
        </m:r>
        <m:r>
          <m:t>0</m:t>
        </m:r>
      </m:oMath>
      <w:r>
        <w:t xml:space="preserve"> </w:t>
      </w:r>
      <w:r>
        <w:t xml:space="preserve">and</w:t>
      </w:r>
      <w:r>
        <w:t xml:space="preserve"> </w:t>
      </w:r>
      <m:oMath>
        <m:sSub>
          <m:e>
            <m:r>
              <m:t>r</m:t>
            </m:r>
          </m:e>
          <m:sub>
            <m:r>
              <m:t>i</m:t>
            </m:r>
          </m:sub>
        </m:sSub>
        <m:r>
          <m:rPr>
            <m:sty m:val="p"/>
          </m:rPr>
          <m:t>=</m:t>
        </m:r>
        <m:r>
          <m:t>1</m:t>
        </m:r>
      </m:oMath>
      <w:r>
        <w:t xml:space="preserve">, using</w:t>
      </w:r>
      <w:r>
        <w:t xml:space="preserve"> </w:t>
      </w:r>
      <m:oMath>
        <m:d>
          <m:dPr>
            <m:begChr m:val="|"/>
            <m:endChr m:val="|"/>
            <m:sepChr m:val=""/>
            <m:grow/>
          </m:dPr>
          <m:e>
            <m:r>
              <m:t>M</m:t>
            </m:r>
          </m:e>
        </m:d>
      </m:oMath>
      <w:r>
        <w:t xml:space="preserve"> </w:t>
      </w:r>
      <w:r>
        <w:t xml:space="preserve">reviews. Each optional record is either automated or reviewed, and reviewing it changes the objective by</w:t>
      </w:r>
      <w:r>
        <w:t xml:space="preserve"> </w:t>
      </w:r>
      <m:oMath>
        <m:r>
          <m:rPr>
            <m:sty m:val="p"/>
          </m:rPr>
          <m:t>−</m:t>
        </m:r>
        <m:sSub>
          <m:e>
            <m:r>
              <m:t>g</m:t>
            </m:r>
          </m:e>
          <m:sub>
            <m:r>
              <m:t>i</m:t>
            </m:r>
          </m:sub>
        </m:sSub>
        <m:r>
          <m:rPr>
            <m:sty m:val="p"/>
          </m:rPr>
          <m:t>/</m:t>
        </m:r>
        <m:r>
          <m:t>n</m:t>
        </m:r>
      </m:oMath>
      <w:r>
        <w:t xml:space="preserve">. Minimising (4) is therefore equivalent to choosing at most</w:t>
      </w:r>
      <w:r>
        <w:t xml:space="preserve"> </w:t>
      </w:r>
      <m:oMath>
        <m:r>
          <m:t>B</m:t>
        </m:r>
        <m:r>
          <m:rPr>
            <m:sty m:val="p"/>
          </m:rPr>
          <m:t>−</m:t>
        </m:r>
        <m:d>
          <m:dPr>
            <m:begChr m:val="|"/>
            <m:endChr m:val="|"/>
            <m:sepChr m:val=""/>
            <m:grow/>
          </m:dPr>
          <m:e>
            <m:r>
              <m:t>M</m:t>
            </m:r>
          </m:e>
        </m:d>
      </m:oMath>
      <w:r>
        <w:t xml:space="preserve"> </w:t>
      </w:r>
      <w:r>
        <w:t xml:space="preserve">optional records to maximise</w:t>
      </w:r>
      <w:r>
        <w:t xml:space="preserve"> </w:t>
      </w:r>
      <m:oMath>
        <m:r>
          <m:rPr>
            <m:sty m:val="p"/>
          </m:rPr>
          <m:t>∑</m:t>
        </m:r>
        <m:sSub>
          <m:e>
            <m:r>
              <m:t>g</m:t>
            </m:r>
          </m:e>
          <m:sub>
            <m:r>
              <m:t>i</m:t>
            </m:r>
          </m:sub>
        </m:sSub>
      </m:oMath>
      <w:r>
        <w:t xml:space="preserve">, which is achieved by taking the largest positive gains (an exchange argument). (b) Exactly</w:t>
      </w:r>
      <w:r>
        <w:t xml:space="preserve"> </w:t>
      </w:r>
      <m:oMath>
        <m:d>
          <m:dPr>
            <m:begChr m:val="|"/>
            <m:endChr m:val="|"/>
            <m:sepChr m:val=""/>
            <m:grow/>
          </m:dPr>
          <m:e>
            <m:r>
              <m:t>M</m:t>
            </m:r>
          </m:e>
        </m:d>
        <m:r>
          <m:rPr>
            <m:sty m:val="p"/>
          </m:rPr>
          <m:t>−</m:t>
        </m:r>
        <m:r>
          <m:t>B</m:t>
        </m:r>
      </m:oMath>
      <w:r>
        <w:t xml:space="preserve"> </w:t>
      </w:r>
      <w:r>
        <w:t xml:space="preserve">mandatory records are held. The remaining</w:t>
      </w:r>
      <w:r>
        <w:t xml:space="preserve"> </w:t>
      </w:r>
      <m:oMath>
        <m:r>
          <m:t>B</m:t>
        </m:r>
      </m:oMath>
      <w:r>
        <w:t xml:space="preserve"> </w:t>
      </w:r>
      <w:r>
        <w:t xml:space="preserve">mandatory records cannot be automated and so must be reviewed, which exhausts capacity. The objective equals</w:t>
      </w:r>
      <w:r>
        <w:t xml:space="preserve"> </w:t>
      </w:r>
      <m:oMath>
        <m:f>
          <m:fPr>
            <m:type m:val="bar"/>
          </m:fPr>
          <m:num>
            <m:r>
              <m:t>1</m:t>
            </m:r>
          </m:num>
          <m:den>
            <m:r>
              <m:t>n</m:t>
            </m:r>
          </m:den>
        </m:f>
        <m:d>
          <m:dPr>
            <m:begChr m:val="["/>
            <m:endChr m:val="]"/>
            <m:sepChr m:val=""/>
            <m:grow/>
          </m:dPr>
          <m:e>
            <m:nary>
              <m:naryPr>
                <m:chr m:val="∑"/>
                <m:limLoc m:val="undOvr"/>
                <m:subHide m:val="off"/>
                <m:supHide m:val="on"/>
              </m:naryPr>
              <m:sub>
                <m:r>
                  <m:t>i</m:t>
                </m:r>
                <m:r>
                  <m:rPr>
                    <m:sty m:val="p"/>
                  </m:rPr>
                  <m:t>∉</m:t>
                </m:r>
                <m:r>
                  <m:t>M</m:t>
                </m:r>
              </m:sub>
              <m:sup>
                <m:r>
                  <m:t>​</m:t>
                </m:r>
              </m:sup>
              <m:e>
                <m:sSubSup>
                  <m:e>
                    <m:r>
                      <m:rPr>
                        <m:sty m:val="p"/>
                      </m:rPr>
                      <m:t>ℓ</m:t>
                    </m:r>
                  </m:e>
                  <m:sub>
                    <m:r>
                      <m:t>i</m:t>
                    </m:r>
                  </m:sub>
                  <m:sup>
                    <m:r>
                      <m:t>A</m:t>
                    </m:r>
                  </m:sup>
                </m:sSubSup>
              </m:e>
            </m:nary>
            <m:r>
              <m:rPr>
                <m:sty m:val="p"/>
              </m:rPr>
              <m:t>+</m:t>
            </m:r>
            <m:d>
              <m:dPr>
                <m:begChr m:val="("/>
                <m:endChr m:val=")"/>
                <m:sepChr m:val=""/>
                <m:grow/>
              </m:dPr>
              <m:e>
                <m:d>
                  <m:dPr>
                    <m:begChr m:val="|"/>
                    <m:endChr m:val="|"/>
                    <m:sepChr m:val=""/>
                    <m:grow/>
                  </m:dPr>
                  <m:e>
                    <m:r>
                      <m:t>M</m:t>
                    </m:r>
                  </m:e>
                </m:d>
                <m:r>
                  <m:rPr>
                    <m:sty m:val="p"/>
                  </m:rPr>
                  <m:t>−</m:t>
                </m:r>
                <m:r>
                  <m:t>B</m:t>
                </m:r>
              </m:e>
            </m:d>
            <m:sSub>
              <m:e>
                <m:r>
                  <m:t>c</m:t>
                </m:r>
              </m:e>
              <m:sub>
                <m:r>
                  <m:t>H</m:t>
                </m:r>
              </m:sub>
            </m:sSub>
            <m:r>
              <m:rPr>
                <m:sty m:val="p"/>
              </m:rPr>
              <m:t>+</m:t>
            </m:r>
            <m:nary>
              <m:naryPr>
                <m:chr m:val="∑"/>
                <m:limLoc m:val="undOvr"/>
                <m:subHide m:val="off"/>
                <m:supHide m:val="on"/>
              </m:naryPr>
              <m:sub>
                <m:r>
                  <m:t>i</m:t>
                </m:r>
                <m:r>
                  <m:rPr>
                    <m:sty m:val="p"/>
                  </m:rPr>
                  <m:t>∈</m:t>
                </m:r>
                <m:r>
                  <m:t>R</m:t>
                </m:r>
              </m:sub>
              <m:sup>
                <m:r>
                  <m:t>​</m:t>
                </m:r>
              </m:sup>
              <m:e>
                <m:d>
                  <m:dPr>
                    <m:begChr m:val="("/>
                    <m:endChr m:val=")"/>
                    <m:sepChr m:val=""/>
                    <m:grow/>
                  </m:dPr>
                  <m:e>
                    <m:sSubSup>
                      <m:e>
                        <m:r>
                          <m:rPr>
                            <m:sty m:val="p"/>
                          </m:rPr>
                          <m:t>ℓ</m:t>
                        </m:r>
                      </m:e>
                      <m:sub>
                        <m:r>
                          <m:t>i</m:t>
                        </m:r>
                      </m:sub>
                      <m:sup>
                        <m:r>
                          <m:t>H</m:t>
                        </m:r>
                      </m:sup>
                    </m:sSubSup>
                    <m:r>
                      <m:rPr>
                        <m:sty m:val="p"/>
                      </m:rPr>
                      <m:t>+</m:t>
                    </m:r>
                    <m:sSub>
                      <m:e>
                        <m:r>
                          <m:t>c</m:t>
                        </m:r>
                      </m:e>
                      <m:sub>
                        <m:r>
                          <m:t>R</m:t>
                        </m:r>
                      </m:sub>
                    </m:sSub>
                  </m:e>
                </m:d>
              </m:e>
            </m:nary>
          </m:e>
        </m:d>
      </m:oMath>
      <w:r>
        <w:t xml:space="preserve"> </w:t>
      </w:r>
      <w:r>
        <w:t xml:space="preserve">for the reviewed mandatory set</w:t>
      </w:r>
      <w:r>
        <w:t xml:space="preserve"> </w:t>
      </w:r>
      <m:oMath>
        <m:r>
          <m:t>R</m:t>
        </m:r>
      </m:oMath>
      <w:r>
        <w:t xml:space="preserve">; only the last term depends on the choice, and it is minimised by the</w:t>
      </w:r>
      <w:r>
        <w:t xml:space="preserve"> </w:t>
      </w:r>
      <m:oMath>
        <m:r>
          <m:t>B</m:t>
        </m:r>
      </m:oMath>
      <w:r>
        <w:t xml:space="preserve"> </w:t>
      </w:r>
      <w:r>
        <w:t xml:space="preserve">smallest</w:t>
      </w:r>
      <w:r>
        <w:t xml:space="preserve"> </w:t>
      </w:r>
      <m:oMath>
        <m:sSubSup>
          <m:e>
            <m:r>
              <m:rPr>
                <m:sty m:val="p"/>
              </m:rPr>
              <m:t>ℓ</m:t>
            </m:r>
          </m:e>
          <m:sub>
            <m:r>
              <m:t>i</m:t>
            </m:r>
          </m:sub>
          <m:sup>
            <m:r>
              <m:t>H</m:t>
            </m:r>
          </m:sup>
        </m:sSubSup>
      </m:oMath>
      <w:r>
        <w:t xml:space="preserve">.</w:t>
      </w:r>
      <w:r>
        <w:t xml:space="preserve"> </w:t>
      </w:r>
      <m:oMath>
        <m:sSub>
          <m:e>
            <m:r>
              <m:t>c</m:t>
            </m:r>
          </m:e>
          <m:sub>
            <m:r>
              <m:t>H</m:t>
            </m:r>
          </m:sub>
        </m:sSub>
      </m:oMath>
      <w:r>
        <w:t xml:space="preserve"> </w:t>
      </w:r>
      <w:r>
        <w:t xml:space="preserve">enters only through the constant</w:t>
      </w:r>
      <w:r>
        <w:t xml:space="preserve"> </w:t>
      </w:r>
      <m:oMath>
        <m:d>
          <m:dPr>
            <m:begChr m:val="("/>
            <m:endChr m:val=")"/>
            <m:sepChr m:val=""/>
            <m:grow/>
          </m:dPr>
          <m:e>
            <m:d>
              <m:dPr>
                <m:begChr m:val="|"/>
                <m:endChr m:val="|"/>
                <m:sepChr m:val=""/>
                <m:grow/>
              </m:dPr>
              <m:e>
                <m:r>
                  <m:t>M</m:t>
                </m:r>
              </m:e>
            </m:d>
            <m:r>
              <m:rPr>
                <m:sty m:val="p"/>
              </m:rPr>
              <m:t>−</m:t>
            </m:r>
            <m:r>
              <m:t>B</m:t>
            </m:r>
          </m:e>
        </m:d>
        <m:sSub>
          <m:e>
            <m:r>
              <m:t>c</m:t>
            </m:r>
          </m:e>
          <m:sub>
            <m:r>
              <m:t>H</m:t>
            </m:r>
          </m:sub>
        </m:sSub>
      </m:oMath>
      <w:r>
        <w:t xml:space="preserve">.</w:t>
      </w:r>
      <w:r>
        <w:t xml:space="preserve"> </w:t>
      </w:r>
      <m:oMath>
        <m:r>
          <m:rPr>
            <m:sty m:val="p"/>
          </m:rPr>
          <m:t>▫</m:t>
        </m:r>
      </m:oMath>
    </w:p>
    <w:p>
      <w:pPr>
        <w:pStyle w:val="BodyText"/>
      </w:pPr>
      <w:r>
        <w:t xml:space="preserve">Proposition 1(b) corrects the earlier draft, which ordered mandatory records by estimated gain</w:t>
      </w:r>
      <w:r>
        <w:t xml:space="preserve"> </w:t>
      </w:r>
      <m:oMath>
        <m:sSub>
          <m:e>
            <m:acc>
              <m:accPr>
                <m:chr m:val="̂"/>
              </m:accPr>
              <m:e>
                <m:r>
                  <m:t>g</m:t>
                </m:r>
              </m:e>
            </m:acc>
          </m:e>
          <m:sub>
            <m:r>
              <m:t>i</m:t>
            </m:r>
          </m:sub>
        </m:sSub>
      </m:oMath>
      <w:r>
        <w:t xml:space="preserve"> </w:t>
      </w:r>
      <w:r>
        <w:t xml:space="preserve">under overload. Because a mandatory record can never be automated,</w:t>
      </w:r>
      <w:r>
        <w:t xml:space="preserve"> </w:t>
      </w:r>
      <m:oMath>
        <m:sSubSup>
          <m:e>
            <m:r>
              <m:rPr>
                <m:sty m:val="p"/>
              </m:rPr>
              <m:t>ℓ</m:t>
            </m:r>
          </m:e>
          <m:sub>
            <m:r>
              <m:t>i</m:t>
            </m:r>
          </m:sub>
          <m:sup>
            <m:r>
              <m:t>A</m:t>
            </m:r>
          </m:sup>
        </m:sSubSup>
      </m:oMath>
      <w:r>
        <w:t xml:space="preserve"> </w:t>
      </w:r>
      <w:r>
        <w:t xml:space="preserve">is irrelevant to that choice. With two mandatory records,</w:t>
      </w:r>
      <w:r>
        <w:t xml:space="preserve"> </w:t>
      </w:r>
      <m:oMath>
        <m:r>
          <m:t>B</m:t>
        </m:r>
        <m:r>
          <m:rPr>
            <m:sty m:val="p"/>
          </m:rPr>
          <m:t>=</m:t>
        </m:r>
        <m:r>
          <m:t>1</m:t>
        </m:r>
      </m:oMath>
      <w:r>
        <w:t xml:space="preserve">,</w:t>
      </w:r>
      <w:r>
        <w:t xml:space="preserve"> </w:t>
      </w:r>
      <m:oMath>
        <m:d>
          <m:dPr>
            <m:begChr m:val="("/>
            <m:endChr m:val=")"/>
            <m:sepChr m:val=""/>
            <m:grow/>
          </m:dPr>
          <m:e>
            <m:sSup>
              <m:e>
                <m:r>
                  <m:rPr>
                    <m:sty m:val="p"/>
                  </m:rPr>
                  <m:t>ℓ</m:t>
                </m:r>
              </m:e>
              <m:sup>
                <m:r>
                  <m:t>A</m:t>
                </m:r>
              </m:sup>
            </m:sSup>
            <m:r>
              <m:rPr>
                <m:sty m:val="p"/>
              </m:rPr>
              <m:t>,</m:t>
            </m:r>
            <m:sSup>
              <m:e>
                <m:r>
                  <m:rPr>
                    <m:sty m:val="p"/>
                  </m:rPr>
                  <m:t>ℓ</m:t>
                </m:r>
              </m:e>
              <m:sup>
                <m:r>
                  <m:t>H</m:t>
                </m:r>
              </m:sup>
            </m:sSup>
          </m:e>
        </m:d>
        <m:r>
          <m:rPr>
            <m:sty m:val="p"/>
          </m:rPr>
          <m:t>=</m:t>
        </m:r>
        <m:d>
          <m:dPr>
            <m:begChr m:val="("/>
            <m:endChr m:val=")"/>
            <m:sepChr m:val=""/>
            <m:grow/>
          </m:dPr>
          <m:e>
            <m:r>
              <m:t>5</m:t>
            </m:r>
            <m:r>
              <m:rPr>
                <m:sty m:val="p"/>
              </m:rPr>
              <m:t>,</m:t>
            </m:r>
            <m:r>
              <m:t>1</m:t>
            </m:r>
          </m:e>
        </m:d>
      </m:oMath>
      <w:r>
        <w:t xml:space="preserve"> </w:t>
      </w:r>
      <w:r>
        <w:t xml:space="preserve">and</w:t>
      </w:r>
      <w:r>
        <w:t xml:space="preserve"> </w:t>
      </w:r>
      <m:oMath>
        <m:d>
          <m:dPr>
            <m:begChr m:val="("/>
            <m:endChr m:val=")"/>
            <m:sepChr m:val=""/>
            <m:grow/>
          </m:dPr>
          <m:e>
            <m:r>
              <m:t>0</m:t>
            </m:r>
            <m:r>
              <m:rPr>
                <m:sty m:val="p"/>
              </m:rPr>
              <m:t>,</m:t>
            </m:r>
            <m:r>
              <m:t>0.2</m:t>
            </m:r>
          </m:e>
        </m:d>
      </m:oMath>
      <w:r>
        <w:t xml:space="preserve">, gain ordering reviews the first record (cost</w:t>
      </w:r>
      <w:r>
        <w:t xml:space="preserve"> </w:t>
      </w:r>
      <m:oMath>
        <m:r>
          <m:t>1.05</m:t>
        </m:r>
        <m:r>
          <m:rPr>
            <m:sty m:val="p"/>
          </m:rPr>
          <m:t>+</m:t>
        </m:r>
        <m:r>
          <m:t>1.5</m:t>
        </m:r>
      </m:oMath>
      <w:r>
        <w:t xml:space="preserve">) whereas the optimum reviews the second (</w:t>
      </w:r>
      <m:oMath>
        <m:r>
          <m:t>0.25</m:t>
        </m:r>
        <m:r>
          <m:rPr>
            <m:sty m:val="p"/>
          </m:rPr>
          <m:t>+</m:t>
        </m:r>
        <m:r>
          <m:t>1.5</m:t>
        </m:r>
      </m:oMath>
      <w:r>
        <w:t xml:space="preserve">). The invariance to</w:t>
      </w:r>
      <w:r>
        <w:t xml:space="preserve"> </w:t>
      </w:r>
      <m:oMath>
        <m:sSub>
          <m:e>
            <m:r>
              <m:t>c</m:t>
            </m:r>
          </m:e>
          <m:sub>
            <m:r>
              <m:t>H</m:t>
            </m:r>
          </m:sub>
        </m:sSub>
      </m:oMath>
      <w:r>
        <w:t xml:space="preserve"> </w:t>
      </w:r>
      <w:r>
        <w:t xml:space="preserve">also implies that the</w:t>
      </w:r>
      <w:r>
        <w:t xml:space="preserve"> </w:t>
      </w:r>
      <w:r>
        <w:t xml:space="preserve">“</w:t>
      </w:r>
      <w:r>
        <w:t xml:space="preserve">fixed-route</w:t>
      </w:r>
      <w:r>
        <w:t xml:space="preserve">”</w:t>
      </w:r>
      <w:r>
        <w:t xml:space="preserve"> </w:t>
      </w:r>
      <w:r>
        <w:t xml:space="preserve">hold-penalty sensitivity in the earlier draft was in fact an exact re-optimisation. Changing</w:t>
      </w:r>
      <w:r>
        <w:t xml:space="preserve"> </w:t>
      </w:r>
      <m:oMath>
        <m:sSub>
          <m:e>
            <m:r>
              <m:t>c</m:t>
            </m:r>
          </m:e>
          <m:sub>
            <m:r>
              <m:t>H</m:t>
            </m:r>
          </m:sub>
        </m:sSub>
      </m:oMath>
      <w:r>
        <w:t xml:space="preserve"> </w:t>
      </w:r>
      <w:r>
        <w:t xml:space="preserve">shifts cost by</w:t>
      </w:r>
      <w:r>
        <w:t xml:space="preserve"> </w:t>
      </w:r>
      <m:oMath>
        <m:sSup>
          <m:e>
            <m:d>
              <m:dPr>
                <m:begChr m:val="("/>
                <m:endChr m:val=")"/>
                <m:sepChr m:val=""/>
                <m:grow/>
              </m:dPr>
              <m:e>
                <m:d>
                  <m:dPr>
                    <m:begChr m:val="|"/>
                    <m:endChr m:val="|"/>
                    <m:sepChr m:val=""/>
                    <m:grow/>
                  </m:dPr>
                  <m:e>
                    <m:r>
                      <m:t>M</m:t>
                    </m:r>
                  </m:e>
                </m:d>
                <m:r>
                  <m:rPr>
                    <m:sty m:val="p"/>
                  </m:rPr>
                  <m:t>−</m:t>
                </m:r>
                <m:r>
                  <m:t>B</m:t>
                </m:r>
              </m:e>
            </m:d>
          </m:e>
          <m:sup>
            <m:r>
              <m:rPr>
                <m:sty m:val="p"/>
              </m:rPr>
              <m:t>+</m:t>
            </m:r>
          </m:sup>
        </m:sSup>
        <m:r>
          <m:t>Δ</m:t>
        </m:r>
        <m:sSub>
          <m:e>
            <m:r>
              <m:t>c</m:t>
            </m:r>
          </m:e>
          <m:sub>
            <m:r>
              <m:t>H</m:t>
            </m:r>
          </m:sub>
        </m:sSub>
        <m:r>
          <m:rPr>
            <m:sty m:val="p"/>
          </m:rPr>
          <m:t>/</m:t>
        </m:r>
        <m:r>
          <m:t>n</m:t>
        </m:r>
      </m:oMath>
      <w:r>
        <w:t xml:space="preserve"> </w:t>
      </w:r>
      <w:r>
        <w:t xml:space="preserve">without changing any route.</w:t>
      </w:r>
    </w:p>
    <w:p>
      <w:pPr>
        <w:pStyle w:val="BodyText"/>
      </w:pPr>
      <w:r>
        <w:t xml:space="preserve">If optional-gain estimates satisfy</w:t>
      </w:r>
      <w:r>
        <w:t xml:space="preserve"> </w:t>
      </w:r>
      <m:oMath>
        <m:d>
          <m:dPr>
            <m:begChr m:val="|"/>
            <m:endChr m:val="|"/>
            <m:sepChr m:val=""/>
            <m:grow/>
          </m:dPr>
          <m:e>
            <m:sSub>
              <m:e>
                <m:acc>
                  <m:accPr>
                    <m:chr m:val="̂"/>
                  </m:accPr>
                  <m:e>
                    <m:r>
                      <m:t>g</m:t>
                    </m:r>
                  </m:e>
                </m:acc>
              </m:e>
              <m:sub>
                <m:r>
                  <m:t>i</m:t>
                </m:r>
              </m:sub>
            </m:sSub>
            <m:r>
              <m:rPr>
                <m:sty m:val="p"/>
              </m:rPr>
              <m:t>−</m:t>
            </m:r>
            <m:sSub>
              <m:e>
                <m:r>
                  <m:t>g</m:t>
                </m:r>
              </m:e>
              <m:sub>
                <m:r>
                  <m:t>i</m:t>
                </m:r>
              </m:sub>
            </m:sSub>
          </m:e>
        </m:d>
        <m:r>
          <m:rPr>
            <m:sty m:val="p"/>
          </m:rPr>
          <m:t>≤</m:t>
        </m:r>
        <m:r>
          <m:t>ε</m:t>
        </m:r>
      </m:oMath>
      <w:r>
        <w:t xml:space="preserve">, the excess cost of the estimated optimum over the true optimum in regime (a) is at most</w:t>
      </w:r>
      <w:r>
        <w:t xml:space="preserve"> </w:t>
      </w:r>
      <m:oMath>
        <m:r>
          <m:t>2</m:t>
        </m:r>
        <m:d>
          <m:dPr>
            <m:begChr m:val="("/>
            <m:endChr m:val=")"/>
            <m:sepChr m:val=""/>
            <m:grow/>
          </m:dPr>
          <m:e>
            <m:r>
              <m:t>B</m:t>
            </m:r>
            <m:r>
              <m:rPr>
                <m:sty m:val="p"/>
              </m:rPr>
              <m:t>−</m:t>
            </m:r>
            <m:d>
              <m:dPr>
                <m:begChr m:val="|"/>
                <m:endChr m:val="|"/>
                <m:sepChr m:val=""/>
                <m:grow/>
              </m:dPr>
              <m:e>
                <m:r>
                  <m:t>M</m:t>
                </m:r>
              </m:e>
            </m:d>
          </m:e>
        </m:d>
        <m:r>
          <m:t>ε</m:t>
        </m:r>
        <m:r>
          <m:rPr>
            <m:sty m:val="p"/>
          </m:rPr>
          <m:t>/</m:t>
        </m:r>
        <m:r>
          <m:t>n</m:t>
        </m:r>
      </m:oMath>
      <w:r>
        <w:t xml:space="preserve">. If reviewer-loss estimates satisfy</w:t>
      </w:r>
      <w:r>
        <w:t xml:space="preserve"> </w:t>
      </w:r>
      <m:oMath>
        <m:d>
          <m:dPr>
            <m:begChr m:val="|"/>
            <m:endChr m:val="|"/>
            <m:sepChr m:val=""/>
            <m:grow/>
          </m:dPr>
          <m:e>
            <m:sSubSup>
              <m:e>
                <m:acc>
                  <m:accPr>
                    <m:chr m:val="̂"/>
                  </m:accPr>
                  <m:e>
                    <m:r>
                      <m:rPr>
                        <m:sty m:val="p"/>
                      </m:rPr>
                      <m:t>ℓ</m:t>
                    </m:r>
                  </m:e>
                </m:acc>
              </m:e>
              <m:sub>
                <m:r>
                  <m:t>i</m:t>
                </m:r>
              </m:sub>
              <m:sup>
                <m:r>
                  <m:t>H</m:t>
                </m:r>
              </m:sup>
            </m:sSubSup>
            <m:r>
              <m:rPr>
                <m:sty m:val="p"/>
              </m:rPr>
              <m:t>−</m:t>
            </m:r>
            <m:sSubSup>
              <m:e>
                <m:r>
                  <m:rPr>
                    <m:sty m:val="p"/>
                  </m:rPr>
                  <m:t>ℓ</m:t>
                </m:r>
              </m:e>
              <m:sub>
                <m:r>
                  <m:t>i</m:t>
                </m:r>
              </m:sub>
              <m:sup>
                <m:r>
                  <m:t>H</m:t>
                </m:r>
              </m:sup>
            </m:sSubSup>
          </m:e>
        </m:d>
        <m:r>
          <m:rPr>
            <m:sty m:val="p"/>
          </m:rPr>
          <m:t>≤</m:t>
        </m:r>
        <m:r>
          <m:t>δ</m:t>
        </m:r>
      </m:oMath>
      <w:r>
        <w:t xml:space="preserve">, the excess in regime (b) is at most</w:t>
      </w:r>
      <w:r>
        <w:t xml:space="preserve"> </w:t>
      </w:r>
      <m:oMath>
        <m:r>
          <m:t>2</m:t>
        </m:r>
        <m:r>
          <m:t>B</m:t>
        </m:r>
        <m:r>
          <m:t>δ</m:t>
        </m:r>
        <m:r>
          <m:rPr>
            <m:sty m:val="p"/>
          </m:rPr>
          <m:t>/</m:t>
        </m:r>
        <m:r>
          <m:t>n</m:t>
        </m:r>
      </m:oMath>
      <w:r>
        <w:t xml:space="preserve">. Both bounds follow by comparing each policy’s estimated and true objective values. They make explicit that exact allocation does not guarantee good routing: routing quality is limited by estimation quality.</w:t>
      </w:r>
    </w:p>
    <w:p>
      <w:pPr>
        <w:pStyle w:val="BodyText"/>
      </w:pPr>
      <w:r>
        <w:rPr>
          <w:bCs/>
          <w:b/>
        </w:rPr>
        <w:t xml:space="preserve">Proposition 2 (prioritisation does not change backlog).</w:t>
      </w:r>
      <w:r>
        <w:t xml:space="preserve"> </w:t>
      </w:r>
      <w:r>
        <w:rPr>
          <w:iCs/>
          <w:i/>
        </w:rPr>
        <w:t xml:space="preserve">Consider periods</w:t>
      </w:r>
      <w:r>
        <w:rPr>
          <w:iCs/>
          <w:i/>
        </w:rPr>
        <w:t xml:space="preserve"> </w:t>
      </w:r>
      <m:oMath>
        <m:r>
          <m:t>t</m:t>
        </m:r>
        <m:r>
          <m:rPr>
            <m:sty m:val="p"/>
          </m:rPr>
          <m:t>=</m:t>
        </m:r>
        <m:r>
          <m:t>1</m:t>
        </m:r>
        <m:r>
          <m:rPr>
            <m:sty m:val="p"/>
          </m:rPr>
          <m:t>,</m:t>
        </m:r>
        <m:r>
          <m:rPr>
            <m:sty m:val="p"/>
          </m:rPr>
          <m:t>…</m:t>
        </m:r>
        <m:r>
          <m:rPr>
            <m:sty m:val="p"/>
          </m:rPr>
          <m:t>,</m:t>
        </m:r>
        <m:r>
          <m:t>T</m:t>
        </m:r>
      </m:oMath>
      <w:r>
        <w:rPr>
          <w:iCs/>
          <w:i/>
        </w:rPr>
        <w:t xml:space="preserve"> </w:t>
      </w:r>
      <w:r>
        <w:rPr>
          <w:iCs/>
          <w:i/>
        </w:rPr>
        <w:t xml:space="preserve">with new arrivals, capacity</w:t>
      </w:r>
      <w:r>
        <w:rPr>
          <w:iCs/>
          <w:i/>
        </w:rPr>
        <w:t xml:space="preserve"> </w:t>
      </w:r>
      <m:oMath>
        <m:r>
          <m:t>B</m:t>
        </m:r>
      </m:oMath>
      <w:r>
        <w:rPr>
          <w:iCs/>
          <w:i/>
        </w:rPr>
        <w:t xml:space="preserve"> </w:t>
      </w:r>
      <w:r>
        <w:rPr>
          <w:iCs/>
          <w:i/>
        </w:rPr>
        <w:t xml:space="preserve">per period, mandatory records carried forward while held, and the allocator of Proposition 1 applied each period to the union of backlog and arrivals. For any rule that orders mandatory records within a period, the number of holds, the backlog, the number of reviews and the number of completed records in every period are identical. Hence total waiting cost under a per-period holding charge is also identical.</w:t>
      </w:r>
    </w:p>
    <w:p>
      <w:pPr>
        <w:pStyle w:val="BodyText"/>
      </w:pPr>
      <w:r>
        <w:rPr>
          <w:iCs/>
          <w:i/>
        </w:rPr>
        <w:t xml:space="preserve">Proof.</w:t>
      </w:r>
      <w:r>
        <w:t xml:space="preserve"> </w:t>
      </w:r>
      <w:r>
        <w:t xml:space="preserve">By induction on</w:t>
      </w:r>
      <w:r>
        <w:t xml:space="preserve"> </w:t>
      </w:r>
      <m:oMath>
        <m:r>
          <m:t>t</m:t>
        </m:r>
      </m:oMath>
      <w:r>
        <w:t xml:space="preserve">. If the backlog</w:t>
      </w:r>
      <w:r>
        <w:t xml:space="preserve"> </w:t>
      </w:r>
      <m:oMath>
        <m:sSub>
          <m:e>
            <m:r>
              <m:t>L</m:t>
            </m:r>
          </m:e>
          <m:sub>
            <m:r>
              <m:t>t</m:t>
            </m:r>
          </m:sub>
        </m:sSub>
      </m:oMath>
      <w:r>
        <w:t xml:space="preserve"> </w:t>
      </w:r>
      <w:r>
        <w:t xml:space="preserve">is the same across orderings, the mandatory count</w:t>
      </w:r>
      <w:r>
        <w:t xml:space="preserve"> </w:t>
      </w:r>
      <m:oMath>
        <m:d>
          <m:dPr>
            <m:begChr m:val="|"/>
            <m:endChr m:val="|"/>
            <m:sepChr m:val=""/>
            <m:grow/>
          </m:dPr>
          <m:e>
            <m:sSub>
              <m:e>
                <m:r>
                  <m:t>M</m:t>
                </m:r>
              </m:e>
              <m:sub>
                <m:r>
                  <m:t>t</m:t>
                </m:r>
              </m:sub>
            </m:sSub>
          </m:e>
        </m:d>
        <m:r>
          <m:rPr>
            <m:sty m:val="p"/>
          </m:rPr>
          <m:t>=</m:t>
        </m:r>
        <m:sSub>
          <m:e>
            <m:r>
              <m:t>L</m:t>
            </m:r>
          </m:e>
          <m:sub>
            <m:r>
              <m:t>t</m:t>
            </m:r>
          </m:sub>
        </m:sSub>
        <m:r>
          <m:rPr>
            <m:sty m:val="p"/>
          </m:rPr>
          <m:t>+</m:t>
        </m:r>
        <m:d>
          <m:dPr>
            <m:begChr m:val="|"/>
            <m:endChr m:val="|"/>
            <m:sepChr m:val=""/>
            <m:grow/>
          </m:dPr>
          <m:e>
            <m:sSubSup>
              <m:e>
                <m:r>
                  <m:t>M</m:t>
                </m:r>
              </m:e>
              <m:sub>
                <m:r>
                  <m:t>t</m:t>
                </m:r>
              </m:sub>
              <m:sup>
                <m:r>
                  <m:t>n</m:t>
                </m:r>
                <m:r>
                  <m:t>e</m:t>
                </m:r>
                <m:r>
                  <m:t>w</m:t>
                </m:r>
              </m:sup>
            </m:sSubSup>
          </m:e>
        </m:d>
      </m:oMath>
      <w:r>
        <w:t xml:space="preserve"> </w:t>
      </w:r>
      <w:r>
        <w:t xml:space="preserve">is the same, so holds</w:t>
      </w:r>
      <w:r>
        <w:t xml:space="preserve"> </w:t>
      </w:r>
      <m:oMath>
        <m:sSup>
          <m:e>
            <m:d>
              <m:dPr>
                <m:begChr m:val="("/>
                <m:endChr m:val=")"/>
                <m:sepChr m:val=""/>
                <m:grow/>
              </m:dPr>
              <m:e>
                <m:d>
                  <m:dPr>
                    <m:begChr m:val="|"/>
                    <m:endChr m:val="|"/>
                    <m:sepChr m:val=""/>
                    <m:grow/>
                  </m:dPr>
                  <m:e>
                    <m:sSub>
                      <m:e>
                        <m:r>
                          <m:t>M</m:t>
                        </m:r>
                      </m:e>
                      <m:sub>
                        <m:r>
                          <m:t>t</m:t>
                        </m:r>
                      </m:sub>
                    </m:sSub>
                  </m:e>
                </m:d>
                <m:r>
                  <m:rPr>
                    <m:sty m:val="p"/>
                  </m:rPr>
                  <m:t>−</m:t>
                </m:r>
                <m:r>
                  <m:t>B</m:t>
                </m:r>
              </m:e>
            </m:d>
          </m:e>
          <m:sup>
            <m:r>
              <m:rPr>
                <m:sty m:val="p"/>
              </m:rPr>
              <m:t>+</m:t>
            </m:r>
          </m:sup>
        </m:sSup>
      </m:oMath>
      <w:r>
        <w:t xml:space="preserve">, mandatory reviews</w:t>
      </w:r>
      <w:r>
        <w:t xml:space="preserve"> </w:t>
      </w:r>
      <m:oMath>
        <m:r>
          <m:rPr>
            <m:sty m:val="p"/>
          </m:rPr>
          <m:t>min</m:t>
        </m:r>
        <m:d>
          <m:dPr>
            <m:begChr m:val="("/>
            <m:endChr m:val=")"/>
            <m:sepChr m:val=""/>
            <m:grow/>
          </m:dPr>
          <m:e>
            <m:d>
              <m:dPr>
                <m:begChr m:val="|"/>
                <m:endChr m:val="|"/>
                <m:sepChr m:val=""/>
                <m:grow/>
              </m:dPr>
              <m:e>
                <m:sSub>
                  <m:e>
                    <m:r>
                      <m:t>M</m:t>
                    </m:r>
                  </m:e>
                  <m:sub>
                    <m:r>
                      <m:t>t</m:t>
                    </m:r>
                  </m:sub>
                </m:sSub>
              </m:e>
            </m:d>
            <m:r>
              <m:rPr>
                <m:sty m:val="p"/>
              </m:rPr>
              <m:t>,</m:t>
            </m:r>
            <m:r>
              <m:t>B</m:t>
            </m:r>
          </m:e>
        </m:d>
      </m:oMath>
      <w:r>
        <w:t xml:space="preserve"> </w:t>
      </w:r>
      <w:r>
        <w:t xml:space="preserve">and slack for optional reviews are the same.</w:t>
      </w:r>
      <w:r>
        <w:t xml:space="preserve"> </w:t>
      </w:r>
      <m:oMath>
        <m:sSub>
          <m:e>
            <m:r>
              <m:t>L</m:t>
            </m:r>
          </m:e>
          <m:sub>
            <m:r>
              <m:t>t</m:t>
            </m:r>
            <m:r>
              <m:rPr>
                <m:sty m:val="p"/>
              </m:rPr>
              <m:t>+</m:t>
            </m:r>
            <m:r>
              <m:t>1</m:t>
            </m:r>
          </m:sub>
        </m:sSub>
      </m:oMath>
      <w:r>
        <w:t xml:space="preserve"> </w:t>
      </w:r>
      <w:r>
        <w:t xml:space="preserve">equals the number of holds and is therefore the same. Which optional records use the slack depends on</w:t>
      </w:r>
      <w:r>
        <w:t xml:space="preserve"> </w:t>
      </w:r>
      <m:oMath>
        <m:acc>
          <m:accPr>
            <m:chr m:val="̂"/>
          </m:accPr>
          <m:e>
            <m:r>
              <m:t>g</m:t>
            </m:r>
          </m:e>
        </m:acc>
      </m:oMath>
      <w:r>
        <w:t xml:space="preserve">, not on the mandatory ordering.</w:t>
      </w:r>
      <w:r>
        <w:t xml:space="preserve"> </w:t>
      </w:r>
      <m:oMath>
        <m:r>
          <m:rPr>
            <m:sty m:val="p"/>
          </m:rPr>
          <m:t>▫</m:t>
        </m:r>
      </m:oMath>
    </w:p>
    <w:p>
      <w:pPr>
        <w:pStyle w:val="BodyText"/>
      </w:pPr>
      <w:r>
        <w:t xml:space="preserve">Proposition 2 separates two managerial decisions. Staffing determines the size of the backlog. With mandatory arrival rate</w:t>
      </w:r>
      <w:r>
        <w:t xml:space="preserve"> </w:t>
      </w:r>
      <m:oMath>
        <m:sSub>
          <m:e>
            <m:r>
              <m:t>μ</m:t>
            </m:r>
          </m:e>
          <m:sub>
            <m:r>
              <m:t>t</m:t>
            </m:r>
          </m:sub>
        </m:sSub>
      </m:oMath>
      <w:r>
        <w:t xml:space="preserve"> </w:t>
      </w:r>
      <w:r>
        <w:t xml:space="preserve">per record and capacity fraction</w:t>
      </w:r>
      <w:r>
        <w:t xml:space="preserve"> </w:t>
      </w:r>
      <m:oMath>
        <m:r>
          <m:t>b</m:t>
        </m:r>
      </m:oMath>
      <w:r>
        <w:t xml:space="preserve">, a fluid approximation gives backlog growth of</w:t>
      </w:r>
      <w:r>
        <w:t xml:space="preserve"> </w:t>
      </w:r>
      <m:oMath>
        <m:sSup>
          <m:e>
            <m:d>
              <m:dPr>
                <m:begChr m:val="("/>
                <m:endChr m:val=")"/>
                <m:sepChr m:val=""/>
                <m:grow/>
              </m:dPr>
              <m:e>
                <m:sSub>
                  <m:e>
                    <m:r>
                      <m:t>μ</m:t>
                    </m:r>
                  </m:e>
                  <m:sub>
                    <m:r>
                      <m:t>t</m:t>
                    </m:r>
                  </m:sub>
                </m:sSub>
                <m:r>
                  <m:rPr>
                    <m:sty m:val="p"/>
                  </m:rPr>
                  <m:t>−</m:t>
                </m:r>
                <m:r>
                  <m:t>b</m:t>
                </m:r>
              </m:e>
            </m:d>
          </m:e>
          <m:sup>
            <m:r>
              <m:rPr>
                <m:sty m:val="p"/>
              </m:rPr>
              <m:t>+</m:t>
            </m:r>
          </m:sup>
        </m:sSup>
        <m:r>
          <m:t>n</m:t>
        </m:r>
      </m:oMath>
      <w:r>
        <w:t xml:space="preserve"> </w:t>
      </w:r>
      <w:r>
        <w:t xml:space="preserve">per period. Prioritisation determines only</w:t>
      </w:r>
      <w:r>
        <w:t xml:space="preserve"> </w:t>
      </w:r>
      <w:r>
        <w:rPr>
          <w:iCs/>
          <w:i/>
        </w:rPr>
        <w:t xml:space="preserve">which</w:t>
      </w:r>
      <w:r>
        <w:t xml:space="preserve"> </w:t>
      </w:r>
      <w:r>
        <w:t xml:space="preserve">records wait and the review-loss composition. By Little’s law [41], the long-run mean waiting time then equals the average backlog divided by the review throughput. Section 5.9 tests both implications.</w:t>
      </w:r>
    </w:p>
    <w:bookmarkEnd w:id="29"/>
    <w:bookmarkStart w:id="33" w:name="X48dfcff998a6a754fc11a95198cab6c415977d1"/>
    <w:p>
      <w:pPr>
        <w:pStyle w:val="Heading2"/>
      </w:pPr>
      <w:r>
        <w:t xml:space="preserve">3.4. Two-head loss estimation from incomplete review logs</w:t>
      </w:r>
    </w:p>
    <w:p>
      <w:pPr>
        <w:pStyle w:val="FirstParagraph"/>
      </w:pPr>
      <w:r>
        <w:t xml:space="preserve">In practice reviewer feedback is sparse: only some records have been reviewed, and each logged review is a single realised decision rather than an expected loss. We therefore estimate (2) with two gradient-boosted regressors on a compact representation</w:t>
      </w:r>
    </w:p>
    <w:p>
      <w:pPr>
        <w:pStyle w:val="BodyText"/>
      </w:pPr>
      <m:oMathPara>
        <m:oMathParaPr>
          <m:jc m:val="center"/>
        </m:oMathParaPr>
        <m:oMath>
          <m:sSub>
            <m:e>
              <m:r>
                <m:t>z</m:t>
              </m:r>
            </m:e>
            <m:sub>
              <m:r>
                <m:t>i</m:t>
              </m:r>
            </m:sub>
          </m:sSub>
          <m:r>
            <m:rPr>
              <m:sty m:val="p"/>
            </m:rPr>
            <m:t>=</m:t>
          </m:r>
          <m:d>
            <m:dPr>
              <m:begChr m:val="("/>
              <m:endChr m:val=")"/>
              <m:sepChr m:val=""/>
              <m:grow/>
            </m:dPr>
            <m:e>
              <m:sSub>
                <m:e>
                  <m:r>
                    <m:t>p</m:t>
                  </m:r>
                </m:e>
                <m:sub>
                  <m:r>
                    <m:t>i</m:t>
                  </m:r>
                </m:sub>
              </m:sSub>
              <m:r>
                <m:rPr>
                  <m:sty m:val="p"/>
                </m:rPr>
                <m:t>,</m:t>
              </m:r>
              <m:r>
                <m:t> </m:t>
              </m:r>
              <m:sSub>
                <m:e>
                  <m:r>
                    <m:t>s</m:t>
                  </m:r>
                </m:e>
                <m:sub>
                  <m:r>
                    <m:t>i</m:t>
                  </m:r>
                </m:sub>
              </m:sSub>
              <m:r>
                <m:rPr>
                  <m:sty m:val="p"/>
                </m:rPr>
                <m:t>,</m:t>
              </m:r>
              <m:r>
                <m:t> </m:t>
              </m:r>
              <m:sSub>
                <m:e>
                  <m:r>
                    <m:t>u</m:t>
                  </m:r>
                </m:e>
                <m:sub>
                  <m:r>
                    <m:t>i</m:t>
                  </m:r>
                </m:sub>
              </m:sSub>
              <m:r>
                <m:rPr>
                  <m:sty m:val="p"/>
                </m:rPr>
                <m:t>,</m:t>
              </m:r>
              <m:r>
                <m:t> </m:t>
              </m:r>
              <m:sSub>
                <m:e>
                  <m:r>
                    <m:t>v</m:t>
                  </m:r>
                </m:e>
                <m:sub>
                  <m:r>
                    <m:t>i</m:t>
                  </m:r>
                </m:sub>
              </m:sSub>
              <m:r>
                <m:rPr>
                  <m:sty m:val="p"/>
                </m:rPr>
                <m:t>,</m:t>
              </m:r>
              <m:r>
                <m:t> </m:t>
              </m:r>
              <m:sSub>
                <m:e>
                  <m:r>
                    <m:t>p</m:t>
                  </m:r>
                </m:e>
                <m:sub>
                  <m:r>
                    <m:t>i</m:t>
                  </m:r>
                </m:sub>
              </m:sSub>
              <m:sSub>
                <m:e>
                  <m:r>
                    <m:t>u</m:t>
                  </m:r>
                </m:e>
                <m:sub>
                  <m:r>
                    <m:t>i</m:t>
                  </m:r>
                </m:sub>
              </m:sSub>
              <m:r>
                <m:rPr>
                  <m:sty m:val="p"/>
                </m:rPr>
                <m:t>,</m:t>
              </m:r>
              <m:r>
                <m:t> </m:t>
              </m:r>
              <m:sSub>
                <m:e>
                  <m:r>
                    <m:t>p</m:t>
                  </m:r>
                </m:e>
                <m:sub>
                  <m:r>
                    <m:t>i</m:t>
                  </m:r>
                </m:sub>
              </m:sSub>
              <m:sSub>
                <m:e>
                  <m:r>
                    <m:t>v</m:t>
                  </m:r>
                </m:e>
                <m:sub>
                  <m:r>
                    <m:t>i</m:t>
                  </m:r>
                </m:sub>
              </m:sSub>
              <m:r>
                <m:rPr>
                  <m:sty m:val="p"/>
                </m:rPr>
                <m:t>,</m:t>
              </m:r>
              <m:r>
                <m:t> </m:t>
              </m:r>
              <m:sSub>
                <m:e>
                  <m:acc>
                    <m:accPr>
                      <m:chr m:val="̂"/>
                    </m:accPr>
                    <m:e>
                      <m:r>
                        <m:t>y</m:t>
                      </m:r>
                    </m:e>
                  </m:acc>
                </m:e>
                <m:sub>
                  <m:r>
                    <m:t>i</m:t>
                  </m:r>
                </m:sub>
              </m:sSub>
              <m:sSub>
                <m:e>
                  <m:r>
                    <m:t>u</m:t>
                  </m:r>
                </m:e>
                <m:sub>
                  <m:r>
                    <m:t>i</m:t>
                  </m:r>
                </m:sub>
              </m:sSub>
              <m:r>
                <m:rPr>
                  <m:sty m:val="p"/>
                </m:rPr>
                <m:t>,</m:t>
              </m:r>
              <m:r>
                <m:t> </m:t>
              </m:r>
              <m:sSub>
                <m:e>
                  <m:acc>
                    <m:accPr>
                      <m:chr m:val="̂"/>
                    </m:accPr>
                    <m:e>
                      <m:r>
                        <m:t>y</m:t>
                      </m:r>
                    </m:e>
                  </m:acc>
                </m:e>
                <m:sub>
                  <m:r>
                    <m:t>i</m:t>
                  </m:r>
                </m:sub>
              </m:sSub>
              <m:sSub>
                <m:e>
                  <m:r>
                    <m:t>v</m:t>
                  </m:r>
                </m:e>
                <m:sub>
                  <m:r>
                    <m:t>i</m:t>
                  </m:r>
                </m:sub>
              </m:sSub>
            </m:e>
          </m:d>
          <m:r>
            <m:rPr>
              <m:sty m:val="p"/>
            </m:rPr>
            <m:t>,</m:t>
          </m:r>
          <m:r>
            <m:t>  </m:t>
          </m:r>
          <m:sSub>
            <m:e>
              <m:r>
                <m:t>s</m:t>
              </m:r>
            </m:e>
            <m:sub>
              <m:r>
                <m:t>i</m:t>
              </m:r>
            </m:sub>
          </m:sSub>
          <m:r>
            <m:rPr>
              <m:sty m:val="p"/>
            </m:rPr>
            <m:t>=</m:t>
          </m:r>
          <m:r>
            <m:rPr>
              <m:sty m:val="p"/>
            </m:rPr>
            <m:t>min</m:t>
          </m:r>
          <m:d>
            <m:dPr>
              <m:begChr m:val="("/>
              <m:endChr m:val=")"/>
              <m:sepChr m:val=""/>
              <m:grow/>
            </m:dPr>
            <m:e>
              <m:sSub>
                <m:e>
                  <m:r>
                    <m:t>c</m:t>
                  </m:r>
                </m:e>
                <m:sub>
                  <m:r>
                    <m:t>F</m:t>
                  </m:r>
                  <m:r>
                    <m:t>N</m:t>
                  </m:r>
                </m:sub>
              </m:sSub>
              <m:sSub>
                <m:e>
                  <m:r>
                    <m:t>p</m:t>
                  </m:r>
                </m:e>
                <m:sub>
                  <m:r>
                    <m:t>i</m:t>
                  </m:r>
                </m:sub>
              </m:sSub>
              <m:r>
                <m:rPr>
                  <m:sty m:val="p"/>
                </m:rPr>
                <m:t>,</m:t>
              </m:r>
              <m:r>
                <m:t> </m:t>
              </m:r>
              <m:sSub>
                <m:e>
                  <m:r>
                    <m:t>c</m:t>
                  </m:r>
                </m:e>
                <m:sub>
                  <m:r>
                    <m:t>F</m:t>
                  </m:r>
                  <m:r>
                    <m:t>P</m:t>
                  </m:r>
                </m:sub>
              </m:sSub>
              <m:d>
                <m:dPr>
                  <m:begChr m:val="("/>
                  <m:endChr m:val=")"/>
                  <m:sepChr m:val=""/>
                  <m:grow/>
                </m:dPr>
                <m:e>
                  <m:r>
                    <m:t>1</m:t>
                  </m:r>
                  <m:r>
                    <m:rPr>
                      <m:sty m:val="p"/>
                    </m:rPr>
                    <m:t>−</m:t>
                  </m:r>
                  <m:sSub>
                    <m:e>
                      <m:r>
                        <m:t>p</m:t>
                      </m:r>
                    </m:e>
                    <m:sub>
                      <m:r>
                        <m:t>i</m:t>
                      </m:r>
                    </m:sub>
                  </m:sSub>
                </m:e>
              </m:d>
            </m:e>
          </m:d>
          <m:r>
            <m:rPr>
              <m:sty m:val="p"/>
            </m:rPr>
            <m:t>,</m:t>
          </m:r>
        </m:oMath>
      </m:oMathPara>
    </w:p>
    <w:p>
      <w:pPr>
        <w:pStyle w:val="FirstParagraph"/>
      </w:pPr>
      <w:r>
        <w:t xml:space="preserve">where</w:t>
      </w:r>
      <w:r>
        <w:t xml:space="preserve"> </w:t>
      </w:r>
      <m:oMath>
        <m:sSub>
          <m:e>
            <m:r>
              <m:t>s</m:t>
            </m:r>
          </m:e>
          <m:sub>
            <m:r>
              <m:t>i</m:t>
            </m:r>
          </m:sub>
        </m:sSub>
      </m:oMath>
      <w:r>
        <w:t xml:space="preserve"> </w:t>
      </w:r>
      <w:r>
        <w:t xml:space="preserve">is the Bayes risk of automation. The</w:t>
      </w:r>
      <w:r>
        <w:t xml:space="preserve"> </w:t>
      </w:r>
      <w:r>
        <w:rPr>
          <w:bCs/>
          <w:b/>
        </w:rPr>
        <w:t xml:space="preserve">automation head</w:t>
      </w:r>
      <w:r>
        <w:t xml:space="preserve"> </w:t>
      </w:r>
      <m:oMath>
        <m:sSup>
          <m:e>
            <m:acc>
              <m:accPr>
                <m:chr m:val="̂"/>
              </m:accPr>
              <m:e>
                <m:r>
                  <m:rPr>
                    <m:sty m:val="p"/>
                  </m:rPr>
                  <m:t>ℓ</m:t>
                </m:r>
              </m:e>
            </m:acc>
          </m:e>
          <m:sup>
            <m:r>
              <m:t>A</m:t>
            </m:r>
          </m:sup>
        </m:sSup>
        <m:d>
          <m:dPr>
            <m:begChr m:val="("/>
            <m:endChr m:val=")"/>
            <m:sepChr m:val=""/>
            <m:grow/>
          </m:dPr>
          <m:e>
            <m:r>
              <m:t>z</m:t>
            </m:r>
          </m:e>
        </m:d>
      </m:oMath>
      <w:r>
        <w:t xml:space="preserve"> </w:t>
      </w:r>
      <w:r>
        <w:t xml:space="preserve">is fitted on</w:t>
      </w:r>
      <w:r>
        <w:t xml:space="preserve"> </w:t>
      </w:r>
      <w:r>
        <w:rPr>
          <w:iCs/>
          <w:i/>
        </w:rPr>
        <w:t xml:space="preserve">all</w:t>
      </w:r>
      <w:r>
        <w:t xml:space="preserve"> </w:t>
      </w:r>
      <w:r>
        <w:t xml:space="preserve">labelled records of the gain-fitting partition with target</w:t>
      </w:r>
      <w:r>
        <w:t xml:space="preserve"> </w:t>
      </w:r>
      <m:oMath>
        <m:sSubSup>
          <m:e>
            <m:r>
              <m:rPr>
                <m:sty m:val="p"/>
              </m:rPr>
              <m:t>ℓ</m:t>
            </m:r>
          </m:e>
          <m:sub>
            <m:r>
              <m:t>i</m:t>
            </m:r>
          </m:sub>
          <m:sup>
            <m:r>
              <m:t>A</m:t>
            </m:r>
          </m:sup>
        </m:sSubSup>
      </m:oMath>
      <w:r>
        <w:t xml:space="preserve">. The</w:t>
      </w:r>
      <w:r>
        <w:t xml:space="preserve"> </w:t>
      </w:r>
      <w:r>
        <w:rPr>
          <w:bCs/>
          <w:b/>
        </w:rPr>
        <w:t xml:space="preserve">reviewer head</w:t>
      </w:r>
      <w:r>
        <w:t xml:space="preserve"> </w:t>
      </w:r>
      <m:oMath>
        <m:sSup>
          <m:e>
            <m:acc>
              <m:accPr>
                <m:chr m:val="̂"/>
              </m:accPr>
              <m:e>
                <m:r>
                  <m:rPr>
                    <m:sty m:val="p"/>
                  </m:rPr>
                  <m:t>ℓ</m:t>
                </m:r>
              </m:e>
            </m:acc>
          </m:e>
          <m:sup>
            <m:r>
              <m:t>H</m:t>
            </m:r>
          </m:sup>
        </m:sSup>
        <m:d>
          <m:dPr>
            <m:begChr m:val="("/>
            <m:endChr m:val=")"/>
            <m:sepChr m:val=""/>
            <m:grow/>
          </m:dPr>
          <m:e>
            <m:r>
              <m:t>z</m:t>
            </m:r>
          </m:e>
        </m:d>
      </m:oMath>
      <w:r>
        <w:t xml:space="preserve"> </w:t>
      </w:r>
      <w:r>
        <w:t xml:space="preserve">is fitted only on records with a logged review, with target</w:t>
      </w:r>
      <w:r>
        <w:t xml:space="preserve"> </w:t>
      </w:r>
      <m:oMath>
        <m:r>
          <m:t>w</m:t>
        </m:r>
        <m:d>
          <m:dPr>
            <m:begChr m:val="("/>
            <m:endChr m:val=")"/>
            <m:sepChr m:val=""/>
            <m:grow/>
          </m:dPr>
          <m:e>
            <m:sSub>
              <m:e>
                <m:r>
                  <m:t>y</m:t>
                </m:r>
              </m:e>
              <m:sub>
                <m:r>
                  <m:t>i</m:t>
                </m:r>
              </m:sub>
            </m:sSub>
          </m:e>
        </m:d>
        <m:r>
          <m:t> </m:t>
        </m:r>
        <m:r>
          <m:rPr>
            <m:sty m:val="p"/>
            <m:scr m:val="double-struck"/>
          </m:rPr>
          <m:t>1</m:t>
        </m:r>
        <m:d>
          <m:dPr>
            <m:begChr m:val="["/>
            <m:endChr m:val="]"/>
            <m:sepChr m:val=""/>
            <m:grow/>
          </m:dPr>
          <m:e>
            <m:r>
              <m:rPr>
                <m:nor/>
                <m:sty m:val="p"/>
              </m:rPr>
              <m:t>logged decision</m:t>
            </m:r>
            <m:r>
              <m:rPr>
                <m:sty m:val="p"/>
              </m:rPr>
              <m:t>≠</m:t>
            </m:r>
            <m:sSub>
              <m:e>
                <m:r>
                  <m:t>y</m:t>
                </m:r>
              </m:e>
              <m:sub>
                <m:r>
                  <m:t>i</m:t>
                </m:r>
              </m:sub>
            </m:sSub>
          </m:e>
        </m:d>
      </m:oMath>
      <w:r>
        <w:t xml:space="preserve">. This target is an unbiased but noisy estimate of</w:t>
      </w:r>
      <w:r>
        <w:t xml:space="preserve"> </w:t>
      </w:r>
      <m:oMath>
        <m:sSubSup>
          <m:e>
            <m:r>
              <m:rPr>
                <m:sty m:val="p"/>
              </m:rPr>
              <m:t>ℓ</m:t>
            </m:r>
          </m:e>
          <m:sub>
            <m:r>
              <m:t>i</m:t>
            </m:r>
          </m:sub>
          <m:sup>
            <m:r>
              <m:t>H</m:t>
            </m:r>
          </m:sup>
        </m:sSubSup>
      </m:oMath>
      <w:r>
        <w:t xml:space="preserve">. The estimated gain is</w:t>
      </w:r>
      <w:r>
        <w:t xml:space="preserve"> </w:t>
      </w:r>
      <m:oMath>
        <m:sSub>
          <m:e>
            <m:acc>
              <m:accPr>
                <m:chr m:val="̂"/>
              </m:accPr>
              <m:e>
                <m:r>
                  <m:t>g</m:t>
                </m:r>
              </m:e>
            </m:acc>
          </m:e>
          <m:sub>
            <m:r>
              <m:t>i</m:t>
            </m:r>
          </m:sub>
        </m:sSub>
        <m:r>
          <m:rPr>
            <m:sty m:val="p"/>
          </m:rPr>
          <m:t>=</m:t>
        </m:r>
        <m:sSup>
          <m:e>
            <m:acc>
              <m:accPr>
                <m:chr m:val="̂"/>
              </m:accPr>
              <m:e>
                <m:r>
                  <m:rPr>
                    <m:sty m:val="p"/>
                  </m:rPr>
                  <m:t>ℓ</m:t>
                </m:r>
              </m:e>
            </m:acc>
          </m:e>
          <m:sup>
            <m:r>
              <m:t>A</m:t>
            </m:r>
          </m:sup>
        </m:sSup>
        <m:d>
          <m:dPr>
            <m:begChr m:val="("/>
            <m:endChr m:val=")"/>
            <m:sepChr m:val=""/>
            <m:grow/>
          </m:dPr>
          <m:e>
            <m:sSub>
              <m:e>
                <m:r>
                  <m:t>z</m:t>
                </m:r>
              </m:e>
              <m:sub>
                <m:r>
                  <m:t>i</m:t>
                </m:r>
              </m:sub>
            </m:sSub>
          </m:e>
        </m:d>
        <m:r>
          <m:rPr>
            <m:sty m:val="p"/>
          </m:rPr>
          <m:t>−</m:t>
        </m:r>
        <m:sSup>
          <m:e>
            <m:acc>
              <m:accPr>
                <m:chr m:val="̂"/>
              </m:accPr>
              <m:e>
                <m:r>
                  <m:rPr>
                    <m:sty m:val="p"/>
                  </m:rPr>
                  <m:t>ℓ</m:t>
                </m:r>
              </m:e>
            </m:acc>
          </m:e>
          <m:sup>
            <m:r>
              <m:t>H</m:t>
            </m:r>
          </m:sup>
        </m:sSup>
        <m:d>
          <m:dPr>
            <m:begChr m:val="("/>
            <m:endChr m:val=")"/>
            <m:sepChr m:val=""/>
            <m:grow/>
          </m:dPr>
          <m:e>
            <m:sSub>
              <m:e>
                <m:r>
                  <m:t>z</m:t>
                </m:r>
              </m:e>
              <m:sub>
                <m:r>
                  <m:t>i</m:t>
                </m:r>
              </m:sub>
            </m:sSub>
          </m:e>
        </m:d>
        <m:r>
          <m:rPr>
            <m:sty m:val="p"/>
          </m:rPr>
          <m:t>−</m:t>
        </m:r>
        <m:sSub>
          <m:e>
            <m:r>
              <m:t>c</m:t>
            </m:r>
          </m:e>
          <m:sub>
            <m:r>
              <m:t>R</m:t>
            </m:r>
          </m:sub>
        </m:sSub>
      </m:oMath>
      <w:r>
        <w:t xml:space="preserve">. Optional records are admitted only if</w:t>
      </w:r>
      <w:r>
        <w:t xml:space="preserve"> </w:t>
      </w:r>
      <m:oMath>
        <m:sSub>
          <m:e>
            <m:acc>
              <m:accPr>
                <m:chr m:val="̂"/>
              </m:accPr>
              <m:e>
                <m:r>
                  <m:t>g</m:t>
                </m:r>
              </m:e>
            </m:acc>
          </m:e>
          <m:sub>
            <m:r>
              <m:t>i</m:t>
            </m:r>
          </m:sub>
        </m:sSub>
        <m:r>
          <m:rPr>
            <m:sty m:val="p"/>
          </m:rPr>
          <m:t>&gt;</m:t>
        </m:r>
        <m:r>
          <m:t>0</m:t>
        </m:r>
      </m:oMath>
      <w:r>
        <w:t xml:space="preserve">, and under overload mandatory records are ordered by</w:t>
      </w:r>
      <w:r>
        <w:t xml:space="preserve"> </w:t>
      </w:r>
      <m:oMath>
        <m:sSup>
          <m:e>
            <m:acc>
              <m:accPr>
                <m:chr m:val="̂"/>
              </m:accPr>
              <m:e>
                <m:r>
                  <m:rPr>
                    <m:sty m:val="p"/>
                  </m:rPr>
                  <m:t>ℓ</m:t>
                </m:r>
              </m:e>
            </m:acc>
          </m:e>
          <m:sup>
            <m:r>
              <m:t>H</m:t>
            </m:r>
          </m:sup>
        </m:sSup>
      </m:oMath>
      <w:r>
        <w:t xml:space="preserve"> </w:t>
      </w:r>
      <w:r>
        <w:t xml:space="preserve">(Proposition 1b). The</w:t>
      </w:r>
      <w:r>
        <w:t xml:space="preserve"> </w:t>
      </w:r>
      <w:r>
        <w:rPr>
          <w:bCs/>
          <w:b/>
        </w:rPr>
        <w:t xml:space="preserve">single-head</w:t>
      </w:r>
      <w:r>
        <w:t xml:space="preserve"> </w:t>
      </w:r>
      <w:r>
        <w:t xml:space="preserve">alternative used in the earlier draft regresses</w:t>
      </w:r>
      <w:r>
        <w:t xml:space="preserve"> </w:t>
      </w:r>
      <m:oMath>
        <m:sSubSup>
          <m:e>
            <m:r>
              <m:rPr>
                <m:sty m:val="p"/>
              </m:rPr>
              <m:t>ℓ</m:t>
            </m:r>
          </m:e>
          <m:sub>
            <m:r>
              <m:t>i</m:t>
            </m:r>
          </m:sub>
          <m:sup>
            <m:r>
              <m:t>A</m:t>
            </m:r>
          </m:sup>
        </m:sSubSup>
        <m:r>
          <m:rPr>
            <m:sty m:val="p"/>
          </m:rPr>
          <m:t>−</m:t>
        </m:r>
        <m:sSubSup>
          <m:e>
            <m:r>
              <m:rPr>
                <m:sty m:val="p"/>
              </m:rPr>
              <m:t>ℓ</m:t>
            </m:r>
          </m:e>
          <m:sub>
            <m:r>
              <m:t>i</m:t>
            </m:r>
          </m:sub>
          <m:sup>
            <m:r>
              <m:t>H</m:t>
            </m:r>
          </m:sup>
        </m:sSubSup>
        <m:r>
          <m:rPr>
            <m:sty m:val="p"/>
          </m:rPr>
          <m:t>−</m:t>
        </m:r>
        <m:sSub>
          <m:e>
            <m:r>
              <m:t>c</m:t>
            </m:r>
          </m:e>
          <m:sub>
            <m:r>
              <m:t>R</m:t>
            </m:r>
          </m:sub>
        </m:sSub>
      </m:oMath>
      <w:r>
        <w:t xml:space="preserve"> </w:t>
      </w:r>
      <w:r>
        <w:t xml:space="preserve">directly and can therefore use only logged records. The representation has eight inputs regardless of dataset width. Probability-only (</w:t>
      </w:r>
      <m:oMath>
        <m:sSub>
          <m:e>
            <m:r>
              <m:t>p</m:t>
            </m:r>
          </m:e>
          <m:sub>
            <m:r>
              <m:t>i</m:t>
            </m:r>
          </m:sub>
        </m:sSub>
        <m:r>
          <m:rPr>
            <m:sty m:val="p"/>
          </m:rPr>
          <m:t>,</m:t>
        </m:r>
        <m:sSub>
          <m:e>
            <m:r>
              <m:t>s</m:t>
            </m:r>
          </m:e>
          <m:sub>
            <m:r>
              <m:t>i</m:t>
            </m:r>
          </m:sub>
        </m:sSub>
      </m:oMath>
      <w:r>
        <w:t xml:space="preserve">), feature-aware (probability plus scaled raw features) and rich (probability, quality measures and raw values) versions are used as comparators.</w:t>
      </w:r>
    </w:p>
    <w:p>
      <w:pPr>
        <w:pStyle w:val="BodyText"/>
      </w:pPr>
      <w:r>
        <w:t xml:space="preserve">Algorithm 1 summarises the routing procedure. Its cost is</w:t>
      </w:r>
      <w:r>
        <w:t xml:space="preserve"> </w:t>
      </w:r>
      <m:oMath>
        <m:r>
          <m:t>O</m:t>
        </m:r>
        <m:d>
          <m:dPr>
            <m:begChr m:val="("/>
            <m:endChr m:val=")"/>
            <m:sepChr m:val=""/>
            <m:grow/>
          </m:dPr>
          <m:e>
            <m:r>
              <m:t>n</m:t>
            </m:r>
            <m:r>
              <m:rPr>
                <m:sty m:val="p"/>
              </m:rPr>
              <m:t>log</m:t>
            </m:r>
            <m:r>
              <m:t>n</m:t>
            </m:r>
          </m:e>
        </m:d>
      </m:oMath>
      <w:r>
        <w:t xml:space="preserve"> </w:t>
      </w:r>
      <w:r>
        <w:t xml:space="preserve">per batch, dominated by sorting. For each record the system stores a label-free audit tuple</w:t>
      </w:r>
      <w:r>
        <w:t xml:space="preserve"> </w:t>
      </w:r>
      <m:oMath>
        <m:d>
          <m:dPr>
            <m:begChr m:val="("/>
            <m:endChr m:val=")"/>
            <m:sepChr m:val=""/>
            <m:grow/>
          </m:dPr>
          <m:e>
            <m:sSub>
              <m:e>
                <m:r>
                  <m:t>p</m:t>
                </m:r>
              </m:e>
              <m:sub>
                <m:r>
                  <m:t>i</m:t>
                </m:r>
              </m:sub>
            </m:sSub>
            <m:r>
              <m:rPr>
                <m:sty m:val="p"/>
              </m:rPr>
              <m:t>,</m:t>
            </m:r>
            <m:sSub>
              <m:e>
                <m:r>
                  <m:t>u</m:t>
                </m:r>
              </m:e>
              <m:sub>
                <m:r>
                  <m:t>i</m:t>
                </m:r>
              </m:sub>
            </m:sSub>
            <m:r>
              <m:rPr>
                <m:sty m:val="p"/>
              </m:rPr>
              <m:t>,</m:t>
            </m:r>
            <m:sSub>
              <m:e>
                <m:r>
                  <m:t>v</m:t>
                </m:r>
              </m:e>
              <m:sub>
                <m:r>
                  <m:t>i</m:t>
                </m:r>
              </m:sub>
            </m:sSub>
            <m:r>
              <m:rPr>
                <m:sty m:val="p"/>
              </m:rPr>
              <m:t>,</m:t>
            </m:r>
            <m:sSub>
              <m:e>
                <m:r>
                  <m:t>m</m:t>
                </m:r>
              </m:e>
              <m:sub>
                <m:r>
                  <m:t>i</m:t>
                </m:r>
              </m:sub>
            </m:sSub>
            <m:r>
              <m:rPr>
                <m:sty m:val="p"/>
              </m:rPr>
              <m:t>,</m:t>
            </m:r>
            <m:sSubSup>
              <m:e>
                <m:acc>
                  <m:accPr>
                    <m:chr m:val="̂"/>
                  </m:accPr>
                  <m:e>
                    <m:r>
                      <m:rPr>
                        <m:sty m:val="p"/>
                      </m:rPr>
                      <m:t>ℓ</m:t>
                    </m:r>
                  </m:e>
                </m:acc>
              </m:e>
              <m:sub>
                <m:r>
                  <m:t>i</m:t>
                </m:r>
              </m:sub>
              <m:sup>
                <m:r>
                  <m:t>A</m:t>
                </m:r>
              </m:sup>
            </m:sSubSup>
            <m:r>
              <m:rPr>
                <m:sty m:val="p"/>
              </m:rPr>
              <m:t>,</m:t>
            </m:r>
            <m:sSubSup>
              <m:e>
                <m:acc>
                  <m:accPr>
                    <m:chr m:val="̂"/>
                  </m:accPr>
                  <m:e>
                    <m:r>
                      <m:rPr>
                        <m:sty m:val="p"/>
                      </m:rPr>
                      <m:t>ℓ</m:t>
                    </m:r>
                  </m:e>
                </m:acc>
              </m:e>
              <m:sub>
                <m:r>
                  <m:t>i</m:t>
                </m:r>
              </m:sub>
              <m:sup>
                <m:r>
                  <m:t>H</m:t>
                </m:r>
              </m:sup>
            </m:sSubSup>
            <m:r>
              <m:rPr>
                <m:sty m:val="p"/>
              </m:rPr>
              <m:t>,</m:t>
            </m:r>
            <m:sSub>
              <m:e>
                <m:r>
                  <m:rPr>
                    <m:nor/>
                    <m:sty m:val="p"/>
                  </m:rPr>
                  <m:t>action</m:t>
                </m:r>
              </m:e>
              <m:sub>
                <m:r>
                  <m:t>i</m:t>
                </m:r>
              </m:sub>
            </m:sSub>
          </m:e>
        </m:d>
      </m:oMath>
      <w:r>
        <w:t xml:space="preserve">. Fig. 1 shows the architecture.</w:t>
      </w:r>
    </w:p>
    <w:p>
      <w:pPr>
        <w:pStyle w:val="BlockText"/>
      </w:pPr>
      <w:r>
        <w:rPr>
          <w:bCs/>
          <w:b/>
        </w:rPr>
        <w:t xml:space="preserve">Algorithm 1. Governance-constrained routing (per batch)</w:t>
      </w:r>
      <w:r>
        <w:br/>
      </w:r>
      <w:r>
        <w:rPr>
          <w:bCs/>
          <w:b/>
        </w:rPr>
        <w:t xml:space="preserve">Input:</w:t>
      </w:r>
      <w:r>
        <w:t xml:space="preserve"> </w:t>
      </w:r>
      <w:r>
        <w:t xml:space="preserve">records</w:t>
      </w:r>
      <w:r>
        <w:t xml:space="preserve"> </w:t>
      </w:r>
      <m:oMath>
        <m:r>
          <m:rPr>
            <m:sty m:val="p"/>
          </m:rPr>
          <m:t>{</m:t>
        </m:r>
        <m:sSub>
          <m:e>
            <m:r>
              <m:t>x</m:t>
            </m:r>
          </m:e>
          <m:sub>
            <m:r>
              <m:t>i</m:t>
            </m:r>
          </m:sub>
        </m:sSub>
        <m:r>
          <m:rPr>
            <m:sty m:val="p"/>
          </m:rPr>
          <m:t>}</m:t>
        </m:r>
      </m:oMath>
      <w:r>
        <w:t xml:space="preserve">; calibrated predictor; heads</w:t>
      </w:r>
      <w:r>
        <w:t xml:space="preserve"> </w:t>
      </w:r>
      <m:oMath>
        <m:sSup>
          <m:e>
            <m:acc>
              <m:accPr>
                <m:chr m:val="̂"/>
              </m:accPr>
              <m:e>
                <m:r>
                  <m:rPr>
                    <m:sty m:val="p"/>
                  </m:rPr>
                  <m:t>ℓ</m:t>
                </m:r>
              </m:e>
            </m:acc>
          </m:e>
          <m:sup>
            <m:r>
              <m:t>A</m:t>
            </m:r>
          </m:sup>
        </m:sSup>
        <m:r>
          <m:rPr>
            <m:sty m:val="p"/>
          </m:rPr>
          <m:t>,</m:t>
        </m:r>
        <m:sSup>
          <m:e>
            <m:acc>
              <m:accPr>
                <m:chr m:val="̂"/>
              </m:accPr>
              <m:e>
                <m:r>
                  <m:rPr>
                    <m:sty m:val="p"/>
                  </m:rPr>
                  <m:t>ℓ</m:t>
                </m:r>
              </m:e>
            </m:acc>
          </m:e>
          <m:sup>
            <m:r>
              <m:t>H</m:t>
            </m:r>
          </m:sup>
        </m:sSup>
      </m:oMath>
      <w:r>
        <w:t xml:space="preserve">; thresholds</w:t>
      </w:r>
      <w:r>
        <w:t xml:space="preserve"> </w:t>
      </w:r>
      <m:oMath>
        <m:d>
          <m:dPr>
            <m:begChr m:val="("/>
            <m:endChr m:val=")"/>
            <m:sepChr m:val=""/>
            <m:grow/>
          </m:dPr>
          <m:e>
            <m:sSub>
              <m:e>
                <m:r>
                  <m:t>τ</m:t>
                </m:r>
              </m:e>
              <m:sub>
                <m:r>
                  <m:t>u</m:t>
                </m:r>
              </m:sub>
            </m:sSub>
            <m:r>
              <m:rPr>
                <m:sty m:val="p"/>
              </m:rPr>
              <m:t>,</m:t>
            </m:r>
            <m:sSub>
              <m:e>
                <m:r>
                  <m:t>τ</m:t>
                </m:r>
              </m:e>
              <m:sub>
                <m:r>
                  <m:t>v</m:t>
                </m:r>
              </m:sub>
            </m:sSub>
          </m:e>
        </m:d>
      </m:oMath>
      <w:r>
        <w:t xml:space="preserve">; capacity</w:t>
      </w:r>
      <w:r>
        <w:t xml:space="preserve"> </w:t>
      </w:r>
      <m:oMath>
        <m:r>
          <m:t>B</m:t>
        </m:r>
      </m:oMath>
      <w:r>
        <w:t xml:space="preserve">.</w:t>
      </w:r>
      <w:r>
        <w:br/>
      </w:r>
      <w:r>
        <w:t xml:space="preserve">1: for each record compute</w:t>
      </w:r>
      <w:r>
        <w:t xml:space="preserve"> </w:t>
      </w:r>
      <m:oMath>
        <m:sSub>
          <m:e>
            <m:r>
              <m:t>p</m:t>
            </m:r>
          </m:e>
          <m:sub>
            <m:r>
              <m:t>i</m:t>
            </m:r>
          </m:sub>
        </m:sSub>
      </m:oMath>
      <w:r>
        <w:t xml:space="preserve">,</w:t>
      </w:r>
      <w:r>
        <w:t xml:space="preserve"> </w:t>
      </w:r>
      <m:oMath>
        <m:sSub>
          <m:e>
            <m:acc>
              <m:accPr>
                <m:chr m:val="̂"/>
              </m:accPr>
              <m:e>
                <m:r>
                  <m:t>y</m:t>
                </m:r>
              </m:e>
            </m:acc>
          </m:e>
          <m:sub>
            <m:r>
              <m:t>i</m:t>
            </m:r>
          </m:sub>
        </m:sSub>
      </m:oMath>
      <w:r>
        <w:t xml:space="preserve">,</w:t>
      </w:r>
      <w:r>
        <w:t xml:space="preserve"> </w:t>
      </w:r>
      <m:oMath>
        <m:sSub>
          <m:e>
            <m:r>
              <m:t>u</m:t>
            </m:r>
          </m:e>
          <m:sub>
            <m:r>
              <m:t>i</m:t>
            </m:r>
          </m:sub>
        </m:sSub>
      </m:oMath>
      <w:r>
        <w:t xml:space="preserve">,</w:t>
      </w:r>
      <w:r>
        <w:t xml:space="preserve"> </w:t>
      </w:r>
      <m:oMath>
        <m:sSub>
          <m:e>
            <m:r>
              <m:t>v</m:t>
            </m:r>
          </m:e>
          <m:sub>
            <m:r>
              <m:t>i</m:t>
            </m:r>
          </m:sub>
        </m:sSub>
      </m:oMath>
      <w:r>
        <w:t xml:space="preserve">,</w:t>
      </w:r>
      <w:r>
        <w:t xml:space="preserve"> </w:t>
      </w:r>
      <m:oMath>
        <m:sSub>
          <m:e>
            <m:r>
              <m:t>z</m:t>
            </m:r>
          </m:e>
          <m:sub>
            <m:r>
              <m:t>i</m:t>
            </m:r>
          </m:sub>
        </m:sSub>
      </m:oMath>
      <w:r>
        <w:t xml:space="preserve">,</w:t>
      </w:r>
      <w:r>
        <w:t xml:space="preserve"> </w:t>
      </w:r>
      <m:oMath>
        <m:sSub>
          <m:e>
            <m:r>
              <m:t>m</m:t>
            </m:r>
          </m:e>
          <m:sub>
            <m:r>
              <m:t>i</m:t>
            </m:r>
          </m:sub>
        </m:sSub>
      </m:oMath>
      <w:r>
        <w:t xml:space="preserve"> </w:t>
      </w:r>
      <w:r>
        <w:t xml:space="preserve">(Eqs. 1, 3, 5)</w:t>
      </w:r>
      <w:r>
        <w:br/>
      </w:r>
      <w:r>
        <w:t xml:space="preserve">2:</w:t>
      </w:r>
      <w:r>
        <w:t xml:space="preserve"> </w:t>
      </w:r>
      <m:oMath>
        <m:sSub>
          <m:e>
            <m:acc>
              <m:accPr>
                <m:chr m:val="̂"/>
              </m:accPr>
              <m:e>
                <m:r>
                  <m:t>g</m:t>
                </m:r>
              </m:e>
            </m:acc>
          </m:e>
          <m:sub>
            <m:r>
              <m:t>i</m:t>
            </m:r>
          </m:sub>
        </m:sSub>
        <m:r>
          <m:rPr>
            <m:sty m:val="p"/>
          </m:rPr>
          <m:t>←</m:t>
        </m:r>
        <m:sSup>
          <m:e>
            <m:acc>
              <m:accPr>
                <m:chr m:val="̂"/>
              </m:accPr>
              <m:e>
                <m:r>
                  <m:rPr>
                    <m:sty m:val="p"/>
                  </m:rPr>
                  <m:t>ℓ</m:t>
                </m:r>
              </m:e>
            </m:acc>
          </m:e>
          <m:sup>
            <m:r>
              <m:t>A</m:t>
            </m:r>
          </m:sup>
        </m:sSup>
        <m:d>
          <m:dPr>
            <m:begChr m:val="("/>
            <m:endChr m:val=")"/>
            <m:sepChr m:val=""/>
            <m:grow/>
          </m:dPr>
          <m:e>
            <m:sSub>
              <m:e>
                <m:r>
                  <m:t>z</m:t>
                </m:r>
              </m:e>
              <m:sub>
                <m:r>
                  <m:t>i</m:t>
                </m:r>
              </m:sub>
            </m:sSub>
          </m:e>
        </m:d>
        <m:r>
          <m:rPr>
            <m:sty m:val="p"/>
          </m:rPr>
          <m:t>−</m:t>
        </m:r>
        <m:sSup>
          <m:e>
            <m:acc>
              <m:accPr>
                <m:chr m:val="̂"/>
              </m:accPr>
              <m:e>
                <m:r>
                  <m:rPr>
                    <m:sty m:val="p"/>
                  </m:rPr>
                  <m:t>ℓ</m:t>
                </m:r>
              </m:e>
            </m:acc>
          </m:e>
          <m:sup>
            <m:r>
              <m:t>H</m:t>
            </m:r>
          </m:sup>
        </m:sSup>
        <m:d>
          <m:dPr>
            <m:begChr m:val="("/>
            <m:endChr m:val=")"/>
            <m:sepChr m:val=""/>
            <m:grow/>
          </m:dPr>
          <m:e>
            <m:sSub>
              <m:e>
                <m:r>
                  <m:t>z</m:t>
                </m:r>
              </m:e>
              <m:sub>
                <m:r>
                  <m:t>i</m:t>
                </m:r>
              </m:sub>
            </m:sSub>
          </m:e>
        </m:d>
        <m:r>
          <m:rPr>
            <m:sty m:val="p"/>
          </m:rPr>
          <m:t>−</m:t>
        </m:r>
        <m:sSub>
          <m:e>
            <m:r>
              <m:t>c</m:t>
            </m:r>
          </m:e>
          <m:sub>
            <m:r>
              <m:t>R</m:t>
            </m:r>
          </m:sub>
        </m:sSub>
      </m:oMath>
      <w:r>
        <w:br/>
      </w:r>
      <w:r>
        <w:t xml:space="preserve">3: if</w:t>
      </w:r>
      <w:r>
        <w:t xml:space="preserve"> </w:t>
      </w:r>
      <m:oMath>
        <m:d>
          <m:dPr>
            <m:begChr m:val="|"/>
            <m:endChr m:val="|"/>
            <m:sepChr m:val=""/>
            <m:grow/>
          </m:dPr>
          <m:e>
            <m:r>
              <m:t>M</m:t>
            </m:r>
          </m:e>
        </m:d>
        <m:r>
          <m:rPr>
            <m:sty m:val="p"/>
          </m:rPr>
          <m:t>≤</m:t>
        </m:r>
        <m:r>
          <m:t>B</m:t>
        </m:r>
      </m:oMath>
      <w:r>
        <w:t xml:space="preserve">: review all</w:t>
      </w:r>
      <w:r>
        <w:t xml:space="preserve"> </w:t>
      </w:r>
      <m:oMath>
        <m:r>
          <m:t>i</m:t>
        </m:r>
        <m:r>
          <m:rPr>
            <m:sty m:val="p"/>
          </m:rPr>
          <m:t>∈</m:t>
        </m:r>
        <m:r>
          <m:t>M</m:t>
        </m:r>
      </m:oMath>
      <w:r>
        <w:t xml:space="preserve">; among optional records with</w:t>
      </w:r>
      <w:r>
        <w:t xml:space="preserve"> </w:t>
      </w:r>
      <m:oMath>
        <m:sSub>
          <m:e>
            <m:acc>
              <m:accPr>
                <m:chr m:val="̂"/>
              </m:accPr>
              <m:e>
                <m:r>
                  <m:t>g</m:t>
                </m:r>
              </m:e>
            </m:acc>
          </m:e>
          <m:sub>
            <m:r>
              <m:t>i</m:t>
            </m:r>
          </m:sub>
        </m:sSub>
        <m:r>
          <m:rPr>
            <m:sty m:val="p"/>
          </m:rPr>
          <m:t>&gt;</m:t>
        </m:r>
        <m:r>
          <m:t>0</m:t>
        </m:r>
      </m:oMath>
      <w:r>
        <w:t xml:space="preserve"> </w:t>
      </w:r>
      <w:r>
        <w:t xml:space="preserve">review the</w:t>
      </w:r>
      <w:r>
        <w:t xml:space="preserve"> </w:t>
      </w:r>
      <m:oMath>
        <m:r>
          <m:t>B</m:t>
        </m:r>
        <m:r>
          <m:rPr>
            <m:sty m:val="p"/>
          </m:rPr>
          <m:t>−</m:t>
        </m:r>
        <m:d>
          <m:dPr>
            <m:begChr m:val="|"/>
            <m:endChr m:val="|"/>
            <m:sepChr m:val=""/>
            <m:grow/>
          </m:dPr>
          <m:e>
            <m:r>
              <m:t>M</m:t>
            </m:r>
          </m:e>
        </m:d>
      </m:oMath>
      <w:r>
        <w:t xml:space="preserve"> </w:t>
      </w:r>
      <w:r>
        <w:t xml:space="preserve">largest</w:t>
      </w:r>
      <w:r>
        <w:t xml:space="preserve"> </w:t>
      </w:r>
      <m:oMath>
        <m:sSub>
          <m:e>
            <m:acc>
              <m:accPr>
                <m:chr m:val="̂"/>
              </m:accPr>
              <m:e>
                <m:r>
                  <m:t>g</m:t>
                </m:r>
              </m:e>
            </m:acc>
          </m:e>
          <m:sub>
            <m:r>
              <m:t>i</m:t>
            </m:r>
          </m:sub>
        </m:sSub>
      </m:oMath>
      <w:r>
        <w:t xml:space="preserve">; automate the rest</w:t>
      </w:r>
      <w:r>
        <w:br/>
      </w:r>
      <w:r>
        <w:t xml:space="preserve">4: else: review the</w:t>
      </w:r>
      <w:r>
        <w:t xml:space="preserve"> </w:t>
      </w:r>
      <m:oMath>
        <m:r>
          <m:t>B</m:t>
        </m:r>
      </m:oMath>
      <w:r>
        <w:t xml:space="preserve"> </w:t>
      </w:r>
      <w:r>
        <w:t xml:space="preserve">records in</w:t>
      </w:r>
      <w:r>
        <w:t xml:space="preserve"> </w:t>
      </w:r>
      <m:oMath>
        <m:r>
          <m:t>M</m:t>
        </m:r>
      </m:oMath>
      <w:r>
        <w:t xml:space="preserve"> </w:t>
      </w:r>
      <w:r>
        <w:t xml:space="preserve">with smallest</w:t>
      </w:r>
      <w:r>
        <w:t xml:space="preserve"> </w:t>
      </w:r>
      <m:oMath>
        <m:sSup>
          <m:e>
            <m:acc>
              <m:accPr>
                <m:chr m:val="̂"/>
              </m:accPr>
              <m:e>
                <m:r>
                  <m:rPr>
                    <m:sty m:val="p"/>
                  </m:rPr>
                  <m:t>ℓ</m:t>
                </m:r>
              </m:e>
            </m:acc>
          </m:e>
          <m:sup>
            <m:r>
              <m:t>H</m:t>
            </m:r>
          </m:sup>
        </m:sSup>
        <m:d>
          <m:dPr>
            <m:begChr m:val="("/>
            <m:endChr m:val=")"/>
            <m:sepChr m:val=""/>
            <m:grow/>
          </m:dPr>
          <m:e>
            <m:sSub>
              <m:e>
                <m:r>
                  <m:t>z</m:t>
                </m:r>
              </m:e>
              <m:sub>
                <m:r>
                  <m:t>i</m:t>
                </m:r>
              </m:sub>
            </m:sSub>
          </m:e>
        </m:d>
      </m:oMath>
      <w:r>
        <w:t xml:space="preserve">; hold the remaining</w:t>
      </w:r>
      <w:r>
        <w:t xml:space="preserve"> </w:t>
      </w:r>
      <m:oMath>
        <m:d>
          <m:dPr>
            <m:begChr m:val="|"/>
            <m:endChr m:val="|"/>
            <m:sepChr m:val=""/>
            <m:grow/>
          </m:dPr>
          <m:e>
            <m:r>
              <m:t>M</m:t>
            </m:r>
          </m:e>
        </m:d>
        <m:r>
          <m:rPr>
            <m:sty m:val="p"/>
          </m:rPr>
          <m:t>−</m:t>
        </m:r>
        <m:r>
          <m:t>B</m:t>
        </m:r>
      </m:oMath>
      <w:r>
        <w:t xml:space="preserve">; automate all optional records</w:t>
      </w:r>
      <w:r>
        <w:br/>
      </w:r>
      <w:r>
        <w:t xml:space="preserve">5: write audit tuple for every record; carry held records to the next batch</w:t>
      </w:r>
      <w:r>
        <w:br/>
      </w:r>
      <w:r>
        <w:rPr>
          <w:bCs/>
          <w:b/>
        </w:rPr>
        <w:t xml:space="preserve">Output:</w:t>
      </w:r>
      <w:r>
        <w:t xml:space="preserve"> </w:t>
      </w:r>
      <w:r>
        <w:t xml:space="preserve">actions and audit log.</w:t>
      </w:r>
    </w:p>
    <w:p>
      <w:pPr>
        <w:pStyle w:val="CaptionedFigure"/>
      </w:pPr>
      <w:r>
        <w:drawing>
          <wp:inline>
            <wp:extent cx="5302908" cy="2654512"/>
            <wp:effectExtent b="0" l="0" r="0" t="0"/>
            <wp:docPr descr="Fig. 1. Architecture of the governance-constrained routing system. The quality monitor feeds both the rule base and the loss estimator; the allocator enforces capacity and the service-first constraint, and held records form a backlog." title="" id="31" name="Picture"/>
            <a:graphic>
              <a:graphicData uri="http://schemas.openxmlformats.org/drawingml/2006/picture">
                <pic:pic>
                  <pic:nvPicPr>
                    <pic:cNvPr descr="figs/fig1_framework.png" id="32" name="Picture"/>
                    <pic:cNvPicPr>
                      <a:picLocks noChangeArrowheads="1" noChangeAspect="1"/>
                    </pic:cNvPicPr>
                  </pic:nvPicPr>
                  <pic:blipFill>
                    <a:blip r:embed="rId30"/>
                    <a:stretch>
                      <a:fillRect/>
                    </a:stretch>
                  </pic:blipFill>
                  <pic:spPr bwMode="auto">
                    <a:xfrm>
                      <a:off x="0" y="0"/>
                      <a:ext cx="5302908" cy="2654512"/>
                    </a:xfrm>
                    <a:prstGeom prst="rect">
                      <a:avLst/>
                    </a:prstGeom>
                    <a:noFill/>
                    <a:ln w="9525">
                      <a:noFill/>
                      <a:headEnd/>
                      <a:tailEnd/>
                    </a:ln>
                  </pic:spPr>
                </pic:pic>
              </a:graphicData>
            </a:graphic>
          </wp:inline>
        </w:drawing>
      </w:r>
    </w:p>
    <w:p>
      <w:pPr>
        <w:pStyle w:val="ImageCaption"/>
      </w:pPr>
      <w:r>
        <w:t xml:space="preserve">Fig. 1. Architecture of the governance-constrained routing system. The quality monitor feeds both the rule base and the loss estimator; the allocator enforces capacity and the service-first constraint, and held records form a backlog.</w:t>
      </w:r>
    </w:p>
    <w:bookmarkEnd w:id="33"/>
    <w:bookmarkEnd w:id="34"/>
    <w:bookmarkStart w:id="42" w:name="experimental-design"/>
    <w:p>
      <w:pPr>
        <w:pStyle w:val="Heading1"/>
      </w:pPr>
      <w:r>
        <w:t xml:space="preserve">4. Experimental design</w:t>
      </w:r>
    </w:p>
    <w:bookmarkStart w:id="35" w:name="datasets-and-partitions"/>
    <w:p>
      <w:pPr>
        <w:pStyle w:val="Heading2"/>
      </w:pPr>
      <w:r>
        <w:t xml:space="preserve">4.1. Datasets and partitions</w:t>
      </w:r>
    </w:p>
    <w:p>
      <w:pPr>
        <w:pStyle w:val="FirstParagraph"/>
      </w:pPr>
      <w:r>
        <w:t xml:space="preserve">Credit decisions are an established benchmarking domain [42]. We use three public credit datasets from the earlier draft and one external dataset: German numeric credit (1,000 records, 24 numeric predictors; class 2 recoded to 1) [43], Australian credit (690 records, 14 predictors) [44], default of credit-card clients (30,000 records, 23 predictors; identifier removed) [45], and HMEQ home-equity loans (5,960 records, 12 predictors, default indicator) [46]. HMEQ was not used during development. Unlike the other three datasets it contains naturally occurring missing values in 11 of 12 predictors, so it tests the method on real rather than injected incompleteness. Its two categorical fields are integer-coded.</w:t>
      </w:r>
    </w:p>
    <w:p>
      <w:pPr>
        <w:pStyle w:val="BodyText"/>
      </w:pPr>
      <w:r>
        <w:t xml:space="preserve">Feature-identical records, including those with conflicting labels, are grouped before splitting. Groups are stratified by majority label into about 45% predictor training, 15% calibration, 20% gain fitting and 20% testing, so no feature vector crosses roles. Twenty seeds (2–21) define the evaluation splits. Seeds 0–1 were used during the original development and are excluded.</w:t>
      </w:r>
    </w:p>
    <w:bookmarkEnd w:id="35"/>
    <w:bookmarkStart w:id="36" w:name="base-predictor-and-estimators"/>
    <w:p>
      <w:pPr>
        <w:pStyle w:val="Heading2"/>
      </w:pPr>
      <w:r>
        <w:t xml:space="preserve">4.2. Base predictor and estimators</w:t>
      </w:r>
    </w:p>
    <w:p>
      <w:pPr>
        <w:pStyle w:val="FirstParagraph"/>
      </w:pPr>
      <w:r>
        <w:t xml:space="preserve">The base predictor is a histogram gradient-boosting classifier (at most 120 iterations, 15 leaves, learning rate 0.07, L2 penalty 1) trained on clean predictor-training rows. It handles missing values natively. Calibration is logistic regression on clipped log-odds, fitted on the calibration partition expanded into clean, missing, outlier and mixed versions. Loss heads are histogram gradient-boosting regressors (at most 100 iterations, seven leaves, learning rate 0.06, L2 penalty 5, minimum leaf size</w:t>
      </w:r>
      <w:r>
        <w:t xml:space="preserve"> </w:t>
      </w:r>
      <m:oMath>
        <m:r>
          <m:rPr>
            <m:sty m:val="p"/>
          </m:rPr>
          <m:t>max</m:t>
        </m:r>
        <m:d>
          <m:dPr>
            <m:begChr m:val="("/>
            <m:endChr m:val=")"/>
            <m:sepChr m:val=""/>
            <m:grow/>
          </m:dPr>
          <m:e>
            <m:r>
              <m:t>20</m:t>
            </m:r>
            <m:r>
              <m:rPr>
                <m:sty m:val="p"/>
              </m:rPr>
              <m:t>,</m:t>
            </m:r>
            <m:r>
              <m:rPr>
                <m:sty m:val="p"/>
              </m:rPr>
              <m:t>⌊</m:t>
            </m:r>
            <m:r>
              <m:t>N</m:t>
            </m:r>
            <m:r>
              <m:rPr>
                <m:sty m:val="p"/>
              </m:rPr>
              <m:t>/</m:t>
            </m:r>
            <m:r>
              <m:t>200</m:t>
            </m:r>
            <m:r>
              <m:rPr>
                <m:sty m:val="p"/>
              </m:rPr>
              <m:t>⌋</m:t>
            </m:r>
          </m:e>
        </m:d>
      </m:oMath>
      <w:r>
        <w:t xml:space="preserve">), fitted on the gain partition expanded in the same four ways. All bounds and medians come from predictor-training rows. Software: scikit-learn 1.9.1, NumPy 2.5 and SciPy 1.18.</w:t>
      </w:r>
    </w:p>
    <w:bookmarkEnd w:id="36"/>
    <w:bookmarkStart w:id="37" w:name="data-quality-conditions"/>
    <w:p>
      <w:pPr>
        <w:pStyle w:val="Heading2"/>
      </w:pPr>
      <w:r>
        <w:t xml:space="preserve">4.3. Data-quality conditions</w:t>
      </w:r>
    </w:p>
    <w:p>
      <w:pPr>
        <w:pStyle w:val="FirstParagraph"/>
      </w:pPr>
      <w:r>
        <w:t xml:space="preserve">Test partitions are evaluated under nine conditions (Table 2). Family A reproduces the earlier protocol: defects that completeness and range checks can see. Family B adds domain-valid defects that are common in business data but largely invisible to such checks. All corruption is applied at test time, and Family B mechanisms never appear in calibration or gain fitting, so Family B also tests generalisation to unseen defect mechanisms. Code-like fields are those with at most ten distinct training values.</w:t>
      </w:r>
    </w:p>
    <w:p>
      <w:pPr>
        <w:pStyle w:val="TableCaption"/>
      </w:pPr>
      <w:r>
        <w:t xml:space="preserve">Table 2. Data-quality conditions. Family A defects are visible to completeness and range checks; Family B defects are domain-valid and largely invisible to them. Family B mechanisms are never used for fitting.</w:t>
      </w:r>
    </w:p>
    <w:tbl>
      <w:tblPr>
        <w:tblStyle w:val="Table"/>
        <w:tblW w:type="pct" w:w="5000"/>
        <w:tblLook w:firstRow="1" w:lastRow="0" w:firstColumn="0" w:lastColumn="0" w:noHBand="0" w:noVBand="0" w:val="0020"/>
        <w:jc w:val="start"/>
        <w:tblCaption w:val="Table 2. Data-quality conditions. Family A defects are visible to completeness and range checks; Family B defects are domain-valid and largely invisible to them. Family B mechanisms are never used for fitting."/>
        <w:tblBorders>
          <w:top w:val="single" w:sz="8" w:color="000000"/>
          <w:bottom w:val="single" w:sz="8" w:color="000000"/>
          <w:insideH w:val="nil" w:sz="8" w:color="000000"/>
          <w:insideV w:val="nil" w:sz="8" w:color="000000"/>
          <w:left w:val="nil" w:sz="8" w:color="000000"/>
          <w:right w:val="nil" w:sz="8" w:color="000000"/>
        </w:tblBorders>
      </w:tblPr>
      <w:tblGrid>
        <w:gridCol w:w="1980"/>
        <w:gridCol w:w="1980"/>
        <w:gridCol w:w="1980"/>
        <w:gridCol w:w="1980"/>
      </w:tblGrid>
      <w:tr>
        <w:trPr>
          <w:tblHeader w:val="true"/>
        </w:trPr>
        <w:tc>
          <w:tcPr>
            <w:tcBorders>
              <w:bottom w:val="single" w:sz="6"/>
            </w:tcBorders>
          </w:tcPr>
          <w:p>
            <w:pPr>
              <w:pStyle w:val="Compact"/>
              <w:spacing w:after="20" w:before="20"/>
              <w:jc w:val="left"/>
            </w:pPr>
            <w:r>
              <w:rPr>
                <w:b/>
                <w:sz w:val="17"/>
              </w:rPr>
              <w:t xml:space="preserve">Family</w:t>
            </w:r>
          </w:p>
        </w:tc>
        <w:tc>
          <w:tcPr>
            <w:tcBorders>
              <w:bottom w:val="single" w:sz="6"/>
            </w:tcBorders>
          </w:tcPr>
          <w:p>
            <w:pPr>
              <w:pStyle w:val="Compact"/>
              <w:spacing w:after="20" w:before="20"/>
              <w:jc w:val="left"/>
            </w:pPr>
            <w:r>
              <w:rPr>
                <w:b/>
                <w:sz w:val="17"/>
              </w:rPr>
              <w:t xml:space="preserve">Condition</w:t>
            </w:r>
          </w:p>
        </w:tc>
        <w:tc>
          <w:tcPr>
            <w:tcBorders>
              <w:bottom w:val="single" w:sz="6"/>
            </w:tcBorders>
          </w:tcPr>
          <w:p>
            <w:pPr>
              <w:pStyle w:val="Compact"/>
              <w:spacing w:after="20" w:before="20"/>
              <w:jc w:val="left"/>
            </w:pPr>
            <w:r>
              <w:rPr>
                <w:b/>
                <w:sz w:val="17"/>
              </w:rPr>
              <w:t xml:space="preserve">Mechanism (per test record)</w:t>
            </w:r>
          </w:p>
        </w:tc>
        <w:tc>
          <w:tcPr>
            <w:tcBorders>
              <w:bottom w:val="single" w:sz="6"/>
            </w:tcBorders>
          </w:tcPr>
          <w:p>
            <w:pPr>
              <w:pStyle w:val="Compact"/>
              <w:spacing w:after="20" w:before="20"/>
              <w:jc w:val="left"/>
            </w:pPr>
            <w:r>
              <w:rPr>
                <w:b/>
                <w:sz w:val="17"/>
              </w:rPr>
              <w:t xml:space="preserve">Visible to</w:t>
            </w:r>
            <w:r>
              <w:rPr>
                <w:b/>
                <w:sz w:val="17"/>
              </w:rPr>
              <w:t xml:space="preserve"> </w:t>
            </w:r>
            <m:oMath>
              <m:r>
                <m:t>u</m:t>
              </m:r>
              <m:r>
                <m:rPr>
                  <m:sty m:val="p"/>
                </m:rPr>
                <m:t>,</m:t>
              </m:r>
              <m:r>
                <m:t>v</m:t>
              </m:r>
            </m:oMath>
            <w:r>
              <w:rPr>
                <w:b/>
                <w:sz w:val="17"/>
              </w:rPr>
              <w:t xml:space="preserve">?</w:t>
            </w:r>
          </w:p>
        </w:tc>
      </w:tr>
      <w:tr>
        <w:tc>
          <w:tcPr/>
          <w:p>
            <w:pPr>
              <w:pStyle w:val="Compact"/>
              <w:spacing w:after="20" w:before="20"/>
              <w:jc w:val="left"/>
            </w:pPr>
            <w:r>
              <w:rPr>
                <w:sz w:val="17"/>
              </w:rPr>
              <w:t xml:space="preserve">—</w:t>
            </w:r>
          </w:p>
        </w:tc>
        <w:tc>
          <w:tcPr/>
          <w:p>
            <w:pPr>
              <w:pStyle w:val="Compact"/>
              <w:spacing w:after="20" w:before="20"/>
              <w:jc w:val="left"/>
            </w:pPr>
            <w:r>
              <w:rPr>
                <w:sz w:val="17"/>
              </w:rPr>
              <w:t xml:space="preserve">clean</w:t>
            </w:r>
          </w:p>
        </w:tc>
        <w:tc>
          <w:tcPr/>
          <w:p>
            <w:pPr>
              <w:pStyle w:val="Compact"/>
              <w:spacing w:after="20" w:before="20"/>
              <w:jc w:val="left"/>
            </w:pPr>
            <w:r>
              <w:rPr>
                <w:sz w:val="17"/>
              </w:rPr>
              <w:t xml:space="preserve">none (HMEQ: natural missingness)</w:t>
            </w:r>
          </w:p>
        </w:tc>
        <w:tc>
          <w:tcPr/>
          <w:p>
            <w:pPr>
              <w:pStyle w:val="Compact"/>
              <w:spacing w:after="20" w:before="20"/>
              <w:jc w:val="left"/>
            </w:pPr>
            <w:r>
              <w:rPr>
                <w:sz w:val="17"/>
              </w:rPr>
              <w:t xml:space="preserve">—</w:t>
            </w:r>
          </w:p>
        </w:tc>
      </w:tr>
      <w:tr>
        <w:tc>
          <w:tcPr/>
          <w:p>
            <w:pPr>
              <w:pStyle w:val="Compact"/>
              <w:spacing w:after="20" w:before="20"/>
              <w:jc w:val="left"/>
            </w:pPr>
            <w:r>
              <w:rPr>
                <w:sz w:val="17"/>
              </w:rPr>
              <w:t xml:space="preserve">A</w:t>
            </w:r>
          </w:p>
        </w:tc>
        <w:tc>
          <w:tcPr/>
          <w:p>
            <w:pPr>
              <w:pStyle w:val="Compact"/>
              <w:spacing w:after="20" w:before="20"/>
              <w:jc w:val="left"/>
            </w:pPr>
            <w:r>
              <w:rPr>
                <w:sz w:val="17"/>
              </w:rPr>
              <w:t xml:space="preserve">missing</w:t>
            </w:r>
          </w:p>
        </w:tc>
        <w:tc>
          <w:tcPr/>
          <w:p>
            <w:pPr>
              <w:pStyle w:val="Compact"/>
              <w:spacing w:after="20" w:before="20"/>
              <w:jc w:val="left"/>
            </w:pPr>
            <w:r>
              <w:rPr>
                <w:sz w:val="17"/>
              </w:rPr>
              <w:t xml:space="preserve">each cell missing with probability</w:t>
            </w:r>
            <w:r>
              <w:rPr>
                <w:sz w:val="17"/>
              </w:rPr>
              <w:t xml:space="preserve"> </w:t>
            </w:r>
            <m:oMath>
              <m:r>
                <m:t>r</m:t>
              </m:r>
              <m:r>
                <m:rPr>
                  <m:sty m:val="p"/>
                </m:rPr>
                <m:t>∼</m:t>
              </m:r>
              <m:r>
                <m:t>U</m:t>
              </m:r>
              <m:d>
                <m:dPr>
                  <m:begChr m:val="["/>
                  <m:endChr m:val="]"/>
                  <m:sepChr m:val=""/>
                  <m:grow/>
                </m:dPr>
                <m:e>
                  <m:r>
                    <m:t>0</m:t>
                  </m:r>
                  <m:r>
                    <m:rPr>
                      <m:sty m:val="p"/>
                    </m:rPr>
                    <m:t>,</m:t>
                  </m:r>
                  <m:r>
                    <m:t>0.55</m:t>
                  </m:r>
                </m:e>
              </m:d>
            </m:oMath>
          </w:p>
        </w:tc>
        <w:tc>
          <w:tcPr/>
          <w:p>
            <w:pPr>
              <w:pStyle w:val="Compact"/>
              <w:spacing w:after="20" w:before="20"/>
              <w:jc w:val="left"/>
            </w:pPr>
            <w:r>
              <w:rPr>
                <w:sz w:val="17"/>
              </w:rPr>
              <w:t xml:space="preserve">yes</w:t>
            </w:r>
          </w:p>
        </w:tc>
      </w:tr>
      <w:tr>
        <w:tc>
          <w:tcPr/>
          <w:p>
            <w:pPr>
              <w:pStyle w:val="Compact"/>
              <w:spacing w:after="20" w:before="20"/>
              <w:jc w:val="left"/>
            </w:pPr>
            <w:r>
              <w:rPr>
                <w:sz w:val="17"/>
              </w:rPr>
              <w:t xml:space="preserve">A</w:t>
            </w:r>
          </w:p>
        </w:tc>
        <w:tc>
          <w:tcPr/>
          <w:p>
            <w:pPr>
              <w:pStyle w:val="Compact"/>
              <w:spacing w:after="20" w:before="20"/>
              <w:jc w:val="left"/>
            </w:pPr>
            <w:r>
              <w:rPr>
                <w:sz w:val="17"/>
              </w:rPr>
              <w:t xml:space="preserve">outliers</w:t>
            </w:r>
          </w:p>
        </w:tc>
        <w:tc>
          <w:tcPr/>
          <w:p>
            <w:pPr>
              <w:pStyle w:val="Compact"/>
              <w:spacing w:after="20" w:before="20"/>
              <w:jc w:val="left"/>
            </w:pPr>
            <w:r>
              <w:rPr>
                <w:sz w:val="17"/>
              </w:rPr>
              <w:t xml:space="preserve">cells with probability</w:t>
            </w:r>
            <w:r>
              <w:rPr>
                <w:sz w:val="17"/>
              </w:rPr>
              <w:t xml:space="preserve"> </w:t>
            </w:r>
            <m:oMath>
              <m:r>
                <m:t>r</m:t>
              </m:r>
              <m:r>
                <m:rPr>
                  <m:sty m:val="p"/>
                </m:rPr>
                <m:t>∼</m:t>
              </m:r>
              <m:r>
                <m:t>U</m:t>
              </m:r>
              <m:d>
                <m:dPr>
                  <m:begChr m:val="["/>
                  <m:endChr m:val="]"/>
                  <m:sepChr m:val=""/>
                  <m:grow/>
                </m:dPr>
                <m:e>
                  <m:r>
                    <m:t>0</m:t>
                  </m:r>
                  <m:r>
                    <m:rPr>
                      <m:sty m:val="p"/>
                    </m:rPr>
                    <m:t>,</m:t>
                  </m:r>
                  <m:r>
                    <m:t>0.18</m:t>
                  </m:r>
                </m:e>
              </m:d>
            </m:oMath>
            <w:r>
              <w:rPr>
                <w:sz w:val="17"/>
              </w:rPr>
              <w:t xml:space="preserve"> </w:t>
            </w:r>
            <w:r>
              <w:rPr>
                <w:sz w:val="17"/>
              </w:rPr>
              <w:t xml:space="preserve">offset by</w:t>
            </w:r>
            <w:r>
              <w:rPr>
                <w:sz w:val="17"/>
              </w:rPr>
              <w:t xml:space="preserve"> </w:t>
            </w:r>
            <m:oMath>
              <m:r>
                <m:rPr>
                  <m:sty m:val="p"/>
                </m:rPr>
                <m:t>±</m:t>
              </m:r>
              <m:r>
                <m:t>U</m:t>
              </m:r>
              <m:d>
                <m:dPr>
                  <m:begChr m:val="["/>
                  <m:endChr m:val="]"/>
                  <m:sepChr m:val=""/>
                  <m:grow/>
                </m:dPr>
                <m:e>
                  <m:r>
                    <m:t>1.2</m:t>
                  </m:r>
                  <m:r>
                    <m:rPr>
                      <m:sty m:val="p"/>
                    </m:rPr>
                    <m:t>,</m:t>
                  </m:r>
                  <m:r>
                    <m:t>2.5</m:t>
                  </m:r>
                </m:e>
              </m:d>
              <m:r>
                <m:t> </m:t>
              </m:r>
              <m:sSub>
                <m:e>
                  <m:r>
                    <m:t>t</m:t>
                  </m:r>
                </m:e>
                <m:sub>
                  <m:r>
                    <m:t>j</m:t>
                  </m:r>
                </m:sub>
              </m:sSub>
            </m:oMath>
          </w:p>
        </w:tc>
        <w:tc>
          <w:tcPr/>
          <w:p>
            <w:pPr>
              <w:pStyle w:val="Compact"/>
              <w:spacing w:after="20" w:before="20"/>
              <w:jc w:val="left"/>
            </w:pPr>
            <w:r>
              <w:rPr>
                <w:sz w:val="17"/>
              </w:rPr>
              <w:t xml:space="preserve">mostly</w:t>
            </w:r>
          </w:p>
        </w:tc>
      </w:tr>
      <w:tr>
        <w:tc>
          <w:tcPr/>
          <w:p>
            <w:pPr>
              <w:pStyle w:val="Compact"/>
              <w:spacing w:after="20" w:before="20"/>
              <w:jc w:val="left"/>
            </w:pPr>
            <w:r>
              <w:rPr>
                <w:sz w:val="17"/>
              </w:rPr>
              <w:t xml:space="preserve">A</w:t>
            </w:r>
          </w:p>
        </w:tc>
        <w:tc>
          <w:tcPr/>
          <w:p>
            <w:pPr>
              <w:pStyle w:val="Compact"/>
              <w:spacing w:after="20" w:before="20"/>
              <w:jc w:val="left"/>
            </w:pPr>
            <w:r>
              <w:rPr>
                <w:sz w:val="17"/>
              </w:rPr>
              <w:t xml:space="preserve">mixed</w:t>
            </w:r>
          </w:p>
        </w:tc>
        <w:tc>
          <w:tcPr/>
          <w:p>
            <w:pPr>
              <w:pStyle w:val="Compact"/>
              <w:spacing w:after="20" w:before="20"/>
              <w:jc w:val="left"/>
            </w:pPr>
            <w:r>
              <w:rPr>
                <w:sz w:val="17"/>
              </w:rPr>
              <w:t xml:space="preserve">outliers</w:t>
            </w:r>
            <w:r>
              <w:rPr>
                <w:sz w:val="17"/>
              </w:rPr>
              <w:t xml:space="preserve"> </w:t>
            </w:r>
            <m:oMath>
              <m:r>
                <m:t>r</m:t>
              </m:r>
              <m:r>
                <m:rPr>
                  <m:sty m:val="p"/>
                </m:rPr>
                <m:t>∼</m:t>
              </m:r>
              <m:r>
                <m:t>U</m:t>
              </m:r>
              <m:d>
                <m:dPr>
                  <m:begChr m:val="["/>
                  <m:endChr m:val="]"/>
                  <m:sepChr m:val=""/>
                  <m:grow/>
                </m:dPr>
                <m:e>
                  <m:r>
                    <m:t>0</m:t>
                  </m:r>
                  <m:r>
                    <m:rPr>
                      <m:sty m:val="p"/>
                    </m:rPr>
                    <m:t>,</m:t>
                  </m:r>
                  <m:r>
                    <m:t>0.12</m:t>
                  </m:r>
                </m:e>
              </m:d>
            </m:oMath>
            <w:r>
              <w:rPr>
                <w:sz w:val="17"/>
              </w:rPr>
              <w:t xml:space="preserve">, then missing</w:t>
            </w:r>
            <w:r>
              <w:rPr>
                <w:sz w:val="17"/>
              </w:rPr>
              <w:t xml:space="preserve"> </w:t>
            </w:r>
            <m:oMath>
              <m:r>
                <m:t>r</m:t>
              </m:r>
              <m:r>
                <m:rPr>
                  <m:sty m:val="p"/>
                </m:rPr>
                <m:t>∼</m:t>
              </m:r>
              <m:r>
                <m:t>U</m:t>
              </m:r>
              <m:d>
                <m:dPr>
                  <m:begChr m:val="["/>
                  <m:endChr m:val="]"/>
                  <m:sepChr m:val=""/>
                  <m:grow/>
                </m:dPr>
                <m:e>
                  <m:r>
                    <m:t>0</m:t>
                  </m:r>
                  <m:r>
                    <m:rPr>
                      <m:sty m:val="p"/>
                    </m:rPr>
                    <m:t>,</m:t>
                  </m:r>
                  <m:r>
                    <m:t>0.35</m:t>
                  </m:r>
                </m:e>
              </m:d>
            </m:oMath>
          </w:p>
        </w:tc>
        <w:tc>
          <w:tcPr/>
          <w:p>
            <w:pPr>
              <w:pStyle w:val="Compact"/>
              <w:spacing w:after="20" w:before="20"/>
              <w:jc w:val="left"/>
            </w:pPr>
            <w:r>
              <w:rPr>
                <w:sz w:val="17"/>
              </w:rPr>
              <w:t xml:space="preserve">yes</w:t>
            </w:r>
          </w:p>
        </w:tc>
      </w:tr>
      <w:tr>
        <w:tc>
          <w:tcPr/>
          <w:p>
            <w:pPr>
              <w:pStyle w:val="Compact"/>
              <w:spacing w:after="20" w:before="20"/>
              <w:jc w:val="left"/>
            </w:pPr>
            <w:r>
              <w:rPr>
                <w:sz w:val="17"/>
              </w:rPr>
              <w:t xml:space="preserve">A</w:t>
            </w:r>
          </w:p>
        </w:tc>
        <w:tc>
          <w:tcPr/>
          <w:p>
            <w:pPr>
              <w:pStyle w:val="Compact"/>
              <w:spacing w:after="20" w:before="20"/>
              <w:jc w:val="left"/>
            </w:pPr>
            <w:r>
              <w:rPr>
                <w:sz w:val="17"/>
              </w:rPr>
              <w:t xml:space="preserve">shift (severe)</w:t>
            </w:r>
          </w:p>
        </w:tc>
        <w:tc>
          <w:tcPr/>
          <w:p>
            <w:pPr>
              <w:pStyle w:val="Compact"/>
              <w:spacing w:after="20" w:before="20"/>
              <w:jc w:val="left"/>
            </w:pPr>
            <w:r>
              <w:rPr>
                <w:sz w:val="17"/>
              </w:rPr>
              <w:t xml:space="preserve">outliers</w:t>
            </w:r>
            <w:r>
              <w:rPr>
                <w:sz w:val="17"/>
              </w:rPr>
              <w:t xml:space="preserve"> </w:t>
            </w:r>
            <m:oMath>
              <m:r>
                <m:t>r</m:t>
              </m:r>
              <m:r>
                <m:rPr>
                  <m:sty m:val="p"/>
                </m:rPr>
                <m:t>∼</m:t>
              </m:r>
              <m:r>
                <m:t>U</m:t>
              </m:r>
              <m:d>
                <m:dPr>
                  <m:begChr m:val="["/>
                  <m:endChr m:val="]"/>
                  <m:sepChr m:val=""/>
                  <m:grow/>
                </m:dPr>
                <m:e>
                  <m:r>
                    <m:t>0.08</m:t>
                  </m:r>
                  <m:r>
                    <m:rPr>
                      <m:sty m:val="p"/>
                    </m:rPr>
                    <m:t>,</m:t>
                  </m:r>
                  <m:r>
                    <m:t>0.25</m:t>
                  </m:r>
                </m:e>
              </m:d>
            </m:oMath>
            <w:r>
              <w:rPr>
                <w:sz w:val="17"/>
              </w:rPr>
              <w:t xml:space="preserve">, then missing</w:t>
            </w:r>
            <w:r>
              <w:rPr>
                <w:sz w:val="17"/>
              </w:rPr>
              <w:t xml:space="preserve"> </w:t>
            </w:r>
            <m:oMath>
              <m:r>
                <m:t>r</m:t>
              </m:r>
              <m:r>
                <m:rPr>
                  <m:sty m:val="p"/>
                </m:rPr>
                <m:t>∼</m:t>
              </m:r>
              <m:r>
                <m:t>U</m:t>
              </m:r>
              <m:d>
                <m:dPr>
                  <m:begChr m:val="["/>
                  <m:endChr m:val="]"/>
                  <m:sepChr m:val=""/>
                  <m:grow/>
                </m:dPr>
                <m:e>
                  <m:r>
                    <m:t>0.35</m:t>
                  </m:r>
                  <m:r>
                    <m:rPr>
                      <m:sty m:val="p"/>
                    </m:rPr>
                    <m:t>,</m:t>
                  </m:r>
                  <m:r>
                    <m:t>0.75</m:t>
                  </m:r>
                </m:e>
              </m:d>
            </m:oMath>
          </w:p>
        </w:tc>
        <w:tc>
          <w:tcPr/>
          <w:p>
            <w:pPr>
              <w:pStyle w:val="Compact"/>
              <w:spacing w:after="20" w:before="20"/>
              <w:jc w:val="left"/>
            </w:pPr>
            <w:r>
              <w:rPr>
                <w:sz w:val="17"/>
              </w:rPr>
              <w:t xml:space="preserve">yes</w:t>
            </w:r>
          </w:p>
        </w:tc>
      </w:tr>
      <w:tr>
        <w:tc>
          <w:tcPr/>
          <w:p>
            <w:pPr>
              <w:pStyle w:val="Compact"/>
              <w:spacing w:after="20" w:before="20"/>
              <w:jc w:val="left"/>
            </w:pPr>
            <w:r>
              <w:rPr>
                <w:sz w:val="17"/>
              </w:rPr>
              <w:t xml:space="preserve">B</w:t>
            </w:r>
          </w:p>
        </w:tc>
        <w:tc>
          <w:tcPr/>
          <w:p>
            <w:pPr>
              <w:pStyle w:val="Compact"/>
              <w:spacing w:after="20" w:before="20"/>
              <w:jc w:val="left"/>
            </w:pPr>
            <w:r>
              <w:rPr>
                <w:sz w:val="17"/>
              </w:rPr>
              <w:t xml:space="preserve">informative missing</w:t>
            </w:r>
          </w:p>
        </w:tc>
        <w:tc>
          <w:tcPr/>
          <w:p>
            <w:pPr>
              <w:pStyle w:val="Compact"/>
              <w:spacing w:after="20" w:before="20"/>
              <w:jc w:val="left"/>
            </w:pPr>
            <w:r>
              <w:rPr>
                <w:sz w:val="17"/>
              </w:rPr>
              <w:t xml:space="preserve">missing rate</w:t>
            </w:r>
            <w:r>
              <w:rPr>
                <w:sz w:val="17"/>
              </w:rPr>
              <w:t xml:space="preserve"> </w:t>
            </w:r>
            <m:oMath>
              <m:r>
                <m:t>r</m:t>
              </m:r>
              <m:r>
                <m:rPr>
                  <m:sty m:val="p"/>
                </m:rPr>
                <m:t>∼</m:t>
              </m:r>
              <m:r>
                <m:t>U</m:t>
              </m:r>
              <m:d>
                <m:dPr>
                  <m:begChr m:val="["/>
                  <m:endChr m:val="]"/>
                  <m:sepChr m:val=""/>
                  <m:grow/>
                </m:dPr>
                <m:e>
                  <m:r>
                    <m:t>0</m:t>
                  </m:r>
                  <m:r>
                    <m:rPr>
                      <m:sty m:val="p"/>
                    </m:rPr>
                    <m:t>,</m:t>
                  </m:r>
                  <m:r>
                    <m:t>0.35</m:t>
                  </m:r>
                </m:e>
              </m:d>
            </m:oMath>
            <w:r>
              <w:rPr>
                <w:sz w:val="17"/>
              </w:rPr>
              <w:t xml:space="preserve"> </w:t>
            </w:r>
            <w:r>
              <w:rPr>
                <w:sz w:val="17"/>
              </w:rPr>
              <w:t xml:space="preserve">scaled by 1.8 if</w:t>
            </w:r>
            <w:r>
              <w:rPr>
                <w:sz w:val="17"/>
              </w:rPr>
              <w:t xml:space="preserve"> </w:t>
            </w:r>
            <m:oMath>
              <m:r>
                <m:t>y</m:t>
              </m:r>
              <m:r>
                <m:rPr>
                  <m:sty m:val="p"/>
                </m:rPr>
                <m:t>=</m:t>
              </m:r>
              <m:r>
                <m:t>1</m:t>
              </m:r>
            </m:oMath>
            <w:r>
              <w:rPr>
                <w:sz w:val="17"/>
              </w:rPr>
              <w:t xml:space="preserve">, 0.6 if</w:t>
            </w:r>
            <w:r>
              <w:rPr>
                <w:sz w:val="17"/>
              </w:rPr>
              <w:t xml:space="preserve"> </w:t>
            </w:r>
            <m:oMath>
              <m:r>
                <m:t>y</m:t>
              </m:r>
              <m:r>
                <m:rPr>
                  <m:sty m:val="p"/>
                </m:rPr>
                <m:t>=</m:t>
              </m:r>
              <m:r>
                <m:t>0</m:t>
              </m:r>
            </m:oMath>
            <w:r>
              <w:rPr>
                <w:sz w:val="17"/>
              </w:rPr>
              <w:t xml:space="preserve"> </w:t>
            </w:r>
            <w:r>
              <w:rPr>
                <w:sz w:val="17"/>
              </w:rPr>
              <w:t xml:space="preserve">(MNAR)</w:t>
            </w:r>
          </w:p>
        </w:tc>
        <w:tc>
          <w:tcPr/>
          <w:p>
            <w:pPr>
              <w:pStyle w:val="Compact"/>
              <w:spacing w:after="20" w:before="20"/>
              <w:jc w:val="left"/>
            </w:pPr>
            <w:r>
              <w:rPr>
                <w:sz w:val="17"/>
              </w:rPr>
              <w:t xml:space="preserve">partly</w:t>
            </w:r>
          </w:p>
        </w:tc>
      </w:tr>
      <w:tr>
        <w:tc>
          <w:tcPr/>
          <w:p>
            <w:pPr>
              <w:pStyle w:val="Compact"/>
              <w:spacing w:after="20" w:before="20"/>
              <w:jc w:val="left"/>
            </w:pPr>
            <w:r>
              <w:rPr>
                <w:sz w:val="17"/>
              </w:rPr>
              <w:t xml:space="preserve">B</w:t>
            </w:r>
          </w:p>
        </w:tc>
        <w:tc>
          <w:tcPr/>
          <w:p>
            <w:pPr>
              <w:pStyle w:val="Compact"/>
              <w:spacing w:after="20" w:before="20"/>
              <w:jc w:val="left"/>
            </w:pPr>
            <w:r>
              <w:rPr>
                <w:sz w:val="17"/>
              </w:rPr>
              <w:t xml:space="preserve">stale</w:t>
            </w:r>
          </w:p>
        </w:tc>
        <w:tc>
          <w:tcPr/>
          <w:p>
            <w:pPr>
              <w:pStyle w:val="Compact"/>
              <w:spacing w:after="20" w:before="20"/>
              <w:jc w:val="left"/>
            </w:pPr>
            <w:r>
              <w:rPr>
                <w:sz w:val="17"/>
              </w:rPr>
              <w:t xml:space="preserve">with probability 0.5 a record’s continuous fields are deflated by a common factor</w:t>
            </w:r>
            <w:r>
              <w:rPr>
                <w:sz w:val="17"/>
              </w:rPr>
              <w:t xml:space="preserve"> </w:t>
            </w:r>
            <m:oMath>
              <m:r>
                <m:t>U</m:t>
              </m:r>
              <m:d>
                <m:dPr>
                  <m:begChr m:val="["/>
                  <m:endChr m:val="]"/>
                  <m:sepChr m:val=""/>
                  <m:grow/>
                </m:dPr>
                <m:e>
                  <m:r>
                    <m:t>0.55</m:t>
                  </m:r>
                  <m:r>
                    <m:rPr>
                      <m:sty m:val="p"/>
                    </m:rPr>
                    <m:t>,</m:t>
                  </m:r>
                  <m:r>
                    <m:t>0.90</m:t>
                  </m:r>
                </m:e>
              </m:d>
            </m:oMath>
            <w:r>
              <w:rPr>
                <w:sz w:val="17"/>
              </w:rPr>
              <w:t xml:space="preserve"> </w:t>
            </w:r>
            <w:r>
              <w:rPr>
                <w:sz w:val="17"/>
              </w:rPr>
              <w:t xml:space="preserve">(outdated snapshot)</w:t>
            </w:r>
          </w:p>
        </w:tc>
        <w:tc>
          <w:tcPr/>
          <w:p>
            <w:pPr>
              <w:pStyle w:val="Compact"/>
              <w:spacing w:after="20" w:before="20"/>
              <w:jc w:val="left"/>
            </w:pPr>
            <w:r>
              <w:rPr>
                <w:sz w:val="17"/>
              </w:rPr>
              <w:t xml:space="preserve">rarely</w:t>
            </w:r>
          </w:p>
        </w:tc>
      </w:tr>
      <w:tr>
        <w:tc>
          <w:tcPr/>
          <w:p>
            <w:pPr>
              <w:pStyle w:val="Compact"/>
              <w:spacing w:after="20" w:before="20"/>
              <w:jc w:val="left"/>
            </w:pPr>
            <w:r>
              <w:rPr>
                <w:sz w:val="17"/>
              </w:rPr>
              <w:t xml:space="preserve">B</w:t>
            </w:r>
          </w:p>
        </w:tc>
        <w:tc>
          <w:tcPr/>
          <w:p>
            <w:pPr>
              <w:pStyle w:val="Compact"/>
              <w:spacing w:after="20" w:before="20"/>
              <w:jc w:val="left"/>
            </w:pPr>
            <w:r>
              <w:rPr>
                <w:sz w:val="17"/>
              </w:rPr>
              <w:t xml:space="preserve">inconsistent codes</w:t>
            </w:r>
          </w:p>
        </w:tc>
        <w:tc>
          <w:tcPr/>
          <w:p>
            <w:pPr>
              <w:pStyle w:val="Compact"/>
              <w:spacing w:after="20" w:before="20"/>
              <w:jc w:val="left"/>
            </w:pPr>
            <w:r>
              <w:rPr>
                <w:sz w:val="17"/>
              </w:rPr>
              <w:t xml:space="preserve">code-like cells with probability</w:t>
            </w:r>
            <w:r>
              <w:rPr>
                <w:sz w:val="17"/>
              </w:rPr>
              <w:t xml:space="preserve"> </w:t>
            </w:r>
            <m:oMath>
              <m:r>
                <m:t>r</m:t>
              </m:r>
              <m:r>
                <m:rPr>
                  <m:sty m:val="p"/>
                </m:rPr>
                <m:t>∼</m:t>
              </m:r>
              <m:r>
                <m:t>U</m:t>
              </m:r>
              <m:d>
                <m:dPr>
                  <m:begChr m:val="["/>
                  <m:endChr m:val="]"/>
                  <m:sepChr m:val=""/>
                  <m:grow/>
                </m:dPr>
                <m:e>
                  <m:r>
                    <m:t>0</m:t>
                  </m:r>
                  <m:r>
                    <m:rPr>
                      <m:sty m:val="p"/>
                    </m:rPr>
                    <m:t>,</m:t>
                  </m:r>
                  <m:r>
                    <m:t>0.30</m:t>
                  </m:r>
                </m:e>
              </m:d>
            </m:oMath>
            <w:r>
              <w:rPr>
                <w:sz w:val="17"/>
              </w:rPr>
              <w:t xml:space="preserve"> </w:t>
            </w:r>
            <w:r>
              <w:rPr>
                <w:sz w:val="17"/>
              </w:rPr>
              <w:t xml:space="preserve">replaced by a different valid code</w:t>
            </w:r>
          </w:p>
        </w:tc>
        <w:tc>
          <w:tcPr/>
          <w:p>
            <w:pPr>
              <w:pStyle w:val="Compact"/>
              <w:spacing w:after="20" w:before="20"/>
              <w:jc w:val="left"/>
            </w:pPr>
            <w:r>
              <w:rPr>
                <w:sz w:val="17"/>
              </w:rPr>
              <w:t xml:space="preserve">no</w:t>
            </w:r>
          </w:p>
        </w:tc>
      </w:tr>
      <w:tr>
        <w:tc>
          <w:tcPr/>
          <w:p>
            <w:pPr>
              <w:pStyle w:val="Compact"/>
              <w:spacing w:after="20" w:before="20"/>
              <w:jc w:val="left"/>
            </w:pPr>
            <w:r>
              <w:rPr>
                <w:sz w:val="17"/>
              </w:rPr>
              <w:t xml:space="preserve">B</w:t>
            </w:r>
          </w:p>
        </w:tc>
        <w:tc>
          <w:tcPr/>
          <w:p>
            <w:pPr>
              <w:pStyle w:val="Compact"/>
              <w:spacing w:after="20" w:before="20"/>
              <w:jc w:val="left"/>
            </w:pPr>
            <w:r>
              <w:rPr>
                <w:sz w:val="17"/>
              </w:rPr>
              <w:t xml:space="preserve">realistic mix</w:t>
            </w:r>
          </w:p>
        </w:tc>
        <w:tc>
          <w:tcPr/>
          <w:p>
            <w:pPr>
              <w:pStyle w:val="Compact"/>
              <w:spacing w:after="20" w:before="20"/>
              <w:jc w:val="left"/>
            </w:pPr>
            <w:r>
              <w:rPr>
                <w:sz w:val="17"/>
              </w:rPr>
              <w:t xml:space="preserve">stale (0.3) + inconsistent (</w:t>
            </w:r>
            <m:oMath>
              <m:r>
                <m:t>U</m:t>
              </m:r>
              <m:d>
                <m:dPr>
                  <m:begChr m:val="["/>
                  <m:endChr m:val="]"/>
                  <m:sepChr m:val=""/>
                  <m:grow/>
                </m:dPr>
                <m:e>
                  <m:r>
                    <m:t>0</m:t>
                  </m:r>
                  <m:r>
                    <m:rPr>
                      <m:sty m:val="p"/>
                    </m:rPr>
                    <m:t>,</m:t>
                  </m:r>
                  <m:r>
                    <m:t>0.15</m:t>
                  </m:r>
                </m:e>
              </m:d>
            </m:oMath>
            <w:r>
              <w:rPr>
                <w:sz w:val="17"/>
              </w:rPr>
              <w:t xml:space="preserve">) + informative missing (</w:t>
            </w:r>
            <m:oMath>
              <m:r>
                <m:t>U</m:t>
              </m:r>
              <m:d>
                <m:dPr>
                  <m:begChr m:val="["/>
                  <m:endChr m:val="]"/>
                  <m:sepChr m:val=""/>
                  <m:grow/>
                </m:dPr>
                <m:e>
                  <m:r>
                    <m:t>0</m:t>
                  </m:r>
                  <m:r>
                    <m:rPr>
                      <m:sty m:val="p"/>
                    </m:rPr>
                    <m:t>,</m:t>
                  </m:r>
                  <m:r>
                    <m:t>0.20</m:t>
                  </m:r>
                </m:e>
              </m:d>
            </m:oMath>
            <w:r>
              <w:rPr>
                <w:sz w:val="17"/>
              </w:rPr>
              <w:t xml:space="preserve">)</w:t>
            </w:r>
          </w:p>
        </w:tc>
        <w:tc>
          <w:tcPr/>
          <w:p>
            <w:pPr>
              <w:pStyle w:val="Compact"/>
              <w:spacing w:after="20" w:before="20"/>
              <w:jc w:val="left"/>
            </w:pPr>
            <w:r>
              <w:rPr>
                <w:sz w:val="17"/>
              </w:rPr>
              <w:t xml:space="preserve">partly</w:t>
            </w:r>
          </w:p>
        </w:tc>
      </w:tr>
    </w:tbl>
    <w:bookmarkEnd w:id="37"/>
    <w:bookmarkStart w:id="38" w:name="reviewer-models-and-feedback"/>
    <w:p>
      <w:pPr>
        <w:pStyle w:val="Heading2"/>
      </w:pPr>
      <w:r>
        <w:t xml:space="preserve">4.4. Reviewer models and feedback</w:t>
      </w:r>
    </w:p>
    <w:p>
      <w:pPr>
        <w:pStyle w:val="FirstParagraph"/>
      </w:pPr>
      <w:r>
        <w:t xml:space="preserve">Because no reviewer logs are available for these public datasets, reviewer behaviour is simulated. To avoid favouring the proposed representation we use five models (Table 3), only one of which depends on the router’s quality signals. All are symmetric: the reviewer returns the wrong label with probability</w:t>
      </w:r>
      <w:r>
        <w:t xml:space="preserve"> </w:t>
      </w:r>
      <m:oMath>
        <m:sSub>
          <m:e>
            <m:r>
              <m:t>e</m:t>
            </m:r>
          </m:e>
          <m:sub>
            <m:r>
              <m:t>i</m:t>
            </m:r>
          </m:sub>
        </m:sSub>
      </m:oMath>
      <w:r>
        <w:t xml:space="preserve">.</w:t>
      </w:r>
    </w:p>
    <w:p>
      <w:pPr>
        <w:pStyle w:val="TableCaption"/>
      </w:pPr>
      <w:r>
        <w:t xml:space="preserve">Table 3. Simulated reviewer models. The feature-dependent and AI-correlated reviewers err on information the router does not observe; the AI-correlated reviewer errs most where the model errs.</w:t>
      </w:r>
    </w:p>
    <w:tbl>
      <w:tblPr>
        <w:tblStyle w:val="Table"/>
        <w:tblW w:type="pct" w:w="5000"/>
        <w:tblLook w:firstRow="1" w:lastRow="0" w:firstColumn="0" w:lastColumn="0" w:noHBand="0" w:noVBand="0" w:val="0020"/>
        <w:jc w:val="start"/>
        <w:tblCaption w:val="Table 3. Simulated reviewer models. The feature-dependent and AI-correlated reviewers err on information the router does not observe; the AI-correlated reviewer errs most where the model errs."/>
        <w:tblBorders>
          <w:top w:val="single" w:sz="8" w:color="000000"/>
          <w:bottom w:val="single" w:sz="8" w:color="000000"/>
          <w:insideH w:val="nil" w:sz="8" w:color="000000"/>
          <w:insideV w:val="nil" w:sz="8" w:color="000000"/>
          <w:left w:val="nil" w:sz="8" w:color="000000"/>
          <w:right w:val="nil" w:sz="8" w:color="000000"/>
        </w:tblBorders>
      </w:tblPr>
      <w:tblGrid>
        <w:gridCol w:w="2640"/>
        <w:gridCol w:w="2640"/>
        <w:gridCol w:w="2640"/>
      </w:tblGrid>
      <w:tr>
        <w:trPr>
          <w:tblHeader w:val="true"/>
        </w:trPr>
        <w:tc>
          <w:tcPr>
            <w:tcBorders>
              <w:bottom w:val="single" w:sz="6"/>
            </w:tcBorders>
          </w:tcPr>
          <w:p>
            <w:pPr>
              <w:pStyle w:val="Compact"/>
              <w:spacing w:after="20" w:before="20"/>
              <w:jc w:val="left"/>
            </w:pPr>
            <w:r>
              <w:rPr>
                <w:b/>
                <w:sz w:val="17"/>
              </w:rPr>
              <w:t xml:space="preserve">Reviewer</w:t>
            </w:r>
          </w:p>
        </w:tc>
        <w:tc>
          <w:tcPr>
            <w:tcBorders>
              <w:bottom w:val="single" w:sz="6"/>
            </w:tcBorders>
          </w:tcPr>
          <w:p>
            <w:pPr>
              <w:pStyle w:val="Compact"/>
              <w:spacing w:after="20" w:before="20"/>
              <w:jc w:val="left"/>
            </w:pPr>
            <w:r>
              <w:rPr>
                <w:b/>
                <w:sz w:val="17"/>
              </w:rPr>
              <w:t xml:space="preserve">Error probability</w:t>
            </w:r>
            <w:r>
              <w:rPr>
                <w:b/>
                <w:sz w:val="17"/>
              </w:rPr>
              <w:t xml:space="preserve"> </w:t>
            </w:r>
            <m:oMath>
              <m:sSub>
                <m:e>
                  <m:r>
                    <m:t>e</m:t>
                  </m:r>
                </m:e>
                <m:sub>
                  <m:r>
                    <m:t>i</m:t>
                  </m:r>
                </m:sub>
              </m:sSub>
            </m:oMath>
          </w:p>
        </w:tc>
        <w:tc>
          <w:tcPr>
            <w:tcBorders>
              <w:bottom w:val="single" w:sz="6"/>
            </w:tcBorders>
          </w:tcPr>
          <w:p>
            <w:pPr>
              <w:pStyle w:val="Compact"/>
              <w:spacing w:after="20" w:before="20"/>
              <w:jc w:val="left"/>
            </w:pPr>
            <w:r>
              <w:rPr>
                <w:b/>
                <w:sz w:val="17"/>
              </w:rPr>
              <w:t xml:space="preserve">Depends on router’s</w:t>
            </w:r>
            <w:r>
              <w:rPr>
                <w:b/>
                <w:sz w:val="17"/>
              </w:rPr>
              <w:t xml:space="preserve"> </w:t>
            </w:r>
            <m:oMath>
              <m:d>
                <m:dPr>
                  <m:begChr m:val="("/>
                  <m:endChr m:val=")"/>
                  <m:sepChr m:val=""/>
                  <m:grow/>
                </m:dPr>
                <m:e>
                  <m:r>
                    <m:t>u</m:t>
                  </m:r>
                  <m:r>
                    <m:rPr>
                      <m:sty m:val="p"/>
                    </m:rPr>
                    <m:t>,</m:t>
                  </m:r>
                  <m:r>
                    <m:t>v</m:t>
                  </m:r>
                </m:e>
              </m:d>
            </m:oMath>
            <w:r>
              <w:rPr>
                <w:b/>
                <w:sz w:val="17"/>
              </w:rPr>
              <w:t xml:space="preserve">?</w:t>
            </w:r>
          </w:p>
        </w:tc>
      </w:tr>
      <w:tr>
        <w:tc>
          <w:tcPr/>
          <w:p>
            <w:pPr>
              <w:pStyle w:val="Compact"/>
              <w:spacing w:after="20" w:before="20"/>
              <w:jc w:val="left"/>
            </w:pPr>
            <w:r>
              <w:rPr>
                <w:sz w:val="17"/>
              </w:rPr>
              <w:t xml:space="preserve">constant</w:t>
            </w:r>
          </w:p>
        </w:tc>
        <w:tc>
          <w:tcPr/>
          <w:p>
            <w:pPr>
              <w:pStyle w:val="Compact"/>
              <w:spacing w:after="20" w:before="20"/>
              <w:jc w:val="left"/>
            </w:pPr>
            <w:r>
              <w:rPr>
                <w:sz w:val="17"/>
              </w:rPr>
              <w:t xml:space="preserve">0.10</w:t>
            </w:r>
          </w:p>
        </w:tc>
        <w:tc>
          <w:tcPr/>
          <w:p>
            <w:pPr>
              <w:pStyle w:val="Compact"/>
              <w:spacing w:after="20" w:before="20"/>
              <w:jc w:val="left"/>
            </w:pPr>
            <w:r>
              <w:rPr>
                <w:sz w:val="17"/>
              </w:rPr>
              <w:t xml:space="preserve">no</w:t>
            </w:r>
          </w:p>
        </w:tc>
      </w:tr>
      <w:tr>
        <w:tc>
          <w:tcPr/>
          <w:p>
            <w:pPr>
              <w:pStyle w:val="Compact"/>
              <w:spacing w:after="20" w:before="20"/>
              <w:jc w:val="left"/>
            </w:pPr>
            <w:r>
              <w:rPr>
                <w:sz w:val="17"/>
              </w:rPr>
              <w:t xml:space="preserve">quality-coupled (earlier draft)</w:t>
            </w:r>
          </w:p>
        </w:tc>
        <w:tc>
          <w:tcPr/>
          <w:p>
            <w:pPr>
              <w:pStyle w:val="Compact"/>
              <w:spacing w:after="20" w:before="20"/>
              <w:jc w:val="left"/>
            </w:pPr>
            <m:oMath>
              <m:r>
                <m:rPr>
                  <m:sty m:val="p"/>
                </m:rPr>
                <m:t>min</m:t>
              </m:r>
              <m:d>
                <m:dPr>
                  <m:begChr m:val="("/>
                  <m:endChr m:val=")"/>
                  <m:sepChr m:val=""/>
                  <m:grow/>
                </m:dPr>
                <m:e>
                  <m:r>
                    <m:t>0.40</m:t>
                  </m:r>
                  <m:r>
                    <m:rPr>
                      <m:sty m:val="p"/>
                    </m:rPr>
                    <m:t>,</m:t>
                  </m:r>
                  <m:r>
                    <m:t> </m:t>
                  </m:r>
                  <m:r>
                    <m:t>0.05</m:t>
                  </m:r>
                  <m:r>
                    <m:rPr>
                      <m:sty m:val="p"/>
                    </m:rPr>
                    <m:t>+</m:t>
                  </m:r>
                  <m:r>
                    <m:t>0.35</m:t>
                  </m:r>
                  <m:sSub>
                    <m:e>
                      <m:r>
                        <m:t>u</m:t>
                      </m:r>
                    </m:e>
                    <m:sub>
                      <m:r>
                        <m:t>i</m:t>
                      </m:r>
                    </m:sub>
                  </m:sSub>
                  <m:r>
                    <m:rPr>
                      <m:sty m:val="p"/>
                    </m:rPr>
                    <m:t>+</m:t>
                  </m:r>
                  <m:r>
                    <m:t>0.25</m:t>
                  </m:r>
                  <m:sSub>
                    <m:e>
                      <m:r>
                        <m:t>v</m:t>
                      </m:r>
                    </m:e>
                    <m:sub>
                      <m:r>
                        <m:t>i</m:t>
                      </m:r>
                    </m:sub>
                  </m:sSub>
                </m:e>
              </m:d>
            </m:oMath>
          </w:p>
        </w:tc>
        <w:tc>
          <w:tcPr/>
          <w:p>
            <w:pPr>
              <w:pStyle w:val="Compact"/>
              <w:spacing w:after="20" w:before="20"/>
              <w:jc w:val="left"/>
            </w:pPr>
            <w:r>
              <w:rPr>
                <w:sz w:val="17"/>
              </w:rPr>
              <w:t xml:space="preserve">yes</w:t>
            </w:r>
          </w:p>
        </w:tc>
      </w:tr>
      <w:tr>
        <w:tc>
          <w:tcPr/>
          <w:p>
            <w:pPr>
              <w:pStyle w:val="Compact"/>
              <w:spacing w:after="20" w:before="20"/>
              <w:jc w:val="left"/>
            </w:pPr>
            <w:r>
              <w:rPr>
                <w:sz w:val="17"/>
              </w:rPr>
              <w:t xml:space="preserve">feature-dependent</w:t>
            </w:r>
          </w:p>
        </w:tc>
        <w:tc>
          <w:tcPr/>
          <w:p>
            <w:pPr>
              <w:pStyle w:val="Compact"/>
              <w:spacing w:after="20" w:before="20"/>
              <w:jc w:val="left"/>
            </w:pPr>
            <m:oMath>
              <m:r>
                <m:t>0.02</m:t>
              </m:r>
              <m:r>
                <m:rPr>
                  <m:sty m:val="p"/>
                </m:rPr>
                <m:t>+</m:t>
              </m:r>
              <m:r>
                <m:t>0.24</m:t>
              </m:r>
              <m:r>
                <m:t> </m:t>
              </m:r>
              <m:r>
                <m:t>Φ</m:t>
              </m:r>
              <m:d>
                <m:dPr>
                  <m:begChr m:val="("/>
                  <m:endChr m:val=")"/>
                  <m:sepChr m:val=""/>
                  <m:grow/>
                </m:dPr>
                <m:e>
                  <m:r>
                    <m:t>1.5</m:t>
                  </m:r>
                  <m:r>
                    <m:t> </m:t>
                  </m:r>
                  <m:sSub>
                    <m:e>
                      <m:acc>
                        <m:accPr>
                          <m:chr m:val="̃"/>
                        </m:accPr>
                        <m:e>
                          <m:r>
                            <m:t>z</m:t>
                          </m:r>
                        </m:e>
                      </m:acc>
                    </m:e>
                    <m:sub>
                      <m:r>
                        <m:t>i</m:t>
                      </m:r>
                    </m:sub>
                  </m:sSub>
                </m:e>
              </m:d>
            </m:oMath>
            <w:r>
              <w:rPr>
                <w:sz w:val="17"/>
              </w:rPr>
              <w:t xml:space="preserve">, where</w:t>
            </w:r>
            <w:r>
              <w:rPr>
                <w:sz w:val="17"/>
              </w:rPr>
              <w:t xml:space="preserve"> </w:t>
            </w:r>
            <m:oMath>
              <m:sSub>
                <m:e>
                  <m:acc>
                    <m:accPr>
                      <m:chr m:val="̃"/>
                    </m:accPr>
                    <m:e>
                      <m:r>
                        <m:t>z</m:t>
                      </m:r>
                    </m:e>
                  </m:acc>
                </m:e>
                <m:sub>
                  <m:r>
                    <m:t>i</m:t>
                  </m:r>
                </m:sub>
              </m:sSub>
            </m:oMath>
            <w:r>
              <w:rPr>
                <w:sz w:val="17"/>
              </w:rPr>
              <w:t xml:space="preserve"> </w:t>
            </w:r>
            <w:r>
              <w:rPr>
                <w:sz w:val="17"/>
              </w:rPr>
              <w:t xml:space="preserve">is a standardised hidden random projection of the</w:t>
            </w:r>
            <w:r>
              <w:rPr>
                <w:sz w:val="17"/>
              </w:rPr>
              <w:t xml:space="preserve"> </w:t>
            </w:r>
            <w:r>
              <w:rPr>
                <w:iCs/>
                <w:i/>
                <w:sz w:val="17"/>
              </w:rPr>
              <w:t xml:space="preserve">clean</w:t>
            </w:r>
            <w:r>
              <w:rPr>
                <w:sz w:val="17"/>
              </w:rPr>
              <w:t xml:space="preserve"> </w:t>
            </w:r>
            <w:r>
              <w:rPr>
                <w:sz w:val="17"/>
              </w:rPr>
              <w:t xml:space="preserve">features</w:t>
            </w:r>
          </w:p>
        </w:tc>
        <w:tc>
          <w:tcPr/>
          <w:p>
            <w:pPr>
              <w:pStyle w:val="Compact"/>
              <w:spacing w:after="20" w:before="20"/>
              <w:jc w:val="left"/>
            </w:pPr>
            <w:r>
              <w:rPr>
                <w:sz w:val="17"/>
              </w:rPr>
              <w:t xml:space="preserve">no</w:t>
            </w:r>
          </w:p>
        </w:tc>
      </w:tr>
      <w:tr>
        <w:tc>
          <w:tcPr/>
          <w:p>
            <w:pPr>
              <w:pStyle w:val="Compact"/>
              <w:spacing w:after="20" w:before="20"/>
              <w:jc w:val="left"/>
            </w:pPr>
            <w:r>
              <w:rPr>
                <w:sz w:val="17"/>
              </w:rPr>
              <w:t xml:space="preserve">AI-correlated</w:t>
            </w:r>
          </w:p>
        </w:tc>
        <w:tc>
          <w:tcPr/>
          <w:p>
            <w:pPr>
              <w:pStyle w:val="Compact"/>
              <w:spacing w:after="20" w:before="20"/>
              <w:jc w:val="left"/>
            </w:pPr>
            <m:oMath>
              <m:r>
                <m:rPr>
                  <m:sty m:val="p"/>
                </m:rPr>
                <m:t>min</m:t>
              </m:r>
              <m:d>
                <m:dPr>
                  <m:begChr m:val="("/>
                  <m:endChr m:val=")"/>
                  <m:sepChr m:val=""/>
                  <m:grow/>
                </m:dPr>
                <m:e>
                  <m:r>
                    <m:t>0.45</m:t>
                  </m:r>
                  <m:r>
                    <m:rPr>
                      <m:sty m:val="p"/>
                    </m:rPr>
                    <m:t>,</m:t>
                  </m:r>
                  <m:r>
                    <m:t> </m:t>
                  </m:r>
                  <m:r>
                    <m:t>0.05</m:t>
                  </m:r>
                  <m:r>
                    <m:rPr>
                      <m:sty m:val="p"/>
                    </m:rPr>
                    <m:t>+</m:t>
                  </m:r>
                  <m:r>
                    <m:t>0.25</m:t>
                  </m:r>
                  <m:r>
                    <m:t> </m:t>
                  </m:r>
                  <m:r>
                    <m:rPr>
                      <m:sty m:val="p"/>
                      <m:scr m:val="double-struck"/>
                    </m:rPr>
                    <m:t>1</m:t>
                  </m:r>
                  <m:d>
                    <m:dPr>
                      <m:begChr m:val="["/>
                      <m:endChr m:val="]"/>
                      <m:sepChr m:val=""/>
                      <m:grow/>
                    </m:dPr>
                    <m:e>
                      <m:sSub>
                        <m:e>
                          <m:acc>
                            <m:accPr>
                              <m:chr m:val="̂"/>
                            </m:accPr>
                            <m:e>
                              <m:r>
                                <m:t>y</m:t>
                              </m:r>
                            </m:e>
                          </m:acc>
                        </m:e>
                        <m:sub>
                          <m:r>
                            <m:t>i</m:t>
                          </m:r>
                        </m:sub>
                      </m:sSub>
                      <m:r>
                        <m:rPr>
                          <m:sty m:val="p"/>
                        </m:rPr>
                        <m:t>≠</m:t>
                      </m:r>
                      <m:sSub>
                        <m:e>
                          <m:r>
                            <m:t>y</m:t>
                          </m:r>
                        </m:e>
                        <m:sub>
                          <m:r>
                            <m:t>i</m:t>
                          </m:r>
                        </m:sub>
                      </m:sSub>
                    </m:e>
                  </m:d>
                  <m:r>
                    <m:rPr>
                      <m:sty m:val="p"/>
                    </m:rPr>
                    <m:t>+</m:t>
                  </m:r>
                  <m:r>
                    <m:t>0.10</m:t>
                  </m:r>
                  <m:d>
                    <m:dPr>
                      <m:begChr m:val="("/>
                      <m:endChr m:val=")"/>
                      <m:sepChr m:val=""/>
                      <m:grow/>
                    </m:dPr>
                    <m:e>
                      <m:r>
                        <m:t>1</m:t>
                      </m:r>
                      <m:r>
                        <m:rPr>
                          <m:sty m:val="p"/>
                        </m:rPr>
                        <m:t>−</m:t>
                      </m:r>
                      <m:r>
                        <m:rPr>
                          <m:sty m:val="p"/>
                        </m:rPr>
                        <m:t>|</m:t>
                      </m:r>
                      <m:r>
                        <m:t>2</m:t>
                      </m:r>
                      <m:sSubSup>
                        <m:e>
                          <m:r>
                            <m:t>p</m:t>
                          </m:r>
                        </m:e>
                        <m:sub>
                          <m:r>
                            <m:t>i</m:t>
                          </m:r>
                        </m:sub>
                        <m:sup>
                          <m:r>
                            <m:t>c</m:t>
                          </m:r>
                          <m:r>
                            <m:t>l</m:t>
                          </m:r>
                          <m:r>
                            <m:t>e</m:t>
                          </m:r>
                          <m:r>
                            <m:t>a</m:t>
                          </m:r>
                          <m:r>
                            <m:t>n</m:t>
                          </m:r>
                        </m:sup>
                      </m:sSubSup>
                      <m:r>
                        <m:rPr>
                          <m:sty m:val="p"/>
                        </m:rPr>
                        <m:t>−</m:t>
                      </m:r>
                      <m:r>
                        <m:t>1</m:t>
                      </m:r>
                      <m:r>
                        <m:rPr>
                          <m:sty m:val="p"/>
                        </m:rPr>
                        <m:t>|</m:t>
                      </m:r>
                    </m:e>
                  </m:d>
                </m:e>
              </m:d>
            </m:oMath>
          </w:p>
        </w:tc>
        <w:tc>
          <w:tcPr/>
          <w:p>
            <w:pPr>
              <w:pStyle w:val="Compact"/>
              <w:spacing w:after="20" w:before="20"/>
              <w:jc w:val="left"/>
            </w:pPr>
            <w:r>
              <w:rPr>
                <w:sz w:val="17"/>
              </w:rPr>
              <w:t xml:space="preserve">no</w:t>
            </w:r>
          </w:p>
        </w:tc>
      </w:tr>
      <w:tr>
        <w:tc>
          <w:tcPr/>
          <w:p>
            <w:pPr>
              <w:pStyle w:val="Compact"/>
              <w:spacing w:after="20" w:before="20"/>
              <w:jc w:val="left"/>
            </w:pPr>
            <w:r>
              <w:rPr>
                <w:sz w:val="17"/>
              </w:rPr>
              <w:t xml:space="preserve">adverse</w:t>
            </w:r>
          </w:p>
        </w:tc>
        <w:tc>
          <w:tcPr/>
          <w:p>
            <w:pPr>
              <w:pStyle w:val="Compact"/>
              <w:spacing w:after="20" w:before="20"/>
              <w:jc w:val="left"/>
            </w:pPr>
            <w:r>
              <w:rPr>
                <w:sz w:val="17"/>
              </w:rPr>
              <w:t xml:space="preserve">0.25</w:t>
            </w:r>
          </w:p>
        </w:tc>
        <w:tc>
          <w:tcPr/>
          <w:p>
            <w:pPr>
              <w:pStyle w:val="Compact"/>
              <w:spacing w:after="20" w:before="20"/>
              <w:jc w:val="left"/>
            </w:pPr>
            <w:r>
              <w:rPr>
                <w:sz w:val="17"/>
              </w:rPr>
              <w:t xml:space="preserve">no</w:t>
            </w:r>
          </w:p>
        </w:tc>
      </w:tr>
    </w:tbl>
    <w:p>
      <w:pPr>
        <w:pStyle w:val="BodyText"/>
      </w:pPr>
      <w:r>
        <w:t xml:space="preserve">The earlier draft trained gain models on expected reviewer losses for every record, which is optimistic. In the main protocol here (</w:t>
      </w:r>
      <w:r>
        <w:rPr>
          <w:bCs/>
          <w:b/>
        </w:rPr>
        <w:t xml:space="preserve">logs</w:t>
      </w:r>
      <w:r>
        <w:t xml:space="preserve">), a random 40% of gain-fitting records have a review log, and each log contains one sampled reviewer decision. Labels are available for all gain-fitting records. Every learned method is trained under this protocol. The optimistic protocol (</w:t>
      </w:r>
      <w:r>
        <w:rPr>
          <w:bCs/>
          <w:b/>
        </w:rPr>
        <w:t xml:space="preserve">oracle targets</w:t>
      </w:r>
      <w:r>
        <w:t xml:space="preserve">) is rerun for comparison, and the logged fraction is varied from 10% to 100% in Section 5.5.</w:t>
      </w:r>
    </w:p>
    <w:bookmarkEnd w:id="38"/>
    <w:bookmarkStart w:id="39" w:name="methods-compared"/>
    <w:p>
      <w:pPr>
        <w:pStyle w:val="Heading2"/>
      </w:pPr>
      <w:r>
        <w:t xml:space="preserve">4.5. Methods compared</w:t>
      </w:r>
    </w:p>
    <w:p>
      <w:pPr>
        <w:pStyle w:val="FirstParagraph"/>
      </w:pPr>
      <w:r>
        <w:t xml:space="preserve">All methods share the base predictor, the automated decision</w:t>
      </w:r>
      <w:r>
        <w:t xml:space="preserve"> </w:t>
      </w:r>
      <m:oMath>
        <m:sSub>
          <m:e>
            <m:acc>
              <m:accPr>
                <m:chr m:val="̂"/>
              </m:accPr>
              <m:e>
                <m:r>
                  <m:t>y</m:t>
                </m:r>
              </m:e>
            </m:acc>
          </m:e>
          <m:sub>
            <m:r>
              <m:t>i</m:t>
            </m:r>
          </m:sub>
        </m:sSub>
      </m:oMath>
      <w:r>
        <w:t xml:space="preserve">, the rule base, capacity and costs. They differ only in how they rank records for review (Table 4). Rule-constrained heuristics fill all remaining capacity. Learned methods review an optional record only if their own deferral criterion is positive. Because the published L2D methods have no notion of a hold, every method uses its own score to order mandatory records under overload, and the overload-ordering rule is ablated separately. In the L2D baselines only the rejector is used; the automated decision remains the shared</w:t>
      </w:r>
      <w:r>
        <w:t xml:space="preserve"> </w:t>
      </w:r>
      <m:oMath>
        <m:sSub>
          <m:e>
            <m:acc>
              <m:accPr>
                <m:chr m:val="̂"/>
              </m:accPr>
              <m:e>
                <m:r>
                  <m:t>y</m:t>
                </m:r>
              </m:e>
            </m:acc>
          </m:e>
          <m:sub>
            <m:r>
              <m:t>i</m:t>
            </m:r>
          </m:sub>
        </m:sSub>
      </m:oMath>
      <w:r>
        <w:t xml:space="preserve">, so that differences reflect routing rather than classifier quality.</w:t>
      </w:r>
    </w:p>
    <w:p>
      <w:pPr>
        <w:pStyle w:val="TableCaption"/>
      </w:pPr>
      <w:r>
        <w:t xml:space="preserve">Table 4. Methods. L2D surrogates are one-hidden-layer networks (32 ReLU units, Adam, early stopping on a 20% validation split of logged records) implemented in NumPy, since a deep-learning framework was not required for tabular inputs.</w:t>
      </w:r>
    </w:p>
    <w:tbl>
      <w:tblPr>
        <w:tblStyle w:val="Table"/>
        <w:tblW w:type="pct" w:w="5000"/>
        <w:tblLook w:firstRow="1" w:lastRow="0" w:firstColumn="0" w:lastColumn="0" w:noHBand="0" w:noVBand="0" w:val="0020"/>
        <w:jc w:val="start"/>
        <w:tblCaption w:val="Table 4. Methods. L2D surrogates are one-hidden-layer networks (32 ReLU units, Adam, early stopping on a 20% validation split of logged records) implemented in NumPy, since a deep-learning framework was not required for tabular inputs."/>
        <w:tblBorders>
          <w:top w:val="single" w:sz="8" w:color="000000"/>
          <w:bottom w:val="single" w:sz="8" w:color="000000"/>
          <w:insideH w:val="nil" w:sz="8" w:color="000000"/>
          <w:insideV w:val="nil" w:sz="8" w:color="000000"/>
          <w:left w:val="nil" w:sz="8" w:color="000000"/>
          <w:right w:val="nil" w:sz="8" w:color="000000"/>
        </w:tblBorders>
      </w:tblPr>
      <w:tblGrid>
        <w:gridCol w:w="1980"/>
        <w:gridCol w:w="1980"/>
        <w:gridCol w:w="1980"/>
        <w:gridCol w:w="1980"/>
      </w:tblGrid>
      <w:tr>
        <w:trPr>
          <w:tblHeader w:val="true"/>
        </w:trPr>
        <w:tc>
          <w:tcPr>
            <w:tcBorders>
              <w:bottom w:val="single" w:sz="6"/>
            </w:tcBorders>
          </w:tcPr>
          <w:p>
            <w:pPr>
              <w:pStyle w:val="Compact"/>
              <w:spacing w:after="20" w:before="20"/>
              <w:jc w:val="left"/>
            </w:pPr>
            <w:r>
              <w:rPr>
                <w:b/>
                <w:sz w:val="17"/>
              </w:rPr>
              <w:t xml:space="preserve">Method</w:t>
            </w:r>
          </w:p>
        </w:tc>
        <w:tc>
          <w:tcPr>
            <w:tcBorders>
              <w:bottom w:val="single" w:sz="6"/>
            </w:tcBorders>
          </w:tcPr>
          <w:p>
            <w:pPr>
              <w:pStyle w:val="Compact"/>
              <w:spacing w:after="20" w:before="20"/>
              <w:jc w:val="left"/>
            </w:pPr>
            <w:r>
              <w:rPr>
                <w:b/>
                <w:sz w:val="17"/>
              </w:rPr>
              <w:t xml:space="preserve">Ranking score</w:t>
            </w:r>
          </w:p>
        </w:tc>
        <w:tc>
          <w:tcPr>
            <w:tcBorders>
              <w:bottom w:val="single" w:sz="6"/>
            </w:tcBorders>
          </w:tcPr>
          <w:p>
            <w:pPr>
              <w:pStyle w:val="Compact"/>
              <w:spacing w:after="20" w:before="20"/>
              <w:jc w:val="left"/>
            </w:pPr>
            <w:r>
              <w:rPr>
                <w:b/>
                <w:sz w:val="17"/>
              </w:rPr>
              <w:t xml:space="preserve">Information</w:t>
            </w:r>
          </w:p>
        </w:tc>
        <w:tc>
          <w:tcPr>
            <w:tcBorders>
              <w:bottom w:val="single" w:sz="6"/>
            </w:tcBorders>
          </w:tcPr>
          <w:p>
            <w:pPr>
              <w:pStyle w:val="Compact"/>
              <w:spacing w:after="20" w:before="20"/>
              <w:jc w:val="left"/>
            </w:pPr>
            <w:r>
              <w:rPr>
                <w:b/>
                <w:sz w:val="17"/>
              </w:rPr>
              <w:t xml:space="preserve">Source / adaptation</w:t>
            </w:r>
          </w:p>
        </w:tc>
      </w:tr>
      <w:tr>
        <w:tc>
          <w:tcPr/>
          <w:p>
            <w:pPr>
              <w:pStyle w:val="Compact"/>
              <w:spacing w:after="20" w:before="20"/>
              <w:jc w:val="left"/>
            </w:pPr>
            <w:r>
              <w:rPr>
                <w:sz w:val="17"/>
              </w:rPr>
              <w:t xml:space="preserve">Automation only</w:t>
            </w:r>
          </w:p>
        </w:tc>
        <w:tc>
          <w:tcPr/>
          <w:p>
            <w:pPr>
              <w:pStyle w:val="Compact"/>
              <w:spacing w:after="20" w:before="20"/>
              <w:jc w:val="left"/>
            </w:pPr>
            <w:r>
              <w:rPr>
                <w:sz w:val="17"/>
              </w:rPr>
              <w:t xml:space="preserve">— (no review, rules ignored)</w:t>
            </w:r>
          </w:p>
        </w:tc>
        <w:tc>
          <w:tcPr/>
          <w:p>
            <w:pPr>
              <w:pStyle w:val="Compact"/>
              <w:spacing w:after="20" w:before="20"/>
              <w:jc w:val="left"/>
            </w:pPr>
            <w:r>
              <w:rPr>
                <w:sz w:val="17"/>
              </w:rPr>
              <w:t xml:space="preserve">—</w:t>
            </w:r>
          </w:p>
        </w:tc>
        <w:tc>
          <w:tcPr/>
          <w:p>
            <w:pPr>
              <w:pStyle w:val="Compact"/>
              <w:spacing w:after="20" w:before="20"/>
              <w:jc w:val="left"/>
            </w:pPr>
            <w:r>
              <w:rPr>
                <w:sz w:val="17"/>
              </w:rPr>
              <w:t xml:space="preserve">reference</w:t>
            </w:r>
          </w:p>
        </w:tc>
      </w:tr>
      <w:tr>
        <w:tc>
          <w:tcPr/>
          <w:p>
            <w:pPr>
              <w:pStyle w:val="Compact"/>
              <w:spacing w:after="20" w:before="20"/>
              <w:jc w:val="left"/>
            </w:pPr>
            <w:r>
              <w:rPr>
                <w:sz w:val="17"/>
              </w:rPr>
              <w:t xml:space="preserve">Random + rules</w:t>
            </w:r>
          </w:p>
        </w:tc>
        <w:tc>
          <w:tcPr/>
          <w:p>
            <w:pPr>
              <w:pStyle w:val="Compact"/>
              <w:spacing w:after="20" w:before="20"/>
              <w:jc w:val="left"/>
            </w:pPr>
            <w:r>
              <w:rPr>
                <w:sz w:val="17"/>
              </w:rPr>
              <w:t xml:space="preserve">uniform random</w:t>
            </w:r>
          </w:p>
        </w:tc>
        <w:tc>
          <w:tcPr/>
          <w:p>
            <w:pPr>
              <w:pStyle w:val="Compact"/>
              <w:spacing w:after="20" w:before="20"/>
              <w:jc w:val="left"/>
            </w:pPr>
            <w:r>
              <w:rPr>
                <w:sz w:val="17"/>
              </w:rPr>
              <w:t xml:space="preserve">—</w:t>
            </w:r>
          </w:p>
        </w:tc>
        <w:tc>
          <w:tcPr/>
          <w:p>
            <w:pPr>
              <w:pStyle w:val="Compact"/>
              <w:spacing w:after="20" w:before="20"/>
              <w:jc w:val="left"/>
            </w:pPr>
            <w:r>
              <w:rPr>
                <w:sz w:val="17"/>
              </w:rPr>
              <w:t xml:space="preserve">reference</w:t>
            </w:r>
          </w:p>
        </w:tc>
      </w:tr>
      <w:tr>
        <w:tc>
          <w:tcPr/>
          <w:p>
            <w:pPr>
              <w:pStyle w:val="Compact"/>
              <w:spacing w:after="20" w:before="20"/>
              <w:jc w:val="left"/>
            </w:pPr>
            <w:r>
              <w:rPr>
                <w:sz w:val="17"/>
              </w:rPr>
              <w:t xml:space="preserve">Confidence</w:t>
            </w:r>
          </w:p>
        </w:tc>
        <w:tc>
          <w:tcPr/>
          <w:p>
            <w:pPr>
              <w:pStyle w:val="Compact"/>
              <w:spacing w:after="20" w:before="20"/>
              <w:jc w:val="left"/>
            </w:pPr>
            <m:oMath>
              <m:r>
                <m:rPr>
                  <m:sty m:val="p"/>
                </m:rPr>
                <m:t>−</m:t>
              </m:r>
              <m:r>
                <m:rPr>
                  <m:sty m:val="p"/>
                </m:rPr>
                <m:t>|</m:t>
              </m:r>
              <m:sSub>
                <m:e>
                  <m:r>
                    <m:t>p</m:t>
                  </m:r>
                </m:e>
                <m:sub>
                  <m:r>
                    <m:t>i</m:t>
                  </m:r>
                </m:sub>
              </m:sSub>
              <m:r>
                <m:rPr>
                  <m:sty m:val="p"/>
                </m:rPr>
                <m:t>−</m:t>
              </m:r>
              <m:sSub>
                <m:e>
                  <m:r>
                    <m:t>c</m:t>
                  </m:r>
                </m:e>
                <m:sub>
                  <m:r>
                    <m:t>F</m:t>
                  </m:r>
                  <m:r>
                    <m:t>P</m:t>
                  </m:r>
                </m:sub>
              </m:sSub>
              <m:r>
                <m:rPr>
                  <m:sty m:val="p"/>
                </m:rPr>
                <m:t>/</m:t>
              </m:r>
              <m:d>
                <m:dPr>
                  <m:begChr m:val="("/>
                  <m:endChr m:val=")"/>
                  <m:sepChr m:val=""/>
                  <m:grow/>
                </m:dPr>
                <m:e>
                  <m:sSub>
                    <m:e>
                      <m:r>
                        <m:t>c</m:t>
                      </m:r>
                    </m:e>
                    <m:sub>
                      <m:r>
                        <m:t>F</m:t>
                      </m:r>
                      <m:r>
                        <m:t>P</m:t>
                      </m:r>
                    </m:sub>
                  </m:sSub>
                  <m:r>
                    <m:rPr>
                      <m:sty m:val="p"/>
                    </m:rPr>
                    <m:t>+</m:t>
                  </m:r>
                  <m:sSub>
                    <m:e>
                      <m:r>
                        <m:t>c</m:t>
                      </m:r>
                    </m:e>
                    <m:sub>
                      <m:r>
                        <m:t>F</m:t>
                      </m:r>
                      <m:r>
                        <m:t>N</m:t>
                      </m:r>
                    </m:sub>
                  </m:sSub>
                </m:e>
              </m:d>
              <m:r>
                <m:rPr>
                  <m:sty m:val="p"/>
                </m:rPr>
                <m:t>|</m:t>
              </m:r>
            </m:oMath>
          </w:p>
        </w:tc>
        <w:tc>
          <w:tcPr/>
          <w:p>
            <w:pPr>
              <w:pStyle w:val="Compact"/>
              <w:spacing w:after="20" w:before="20"/>
              <w:jc w:val="left"/>
            </w:pPr>
            <m:oMath>
              <m:r>
                <m:t>p</m:t>
              </m:r>
            </m:oMath>
          </w:p>
        </w:tc>
        <w:tc>
          <w:tcPr/>
          <w:p>
            <w:pPr>
              <w:pStyle w:val="Compact"/>
              <w:spacing w:after="20" w:before="20"/>
              <w:jc w:val="left"/>
            </w:pPr>
            <w:r>
              <w:rPr>
                <w:sz w:val="17"/>
              </w:rPr>
              <w:t xml:space="preserve">boundary uncertainty</w:t>
            </w:r>
          </w:p>
        </w:tc>
      </w:tr>
      <w:tr>
        <w:tc>
          <w:tcPr/>
          <w:p>
            <w:pPr>
              <w:pStyle w:val="Compact"/>
              <w:spacing w:after="20" w:before="20"/>
              <w:jc w:val="left"/>
            </w:pPr>
            <w:r>
              <w:rPr>
                <w:sz w:val="17"/>
              </w:rPr>
              <w:t xml:space="preserve">Chow cost risk</w:t>
            </w:r>
          </w:p>
        </w:tc>
        <w:tc>
          <w:tcPr/>
          <w:p>
            <w:pPr>
              <w:pStyle w:val="Compact"/>
              <w:spacing w:after="20" w:before="20"/>
              <w:jc w:val="left"/>
            </w:pPr>
            <m:oMath>
              <m:sSub>
                <m:e>
                  <m:r>
                    <m:t>s</m:t>
                  </m:r>
                </m:e>
                <m:sub>
                  <m:r>
                    <m:t>i</m:t>
                  </m:r>
                </m:sub>
              </m:sSub>
            </m:oMath>
          </w:p>
        </w:tc>
        <w:tc>
          <w:tcPr/>
          <w:p>
            <w:pPr>
              <w:pStyle w:val="Compact"/>
              <w:spacing w:after="20" w:before="20"/>
              <w:jc w:val="left"/>
            </w:pPr>
            <m:oMath>
              <m:r>
                <m:t>p</m:t>
              </m:r>
            </m:oMath>
          </w:p>
        </w:tc>
        <w:tc>
          <w:tcPr/>
          <w:p>
            <w:pPr>
              <w:pStyle w:val="Compact"/>
              <w:spacing w:after="20" w:before="20"/>
              <w:jc w:val="left"/>
            </w:pPr>
            <w:r>
              <w:rPr>
                <w:sz w:val="17"/>
              </w:rPr>
              <w:t xml:space="preserve">Chow’s rule [7]; constant expert cost</w:t>
            </w:r>
          </w:p>
        </w:tc>
      </w:tr>
      <w:tr>
        <w:tc>
          <w:tcPr/>
          <w:p>
            <w:pPr>
              <w:pStyle w:val="Compact"/>
              <w:spacing w:after="20" w:before="20"/>
              <w:jc w:val="left"/>
            </w:pPr>
            <w:r>
              <w:rPr>
                <w:sz w:val="17"/>
              </w:rPr>
              <w:t xml:space="preserve">Quality only</w:t>
            </w:r>
          </w:p>
        </w:tc>
        <w:tc>
          <w:tcPr/>
          <w:p>
            <w:pPr>
              <w:pStyle w:val="Compact"/>
              <w:spacing w:after="20" w:before="20"/>
              <w:jc w:val="left"/>
            </w:pPr>
            <m:oMath>
              <m:sSub>
                <m:e>
                  <m:r>
                    <m:t>u</m:t>
                  </m:r>
                </m:e>
                <m:sub>
                  <m:r>
                    <m:t>i</m:t>
                  </m:r>
                </m:sub>
              </m:sSub>
              <m:r>
                <m:rPr>
                  <m:sty m:val="p"/>
                </m:rPr>
                <m:t>+</m:t>
              </m:r>
              <m:sSub>
                <m:e>
                  <m:r>
                    <m:t>v</m:t>
                  </m:r>
                </m:e>
                <m:sub>
                  <m:r>
                    <m:t>i</m:t>
                  </m:r>
                </m:sub>
              </m:sSub>
            </m:oMath>
          </w:p>
        </w:tc>
        <w:tc>
          <w:tcPr/>
          <w:p>
            <w:pPr>
              <w:pStyle w:val="Compact"/>
              <w:spacing w:after="20" w:before="20"/>
              <w:jc w:val="left"/>
            </w:pPr>
            <m:oMath>
              <m:r>
                <m:t>u</m:t>
              </m:r>
              <m:r>
                <m:rPr>
                  <m:sty m:val="p"/>
                </m:rPr>
                <m:t>,</m:t>
              </m:r>
              <m:r>
                <m:t>v</m:t>
              </m:r>
            </m:oMath>
          </w:p>
        </w:tc>
        <w:tc>
          <w:tcPr/>
          <w:p>
            <w:pPr>
              <w:pStyle w:val="Compact"/>
              <w:spacing w:after="20" w:before="20"/>
              <w:jc w:val="left"/>
            </w:pPr>
            <w:r>
              <w:rPr>
                <w:sz w:val="17"/>
              </w:rPr>
              <w:t xml:space="preserve">reference</w:t>
            </w:r>
          </w:p>
        </w:tc>
      </w:tr>
      <w:tr>
        <w:tc>
          <w:tcPr/>
          <w:p>
            <w:pPr>
              <w:pStyle w:val="Compact"/>
              <w:spacing w:after="20" w:before="20"/>
              <w:jc w:val="left"/>
            </w:pPr>
            <w:r>
              <w:rPr>
                <w:sz w:val="17"/>
              </w:rPr>
              <w:t xml:space="preserve">Single-head gain (earlier draft)</w:t>
            </w:r>
          </w:p>
        </w:tc>
        <w:tc>
          <w:tcPr/>
          <w:p>
            <w:pPr>
              <w:pStyle w:val="Compact"/>
              <w:spacing w:after="20" w:before="20"/>
              <w:jc w:val="left"/>
            </w:pPr>
            <m:oMath>
              <m:sSub>
                <m:e>
                  <m:acc>
                    <m:accPr>
                      <m:chr m:val="̂"/>
                    </m:accPr>
                    <m:e>
                      <m:r>
                        <m:t>g</m:t>
                      </m:r>
                    </m:e>
                  </m:acc>
                </m:e>
                <m:sub>
                  <m:r>
                    <m:t>i</m:t>
                  </m:r>
                </m:sub>
              </m:sSub>
            </m:oMath>
            <w:r>
              <w:rPr>
                <w:sz w:val="17"/>
              </w:rPr>
              <w:t xml:space="preserve"> </w:t>
            </w:r>
            <w:r>
              <w:rPr>
                <w:sz w:val="17"/>
              </w:rPr>
              <w:t xml:space="preserve">from one regressor</w:t>
            </w:r>
          </w:p>
        </w:tc>
        <w:tc>
          <w:tcPr/>
          <w:p>
            <w:pPr>
              <w:pStyle w:val="Compact"/>
              <w:spacing w:after="20" w:before="20"/>
              <w:jc w:val="left"/>
            </w:pPr>
            <m:oMath>
              <m:sSub>
                <m:e>
                  <m:r>
                    <m:t>z</m:t>
                  </m:r>
                </m:e>
                <m:sub>
                  <m:r>
                    <m:t>i</m:t>
                  </m:r>
                </m:sub>
              </m:sSub>
            </m:oMath>
          </w:p>
        </w:tc>
        <w:tc>
          <w:tcPr/>
          <w:p>
            <w:pPr>
              <w:pStyle w:val="Compact"/>
              <w:spacing w:after="20" w:before="20"/>
              <w:jc w:val="left"/>
            </w:pPr>
            <w:r>
              <w:rPr>
                <w:sz w:val="17"/>
              </w:rPr>
              <w:t xml:space="preserve">logged records only</w:t>
            </w:r>
          </w:p>
        </w:tc>
      </w:tr>
      <w:tr>
        <w:tc>
          <w:tcPr/>
          <w:p>
            <w:pPr>
              <w:pStyle w:val="Compact"/>
              <w:spacing w:after="20" w:before="20"/>
              <w:jc w:val="left"/>
            </w:pPr>
            <w:r>
              <w:rPr>
                <w:sz w:val="17"/>
              </w:rPr>
              <w:t xml:space="preserve">L2D-CE</w:t>
            </w:r>
          </w:p>
        </w:tc>
        <w:tc>
          <w:tcPr/>
          <w:p>
            <w:pPr>
              <w:pStyle w:val="Compact"/>
              <w:spacing w:after="20" w:before="20"/>
              <w:jc w:val="left"/>
            </w:pPr>
            <m:oMath>
              <m:sSub>
                <m:e>
                  <m:r>
                    <m:t>g</m:t>
                  </m:r>
                </m:e>
                <m:sub>
                  <m:r>
                    <m:rPr>
                      <m:sty m:val="p"/>
                    </m:rPr>
                    <m:t>⊥</m:t>
                  </m:r>
                </m:sub>
              </m:sSub>
              <m:r>
                <m:rPr>
                  <m:sty m:val="p"/>
                </m:rPr>
                <m:t>−</m:t>
              </m:r>
              <m:sSub>
                <m:e>
                  <m:r>
                    <m:rPr>
                      <m:sty m:val="p"/>
                    </m:rPr>
                    <m:t>max</m:t>
                  </m:r>
                </m:e>
                <m:sub>
                  <m:r>
                    <m:t>y</m:t>
                  </m:r>
                </m:sub>
              </m:sSub>
              <m:sSub>
                <m:e>
                  <m:r>
                    <m:t>g</m:t>
                  </m:r>
                </m:e>
                <m:sub>
                  <m:r>
                    <m:t>y</m:t>
                  </m:r>
                </m:sub>
              </m:sSub>
            </m:oMath>
            <w:r>
              <w:rPr>
                <w:sz w:val="17"/>
              </w:rPr>
              <w:t xml:space="preserve"> </w:t>
            </w:r>
            <w:r>
              <w:rPr>
                <w:sz w:val="17"/>
              </w:rPr>
              <w:t xml:space="preserve">(softmax)</w:t>
            </w:r>
          </w:p>
        </w:tc>
        <w:tc>
          <w:tcPr/>
          <w:p>
            <w:pPr>
              <w:pStyle w:val="Compact"/>
              <w:spacing w:after="20" w:before="20"/>
              <w:jc w:val="left"/>
            </w:pPr>
            <w:r>
              <w:rPr>
                <w:sz w:val="17"/>
              </w:rPr>
              <w:t xml:space="preserve">scaled</w:t>
            </w:r>
            <w:r>
              <w:rPr>
                <w:sz w:val="17"/>
              </w:rPr>
              <w:t xml:space="preserve"> </w:t>
            </w:r>
            <m:oMath>
              <m:r>
                <m:t>x</m:t>
              </m:r>
            </m:oMath>
            <w:r>
              <w:rPr>
                <w:sz w:val="17"/>
              </w:rPr>
              <w:t xml:space="preserve">,</w:t>
            </w:r>
            <w:r>
              <w:rPr>
                <w:sz w:val="17"/>
              </w:rPr>
              <w:t xml:space="preserve"> </w:t>
            </w:r>
            <m:oMath>
              <m:r>
                <m:t>u</m:t>
              </m:r>
              <m:r>
                <m:rPr>
                  <m:sty m:val="p"/>
                </m:rPr>
                <m:t>,</m:t>
              </m:r>
              <m:r>
                <m:t>v</m:t>
              </m:r>
              <m:r>
                <m:rPr>
                  <m:sty m:val="p"/>
                </m:rPr>
                <m:t>,</m:t>
              </m:r>
              <m:r>
                <m:t>p</m:t>
              </m:r>
            </m:oMath>
          </w:p>
        </w:tc>
        <w:tc>
          <w:tcPr/>
          <w:p>
            <w:pPr>
              <w:pStyle w:val="Compact"/>
              <w:spacing w:after="20" w:before="20"/>
              <w:jc w:val="left"/>
            </w:pPr>
            <w:r>
              <w:rPr>
                <w:sz w:val="17"/>
              </w:rPr>
              <w:t xml:space="preserve">Mozannar &amp; Sontag [10], cost-sensitive weights</w:t>
            </w:r>
            <w:r>
              <w:rPr>
                <w:sz w:val="17"/>
              </w:rPr>
              <w:t xml:space="preserve"> </w:t>
            </w:r>
            <m:oMath>
              <m:sSub>
                <m:e>
                  <m:r>
                    <m:rPr>
                      <m:sty m:val="p"/>
                    </m:rPr>
                    <m:t>max</m:t>
                  </m:r>
                </m:e>
                <m:sub>
                  <m:r>
                    <m:t>j</m:t>
                  </m:r>
                </m:sub>
              </m:sSub>
              <m:sSub>
                <m:e>
                  <m:r>
                    <m:t>c</m:t>
                  </m:r>
                </m:e>
                <m:sub>
                  <m:r>
                    <m:t>j</m:t>
                  </m:r>
                </m:sub>
              </m:sSub>
              <m:r>
                <m:rPr>
                  <m:sty m:val="p"/>
                </m:rPr>
                <m:t>−</m:t>
              </m:r>
              <m:sSub>
                <m:e>
                  <m:r>
                    <m:t>c</m:t>
                  </m:r>
                </m:e>
                <m:sub>
                  <m:r>
                    <m:t>k</m:t>
                  </m:r>
                </m:sub>
              </m:sSub>
            </m:oMath>
            <w:r>
              <w:rPr>
                <w:sz w:val="17"/>
              </w:rPr>
              <w:t xml:space="preserve">, MLP(32)</w:t>
            </w:r>
          </w:p>
        </w:tc>
      </w:tr>
      <w:tr>
        <w:tc>
          <w:tcPr/>
          <w:p>
            <w:pPr>
              <w:pStyle w:val="Compact"/>
              <w:spacing w:after="20" w:before="20"/>
              <w:jc w:val="left"/>
            </w:pPr>
            <w:r>
              <w:rPr>
                <w:sz w:val="17"/>
              </w:rPr>
              <w:t xml:space="preserve">L2D-OvA</w:t>
            </w:r>
          </w:p>
        </w:tc>
        <w:tc>
          <w:tcPr/>
          <w:p>
            <w:pPr>
              <w:pStyle w:val="Compact"/>
              <w:spacing w:after="20" w:before="20"/>
              <w:jc w:val="left"/>
            </w:pPr>
            <m:oMath>
              <m:r>
                <m:t>σ</m:t>
              </m:r>
              <m:d>
                <m:dPr>
                  <m:begChr m:val="("/>
                  <m:endChr m:val=")"/>
                  <m:sepChr m:val=""/>
                  <m:grow/>
                </m:dPr>
                <m:e>
                  <m:sSub>
                    <m:e>
                      <m:r>
                        <m:t>g</m:t>
                      </m:r>
                    </m:e>
                    <m:sub>
                      <m:r>
                        <m:rPr>
                          <m:sty m:val="p"/>
                        </m:rPr>
                        <m:t>⊥</m:t>
                      </m:r>
                    </m:sub>
                  </m:sSub>
                </m:e>
              </m:d>
              <m:r>
                <m:rPr>
                  <m:sty m:val="p"/>
                </m:rPr>
                <m:t>−</m:t>
              </m:r>
              <m:sSub>
                <m:e>
                  <m:r>
                    <m:rPr>
                      <m:sty m:val="p"/>
                    </m:rPr>
                    <m:t>max</m:t>
                  </m:r>
                </m:e>
                <m:sub>
                  <m:r>
                    <m:t>y</m:t>
                  </m:r>
                </m:sub>
              </m:sSub>
              <m:r>
                <m:t>σ</m:t>
              </m:r>
              <m:d>
                <m:dPr>
                  <m:begChr m:val="("/>
                  <m:endChr m:val=")"/>
                  <m:sepChr m:val=""/>
                  <m:grow/>
                </m:dPr>
                <m:e>
                  <m:sSub>
                    <m:e>
                      <m:r>
                        <m:t>g</m:t>
                      </m:r>
                    </m:e>
                    <m:sub>
                      <m:r>
                        <m:t>y</m:t>
                      </m:r>
                    </m:sub>
                  </m:sSub>
                </m:e>
              </m:d>
            </m:oMath>
          </w:p>
        </w:tc>
        <w:tc>
          <w:tcPr/>
          <w:p>
            <w:pPr>
              <w:pStyle w:val="Compact"/>
              <w:spacing w:after="20" w:before="20"/>
              <w:jc w:val="left"/>
            </w:pPr>
            <w:r>
              <w:rPr>
                <w:sz w:val="17"/>
              </w:rPr>
              <w:t xml:space="preserve">scaled</w:t>
            </w:r>
            <w:r>
              <w:rPr>
                <w:sz w:val="17"/>
              </w:rPr>
              <w:t xml:space="preserve"> </w:t>
            </w:r>
            <m:oMath>
              <m:r>
                <m:t>x</m:t>
              </m:r>
            </m:oMath>
            <w:r>
              <w:rPr>
                <w:sz w:val="17"/>
              </w:rPr>
              <w:t xml:space="preserve">,</w:t>
            </w:r>
            <w:r>
              <w:rPr>
                <w:sz w:val="17"/>
              </w:rPr>
              <w:t xml:space="preserve"> </w:t>
            </w:r>
            <m:oMath>
              <m:r>
                <m:t>u</m:t>
              </m:r>
              <m:r>
                <m:rPr>
                  <m:sty m:val="p"/>
                </m:rPr>
                <m:t>,</m:t>
              </m:r>
              <m:r>
                <m:t>v</m:t>
              </m:r>
              <m:r>
                <m:rPr>
                  <m:sty m:val="p"/>
                </m:rPr>
                <m:t>,</m:t>
              </m:r>
              <m:r>
                <m:t>p</m:t>
              </m:r>
            </m:oMath>
          </w:p>
        </w:tc>
        <w:tc>
          <w:tcPr/>
          <w:p>
            <w:pPr>
              <w:pStyle w:val="Compact"/>
              <w:spacing w:after="20" w:before="20"/>
              <w:jc w:val="left"/>
            </w:pPr>
            <w:r>
              <w:rPr>
                <w:sz w:val="17"/>
              </w:rPr>
              <w:t xml:space="preserve">Verma &amp; Nalisnick [11], examples weighted by</w:t>
            </w:r>
            <w:r>
              <w:rPr>
                <w:sz w:val="17"/>
              </w:rPr>
              <w:t xml:space="preserve"> </w:t>
            </w:r>
            <m:oMath>
              <m:r>
                <m:t>w</m:t>
              </m:r>
              <m:d>
                <m:dPr>
                  <m:begChr m:val="("/>
                  <m:endChr m:val=")"/>
                  <m:sepChr m:val=""/>
                  <m:grow/>
                </m:dPr>
                <m:e>
                  <m:r>
                    <m:t>y</m:t>
                  </m:r>
                </m:e>
              </m:d>
            </m:oMath>
            <w:r>
              <w:rPr>
                <w:sz w:val="17"/>
              </w:rPr>
              <w:t xml:space="preserve">, MLP(32)</w:t>
            </w:r>
          </w:p>
        </w:tc>
      </w:tr>
      <w:tr>
        <w:tc>
          <w:tcPr/>
          <w:p>
            <w:pPr>
              <w:pStyle w:val="Compact"/>
              <w:spacing w:after="20" w:before="20"/>
              <w:jc w:val="left"/>
            </w:pPr>
            <w:r>
              <w:rPr>
                <w:sz w:val="17"/>
              </w:rPr>
              <w:t xml:space="preserve">Differential triage</w:t>
            </w:r>
          </w:p>
        </w:tc>
        <w:tc>
          <w:tcPr/>
          <w:p>
            <w:pPr>
              <w:pStyle w:val="Compact"/>
              <w:spacing w:after="20" w:before="20"/>
              <w:jc w:val="left"/>
            </w:pPr>
            <m:oMath>
              <m:sSup>
                <m:e>
                  <m:acc>
                    <m:accPr>
                      <m:chr m:val="̂"/>
                    </m:accPr>
                    <m:e>
                      <m:r>
                        <m:rPr>
                          <m:sty m:val="p"/>
                        </m:rPr>
                        <m:t>ℓ</m:t>
                      </m:r>
                    </m:e>
                  </m:acc>
                </m:e>
                <m:sup>
                  <m:r>
                    <m:t>A</m:t>
                  </m:r>
                </m:sup>
              </m:sSup>
              <m:r>
                <m:rPr>
                  <m:sty m:val="p"/>
                </m:rPr>
                <m:t>−</m:t>
              </m:r>
              <m:sSup>
                <m:e>
                  <m:acc>
                    <m:accPr>
                      <m:chr m:val="̂"/>
                    </m:accPr>
                    <m:e>
                      <m:r>
                        <m:rPr>
                          <m:sty m:val="p"/>
                        </m:rPr>
                        <m:t>ℓ</m:t>
                      </m:r>
                    </m:e>
                  </m:acc>
                </m:e>
                <m:sup>
                  <m:r>
                    <m:t>H</m:t>
                  </m:r>
                </m:sup>
              </m:sSup>
              <m:r>
                <m:rPr>
                  <m:sty m:val="p"/>
                </m:rPr>
                <m:t>−</m:t>
              </m:r>
              <m:sSub>
                <m:e>
                  <m:r>
                    <m:t>c</m:t>
                  </m:r>
                </m:e>
                <m:sub>
                  <m:r>
                    <m:t>R</m:t>
                  </m:r>
                </m:sub>
              </m:sSub>
            </m:oMath>
            <w:r>
              <w:rPr>
                <w:sz w:val="17"/>
              </w:rPr>
              <w:t xml:space="preserve">, ordered by gain</w:t>
            </w:r>
          </w:p>
        </w:tc>
        <w:tc>
          <w:tcPr/>
          <w:p>
            <w:pPr>
              <w:pStyle w:val="Compact"/>
              <w:spacing w:after="20" w:before="20"/>
              <w:jc w:val="left"/>
            </w:pPr>
            <m:oMath>
              <m:r>
                <m:t>p</m:t>
              </m:r>
            </m:oMath>
            <w:r>
              <w:rPr>
                <w:sz w:val="17"/>
              </w:rPr>
              <w:t xml:space="preserve">,</w:t>
            </w:r>
            <w:r>
              <w:rPr>
                <w:sz w:val="17"/>
              </w:rPr>
              <w:t xml:space="preserve"> </w:t>
            </w:r>
            <m:oMath>
              <m:r>
                <m:t>u</m:t>
              </m:r>
              <m:r>
                <m:rPr>
                  <m:sty m:val="p"/>
                </m:rPr>
                <m:t>,</m:t>
              </m:r>
              <m:r>
                <m:t>v</m:t>
              </m:r>
            </m:oMath>
            <w:r>
              <w:rPr>
                <w:sz w:val="17"/>
              </w:rPr>
              <w:t xml:space="preserve">, raw</w:t>
            </w:r>
            <w:r>
              <w:rPr>
                <w:sz w:val="17"/>
              </w:rPr>
              <w:t xml:space="preserve"> </w:t>
            </w:r>
            <m:oMath>
              <m:r>
                <m:t>x</m:t>
              </m:r>
            </m:oMath>
          </w:p>
        </w:tc>
        <w:tc>
          <w:tcPr/>
          <w:p>
            <w:pPr>
              <w:pStyle w:val="Compact"/>
              <w:spacing w:after="20" w:before="20"/>
              <w:jc w:val="left"/>
            </w:pPr>
            <w:r>
              <w:rPr>
                <w:sz w:val="17"/>
              </w:rPr>
              <w:t xml:space="preserve">Raghu et al. [13], two error models</w:t>
            </w:r>
          </w:p>
        </w:tc>
      </w:tr>
      <w:tr>
        <w:tc>
          <w:tcPr/>
          <w:p>
            <w:pPr>
              <w:pStyle w:val="Compact"/>
              <w:spacing w:after="20" w:before="20"/>
              <w:jc w:val="left"/>
            </w:pPr>
            <w:r>
              <w:rPr>
                <w:sz w:val="17"/>
              </w:rPr>
              <w:t xml:space="preserve">Two-head, probability only</w:t>
            </w:r>
          </w:p>
        </w:tc>
        <w:tc>
          <w:tcPr/>
          <w:p>
            <w:pPr>
              <w:pStyle w:val="Compact"/>
              <w:spacing w:after="20" w:before="20"/>
              <w:jc w:val="left"/>
            </w:pPr>
            <w:r>
              <w:rPr>
                <w:sz w:val="17"/>
              </w:rPr>
              <w:t xml:space="preserve">as proposed</w:t>
            </w:r>
          </w:p>
        </w:tc>
        <w:tc>
          <w:tcPr/>
          <w:p>
            <w:pPr>
              <w:pStyle w:val="Compact"/>
              <w:spacing w:after="20" w:before="20"/>
              <w:jc w:val="left"/>
            </w:pPr>
            <m:oMath>
              <m:r>
                <m:t>p</m:t>
              </m:r>
              <m:r>
                <m:rPr>
                  <m:sty m:val="p"/>
                </m:rPr>
                <m:t>,</m:t>
              </m:r>
              <m:r>
                <m:t>s</m:t>
              </m:r>
            </m:oMath>
          </w:p>
        </w:tc>
        <w:tc>
          <w:tcPr/>
          <w:p>
            <w:pPr>
              <w:pStyle w:val="Compact"/>
              <w:spacing w:after="20" w:before="20"/>
              <w:jc w:val="left"/>
            </w:pPr>
            <w:r>
              <w:rPr>
                <w:sz w:val="17"/>
              </w:rPr>
              <w:t xml:space="preserve">quality ablation</w:t>
            </w:r>
          </w:p>
        </w:tc>
      </w:tr>
      <w:tr>
        <w:tc>
          <w:tcPr/>
          <w:p>
            <w:pPr>
              <w:pStyle w:val="Compact"/>
              <w:spacing w:after="20" w:before="20"/>
              <w:jc w:val="left"/>
            </w:pPr>
            <w:r>
              <w:rPr>
                <w:bCs/>
                <w:b/>
                <w:sz w:val="17"/>
              </w:rPr>
              <w:t xml:space="preserve">Two-head, quality-aware (proposed)</w:t>
            </w:r>
          </w:p>
        </w:tc>
        <w:tc>
          <w:tcPr/>
          <w:p>
            <w:pPr>
              <w:pStyle w:val="Compact"/>
              <w:spacing w:after="20" w:before="20"/>
              <w:jc w:val="left"/>
            </w:pPr>
            <m:oMath>
              <m:sSub>
                <m:e>
                  <m:acc>
                    <m:accPr>
                      <m:chr m:val="̂"/>
                    </m:accPr>
                    <m:e>
                      <m:r>
                        <m:t>g</m:t>
                      </m:r>
                    </m:e>
                  </m:acc>
                </m:e>
                <m:sub>
                  <m:r>
                    <m:t>i</m:t>
                  </m:r>
                </m:sub>
              </m:sSub>
            </m:oMath>
            <w:r>
              <w:rPr>
                <w:sz w:val="17"/>
              </w:rPr>
              <w:t xml:space="preserve">; overload by</w:t>
            </w:r>
            <w:r>
              <w:rPr>
                <w:sz w:val="17"/>
              </w:rPr>
              <w:t xml:space="preserve"> </w:t>
            </w:r>
            <m:oMath>
              <m:sSubSup>
                <m:e>
                  <m:acc>
                    <m:accPr>
                      <m:chr m:val="̂"/>
                    </m:accPr>
                    <m:e>
                      <m:r>
                        <m:rPr>
                          <m:sty m:val="p"/>
                        </m:rPr>
                        <m:t>ℓ</m:t>
                      </m:r>
                    </m:e>
                  </m:acc>
                </m:e>
                <m:sub>
                  <m:r>
                    <m:t>i</m:t>
                  </m:r>
                </m:sub>
                <m:sup>
                  <m:r>
                    <m:t>H</m:t>
                  </m:r>
                </m:sup>
              </m:sSubSup>
            </m:oMath>
          </w:p>
        </w:tc>
        <w:tc>
          <w:tcPr/>
          <w:p>
            <w:pPr>
              <w:pStyle w:val="Compact"/>
              <w:spacing w:after="20" w:before="20"/>
              <w:jc w:val="left"/>
            </w:pPr>
            <m:oMath>
              <m:sSub>
                <m:e>
                  <m:r>
                    <m:t>z</m:t>
                  </m:r>
                </m:e>
                <m:sub>
                  <m:r>
                    <m:t>i</m:t>
                  </m:r>
                </m:sub>
              </m:sSub>
            </m:oMath>
          </w:p>
        </w:tc>
        <w:tc>
          <w:tcPr/>
          <w:p>
            <w:pPr>
              <w:pStyle w:val="Compact"/>
              <w:spacing w:after="20" w:before="20"/>
              <w:jc w:val="left"/>
            </w:pPr>
            <w:r>
              <w:rPr>
                <w:sz w:val="17"/>
              </w:rPr>
              <w:t xml:space="preserve">this paper</w:t>
            </w:r>
          </w:p>
        </w:tc>
      </w:tr>
      <w:tr>
        <w:tc>
          <w:tcPr/>
          <w:p>
            <w:pPr>
              <w:pStyle w:val="Compact"/>
              <w:spacing w:after="20" w:before="20"/>
              <w:jc w:val="left"/>
            </w:pPr>
            <w:r>
              <w:rPr>
                <w:sz w:val="17"/>
              </w:rPr>
              <w:t xml:space="preserve">Oracle</w:t>
            </w:r>
          </w:p>
        </w:tc>
        <w:tc>
          <w:tcPr/>
          <w:p>
            <w:pPr>
              <w:pStyle w:val="Compact"/>
              <w:spacing w:after="20" w:before="20"/>
              <w:jc w:val="left"/>
            </w:pPr>
            <w:r>
              <w:rPr>
                <w:sz w:val="17"/>
              </w:rPr>
              <w:t xml:space="preserve">true</w:t>
            </w:r>
            <w:r>
              <w:rPr>
                <w:sz w:val="17"/>
              </w:rPr>
              <w:t xml:space="preserve"> </w:t>
            </w:r>
            <m:oMath>
              <m:sSub>
                <m:e>
                  <m:r>
                    <m:t>g</m:t>
                  </m:r>
                </m:e>
                <m:sub>
                  <m:r>
                    <m:t>i</m:t>
                  </m:r>
                </m:sub>
              </m:sSub>
            </m:oMath>
            <w:r>
              <w:rPr>
                <w:sz w:val="17"/>
              </w:rPr>
              <w:t xml:space="preserve">, true</w:t>
            </w:r>
            <w:r>
              <w:rPr>
                <w:sz w:val="17"/>
              </w:rPr>
              <w:t xml:space="preserve"> </w:t>
            </w:r>
            <m:oMath>
              <m:sSubSup>
                <m:e>
                  <m:r>
                    <m:rPr>
                      <m:sty m:val="p"/>
                    </m:rPr>
                    <m:t>ℓ</m:t>
                  </m:r>
                </m:e>
                <m:sub>
                  <m:r>
                    <m:t>i</m:t>
                  </m:r>
                </m:sub>
                <m:sup>
                  <m:r>
                    <m:t>H</m:t>
                  </m:r>
                </m:sup>
              </m:sSubSup>
            </m:oMath>
          </w:p>
        </w:tc>
        <w:tc>
          <w:tcPr/>
          <w:p>
            <w:pPr>
              <w:pStyle w:val="Compact"/>
              <w:spacing w:after="20" w:before="20"/>
              <w:jc w:val="left"/>
            </w:pPr>
            <w:r>
              <w:rPr>
                <w:sz w:val="17"/>
              </w:rPr>
              <w:t xml:space="preserve">labels</w:t>
            </w:r>
          </w:p>
        </w:tc>
        <w:tc>
          <w:tcPr/>
          <w:p>
            <w:pPr>
              <w:pStyle w:val="Compact"/>
              <w:spacing w:after="20" w:before="20"/>
              <w:jc w:val="left"/>
            </w:pPr>
            <w:r>
              <w:rPr>
                <w:sz w:val="17"/>
              </w:rPr>
              <w:t xml:space="preserve">upper bound, not deployable</w:t>
            </w:r>
          </w:p>
        </w:tc>
      </w:tr>
    </w:tbl>
    <w:bookmarkEnd w:id="39"/>
    <w:bookmarkStart w:id="40" w:name="metrics-statistics-and-hypotheses"/>
    <w:p>
      <w:pPr>
        <w:pStyle w:val="Heading2"/>
      </w:pPr>
      <w:r>
        <w:t xml:space="preserve">4.6. Metrics, statistics and hypotheses</w:t>
      </w:r>
    </w:p>
    <w:p>
      <w:pPr>
        <w:pStyle w:val="FirstParagraph"/>
      </w:pPr>
      <w:r>
        <w:t xml:space="preserve">The primary metric is expected cost per record (Eq. 4), evaluated with true labels and expected reviewer losses. We also report review, hold and violation rates (a violation is an automated mandatory record). The primary comparison averages the three original datasets equally over the eight non-clean conditions and all five reviewer models at 20% capacity. Reviewer-specific and family-specific results are reported separately, and HMEQ is reported as an external check.</w:t>
      </w:r>
    </w:p>
    <w:p>
      <w:pPr>
        <w:pStyle w:val="BodyText"/>
      </w:pPr>
      <w:r>
        <w:t xml:space="preserve">Repeated splits reuse observations, so ordinary paired</w:t>
      </w:r>
      <w:r>
        <w:t xml:space="preserve"> </w:t>
      </w:r>
      <m:oMath>
        <m:r>
          <m:t>t</m:t>
        </m:r>
      </m:oMath>
      <w:r>
        <w:t xml:space="preserve"> </w:t>
      </w:r>
      <w:r>
        <w:t xml:space="preserve">intervals are too narrow. We use the corrected resampled</w:t>
      </w:r>
      <w:r>
        <w:t xml:space="preserve"> </w:t>
      </w:r>
      <m:oMath>
        <m:r>
          <m:t>t</m:t>
        </m:r>
      </m:oMath>
      <w:r>
        <w:t xml:space="preserve">-test of Nadeau and Bengio [47], which inflates the variance of the</w:t>
      </w:r>
      <w:r>
        <w:t xml:space="preserve"> </w:t>
      </w:r>
      <m:oMath>
        <m:r>
          <m:t>J</m:t>
        </m:r>
        <m:r>
          <m:rPr>
            <m:sty m:val="p"/>
          </m:rPr>
          <m:t>=</m:t>
        </m:r>
        <m:r>
          <m:t>20</m:t>
        </m:r>
      </m:oMath>
      <w:r>
        <w:t xml:space="preserve"> </w:t>
      </w:r>
      <w:r>
        <w:t xml:space="preserve">split-level differences by</w:t>
      </w:r>
      <w:r>
        <w:t xml:space="preserve"> </w:t>
      </w:r>
      <m:oMath>
        <m:d>
          <m:dPr>
            <m:begChr m:val="("/>
            <m:endChr m:val=")"/>
            <m:sepChr m:val=""/>
            <m:grow/>
          </m:dPr>
          <m:e>
            <m:r>
              <m:t>1</m:t>
            </m:r>
            <m:r>
              <m:rPr>
                <m:sty m:val="p"/>
              </m:rPr>
              <m:t>/</m:t>
            </m:r>
            <m:r>
              <m:t>J</m:t>
            </m:r>
            <m:r>
              <m:rPr>
                <m:sty m:val="p"/>
              </m:rPr>
              <m:t>+</m:t>
            </m:r>
            <m:sSub>
              <m:e>
                <m:r>
                  <m:t>n</m:t>
                </m:r>
              </m:e>
              <m:sub>
                <m:r>
                  <m:t>t</m:t>
                </m:r>
                <m:r>
                  <m:t>e</m:t>
                </m:r>
                <m:r>
                  <m:t>s</m:t>
                </m:r>
                <m:r>
                  <m:t>t</m:t>
                </m:r>
              </m:sub>
            </m:sSub>
            <m:r>
              <m:rPr>
                <m:sty m:val="p"/>
              </m:rPr>
              <m:t>/</m:t>
            </m:r>
            <m:sSub>
              <m:e>
                <m:r>
                  <m:t>n</m:t>
                </m:r>
              </m:e>
              <m:sub>
                <m:r>
                  <m:t>t</m:t>
                </m:r>
                <m:r>
                  <m:t>r</m:t>
                </m:r>
                <m:r>
                  <m:t>a</m:t>
                </m:r>
                <m:r>
                  <m:t>i</m:t>
                </m:r>
                <m:r>
                  <m:t>n</m:t>
                </m:r>
              </m:sub>
            </m:sSub>
          </m:e>
        </m:d>
      </m:oMath>
      <w:r>
        <w:t xml:space="preserve"> </w:t>
      </w:r>
      <w:r>
        <w:t xml:space="preserve">with</w:t>
      </w:r>
      <w:r>
        <w:t xml:space="preserve"> </w:t>
      </w:r>
      <m:oMath>
        <m:sSub>
          <m:e>
            <m:r>
              <m:t>n</m:t>
            </m:r>
          </m:e>
          <m:sub>
            <m:r>
              <m:t>t</m:t>
            </m:r>
            <m:r>
              <m:t>e</m:t>
            </m:r>
            <m:r>
              <m:t>s</m:t>
            </m:r>
            <m:r>
              <m:t>t</m:t>
            </m:r>
          </m:sub>
        </m:sSub>
        <m:r>
          <m:rPr>
            <m:sty m:val="p"/>
          </m:rPr>
          <m:t>/</m:t>
        </m:r>
        <m:sSub>
          <m:e>
            <m:r>
              <m:t>n</m:t>
            </m:r>
          </m:e>
          <m:sub>
            <m:r>
              <m:t>t</m:t>
            </m:r>
            <m:r>
              <m:t>r</m:t>
            </m:r>
            <m:r>
              <m:t>a</m:t>
            </m:r>
            <m:r>
              <m:t>i</m:t>
            </m:r>
            <m:r>
              <m:t>n</m:t>
            </m:r>
          </m:sub>
        </m:sSub>
        <m:r>
          <m:rPr>
            <m:sty m:val="p"/>
          </m:rPr>
          <m:t>=</m:t>
        </m:r>
        <m:r>
          <m:t>0.25</m:t>
        </m:r>
      </m:oMath>
      <w:r>
        <w:t xml:space="preserve">. Holm’s procedure [48] adjusts the family of planned comparisons. We also report the number of seeds (of 20) on which the proposed method has lower cost.</w:t>
      </w:r>
    </w:p>
    <w:p>
      <w:pPr>
        <w:pStyle w:val="BodyText"/>
      </w:pPr>
      <w:r>
        <w:t xml:space="preserve">Before running the revised experiments we fixed four hypotheses:</w:t>
      </w:r>
    </w:p>
    <w:p>
      <w:pPr>
        <w:numPr>
          <w:ilvl w:val="0"/>
          <w:numId w:val="1003"/>
        </w:numPr>
        <w:pStyle w:val="Compact"/>
      </w:pPr>
      <w:r>
        <w:rPr>
          <w:bCs/>
          <w:b/>
        </w:rPr>
        <w:t xml:space="preserve">H1 (coupled value).</w:t>
      </w:r>
      <w:r>
        <w:t xml:space="preserve"> </w:t>
      </w:r>
      <w:r>
        <w:t xml:space="preserve">Quality-aware two-head routing has lower cost than probability-only two-head routing when reviewer error depends on observable quality and defects are visible (quality-coupled reviewer, Family A).</w:t>
      </w:r>
    </w:p>
    <w:p>
      <w:pPr>
        <w:numPr>
          <w:ilvl w:val="0"/>
          <w:numId w:val="1003"/>
        </w:numPr>
        <w:pStyle w:val="Compact"/>
      </w:pPr>
      <w:r>
        <w:rPr>
          <w:bCs/>
          <w:b/>
        </w:rPr>
        <w:t xml:space="preserve">H2 (decoupled null).</w:t>
      </w:r>
      <w:r>
        <w:t xml:space="preserve"> </w:t>
      </w:r>
      <w:r>
        <w:t xml:space="preserve">The advantage shrinks toward zero when reviewer error does not depend on observable quality or when defects are invisible (Family B).</w:t>
      </w:r>
    </w:p>
    <w:p>
      <w:pPr>
        <w:numPr>
          <w:ilvl w:val="0"/>
          <w:numId w:val="1003"/>
        </w:numPr>
        <w:pStyle w:val="Compact"/>
      </w:pPr>
      <w:r>
        <w:rPr>
          <w:bCs/>
          <w:b/>
        </w:rPr>
        <w:t xml:space="preserve">H3 (overload ordering).</w:t>
      </w:r>
      <w:r>
        <w:t xml:space="preserve"> </w:t>
      </w:r>
      <w:r>
        <w:t xml:space="preserve">Under severe shift, ordering mandatory records by</w:t>
      </w:r>
      <w:r>
        <w:t xml:space="preserve"> </w:t>
      </w:r>
      <m:oMath>
        <m:sSup>
          <m:e>
            <m:acc>
              <m:accPr>
                <m:chr m:val="̂"/>
              </m:accPr>
              <m:e>
                <m:r>
                  <m:rPr>
                    <m:sty m:val="p"/>
                  </m:rPr>
                  <m:t>ℓ</m:t>
                </m:r>
              </m:e>
            </m:acc>
          </m:e>
          <m:sup>
            <m:r>
              <m:t>H</m:t>
            </m:r>
          </m:sup>
        </m:sSup>
      </m:oMath>
      <w:r>
        <w:t xml:space="preserve"> </w:t>
      </w:r>
      <w:r>
        <w:t xml:space="preserve">yields lower cost than ordering by</w:t>
      </w:r>
      <w:r>
        <w:t xml:space="preserve"> </w:t>
      </w:r>
      <m:oMath>
        <m:acc>
          <m:accPr>
            <m:chr m:val="̂"/>
          </m:accPr>
          <m:e>
            <m:r>
              <m:t>g</m:t>
            </m:r>
          </m:e>
        </m:acc>
      </m:oMath>
      <w:r>
        <w:t xml:space="preserve">.</w:t>
      </w:r>
    </w:p>
    <w:p>
      <w:pPr>
        <w:numPr>
          <w:ilvl w:val="0"/>
          <w:numId w:val="1003"/>
        </w:numPr>
        <w:pStyle w:val="Compact"/>
      </w:pPr>
      <w:r>
        <w:rPr>
          <w:bCs/>
          <w:b/>
        </w:rPr>
        <w:t xml:space="preserve">H4 (log efficiency).</w:t>
      </w:r>
      <w:r>
        <w:t xml:space="preserve"> </w:t>
      </w:r>
      <w:r>
        <w:t xml:space="preserve">With incomplete logs, the two-head estimator has lower cost than the single-head estimator, and the difference narrows as logs become complete.</w:t>
      </w:r>
    </w:p>
    <w:bookmarkEnd w:id="40"/>
    <w:bookmarkStart w:id="41" w:name="multi-period-backlog-simulation"/>
    <w:p>
      <w:pPr>
        <w:pStyle w:val="Heading2"/>
      </w:pPr>
      <w:r>
        <w:t xml:space="preserve">4.7. Multi-period backlog simulation</w:t>
      </w:r>
    </w:p>
    <w:p>
      <w:pPr>
        <w:pStyle w:val="FirstParagraph"/>
      </w:pPr>
      <w:r>
        <w:t xml:space="preserve">To measure managerial outcomes we simulate 40 periods (</w:t>
      </w:r>
      <w:r>
        <w:t xml:space="preserve">“</w:t>
      </w:r>
      <w:r>
        <w:t xml:space="preserve">days</w:t>
      </w:r>
      <w:r>
        <w:t xml:space="preserve">”</w:t>
      </w:r>
      <w:r>
        <w:t xml:space="preserve">) of 100 arrivals each, drawn with replacement from the test partition. Data quality is</w:t>
      </w:r>
      <w:r>
        <w:t xml:space="preserve"> </w:t>
      </w:r>
      <w:r>
        <w:rPr>
          <w:iCs/>
          <w:i/>
        </w:rPr>
        <w:t xml:space="preserve">mixed</w:t>
      </w:r>
      <w:r>
        <w:t xml:space="preserve"> </w:t>
      </w:r>
      <w:r>
        <w:t xml:space="preserve">on days 1–10 and 21–40 and</w:t>
      </w:r>
      <w:r>
        <w:t xml:space="preserve"> </w:t>
      </w:r>
      <w:r>
        <w:rPr>
          <w:iCs/>
          <w:i/>
        </w:rPr>
        <w:t xml:space="preserve">severe shift</w:t>
      </w:r>
      <w:r>
        <w:t xml:space="preserve"> </w:t>
      </w:r>
      <w:r>
        <w:t xml:space="preserve">on days 11–20, a ten-day deterioration episode. Held mandatory records are carried forward. The router is fitted once and not refitted. Capacity per day ranges from 10% to 70% of arrivals. We compare three prioritisation rules for mandatory records: first-in-first-out (FIFO), the cost-exact rule of Proposition 1b (lowest</w:t>
      </w:r>
      <w:r>
        <w:t xml:space="preserve"> </w:t>
      </w:r>
      <m:oMath>
        <m:sSup>
          <m:e>
            <m:acc>
              <m:accPr>
                <m:chr m:val="̂"/>
              </m:accPr>
              <m:e>
                <m:r>
                  <m:rPr>
                    <m:sty m:val="p"/>
                  </m:rPr>
                  <m:t>ℓ</m:t>
                </m:r>
              </m:e>
            </m:acc>
          </m:e>
          <m:sup>
            <m:r>
              <m:t>H</m:t>
            </m:r>
          </m:sup>
        </m:sSup>
      </m:oMath>
      <w:r>
        <w:t xml:space="preserve"> </w:t>
      </w:r>
      <w:r>
        <w:t xml:space="preserve">first), and the gain ordering of the earlier draft. Each held record incurs a waiting cost of 0.25 per day, and records unresolved at day 40 incur</w:t>
      </w:r>
      <w:r>
        <w:t xml:space="preserve"> </w:t>
      </w:r>
      <m:oMath>
        <m:sSub>
          <m:e>
            <m:r>
              <m:t>c</m:t>
            </m:r>
          </m:e>
          <m:sub>
            <m:r>
              <m:t>H</m:t>
            </m:r>
          </m:sub>
        </m:sSub>
        <m:r>
          <m:rPr>
            <m:sty m:val="p"/>
          </m:rPr>
          <m:t>=</m:t>
        </m:r>
        <m:r>
          <m:t>1.5</m:t>
        </m:r>
      </m:oMath>
      <w:r>
        <w:t xml:space="preserve">. Outcomes are cost per arrival, cost per completed case, completion rate, backlog, waiting time (mean and 95th percentile), the share of mandatory cases resolved within two days (SLA-2), reviewer override rate (sampled reviewer decision differs from the model decision), and capacity utilisation. Ten seeds per dataset are used, with the quality-coupled and feature-dependent reviewers.</w:t>
      </w:r>
    </w:p>
    <w:bookmarkEnd w:id="41"/>
    <w:bookmarkEnd w:id="42"/>
    <w:bookmarkStart w:id="64" w:name="results"/>
    <w:p>
      <w:pPr>
        <w:pStyle w:val="Heading1"/>
      </w:pPr>
      <w:r>
        <w:t xml:space="preserve">5. Results</w:t>
      </w:r>
    </w:p>
    <w:bookmarkStart w:id="43" w:name="replication-of-the-earlier-draft"/>
    <w:p>
      <w:pPr>
        <w:pStyle w:val="Heading2"/>
      </w:pPr>
      <w:r>
        <w:t xml:space="preserve">5.1. Replication of the earlier draft</w:t>
      </w:r>
    </w:p>
    <w:p>
      <w:pPr>
        <w:pStyle w:val="FirstParagraph"/>
      </w:pPr>
      <w:r>
        <w:t xml:space="preserve">We first reran the earlier protocol (oracle reviewer-loss targets, single-head gain models, quality-coupled reviewer, Family A, 20% capacity) in the reimplemented pipeline. Absolute values differ from the draft because the code was rebuilt from the manuscript description, but the pattern is the same. Quality-aware single-head gain cost 0.6121 versus 0.6150 for feature-aware gain, a paired difference of 0.0028 in its favour. The naive split interval was [−0.0009, 0.0066] and the corrected interval [−0.0064, 0.0120] (p = 0.53). The draft reported a difference of 0.0012 with interval [−0.0022, 0.0046]. As in the draft, the advantage came from the default dataset (0.6341 vs 0.6417) and reversed on Australian credit (0.5243 vs 0.5234). Confidence (0.6106) and Chow cost risk (0.6105) were again at least as good. Replacing oracle targets with noisy, incomplete logs raised the Family A cost of every learned method by 0.2–0.7% (0.6048→0.6085 for the two-head model) and left the heuristics unchanged, because they use no reviewer data.</w:t>
      </w:r>
    </w:p>
    <w:bookmarkEnd w:id="43"/>
    <w:bookmarkStart w:id="47" w:name="X43d95e72e2a0d95f0e3723cdea901f87c1704a0"/>
    <w:p>
      <w:pPr>
        <w:pStyle w:val="Heading2"/>
      </w:pPr>
      <w:r>
        <w:t xml:space="preserve">5.2. Main comparison against published methods</w:t>
      </w:r>
    </w:p>
    <w:p>
      <w:pPr>
        <w:pStyle w:val="FirstParagraph"/>
      </w:pPr>
      <w:r>
        <w:t xml:space="preserve">Table 5 reports the primary comparison: three datasets, eight non-clean conditions and 20% capacity, under each reviewer model. All rule-constrained methods reviewed 19.8% of records, held 6.0% and had no rule violations, so differences in cost reflect</w:t>
      </w:r>
      <w:r>
        <w:t xml:space="preserve"> </w:t>
      </w:r>
      <w:r>
        <w:rPr>
          <w:iCs/>
          <w:i/>
        </w:rPr>
        <w:t xml:space="preserve">which</w:t>
      </w:r>
      <w:r>
        <w:t xml:space="preserve"> </w:t>
      </w:r>
      <w:r>
        <w:t xml:space="preserve">records were reviewed. Among methods that learn from review logs, the proposed two-head quality-aware router had the lowest macro cost (0.5355), ahead of the earlier single-head design (0.5362), differential triage (0.5372), probability-only two-head (0.5381), L2D-OvA (0.5421) and L2D-CE (0.5461). The two simple cost-aware heuristics were lower still: Chow cost risk at 0.5291 and confidence at 0.5295. The oracle bound (0.3773) shows that most of the available improvement over these heuristics remains unrealised by every method.</w:t>
      </w:r>
    </w:p>
    <w:p>
      <w:pPr>
        <w:pStyle w:val="TableCaption"/>
      </w:pPr>
      <w:r>
        <w:t xml:space="preserve">Table 5. Expected cost per record at 20% capacity (lower is better), averaged over German, Australian and default datasets, eight non-clean conditions and 20 splits. Learned methods are trained on noisy, incomplete review logs. Bold marks the lowest deployable cost in each column. Automation only ignores the rules (12.6% of records violate them).</w:t>
      </w:r>
    </w:p>
    <w:tbl>
      <w:tblPr>
        <w:tblStyle w:val="Table"/>
        <w:tblW w:type="pct" w:w="5000"/>
        <w:tblLook w:firstRow="1" w:lastRow="0" w:firstColumn="0" w:lastColumn="0" w:noHBand="0" w:noVBand="0" w:val="0020"/>
        <w:jc w:val="start"/>
        <w:tblCaption w:val="Table 5. Expected cost per record at 20% capacity (lower is better), averaged over German, Australian and default datasets, eight non-clean conditions and 20 splits. Learned methods are trained on noisy, incomplete review logs. Bold marks the lowest deployable cost in each column. Automation only ignores the rules (12.6% of records violate them)."/>
        <w:tblBorders>
          <w:top w:val="single" w:sz="8" w:color="000000"/>
          <w:bottom w:val="single" w:sz="8" w:color="000000"/>
          <w:insideH w:val="nil" w:sz="8" w:color="000000"/>
          <w:insideV w:val="nil" w:sz="8" w:color="000000"/>
          <w:left w:val="nil" w:sz="8" w:color="000000"/>
          <w:right w:val="nil" w:sz="8" w:color="000000"/>
        </w:tblBorders>
      </w:tblPr>
      <w:tblGrid>
        <w:gridCol w:w="1131"/>
        <w:gridCol w:w="1131"/>
        <w:gridCol w:w="1131"/>
        <w:gridCol w:w="1131"/>
        <w:gridCol w:w="1131"/>
        <w:gridCol w:w="1131"/>
        <w:gridCol w:w="1131"/>
      </w:tblGrid>
      <w:tr>
        <w:trPr>
          <w:tblHeader w:val="true"/>
        </w:trPr>
        <w:tc>
          <w:tcPr>
            <w:tcBorders>
              <w:bottom w:val="single" w:sz="6"/>
            </w:tcBorders>
          </w:tcPr>
          <w:p>
            <w:pPr>
              <w:pStyle w:val="Compact"/>
              <w:spacing w:after="20" w:before="20"/>
              <w:jc w:val="left"/>
            </w:pPr>
            <w:r>
              <w:rPr>
                <w:b/>
                <w:sz w:val="17"/>
              </w:rPr>
              <w:t xml:space="preserve">Method</w:t>
            </w:r>
          </w:p>
        </w:tc>
        <w:tc>
          <w:tcPr>
            <w:tcBorders>
              <w:bottom w:val="single" w:sz="6"/>
            </w:tcBorders>
          </w:tcPr>
          <w:p>
            <w:pPr>
              <w:pStyle w:val="Compact"/>
              <w:spacing w:after="20" w:before="20"/>
              <w:jc w:val="left"/>
            </w:pPr>
            <w:r>
              <w:rPr>
                <w:b/>
                <w:sz w:val="17"/>
              </w:rPr>
              <w:t xml:space="preserve">Constant</w:t>
            </w:r>
          </w:p>
        </w:tc>
        <w:tc>
          <w:tcPr>
            <w:tcBorders>
              <w:bottom w:val="single" w:sz="6"/>
            </w:tcBorders>
          </w:tcPr>
          <w:p>
            <w:pPr>
              <w:pStyle w:val="Compact"/>
              <w:spacing w:after="20" w:before="20"/>
              <w:jc w:val="left"/>
            </w:pPr>
            <w:r>
              <w:rPr>
                <w:b/>
                <w:sz w:val="17"/>
              </w:rPr>
              <w:t xml:space="preserve">Quality-coupled</w:t>
            </w:r>
          </w:p>
        </w:tc>
        <w:tc>
          <w:tcPr>
            <w:tcBorders>
              <w:bottom w:val="single" w:sz="6"/>
            </w:tcBorders>
          </w:tcPr>
          <w:p>
            <w:pPr>
              <w:pStyle w:val="Compact"/>
              <w:spacing w:after="20" w:before="20"/>
              <w:jc w:val="left"/>
            </w:pPr>
            <w:r>
              <w:rPr>
                <w:b/>
                <w:sz w:val="17"/>
              </w:rPr>
              <w:t xml:space="preserve">Feature-dep.</w:t>
            </w:r>
          </w:p>
        </w:tc>
        <w:tc>
          <w:tcPr>
            <w:tcBorders>
              <w:bottom w:val="single" w:sz="6"/>
            </w:tcBorders>
          </w:tcPr>
          <w:p>
            <w:pPr>
              <w:pStyle w:val="Compact"/>
              <w:spacing w:after="20" w:before="20"/>
              <w:jc w:val="left"/>
            </w:pPr>
            <w:r>
              <w:rPr>
                <w:b/>
                <w:sz w:val="17"/>
              </w:rPr>
              <w:t xml:space="preserve">AI-correlated</w:t>
            </w:r>
          </w:p>
        </w:tc>
        <w:tc>
          <w:tcPr>
            <w:tcBorders>
              <w:bottom w:val="single" w:sz="6"/>
            </w:tcBorders>
          </w:tcPr>
          <w:p>
            <w:pPr>
              <w:pStyle w:val="Compact"/>
              <w:spacing w:after="20" w:before="20"/>
              <w:jc w:val="left"/>
            </w:pPr>
            <w:r>
              <w:rPr>
                <w:b/>
                <w:sz w:val="17"/>
              </w:rPr>
              <w:t xml:space="preserve">Adverse</w:t>
            </w:r>
          </w:p>
        </w:tc>
        <w:tc>
          <w:tcPr>
            <w:tcBorders>
              <w:bottom w:val="single" w:sz="6"/>
            </w:tcBorders>
          </w:tcPr>
          <w:p>
            <w:pPr>
              <w:pStyle w:val="Compact"/>
              <w:spacing w:after="20" w:before="20"/>
              <w:jc w:val="left"/>
            </w:pPr>
            <w:r>
              <w:rPr>
                <w:b/>
                <w:sz w:val="17"/>
              </w:rPr>
              <w:t xml:space="preserve">Macro</w:t>
            </w:r>
          </w:p>
        </w:tc>
      </w:tr>
      <w:tr>
        <w:tc>
          <w:tcPr/>
          <w:p>
            <w:pPr>
              <w:pStyle w:val="Compact"/>
              <w:spacing w:after="20" w:before="20"/>
              <w:jc w:val="left"/>
            </w:pPr>
            <w:r>
              <w:rPr>
                <w:sz w:val="17"/>
              </w:rPr>
              <w:t xml:space="preserve">Automation only (no rules)</w:t>
            </w:r>
          </w:p>
        </w:tc>
        <w:tc>
          <w:tcPr/>
          <w:p>
            <w:pPr>
              <w:pStyle w:val="Compact"/>
              <w:spacing w:after="20" w:before="20"/>
              <w:jc w:val="left"/>
            </w:pPr>
            <w:r>
              <w:rPr>
                <w:sz w:val="17"/>
              </w:rPr>
              <w:t xml:space="preserve">0.5530</w:t>
            </w:r>
          </w:p>
        </w:tc>
        <w:tc>
          <w:tcPr/>
          <w:p>
            <w:pPr>
              <w:pStyle w:val="Compact"/>
              <w:spacing w:after="20" w:before="20"/>
              <w:jc w:val="left"/>
            </w:pPr>
            <w:r>
              <w:rPr>
                <w:sz w:val="17"/>
              </w:rPr>
              <w:t xml:space="preserve">0.5530</w:t>
            </w:r>
          </w:p>
        </w:tc>
        <w:tc>
          <w:tcPr/>
          <w:p>
            <w:pPr>
              <w:pStyle w:val="Compact"/>
              <w:spacing w:after="20" w:before="20"/>
              <w:jc w:val="left"/>
            </w:pPr>
            <w:r>
              <w:rPr>
                <w:sz w:val="17"/>
              </w:rPr>
              <w:t xml:space="preserve">0.5530</w:t>
            </w:r>
          </w:p>
        </w:tc>
        <w:tc>
          <w:tcPr/>
          <w:p>
            <w:pPr>
              <w:pStyle w:val="Compact"/>
              <w:spacing w:after="20" w:before="20"/>
              <w:jc w:val="left"/>
            </w:pPr>
            <w:r>
              <w:rPr>
                <w:sz w:val="17"/>
              </w:rPr>
              <w:t xml:space="preserve">0.5530</w:t>
            </w:r>
          </w:p>
        </w:tc>
        <w:tc>
          <w:tcPr/>
          <w:p>
            <w:pPr>
              <w:pStyle w:val="Compact"/>
              <w:spacing w:after="20" w:before="20"/>
              <w:jc w:val="left"/>
            </w:pPr>
            <w:r>
              <w:rPr>
                <w:sz w:val="17"/>
              </w:rPr>
              <w:t xml:space="preserve">0.5530</w:t>
            </w:r>
          </w:p>
        </w:tc>
        <w:tc>
          <w:tcPr/>
          <w:p>
            <w:pPr>
              <w:pStyle w:val="Compact"/>
              <w:spacing w:after="20" w:before="20"/>
              <w:jc w:val="left"/>
            </w:pPr>
            <w:r>
              <w:rPr>
                <w:sz w:val="17"/>
              </w:rPr>
              <w:t xml:space="preserve">0.5530</w:t>
            </w:r>
          </w:p>
        </w:tc>
      </w:tr>
      <w:tr>
        <w:tc>
          <w:tcPr/>
          <w:p>
            <w:pPr>
              <w:pStyle w:val="Compact"/>
              <w:spacing w:after="20" w:before="20"/>
              <w:jc w:val="left"/>
            </w:pPr>
            <w:r>
              <w:rPr>
                <w:sz w:val="17"/>
              </w:rPr>
              <w:t xml:space="preserve">Random + rules</w:t>
            </w:r>
          </w:p>
        </w:tc>
        <w:tc>
          <w:tcPr/>
          <w:p>
            <w:pPr>
              <w:pStyle w:val="Compact"/>
              <w:spacing w:after="20" w:before="20"/>
              <w:jc w:val="left"/>
            </w:pPr>
            <w:r>
              <w:rPr>
                <w:sz w:val="17"/>
              </w:rPr>
              <w:t xml:space="preserve">0.5414</w:t>
            </w:r>
          </w:p>
        </w:tc>
        <w:tc>
          <w:tcPr/>
          <w:p>
            <w:pPr>
              <w:pStyle w:val="Compact"/>
              <w:spacing w:after="20" w:before="20"/>
              <w:jc w:val="left"/>
            </w:pPr>
            <w:r>
              <w:rPr>
                <w:sz w:val="17"/>
              </w:rPr>
              <w:t xml:space="preserve">0.5638</w:t>
            </w:r>
          </w:p>
        </w:tc>
        <w:tc>
          <w:tcPr/>
          <w:p>
            <w:pPr>
              <w:pStyle w:val="Compact"/>
              <w:spacing w:after="20" w:before="20"/>
              <w:jc w:val="left"/>
            </w:pPr>
            <w:r>
              <w:rPr>
                <w:sz w:val="17"/>
              </w:rPr>
              <w:t xml:space="preserve">0.5609</w:t>
            </w:r>
          </w:p>
        </w:tc>
        <w:tc>
          <w:tcPr/>
          <w:p>
            <w:pPr>
              <w:pStyle w:val="Compact"/>
              <w:spacing w:after="20" w:before="20"/>
              <w:jc w:val="left"/>
            </w:pPr>
            <w:r>
              <w:rPr>
                <w:sz w:val="17"/>
              </w:rPr>
              <w:t xml:space="preserve">0.5689</w:t>
            </w:r>
          </w:p>
        </w:tc>
        <w:tc>
          <w:tcPr/>
          <w:p>
            <w:pPr>
              <w:pStyle w:val="Compact"/>
              <w:spacing w:after="20" w:before="20"/>
              <w:jc w:val="left"/>
            </w:pPr>
            <w:r>
              <w:rPr>
                <w:sz w:val="17"/>
              </w:rPr>
              <w:t xml:space="preserve">0.6135</w:t>
            </w:r>
          </w:p>
        </w:tc>
        <w:tc>
          <w:tcPr/>
          <w:p>
            <w:pPr>
              <w:pStyle w:val="Compact"/>
              <w:spacing w:after="20" w:before="20"/>
              <w:jc w:val="left"/>
            </w:pPr>
            <w:r>
              <w:rPr>
                <w:sz w:val="17"/>
              </w:rPr>
              <w:t xml:space="preserve">0.5697</w:t>
            </w:r>
          </w:p>
        </w:tc>
      </w:tr>
      <w:tr>
        <w:tc>
          <w:tcPr/>
          <w:p>
            <w:pPr>
              <w:pStyle w:val="Compact"/>
              <w:spacing w:after="20" w:before="20"/>
              <w:jc w:val="left"/>
            </w:pPr>
            <w:r>
              <w:rPr>
                <w:sz w:val="17"/>
              </w:rPr>
              <w:t xml:space="preserve">Confidence</w:t>
            </w:r>
          </w:p>
        </w:tc>
        <w:tc>
          <w:tcPr/>
          <w:p>
            <w:pPr>
              <w:pStyle w:val="Compact"/>
              <w:spacing w:after="20" w:before="20"/>
              <w:jc w:val="left"/>
            </w:pPr>
            <w:r>
              <w:rPr>
                <w:sz w:val="17"/>
              </w:rPr>
              <w:t xml:space="preserve">0.5033</w:t>
            </w:r>
          </w:p>
        </w:tc>
        <w:tc>
          <w:tcPr/>
          <w:p>
            <w:pPr>
              <w:pStyle w:val="Compact"/>
              <w:spacing w:after="20" w:before="20"/>
              <w:jc w:val="left"/>
            </w:pPr>
            <w:r>
              <w:rPr>
                <w:sz w:val="17"/>
              </w:rPr>
              <w:t xml:space="preserve">0.5252</w:t>
            </w:r>
          </w:p>
        </w:tc>
        <w:tc>
          <w:tcPr/>
          <w:p>
            <w:pPr>
              <w:pStyle w:val="Compact"/>
              <w:spacing w:after="20" w:before="20"/>
              <w:jc w:val="left"/>
            </w:pPr>
            <w:r>
              <w:rPr>
                <w:sz w:val="17"/>
              </w:rPr>
              <w:t xml:space="preserve">0.5191</w:t>
            </w:r>
          </w:p>
        </w:tc>
        <w:tc>
          <w:tcPr/>
          <w:p>
            <w:pPr>
              <w:pStyle w:val="Compact"/>
              <w:spacing w:after="20" w:before="20"/>
              <w:jc w:val="left"/>
            </w:pPr>
            <w:r>
              <w:rPr>
                <w:bCs/>
                <w:b/>
                <w:sz w:val="17"/>
              </w:rPr>
              <w:t xml:space="preserve">0.5375</w:t>
            </w:r>
          </w:p>
        </w:tc>
        <w:tc>
          <w:tcPr/>
          <w:p>
            <w:pPr>
              <w:pStyle w:val="Compact"/>
              <w:spacing w:after="20" w:before="20"/>
              <w:jc w:val="left"/>
            </w:pPr>
            <w:r>
              <w:rPr>
                <w:bCs/>
                <w:b/>
                <w:sz w:val="17"/>
              </w:rPr>
              <w:t xml:space="preserve">0.5621</w:t>
            </w:r>
          </w:p>
        </w:tc>
        <w:tc>
          <w:tcPr/>
          <w:p>
            <w:pPr>
              <w:pStyle w:val="Compact"/>
              <w:spacing w:after="20" w:before="20"/>
              <w:jc w:val="left"/>
            </w:pPr>
            <w:r>
              <w:rPr>
                <w:sz w:val="17"/>
              </w:rPr>
              <w:t xml:space="preserve">0.5295</w:t>
            </w:r>
          </w:p>
        </w:tc>
      </w:tr>
      <w:tr>
        <w:tc>
          <w:tcPr/>
          <w:p>
            <w:pPr>
              <w:pStyle w:val="Compact"/>
              <w:spacing w:after="20" w:before="20"/>
              <w:jc w:val="left"/>
            </w:pPr>
            <w:r>
              <w:rPr>
                <w:sz w:val="17"/>
              </w:rPr>
              <w:t xml:space="preserve">Chow cost risk</w:t>
            </w:r>
          </w:p>
        </w:tc>
        <w:tc>
          <w:tcPr/>
          <w:p>
            <w:pPr>
              <w:pStyle w:val="Compact"/>
              <w:spacing w:after="20" w:before="20"/>
              <w:jc w:val="left"/>
            </w:pPr>
            <w:r>
              <w:rPr>
                <w:bCs/>
                <w:b/>
                <w:sz w:val="17"/>
              </w:rPr>
              <w:t xml:space="preserve">0.5015</w:t>
            </w:r>
          </w:p>
        </w:tc>
        <w:tc>
          <w:tcPr/>
          <w:p>
            <w:pPr>
              <w:pStyle w:val="Compact"/>
              <w:spacing w:after="20" w:before="20"/>
              <w:jc w:val="left"/>
            </w:pPr>
            <w:r>
              <w:rPr>
                <w:bCs/>
                <w:b/>
                <w:sz w:val="17"/>
              </w:rPr>
              <w:t xml:space="preserve">0.5242</w:t>
            </w:r>
          </w:p>
        </w:tc>
        <w:tc>
          <w:tcPr/>
          <w:p>
            <w:pPr>
              <w:pStyle w:val="Compact"/>
              <w:spacing w:after="20" w:before="20"/>
              <w:jc w:val="left"/>
            </w:pPr>
            <w:r>
              <w:rPr>
                <w:bCs/>
                <w:b/>
                <w:sz w:val="17"/>
              </w:rPr>
              <w:t xml:space="preserve">0.5184</w:t>
            </w:r>
          </w:p>
        </w:tc>
        <w:tc>
          <w:tcPr/>
          <w:p>
            <w:pPr>
              <w:pStyle w:val="Compact"/>
              <w:spacing w:after="20" w:before="20"/>
              <w:jc w:val="left"/>
            </w:pPr>
            <w:r>
              <w:rPr>
                <w:sz w:val="17"/>
              </w:rPr>
              <w:t xml:space="preserve">0.5377</w:t>
            </w:r>
          </w:p>
        </w:tc>
        <w:tc>
          <w:tcPr/>
          <w:p>
            <w:pPr>
              <w:pStyle w:val="Compact"/>
              <w:spacing w:after="20" w:before="20"/>
              <w:jc w:val="left"/>
            </w:pPr>
            <w:r>
              <w:rPr>
                <w:sz w:val="17"/>
              </w:rPr>
              <w:t xml:space="preserve">0.5640</w:t>
            </w:r>
          </w:p>
        </w:tc>
        <w:tc>
          <w:tcPr/>
          <w:p>
            <w:pPr>
              <w:pStyle w:val="Compact"/>
              <w:spacing w:after="20" w:before="20"/>
              <w:jc w:val="left"/>
            </w:pPr>
            <w:r>
              <w:rPr>
                <w:bCs/>
                <w:b/>
                <w:sz w:val="17"/>
              </w:rPr>
              <w:t xml:space="preserve">0.5291</w:t>
            </w:r>
          </w:p>
        </w:tc>
      </w:tr>
      <w:tr>
        <w:tc>
          <w:tcPr/>
          <w:p>
            <w:pPr>
              <w:pStyle w:val="Compact"/>
              <w:spacing w:after="20" w:before="20"/>
              <w:jc w:val="left"/>
            </w:pPr>
            <w:r>
              <w:rPr>
                <w:sz w:val="17"/>
              </w:rPr>
              <w:t xml:space="preserve">Quality only</w:t>
            </w:r>
          </w:p>
        </w:tc>
        <w:tc>
          <w:tcPr/>
          <w:p>
            <w:pPr>
              <w:pStyle w:val="Compact"/>
              <w:spacing w:after="20" w:before="20"/>
              <w:jc w:val="left"/>
            </w:pPr>
            <w:r>
              <w:rPr>
                <w:sz w:val="17"/>
              </w:rPr>
              <w:t xml:space="preserve">0.5390</w:t>
            </w:r>
          </w:p>
        </w:tc>
        <w:tc>
          <w:tcPr/>
          <w:p>
            <w:pPr>
              <w:pStyle w:val="Compact"/>
              <w:spacing w:after="20" w:before="20"/>
              <w:jc w:val="left"/>
            </w:pPr>
            <w:r>
              <w:rPr>
                <w:sz w:val="17"/>
              </w:rPr>
              <w:t xml:space="preserve">0.5787</w:t>
            </w:r>
          </w:p>
        </w:tc>
        <w:tc>
          <w:tcPr/>
          <w:p>
            <w:pPr>
              <w:pStyle w:val="Compact"/>
              <w:spacing w:after="20" w:before="20"/>
              <w:jc w:val="left"/>
            </w:pPr>
            <w:r>
              <w:rPr>
                <w:sz w:val="17"/>
              </w:rPr>
              <w:t xml:space="preserve">0.5615</w:t>
            </w:r>
          </w:p>
        </w:tc>
        <w:tc>
          <w:tcPr/>
          <w:p>
            <w:pPr>
              <w:pStyle w:val="Compact"/>
              <w:spacing w:after="20" w:before="20"/>
              <w:jc w:val="left"/>
            </w:pPr>
            <w:r>
              <w:rPr>
                <w:sz w:val="17"/>
              </w:rPr>
              <w:t xml:space="preserve">0.5695</w:t>
            </w:r>
          </w:p>
        </w:tc>
        <w:tc>
          <w:tcPr/>
          <w:p>
            <w:pPr>
              <w:pStyle w:val="Compact"/>
              <w:spacing w:after="20" w:before="20"/>
              <w:jc w:val="left"/>
            </w:pPr>
            <w:r>
              <w:rPr>
                <w:sz w:val="17"/>
              </w:rPr>
              <w:t xml:space="preserve">0.6217</w:t>
            </w:r>
          </w:p>
        </w:tc>
        <w:tc>
          <w:tcPr/>
          <w:p>
            <w:pPr>
              <w:pStyle w:val="Compact"/>
              <w:spacing w:after="20" w:before="20"/>
              <w:jc w:val="left"/>
            </w:pPr>
            <w:r>
              <w:rPr>
                <w:sz w:val="17"/>
              </w:rPr>
              <w:t xml:space="preserve">0.5741</w:t>
            </w:r>
          </w:p>
        </w:tc>
      </w:tr>
      <w:tr>
        <w:tc>
          <w:tcPr/>
          <w:p>
            <w:pPr>
              <w:pStyle w:val="Compact"/>
              <w:spacing w:after="20" w:before="20"/>
              <w:jc w:val="left"/>
            </w:pPr>
            <w:r>
              <w:rPr>
                <w:sz w:val="17"/>
              </w:rPr>
              <w:t xml:space="preserve">Single-head gain (earlier draft)</w:t>
            </w:r>
          </w:p>
        </w:tc>
        <w:tc>
          <w:tcPr/>
          <w:p>
            <w:pPr>
              <w:pStyle w:val="Compact"/>
              <w:spacing w:after="20" w:before="20"/>
              <w:jc w:val="left"/>
            </w:pPr>
            <w:r>
              <w:rPr>
                <w:sz w:val="17"/>
              </w:rPr>
              <w:t xml:space="preserve">0.5081</w:t>
            </w:r>
          </w:p>
        </w:tc>
        <w:tc>
          <w:tcPr/>
          <w:p>
            <w:pPr>
              <w:pStyle w:val="Compact"/>
              <w:spacing w:after="20" w:before="20"/>
              <w:jc w:val="left"/>
            </w:pPr>
            <w:r>
              <w:rPr>
                <w:sz w:val="17"/>
              </w:rPr>
              <w:t xml:space="preserve">0.5282</w:t>
            </w:r>
          </w:p>
        </w:tc>
        <w:tc>
          <w:tcPr/>
          <w:p>
            <w:pPr>
              <w:pStyle w:val="Compact"/>
              <w:spacing w:after="20" w:before="20"/>
              <w:jc w:val="left"/>
            </w:pPr>
            <w:r>
              <w:rPr>
                <w:sz w:val="17"/>
              </w:rPr>
              <w:t xml:space="preserve">0.5256</w:t>
            </w:r>
          </w:p>
        </w:tc>
        <w:tc>
          <w:tcPr/>
          <w:p>
            <w:pPr>
              <w:pStyle w:val="Compact"/>
              <w:spacing w:after="20" w:before="20"/>
              <w:jc w:val="left"/>
            </w:pPr>
            <w:r>
              <w:rPr>
                <w:sz w:val="17"/>
              </w:rPr>
              <w:t xml:space="preserve">0.5454</w:t>
            </w:r>
          </w:p>
        </w:tc>
        <w:tc>
          <w:tcPr/>
          <w:p>
            <w:pPr>
              <w:pStyle w:val="Compact"/>
              <w:spacing w:after="20" w:before="20"/>
              <w:jc w:val="left"/>
            </w:pPr>
            <w:r>
              <w:rPr>
                <w:sz w:val="17"/>
              </w:rPr>
              <w:t xml:space="preserve">0.5736</w:t>
            </w:r>
          </w:p>
        </w:tc>
        <w:tc>
          <w:tcPr/>
          <w:p>
            <w:pPr>
              <w:pStyle w:val="Compact"/>
              <w:spacing w:after="20" w:before="20"/>
              <w:jc w:val="left"/>
            </w:pPr>
            <w:r>
              <w:rPr>
                <w:sz w:val="17"/>
              </w:rPr>
              <w:t xml:space="preserve">0.5362</w:t>
            </w:r>
          </w:p>
        </w:tc>
      </w:tr>
      <w:tr>
        <w:tc>
          <w:tcPr/>
          <w:p>
            <w:pPr>
              <w:pStyle w:val="Compact"/>
              <w:spacing w:after="20" w:before="20"/>
              <w:jc w:val="left"/>
            </w:pPr>
            <w:r>
              <w:rPr>
                <w:sz w:val="17"/>
              </w:rPr>
              <w:t xml:space="preserve">L2D-CE [10]</w:t>
            </w:r>
          </w:p>
        </w:tc>
        <w:tc>
          <w:tcPr/>
          <w:p>
            <w:pPr>
              <w:pStyle w:val="Compact"/>
              <w:spacing w:after="20" w:before="20"/>
              <w:jc w:val="left"/>
            </w:pPr>
            <w:r>
              <w:rPr>
                <w:sz w:val="17"/>
              </w:rPr>
              <w:t xml:space="preserve">0.5206</w:t>
            </w:r>
          </w:p>
        </w:tc>
        <w:tc>
          <w:tcPr/>
          <w:p>
            <w:pPr>
              <w:pStyle w:val="Compact"/>
              <w:spacing w:after="20" w:before="20"/>
              <w:jc w:val="left"/>
            </w:pPr>
            <w:r>
              <w:rPr>
                <w:sz w:val="17"/>
              </w:rPr>
              <w:t xml:space="preserve">0.5435</w:t>
            </w:r>
          </w:p>
        </w:tc>
        <w:tc>
          <w:tcPr/>
          <w:p>
            <w:pPr>
              <w:pStyle w:val="Compact"/>
              <w:spacing w:after="20" w:before="20"/>
              <w:jc w:val="left"/>
            </w:pPr>
            <w:r>
              <w:rPr>
                <w:sz w:val="17"/>
              </w:rPr>
              <w:t xml:space="preserve">0.5300</w:t>
            </w:r>
          </w:p>
        </w:tc>
        <w:tc>
          <w:tcPr/>
          <w:p>
            <w:pPr>
              <w:pStyle w:val="Compact"/>
              <w:spacing w:after="20" w:before="20"/>
              <w:jc w:val="left"/>
            </w:pPr>
            <w:r>
              <w:rPr>
                <w:sz w:val="17"/>
              </w:rPr>
              <w:t xml:space="preserve">0.5527</w:t>
            </w:r>
          </w:p>
        </w:tc>
        <w:tc>
          <w:tcPr/>
          <w:p>
            <w:pPr>
              <w:pStyle w:val="Compact"/>
              <w:spacing w:after="20" w:before="20"/>
              <w:jc w:val="left"/>
            </w:pPr>
            <w:r>
              <w:rPr>
                <w:sz w:val="17"/>
              </w:rPr>
              <w:t xml:space="preserve">0.5837</w:t>
            </w:r>
          </w:p>
        </w:tc>
        <w:tc>
          <w:tcPr/>
          <w:p>
            <w:pPr>
              <w:pStyle w:val="Compact"/>
              <w:spacing w:after="20" w:before="20"/>
              <w:jc w:val="left"/>
            </w:pPr>
            <w:r>
              <w:rPr>
                <w:sz w:val="17"/>
              </w:rPr>
              <w:t xml:space="preserve">0.5461</w:t>
            </w:r>
          </w:p>
        </w:tc>
      </w:tr>
      <w:tr>
        <w:tc>
          <w:tcPr/>
          <w:p>
            <w:pPr>
              <w:pStyle w:val="Compact"/>
              <w:spacing w:after="20" w:before="20"/>
              <w:jc w:val="left"/>
            </w:pPr>
            <w:r>
              <w:rPr>
                <w:sz w:val="17"/>
              </w:rPr>
              <w:t xml:space="preserve">L2D-OvA [11]</w:t>
            </w:r>
          </w:p>
        </w:tc>
        <w:tc>
          <w:tcPr/>
          <w:p>
            <w:pPr>
              <w:pStyle w:val="Compact"/>
              <w:spacing w:after="20" w:before="20"/>
              <w:jc w:val="left"/>
            </w:pPr>
            <w:r>
              <w:rPr>
                <w:sz w:val="17"/>
              </w:rPr>
              <w:t xml:space="preserve">0.5152</w:t>
            </w:r>
          </w:p>
        </w:tc>
        <w:tc>
          <w:tcPr/>
          <w:p>
            <w:pPr>
              <w:pStyle w:val="Compact"/>
              <w:spacing w:after="20" w:before="20"/>
              <w:jc w:val="left"/>
            </w:pPr>
            <w:r>
              <w:rPr>
                <w:sz w:val="17"/>
              </w:rPr>
              <w:t xml:space="preserve">0.5418</w:t>
            </w:r>
          </w:p>
        </w:tc>
        <w:tc>
          <w:tcPr/>
          <w:p>
            <w:pPr>
              <w:pStyle w:val="Compact"/>
              <w:spacing w:after="20" w:before="20"/>
              <w:jc w:val="left"/>
            </w:pPr>
            <w:r>
              <w:rPr>
                <w:sz w:val="17"/>
              </w:rPr>
              <w:t xml:space="preserve">0.5274</w:t>
            </w:r>
          </w:p>
        </w:tc>
        <w:tc>
          <w:tcPr/>
          <w:p>
            <w:pPr>
              <w:pStyle w:val="Compact"/>
              <w:spacing w:after="20" w:before="20"/>
              <w:jc w:val="left"/>
            </w:pPr>
            <w:r>
              <w:rPr>
                <w:sz w:val="17"/>
              </w:rPr>
              <w:t xml:space="preserve">0.5483</w:t>
            </w:r>
          </w:p>
        </w:tc>
        <w:tc>
          <w:tcPr/>
          <w:p>
            <w:pPr>
              <w:pStyle w:val="Compact"/>
              <w:spacing w:after="20" w:before="20"/>
              <w:jc w:val="left"/>
            </w:pPr>
            <w:r>
              <w:rPr>
                <w:sz w:val="17"/>
              </w:rPr>
              <w:t xml:space="preserve">0.5777</w:t>
            </w:r>
          </w:p>
        </w:tc>
        <w:tc>
          <w:tcPr/>
          <w:p>
            <w:pPr>
              <w:pStyle w:val="Compact"/>
              <w:spacing w:after="20" w:before="20"/>
              <w:jc w:val="left"/>
            </w:pPr>
            <w:r>
              <w:rPr>
                <w:sz w:val="17"/>
              </w:rPr>
              <w:t xml:space="preserve">0.5421</w:t>
            </w:r>
          </w:p>
        </w:tc>
      </w:tr>
      <w:tr>
        <w:tc>
          <w:tcPr/>
          <w:p>
            <w:pPr>
              <w:pStyle w:val="Compact"/>
              <w:spacing w:after="20" w:before="20"/>
              <w:jc w:val="left"/>
            </w:pPr>
            <w:r>
              <w:rPr>
                <w:sz w:val="17"/>
              </w:rPr>
              <w:t xml:space="preserve">Differential triage [13]</w:t>
            </w:r>
          </w:p>
        </w:tc>
        <w:tc>
          <w:tcPr/>
          <w:p>
            <w:pPr>
              <w:pStyle w:val="Compact"/>
              <w:spacing w:after="20" w:before="20"/>
              <w:jc w:val="left"/>
            </w:pPr>
            <w:r>
              <w:rPr>
                <w:sz w:val="17"/>
              </w:rPr>
              <w:t xml:space="preserve">0.5109</w:t>
            </w:r>
          </w:p>
        </w:tc>
        <w:tc>
          <w:tcPr/>
          <w:p>
            <w:pPr>
              <w:pStyle w:val="Compact"/>
              <w:spacing w:after="20" w:before="20"/>
              <w:jc w:val="left"/>
            </w:pPr>
            <w:r>
              <w:rPr>
                <w:sz w:val="17"/>
              </w:rPr>
              <w:t xml:space="preserve">0.5326</w:t>
            </w:r>
          </w:p>
        </w:tc>
        <w:tc>
          <w:tcPr/>
          <w:p>
            <w:pPr>
              <w:pStyle w:val="Compact"/>
              <w:spacing w:after="20" w:before="20"/>
              <w:jc w:val="left"/>
            </w:pPr>
            <w:r>
              <w:rPr>
                <w:sz w:val="17"/>
              </w:rPr>
              <w:t xml:space="preserve">0.5231</w:t>
            </w:r>
          </w:p>
        </w:tc>
        <w:tc>
          <w:tcPr/>
          <w:p>
            <w:pPr>
              <w:pStyle w:val="Compact"/>
              <w:spacing w:after="20" w:before="20"/>
              <w:jc w:val="left"/>
            </w:pPr>
            <w:r>
              <w:rPr>
                <w:sz w:val="17"/>
              </w:rPr>
              <w:t xml:space="preserve">0.5455</w:t>
            </w:r>
          </w:p>
        </w:tc>
        <w:tc>
          <w:tcPr/>
          <w:p>
            <w:pPr>
              <w:pStyle w:val="Compact"/>
              <w:spacing w:after="20" w:before="20"/>
              <w:jc w:val="left"/>
            </w:pPr>
            <w:r>
              <w:rPr>
                <w:sz w:val="17"/>
              </w:rPr>
              <w:t xml:space="preserve">0.5740</w:t>
            </w:r>
          </w:p>
        </w:tc>
        <w:tc>
          <w:tcPr/>
          <w:p>
            <w:pPr>
              <w:pStyle w:val="Compact"/>
              <w:spacing w:after="20" w:before="20"/>
              <w:jc w:val="left"/>
            </w:pPr>
            <w:r>
              <w:rPr>
                <w:sz w:val="17"/>
              </w:rPr>
              <w:t xml:space="preserve">0.5372</w:t>
            </w:r>
          </w:p>
        </w:tc>
      </w:tr>
      <w:tr>
        <w:tc>
          <w:tcPr/>
          <w:p>
            <w:pPr>
              <w:pStyle w:val="Compact"/>
              <w:spacing w:after="20" w:before="20"/>
              <w:jc w:val="left"/>
            </w:pPr>
            <w:r>
              <w:rPr>
                <w:sz w:val="17"/>
              </w:rPr>
              <w:t xml:space="preserve">Two-head, probability only</w:t>
            </w:r>
          </w:p>
        </w:tc>
        <w:tc>
          <w:tcPr/>
          <w:p>
            <w:pPr>
              <w:pStyle w:val="Compact"/>
              <w:spacing w:after="20" w:before="20"/>
              <w:jc w:val="left"/>
            </w:pPr>
            <w:r>
              <w:rPr>
                <w:sz w:val="17"/>
              </w:rPr>
              <w:t xml:space="preserve">0.5108</w:t>
            </w:r>
          </w:p>
        </w:tc>
        <w:tc>
          <w:tcPr/>
          <w:p>
            <w:pPr>
              <w:pStyle w:val="Compact"/>
              <w:spacing w:after="20" w:before="20"/>
              <w:jc w:val="left"/>
            </w:pPr>
            <w:r>
              <w:rPr>
                <w:sz w:val="17"/>
              </w:rPr>
              <w:t xml:space="preserve">0.5345</w:t>
            </w:r>
          </w:p>
        </w:tc>
        <w:tc>
          <w:tcPr/>
          <w:p>
            <w:pPr>
              <w:pStyle w:val="Compact"/>
              <w:spacing w:after="20" w:before="20"/>
              <w:jc w:val="left"/>
            </w:pPr>
            <w:r>
              <w:rPr>
                <w:sz w:val="17"/>
              </w:rPr>
              <w:t xml:space="preserve">0.5265</w:t>
            </w:r>
          </w:p>
        </w:tc>
        <w:tc>
          <w:tcPr/>
          <w:p>
            <w:pPr>
              <w:pStyle w:val="Compact"/>
              <w:spacing w:after="20" w:before="20"/>
              <w:jc w:val="left"/>
            </w:pPr>
            <w:r>
              <w:rPr>
                <w:sz w:val="17"/>
              </w:rPr>
              <w:t xml:space="preserve">0.5458</w:t>
            </w:r>
          </w:p>
        </w:tc>
        <w:tc>
          <w:tcPr/>
          <w:p>
            <w:pPr>
              <w:pStyle w:val="Compact"/>
              <w:spacing w:after="20" w:before="20"/>
              <w:jc w:val="left"/>
            </w:pPr>
            <w:r>
              <w:rPr>
                <w:sz w:val="17"/>
              </w:rPr>
              <w:t xml:space="preserve">0.5729</w:t>
            </w:r>
          </w:p>
        </w:tc>
        <w:tc>
          <w:tcPr/>
          <w:p>
            <w:pPr>
              <w:pStyle w:val="Compact"/>
              <w:spacing w:after="20" w:before="20"/>
              <w:jc w:val="left"/>
            </w:pPr>
            <w:r>
              <w:rPr>
                <w:sz w:val="17"/>
              </w:rPr>
              <w:t xml:space="preserve">0.5381</w:t>
            </w:r>
          </w:p>
        </w:tc>
      </w:tr>
      <w:tr>
        <w:tc>
          <w:tcPr/>
          <w:p>
            <w:pPr>
              <w:pStyle w:val="Compact"/>
              <w:spacing w:after="20" w:before="20"/>
              <w:jc w:val="left"/>
            </w:pPr>
            <w:r>
              <w:rPr>
                <w:sz w:val="17"/>
              </w:rPr>
              <w:t xml:space="preserve">Two-head, quality-aware (proposed)</w:t>
            </w:r>
          </w:p>
        </w:tc>
        <w:tc>
          <w:tcPr/>
          <w:p>
            <w:pPr>
              <w:pStyle w:val="Compact"/>
              <w:spacing w:after="20" w:before="20"/>
              <w:jc w:val="left"/>
            </w:pPr>
            <w:r>
              <w:rPr>
                <w:sz w:val="17"/>
              </w:rPr>
              <w:t xml:space="preserve">0.5070</w:t>
            </w:r>
          </w:p>
        </w:tc>
        <w:tc>
          <w:tcPr/>
          <w:p>
            <w:pPr>
              <w:pStyle w:val="Compact"/>
              <w:spacing w:after="20" w:before="20"/>
              <w:jc w:val="left"/>
            </w:pPr>
            <w:r>
              <w:rPr>
                <w:sz w:val="17"/>
              </w:rPr>
              <w:t xml:space="preserve">0.5293</w:t>
            </w:r>
          </w:p>
        </w:tc>
        <w:tc>
          <w:tcPr/>
          <w:p>
            <w:pPr>
              <w:pStyle w:val="Compact"/>
              <w:spacing w:after="20" w:before="20"/>
              <w:jc w:val="left"/>
            </w:pPr>
            <w:r>
              <w:rPr>
                <w:sz w:val="17"/>
              </w:rPr>
              <w:t xml:space="preserve">0.5250</w:t>
            </w:r>
          </w:p>
        </w:tc>
        <w:tc>
          <w:tcPr/>
          <w:p>
            <w:pPr>
              <w:pStyle w:val="Compact"/>
              <w:spacing w:after="20" w:before="20"/>
              <w:jc w:val="left"/>
            </w:pPr>
            <w:r>
              <w:rPr>
                <w:sz w:val="17"/>
              </w:rPr>
              <w:t xml:space="preserve">0.5425</w:t>
            </w:r>
          </w:p>
        </w:tc>
        <w:tc>
          <w:tcPr/>
          <w:p>
            <w:pPr>
              <w:pStyle w:val="Compact"/>
              <w:spacing w:after="20" w:before="20"/>
              <w:jc w:val="left"/>
            </w:pPr>
            <w:r>
              <w:rPr>
                <w:sz w:val="17"/>
              </w:rPr>
              <w:t xml:space="preserve">0.5736</w:t>
            </w:r>
          </w:p>
        </w:tc>
        <w:tc>
          <w:tcPr/>
          <w:p>
            <w:pPr>
              <w:pStyle w:val="Compact"/>
              <w:spacing w:after="20" w:before="20"/>
              <w:jc w:val="left"/>
            </w:pPr>
            <w:r>
              <w:rPr>
                <w:sz w:val="17"/>
              </w:rPr>
              <w:t xml:space="preserve">0.5355</w:t>
            </w:r>
          </w:p>
        </w:tc>
      </w:tr>
      <w:tr>
        <w:tc>
          <w:tcPr/>
          <w:p>
            <w:pPr>
              <w:pStyle w:val="Compact"/>
              <w:spacing w:after="20" w:before="20"/>
              <w:jc w:val="left"/>
            </w:pPr>
            <w:r>
              <w:rPr>
                <w:sz w:val="17"/>
              </w:rPr>
              <w:t xml:space="preserve">Oracle (uses labels; bound)</w:t>
            </w:r>
          </w:p>
        </w:tc>
        <w:tc>
          <w:tcPr/>
          <w:p>
            <w:pPr>
              <w:pStyle w:val="Compact"/>
              <w:spacing w:after="20" w:before="20"/>
              <w:jc w:val="left"/>
            </w:pPr>
            <w:r>
              <w:rPr>
                <w:sz w:val="17"/>
              </w:rPr>
              <w:t xml:space="preserve">0.3470</w:t>
            </w:r>
          </w:p>
        </w:tc>
        <w:tc>
          <w:tcPr/>
          <w:p>
            <w:pPr>
              <w:pStyle w:val="Compact"/>
              <w:spacing w:after="20" w:before="20"/>
              <w:jc w:val="left"/>
            </w:pPr>
            <w:r>
              <w:rPr>
                <w:sz w:val="17"/>
              </w:rPr>
              <w:t xml:space="preserve">0.3628</w:t>
            </w:r>
          </w:p>
        </w:tc>
        <w:tc>
          <w:tcPr/>
          <w:p>
            <w:pPr>
              <w:pStyle w:val="Compact"/>
              <w:spacing w:after="20" w:before="20"/>
              <w:jc w:val="left"/>
            </w:pPr>
            <w:r>
              <w:rPr>
                <w:sz w:val="17"/>
              </w:rPr>
              <w:t xml:space="preserve">0.3539</w:t>
            </w:r>
          </w:p>
        </w:tc>
        <w:tc>
          <w:tcPr/>
          <w:p>
            <w:pPr>
              <w:pStyle w:val="Compact"/>
              <w:spacing w:after="20" w:before="20"/>
              <w:jc w:val="left"/>
            </w:pPr>
            <w:r>
              <w:rPr>
                <w:sz w:val="17"/>
              </w:rPr>
              <w:t xml:space="preserve">0.4145</w:t>
            </w:r>
          </w:p>
        </w:tc>
        <w:tc>
          <w:tcPr/>
          <w:p>
            <w:pPr>
              <w:pStyle w:val="Compact"/>
              <w:spacing w:after="20" w:before="20"/>
              <w:jc w:val="left"/>
            </w:pPr>
            <w:r>
              <w:rPr>
                <w:sz w:val="17"/>
              </w:rPr>
              <w:t xml:space="preserve">0.4084</w:t>
            </w:r>
          </w:p>
        </w:tc>
        <w:tc>
          <w:tcPr/>
          <w:p>
            <w:pPr>
              <w:pStyle w:val="Compact"/>
              <w:spacing w:after="20" w:before="20"/>
              <w:jc w:val="left"/>
            </w:pPr>
            <w:r>
              <w:rPr>
                <w:sz w:val="17"/>
              </w:rPr>
              <w:t xml:space="preserve">0.3773</w:t>
            </w:r>
          </w:p>
        </w:tc>
      </w:tr>
    </w:tbl>
    <w:p>
      <w:pPr>
        <w:pStyle w:val="BodyText"/>
      </w:pPr>
      <w:r>
        <w:t xml:space="preserve">Table 6 gives the paired comparisons with corrected intervals. Against L2D-CE the proposed router was 1.95% cheaper on 19 of 20 splits (corrected p = 0.014), but this does not survive Holm adjustment across the eight planned comparisons (adjusted p = 0.11). No other difference was significant after correction. Against Chow cost risk and confidence the proposed method was about 1.2%</w:t>
      </w:r>
      <w:r>
        <w:t xml:space="preserve"> </w:t>
      </w:r>
      <w:r>
        <w:rPr>
          <w:iCs/>
          <w:i/>
        </w:rPr>
        <w:t xml:space="preserve">more</w:t>
      </w:r>
      <w:r>
        <w:t xml:space="preserve"> </w:t>
      </w:r>
      <w:r>
        <w:t xml:space="preserve">expensive and won on only five and four splits. We therefore do not claim superiority over simple cost-aware routing in the pooled comparison.</w:t>
      </w:r>
    </w:p>
    <w:p>
      <w:pPr>
        <w:pStyle w:val="TableCaption"/>
      </w:pPr>
      <w:r>
        <w:t xml:space="preserve">Table 6. Paired comparisons for the primary endpoint. Positive differences favour the proposed method. Intervals and p-values use the Nadeau–Bengio correction for overlapping training sets; Holm adjustment is over the seven comparisons shown plus automation only.</w:t>
      </w:r>
    </w:p>
    <w:tbl>
      <w:tblPr>
        <w:tblStyle w:val="Table"/>
        <w:tblW w:type="pct" w:w="5000"/>
        <w:tblLook w:firstRow="1" w:lastRow="0" w:firstColumn="0" w:lastColumn="0" w:noHBand="0" w:noVBand="0" w:val="0020"/>
        <w:jc w:val="start"/>
        <w:tblCaption w:val="Table 6. Paired comparisons for the primary endpoint. Positive differences favour the proposed method. Intervals and p-values use the Nadeau–Bengio correction for overlapping training sets; Holm adjustment is over the seven comparisons shown plus automation only."/>
        <w:tblBorders>
          <w:top w:val="single" w:sz="8" w:color="000000"/>
          <w:bottom w:val="single" w:sz="8" w:color="000000"/>
          <w:insideH w:val="nil" w:sz="8" w:color="000000"/>
          <w:insideV w:val="nil" w:sz="8" w:color="000000"/>
          <w:left w:val="nil" w:sz="8" w:color="000000"/>
          <w:right w:val="nil" w:sz="8" w:color="000000"/>
        </w:tblBorders>
      </w:tblPr>
      <w:tblGrid>
        <w:gridCol w:w="1131"/>
        <w:gridCol w:w="1131"/>
        <w:gridCol w:w="1131"/>
        <w:gridCol w:w="1131"/>
        <w:gridCol w:w="1131"/>
        <w:gridCol w:w="1131"/>
        <w:gridCol w:w="1131"/>
      </w:tblGrid>
      <w:tr>
        <w:trPr>
          <w:tblHeader w:val="true"/>
        </w:trPr>
        <w:tc>
          <w:tcPr>
            <w:tcBorders>
              <w:bottom w:val="single" w:sz="6"/>
            </w:tcBorders>
          </w:tcPr>
          <w:p>
            <w:pPr>
              <w:pStyle w:val="Compact"/>
              <w:spacing w:after="20" w:before="20"/>
              <w:jc w:val="left"/>
            </w:pPr>
            <w:r>
              <w:rPr>
                <w:b/>
                <w:sz w:val="17"/>
              </w:rPr>
              <w:t xml:space="preserve">Proposed vs.</w:t>
            </w:r>
          </w:p>
        </w:tc>
        <w:tc>
          <w:tcPr>
            <w:tcBorders>
              <w:bottom w:val="single" w:sz="6"/>
            </w:tcBorders>
          </w:tcPr>
          <w:p>
            <w:pPr>
              <w:pStyle w:val="Compact"/>
              <w:spacing w:after="20" w:before="20"/>
              <w:jc w:val="left"/>
            </w:pPr>
            <w:r>
              <w:rPr>
                <w:b/>
                <w:sz w:val="17"/>
              </w:rPr>
              <w:t xml:space="preserve">Δ cost (comparator − proposed)</w:t>
            </w:r>
          </w:p>
        </w:tc>
        <w:tc>
          <w:tcPr>
            <w:tcBorders>
              <w:bottom w:val="single" w:sz="6"/>
            </w:tcBorders>
          </w:tcPr>
          <w:p>
            <w:pPr>
              <w:pStyle w:val="Compact"/>
              <w:spacing w:after="20" w:before="20"/>
              <w:jc w:val="left"/>
            </w:pPr>
            <w:r>
              <w:rPr>
                <w:b/>
                <w:sz w:val="17"/>
              </w:rPr>
              <w:t xml:space="preserve">Corrected 95% CI</w:t>
            </w:r>
          </w:p>
        </w:tc>
        <w:tc>
          <w:tcPr>
            <w:tcBorders>
              <w:bottom w:val="single" w:sz="6"/>
            </w:tcBorders>
          </w:tcPr>
          <w:p>
            <w:pPr>
              <w:pStyle w:val="Compact"/>
              <w:spacing w:after="20" w:before="20"/>
              <w:jc w:val="left"/>
            </w:pPr>
            <w:r>
              <w:rPr>
                <w:b/>
                <w:sz w:val="17"/>
              </w:rPr>
              <w:t xml:space="preserve">Relative</w:t>
            </w:r>
          </w:p>
        </w:tc>
        <w:tc>
          <w:tcPr>
            <w:tcBorders>
              <w:bottom w:val="single" w:sz="6"/>
            </w:tcBorders>
          </w:tcPr>
          <w:p>
            <w:pPr>
              <w:pStyle w:val="Compact"/>
              <w:spacing w:after="20" w:before="20"/>
              <w:jc w:val="left"/>
            </w:pPr>
            <w:r>
              <w:rPr>
                <w:b/>
                <w:sz w:val="17"/>
              </w:rPr>
              <w:t xml:space="preserve">Wins /20</w:t>
            </w:r>
          </w:p>
        </w:tc>
        <w:tc>
          <w:tcPr>
            <w:tcBorders>
              <w:bottom w:val="single" w:sz="6"/>
            </w:tcBorders>
          </w:tcPr>
          <w:p>
            <w:pPr>
              <w:pStyle w:val="Compact"/>
              <w:spacing w:after="20" w:before="20"/>
              <w:jc w:val="left"/>
            </w:pPr>
            <w:r>
              <w:rPr>
                <w:b/>
                <w:sz w:val="17"/>
              </w:rPr>
              <w:t xml:space="preserve">p</w:t>
            </w:r>
          </w:p>
        </w:tc>
        <w:tc>
          <w:tcPr>
            <w:tcBorders>
              <w:bottom w:val="single" w:sz="6"/>
            </w:tcBorders>
          </w:tcPr>
          <w:p>
            <w:pPr>
              <w:pStyle w:val="Compact"/>
              <w:spacing w:after="20" w:before="20"/>
              <w:jc w:val="left"/>
            </w:pPr>
            <w:r>
              <w:rPr>
                <w:b/>
                <w:sz w:val="17"/>
              </w:rPr>
              <w:t xml:space="preserve">Holm p</w:t>
            </w:r>
          </w:p>
        </w:tc>
      </w:tr>
      <w:tr>
        <w:tc>
          <w:tcPr/>
          <w:p>
            <w:pPr>
              <w:pStyle w:val="Compact"/>
              <w:spacing w:after="20" w:before="20"/>
              <w:jc w:val="left"/>
            </w:pPr>
            <w:r>
              <w:rPr>
                <w:sz w:val="17"/>
              </w:rPr>
              <w:t xml:space="preserve">Single-head gain (earlier draft)</w:t>
            </w:r>
          </w:p>
        </w:tc>
        <w:tc>
          <w:tcPr/>
          <w:p>
            <w:pPr>
              <w:pStyle w:val="Compact"/>
              <w:spacing w:after="20" w:before="20"/>
              <w:jc w:val="left"/>
            </w:pPr>
            <w:r>
              <w:rPr>
                <w:sz w:val="17"/>
              </w:rPr>
              <w:t xml:space="preserve">0.0007</w:t>
            </w:r>
          </w:p>
        </w:tc>
        <w:tc>
          <w:tcPr/>
          <w:p>
            <w:pPr>
              <w:pStyle w:val="Compact"/>
              <w:spacing w:after="20" w:before="20"/>
              <w:jc w:val="left"/>
            </w:pPr>
            <w:r>
              <w:rPr>
                <w:sz w:val="17"/>
              </w:rPr>
              <w:t xml:space="preserve">[−0.0031, 0.0046]</w:t>
            </w:r>
          </w:p>
        </w:tc>
        <w:tc>
          <w:tcPr/>
          <w:p>
            <w:pPr>
              <w:pStyle w:val="Compact"/>
              <w:spacing w:after="20" w:before="20"/>
              <w:jc w:val="left"/>
            </w:pPr>
            <w:r>
              <w:rPr>
                <w:sz w:val="17"/>
              </w:rPr>
              <w:t xml:space="preserve">+0.13%</w:t>
            </w:r>
          </w:p>
        </w:tc>
        <w:tc>
          <w:tcPr/>
          <w:p>
            <w:pPr>
              <w:pStyle w:val="Compact"/>
              <w:spacing w:after="20" w:before="20"/>
              <w:jc w:val="left"/>
            </w:pPr>
            <w:r>
              <w:rPr>
                <w:sz w:val="17"/>
              </w:rPr>
              <w:t xml:space="preserve">13</w:t>
            </w:r>
          </w:p>
        </w:tc>
        <w:tc>
          <w:tcPr/>
          <w:p>
            <w:pPr>
              <w:pStyle w:val="Compact"/>
              <w:spacing w:after="20" w:before="20"/>
              <w:jc w:val="left"/>
            </w:pPr>
            <w:r>
              <w:rPr>
                <w:sz w:val="17"/>
              </w:rPr>
              <w:t xml:space="preserve">0.70</w:t>
            </w:r>
          </w:p>
        </w:tc>
        <w:tc>
          <w:tcPr/>
          <w:p>
            <w:pPr>
              <w:pStyle w:val="Compact"/>
              <w:spacing w:after="20" w:before="20"/>
              <w:jc w:val="left"/>
            </w:pPr>
            <w:r>
              <w:rPr>
                <w:sz w:val="17"/>
              </w:rPr>
              <w:t xml:space="preserve">1.00</w:t>
            </w:r>
          </w:p>
        </w:tc>
      </w:tr>
      <w:tr>
        <w:tc>
          <w:tcPr/>
          <w:p>
            <w:pPr>
              <w:pStyle w:val="Compact"/>
              <w:spacing w:after="20" w:before="20"/>
              <w:jc w:val="left"/>
            </w:pPr>
            <w:r>
              <w:rPr>
                <w:sz w:val="17"/>
              </w:rPr>
              <w:t xml:space="preserve">L2D-CE</w:t>
            </w:r>
          </w:p>
        </w:tc>
        <w:tc>
          <w:tcPr/>
          <w:p>
            <w:pPr>
              <w:pStyle w:val="Compact"/>
              <w:spacing w:after="20" w:before="20"/>
              <w:jc w:val="left"/>
            </w:pPr>
            <w:r>
              <w:rPr>
                <w:sz w:val="17"/>
              </w:rPr>
              <w:t xml:space="preserve">0.0106</w:t>
            </w:r>
          </w:p>
        </w:tc>
        <w:tc>
          <w:tcPr/>
          <w:p>
            <w:pPr>
              <w:pStyle w:val="Compact"/>
              <w:spacing w:after="20" w:before="20"/>
              <w:jc w:val="left"/>
            </w:pPr>
            <w:r>
              <w:rPr>
                <w:sz w:val="17"/>
              </w:rPr>
              <w:t xml:space="preserve">[0.0024, 0.0189]</w:t>
            </w:r>
          </w:p>
        </w:tc>
        <w:tc>
          <w:tcPr/>
          <w:p>
            <w:pPr>
              <w:pStyle w:val="Compact"/>
              <w:spacing w:after="20" w:before="20"/>
              <w:jc w:val="left"/>
            </w:pPr>
            <w:r>
              <w:rPr>
                <w:sz w:val="17"/>
              </w:rPr>
              <w:t xml:space="preserve">+1.95%</w:t>
            </w:r>
          </w:p>
        </w:tc>
        <w:tc>
          <w:tcPr/>
          <w:p>
            <w:pPr>
              <w:pStyle w:val="Compact"/>
              <w:spacing w:after="20" w:before="20"/>
              <w:jc w:val="left"/>
            </w:pPr>
            <w:r>
              <w:rPr>
                <w:sz w:val="17"/>
              </w:rPr>
              <w:t xml:space="preserve">19</w:t>
            </w:r>
          </w:p>
        </w:tc>
        <w:tc>
          <w:tcPr/>
          <w:p>
            <w:pPr>
              <w:pStyle w:val="Compact"/>
              <w:spacing w:after="20" w:before="20"/>
              <w:jc w:val="left"/>
            </w:pPr>
            <w:r>
              <w:rPr>
                <w:sz w:val="17"/>
              </w:rPr>
              <w:t xml:space="preserve">0.014</w:t>
            </w:r>
          </w:p>
        </w:tc>
        <w:tc>
          <w:tcPr/>
          <w:p>
            <w:pPr>
              <w:pStyle w:val="Compact"/>
              <w:spacing w:after="20" w:before="20"/>
              <w:jc w:val="left"/>
            </w:pPr>
            <w:r>
              <w:rPr>
                <w:sz w:val="17"/>
              </w:rPr>
              <w:t xml:space="preserve">0.11</w:t>
            </w:r>
          </w:p>
        </w:tc>
      </w:tr>
      <w:tr>
        <w:tc>
          <w:tcPr/>
          <w:p>
            <w:pPr>
              <w:pStyle w:val="Compact"/>
              <w:spacing w:after="20" w:before="20"/>
              <w:jc w:val="left"/>
            </w:pPr>
            <w:r>
              <w:rPr>
                <w:sz w:val="17"/>
              </w:rPr>
              <w:t xml:space="preserve">L2D-OvA</w:t>
            </w:r>
          </w:p>
        </w:tc>
        <w:tc>
          <w:tcPr/>
          <w:p>
            <w:pPr>
              <w:pStyle w:val="Compact"/>
              <w:spacing w:after="20" w:before="20"/>
              <w:jc w:val="left"/>
            </w:pPr>
            <w:r>
              <w:rPr>
                <w:sz w:val="17"/>
              </w:rPr>
              <w:t xml:space="preserve">0.0066</w:t>
            </w:r>
          </w:p>
        </w:tc>
        <w:tc>
          <w:tcPr/>
          <w:p>
            <w:pPr>
              <w:pStyle w:val="Compact"/>
              <w:spacing w:after="20" w:before="20"/>
              <w:jc w:val="left"/>
            </w:pPr>
            <w:r>
              <w:rPr>
                <w:sz w:val="17"/>
              </w:rPr>
              <w:t xml:space="preserve">[−0.0018, 0.0151]</w:t>
            </w:r>
          </w:p>
        </w:tc>
        <w:tc>
          <w:tcPr/>
          <w:p>
            <w:pPr>
              <w:pStyle w:val="Compact"/>
              <w:spacing w:after="20" w:before="20"/>
              <w:jc w:val="left"/>
            </w:pPr>
            <w:r>
              <w:rPr>
                <w:sz w:val="17"/>
              </w:rPr>
              <w:t xml:space="preserve">+1.22%</w:t>
            </w:r>
          </w:p>
        </w:tc>
        <w:tc>
          <w:tcPr/>
          <w:p>
            <w:pPr>
              <w:pStyle w:val="Compact"/>
              <w:spacing w:after="20" w:before="20"/>
              <w:jc w:val="left"/>
            </w:pPr>
            <w:r>
              <w:rPr>
                <w:sz w:val="17"/>
              </w:rPr>
              <w:t xml:space="preserve">17</w:t>
            </w:r>
          </w:p>
        </w:tc>
        <w:tc>
          <w:tcPr/>
          <w:p>
            <w:pPr>
              <w:pStyle w:val="Compact"/>
              <w:spacing w:after="20" w:before="20"/>
              <w:jc w:val="left"/>
            </w:pPr>
            <w:r>
              <w:rPr>
                <w:sz w:val="17"/>
              </w:rPr>
              <w:t xml:space="preserve">0.12</w:t>
            </w:r>
          </w:p>
        </w:tc>
        <w:tc>
          <w:tcPr/>
          <w:p>
            <w:pPr>
              <w:pStyle w:val="Compact"/>
              <w:spacing w:after="20" w:before="20"/>
              <w:jc w:val="left"/>
            </w:pPr>
            <w:r>
              <w:rPr>
                <w:sz w:val="17"/>
              </w:rPr>
              <w:t xml:space="preserve">0.70</w:t>
            </w:r>
          </w:p>
        </w:tc>
      </w:tr>
      <w:tr>
        <w:tc>
          <w:tcPr/>
          <w:p>
            <w:pPr>
              <w:pStyle w:val="Compact"/>
              <w:spacing w:after="20" w:before="20"/>
              <w:jc w:val="left"/>
            </w:pPr>
            <w:r>
              <w:rPr>
                <w:sz w:val="17"/>
              </w:rPr>
              <w:t xml:space="preserve">Differential triage</w:t>
            </w:r>
          </w:p>
        </w:tc>
        <w:tc>
          <w:tcPr/>
          <w:p>
            <w:pPr>
              <w:pStyle w:val="Compact"/>
              <w:spacing w:after="20" w:before="20"/>
              <w:jc w:val="left"/>
            </w:pPr>
            <w:r>
              <w:rPr>
                <w:sz w:val="17"/>
              </w:rPr>
              <w:t xml:space="preserve">0.0018</w:t>
            </w:r>
          </w:p>
        </w:tc>
        <w:tc>
          <w:tcPr/>
          <w:p>
            <w:pPr>
              <w:pStyle w:val="Compact"/>
              <w:spacing w:after="20" w:before="20"/>
              <w:jc w:val="left"/>
            </w:pPr>
            <w:r>
              <w:rPr>
                <w:sz w:val="17"/>
              </w:rPr>
              <w:t xml:space="preserve">[−0.0064, 0.0100]</w:t>
            </w:r>
          </w:p>
        </w:tc>
        <w:tc>
          <w:tcPr/>
          <w:p>
            <w:pPr>
              <w:pStyle w:val="Compact"/>
              <w:spacing w:after="20" w:before="20"/>
              <w:jc w:val="left"/>
            </w:pPr>
            <w:r>
              <w:rPr>
                <w:sz w:val="17"/>
              </w:rPr>
              <w:t xml:space="preserve">+0.33%</w:t>
            </w:r>
          </w:p>
        </w:tc>
        <w:tc>
          <w:tcPr/>
          <w:p>
            <w:pPr>
              <w:pStyle w:val="Compact"/>
              <w:spacing w:after="20" w:before="20"/>
              <w:jc w:val="left"/>
            </w:pPr>
            <w:r>
              <w:rPr>
                <w:sz w:val="17"/>
              </w:rPr>
              <w:t xml:space="preserve">13</w:t>
            </w:r>
          </w:p>
        </w:tc>
        <w:tc>
          <w:tcPr/>
          <w:p>
            <w:pPr>
              <w:pStyle w:val="Compact"/>
              <w:spacing w:after="20" w:before="20"/>
              <w:jc w:val="left"/>
            </w:pPr>
            <w:r>
              <w:rPr>
                <w:sz w:val="17"/>
              </w:rPr>
              <w:t xml:space="preserve">0.66</w:t>
            </w:r>
          </w:p>
        </w:tc>
        <w:tc>
          <w:tcPr/>
          <w:p>
            <w:pPr>
              <w:pStyle w:val="Compact"/>
              <w:spacing w:after="20" w:before="20"/>
              <w:jc w:val="left"/>
            </w:pPr>
            <w:r>
              <w:rPr>
                <w:sz w:val="17"/>
              </w:rPr>
              <w:t xml:space="preserve">1.00</w:t>
            </w:r>
          </w:p>
        </w:tc>
      </w:tr>
      <w:tr>
        <w:tc>
          <w:tcPr/>
          <w:p>
            <w:pPr>
              <w:pStyle w:val="Compact"/>
              <w:spacing w:after="20" w:before="20"/>
              <w:jc w:val="left"/>
            </w:pPr>
            <w:r>
              <w:rPr>
                <w:sz w:val="17"/>
              </w:rPr>
              <w:t xml:space="preserve">Two-head, probability only</w:t>
            </w:r>
          </w:p>
        </w:tc>
        <w:tc>
          <w:tcPr/>
          <w:p>
            <w:pPr>
              <w:pStyle w:val="Compact"/>
              <w:spacing w:after="20" w:before="20"/>
              <w:jc w:val="left"/>
            </w:pPr>
            <w:r>
              <w:rPr>
                <w:sz w:val="17"/>
              </w:rPr>
              <w:t xml:space="preserve">0.0026</w:t>
            </w:r>
          </w:p>
        </w:tc>
        <w:tc>
          <w:tcPr/>
          <w:p>
            <w:pPr>
              <w:pStyle w:val="Compact"/>
              <w:spacing w:after="20" w:before="20"/>
              <w:jc w:val="left"/>
            </w:pPr>
            <w:r>
              <w:rPr>
                <w:sz w:val="17"/>
              </w:rPr>
              <w:t xml:space="preserve">[−0.0025, 0.0078]</w:t>
            </w:r>
          </w:p>
        </w:tc>
        <w:tc>
          <w:tcPr/>
          <w:p>
            <w:pPr>
              <w:pStyle w:val="Compact"/>
              <w:spacing w:after="20" w:before="20"/>
              <w:jc w:val="left"/>
            </w:pPr>
            <w:r>
              <w:rPr>
                <w:sz w:val="17"/>
              </w:rPr>
              <w:t xml:space="preserve">+0.49%</w:t>
            </w:r>
          </w:p>
        </w:tc>
        <w:tc>
          <w:tcPr/>
          <w:p>
            <w:pPr>
              <w:pStyle w:val="Compact"/>
              <w:spacing w:after="20" w:before="20"/>
              <w:jc w:val="left"/>
            </w:pPr>
            <w:r>
              <w:rPr>
                <w:sz w:val="17"/>
              </w:rPr>
              <w:t xml:space="preserve">13</w:t>
            </w:r>
          </w:p>
        </w:tc>
        <w:tc>
          <w:tcPr/>
          <w:p>
            <w:pPr>
              <w:pStyle w:val="Compact"/>
              <w:spacing w:after="20" w:before="20"/>
              <w:jc w:val="left"/>
            </w:pPr>
            <w:r>
              <w:rPr>
                <w:sz w:val="17"/>
              </w:rPr>
              <w:t xml:space="preserve">0.30</w:t>
            </w:r>
          </w:p>
        </w:tc>
        <w:tc>
          <w:tcPr/>
          <w:p>
            <w:pPr>
              <w:pStyle w:val="Compact"/>
              <w:spacing w:after="20" w:before="20"/>
              <w:jc w:val="left"/>
            </w:pPr>
            <w:r>
              <w:rPr>
                <w:sz w:val="17"/>
              </w:rPr>
              <w:t xml:space="preserve">0.89</w:t>
            </w:r>
          </w:p>
        </w:tc>
      </w:tr>
      <w:tr>
        <w:tc>
          <w:tcPr/>
          <w:p>
            <w:pPr>
              <w:pStyle w:val="Compact"/>
              <w:spacing w:after="20" w:before="20"/>
              <w:jc w:val="left"/>
            </w:pPr>
            <w:r>
              <w:rPr>
                <w:sz w:val="17"/>
              </w:rPr>
              <w:t xml:space="preserve">Chow cost risk</w:t>
            </w:r>
          </w:p>
        </w:tc>
        <w:tc>
          <w:tcPr/>
          <w:p>
            <w:pPr>
              <w:pStyle w:val="Compact"/>
              <w:spacing w:after="20" w:before="20"/>
              <w:jc w:val="left"/>
            </w:pPr>
            <w:r>
              <w:rPr>
                <w:sz w:val="17"/>
              </w:rPr>
              <w:t xml:space="preserve">−0.0063</w:t>
            </w:r>
          </w:p>
        </w:tc>
        <w:tc>
          <w:tcPr/>
          <w:p>
            <w:pPr>
              <w:pStyle w:val="Compact"/>
              <w:spacing w:after="20" w:before="20"/>
              <w:jc w:val="left"/>
            </w:pPr>
            <w:r>
              <w:rPr>
                <w:sz w:val="17"/>
              </w:rPr>
              <w:t xml:space="preserve">[−0.0144, 0.0017]</w:t>
            </w:r>
          </w:p>
        </w:tc>
        <w:tc>
          <w:tcPr/>
          <w:p>
            <w:pPr>
              <w:pStyle w:val="Compact"/>
              <w:spacing w:after="20" w:before="20"/>
              <w:jc w:val="left"/>
            </w:pPr>
            <w:r>
              <w:rPr>
                <w:sz w:val="17"/>
              </w:rPr>
              <w:t xml:space="preserve">−1.20%</w:t>
            </w:r>
          </w:p>
        </w:tc>
        <w:tc>
          <w:tcPr/>
          <w:p>
            <w:pPr>
              <w:pStyle w:val="Compact"/>
              <w:spacing w:after="20" w:before="20"/>
              <w:jc w:val="left"/>
            </w:pPr>
            <w:r>
              <w:rPr>
                <w:sz w:val="17"/>
              </w:rPr>
              <w:t xml:space="preserve">5</w:t>
            </w:r>
          </w:p>
        </w:tc>
        <w:tc>
          <w:tcPr/>
          <w:p>
            <w:pPr>
              <w:pStyle w:val="Compact"/>
              <w:spacing w:after="20" w:before="20"/>
              <w:jc w:val="left"/>
            </w:pPr>
            <w:r>
              <w:rPr>
                <w:sz w:val="17"/>
              </w:rPr>
              <w:t xml:space="preserve">0.12</w:t>
            </w:r>
          </w:p>
        </w:tc>
        <w:tc>
          <w:tcPr/>
          <w:p>
            <w:pPr>
              <w:pStyle w:val="Compact"/>
              <w:spacing w:after="20" w:before="20"/>
              <w:jc w:val="left"/>
            </w:pPr>
            <w:r>
              <w:rPr>
                <w:sz w:val="17"/>
              </w:rPr>
              <w:t xml:space="preserve">0.70</w:t>
            </w:r>
          </w:p>
        </w:tc>
      </w:tr>
      <w:tr>
        <w:tc>
          <w:tcPr/>
          <w:p>
            <w:pPr>
              <w:pStyle w:val="Compact"/>
              <w:spacing w:after="20" w:before="20"/>
              <w:jc w:val="left"/>
            </w:pPr>
            <w:r>
              <w:rPr>
                <w:sz w:val="17"/>
              </w:rPr>
              <w:t xml:space="preserve">Confidence</w:t>
            </w:r>
          </w:p>
        </w:tc>
        <w:tc>
          <w:tcPr/>
          <w:p>
            <w:pPr>
              <w:pStyle w:val="Compact"/>
              <w:spacing w:after="20" w:before="20"/>
              <w:jc w:val="left"/>
            </w:pPr>
            <w:r>
              <w:rPr>
                <w:sz w:val="17"/>
              </w:rPr>
              <w:t xml:space="preserve">−0.0060</w:t>
            </w:r>
          </w:p>
        </w:tc>
        <w:tc>
          <w:tcPr/>
          <w:p>
            <w:pPr>
              <w:pStyle w:val="Compact"/>
              <w:spacing w:after="20" w:before="20"/>
              <w:jc w:val="left"/>
            </w:pPr>
            <w:r>
              <w:rPr>
                <w:sz w:val="17"/>
              </w:rPr>
              <w:t xml:space="preserve">[−0.0140, 0.0020]</w:t>
            </w:r>
          </w:p>
        </w:tc>
        <w:tc>
          <w:tcPr/>
          <w:p>
            <w:pPr>
              <w:pStyle w:val="Compact"/>
              <w:spacing w:after="20" w:before="20"/>
              <w:jc w:val="left"/>
            </w:pPr>
            <w:r>
              <w:rPr>
                <w:sz w:val="17"/>
              </w:rPr>
              <w:t xml:space="preserve">−1.13%</w:t>
            </w:r>
          </w:p>
        </w:tc>
        <w:tc>
          <w:tcPr/>
          <w:p>
            <w:pPr>
              <w:pStyle w:val="Compact"/>
              <w:spacing w:after="20" w:before="20"/>
              <w:jc w:val="left"/>
            </w:pPr>
            <w:r>
              <w:rPr>
                <w:sz w:val="17"/>
              </w:rPr>
              <w:t xml:space="preserve">4</w:t>
            </w:r>
          </w:p>
        </w:tc>
        <w:tc>
          <w:tcPr/>
          <w:p>
            <w:pPr>
              <w:pStyle w:val="Compact"/>
              <w:spacing w:after="20" w:before="20"/>
              <w:jc w:val="left"/>
            </w:pPr>
            <w:r>
              <w:rPr>
                <w:sz w:val="17"/>
              </w:rPr>
              <w:t xml:space="preserve">0.13</w:t>
            </w:r>
          </w:p>
        </w:tc>
        <w:tc>
          <w:tcPr/>
          <w:p>
            <w:pPr>
              <w:pStyle w:val="Compact"/>
              <w:spacing w:after="20" w:before="20"/>
              <w:jc w:val="left"/>
            </w:pPr>
            <w:r>
              <w:rPr>
                <w:sz w:val="17"/>
              </w:rPr>
              <w:t xml:space="preserve">0.70</w:t>
            </w:r>
          </w:p>
        </w:tc>
      </w:tr>
    </w:tbl>
    <w:p>
      <w:pPr>
        <w:pStyle w:val="BodyText"/>
      </w:pPr>
      <w:r>
        <w:t xml:space="preserve">Per dataset, the picture is consistent with a sample-size explanation (Table 7). On the default dataset, whose gain-fitting partition contains about 6,000 records, the proposed router beat every comparator on all 20 splits: Chow by 1.10%, confidence by 1.37%, L2D-CE by 1.29% and probability-only two-head by 1.45% (all corrected p ≤ 0.003). On German (about 200 gain-fitting records) and Australian credit (about 140), it lost to Chow by 1.96% and 3.20%. Across all datasets and reviewer models, the learned methods’ disadvantage relative to Chow grows with capacity (Fig. 2). This is expected: at higher capacity more marginal records must be ranked, and noisy gain estimates matter more there.</w:t>
      </w:r>
    </w:p>
    <w:p>
      <w:pPr>
        <w:pStyle w:val="TableCaption"/>
      </w:pPr>
      <w:r>
        <w:t xml:space="preserve">Table 7. Relative cost reduction of the proposed router by dataset at 20% capacity (positive favours the proposed method), pooled over eight non-clean conditions and five reviewers; wins out of 20 splits in parentheses. Bold: corrected p &lt; 0.01.</w:t>
      </w:r>
    </w:p>
    <w:tbl>
      <w:tblPr>
        <w:tblStyle w:val="Table"/>
        <w:tblW w:type="pct" w:w="5000"/>
        <w:tblLook w:firstRow="1" w:lastRow="0" w:firstColumn="0" w:lastColumn="0" w:noHBand="0" w:noVBand="0" w:val="0020"/>
        <w:jc w:val="start"/>
        <w:tblCaption w:val="Table 7. Relative cost reduction of the proposed router by dataset at 20% capacity (positive favours the proposed method), pooled over eight non-clean conditions and five reviewers; wins out of 20 splits in parentheses. Bold: corrected p &lt; 0.01."/>
        <w:tblBorders>
          <w:top w:val="single" w:sz="8" w:color="000000"/>
          <w:bottom w:val="single" w:sz="8" w:color="000000"/>
          <w:insideH w:val="nil" w:sz="8" w:color="000000"/>
          <w:insideV w:val="nil" w:sz="8" w:color="000000"/>
          <w:left w:val="nil" w:sz="8" w:color="000000"/>
          <w:right w:val="nil" w:sz="8" w:color="000000"/>
        </w:tblBorders>
      </w:tblPr>
      <w:tblGrid>
        <w:gridCol w:w="1584"/>
        <w:gridCol w:w="1584"/>
        <w:gridCol w:w="1584"/>
        <w:gridCol w:w="1584"/>
        <w:gridCol w:w="1584"/>
      </w:tblGrid>
      <w:tr>
        <w:trPr>
          <w:tblHeader w:val="true"/>
        </w:trPr>
        <w:tc>
          <w:tcPr>
            <w:tcBorders>
              <w:bottom w:val="single" w:sz="6"/>
            </w:tcBorders>
          </w:tcPr>
          <w:p>
            <w:pPr>
              <w:pStyle w:val="Compact"/>
              <w:spacing w:after="20" w:before="20"/>
              <w:jc w:val="left"/>
            </w:pPr>
            <w:r>
              <w:rPr>
                <w:b/>
                <w:sz w:val="17"/>
              </w:rPr>
              <w:t xml:space="preserve">Dataset (gain-fitting records)</w:t>
            </w:r>
          </w:p>
        </w:tc>
        <w:tc>
          <w:tcPr>
            <w:tcBorders>
              <w:bottom w:val="single" w:sz="6"/>
            </w:tcBorders>
          </w:tcPr>
          <w:p>
            <w:pPr>
              <w:pStyle w:val="Compact"/>
              <w:spacing w:after="20" w:before="20"/>
              <w:jc w:val="left"/>
            </w:pPr>
            <w:r>
              <w:rPr>
                <w:b/>
                <w:sz w:val="17"/>
              </w:rPr>
              <w:t xml:space="preserve">vs. Chow cost risk</w:t>
            </w:r>
          </w:p>
        </w:tc>
        <w:tc>
          <w:tcPr>
            <w:tcBorders>
              <w:bottom w:val="single" w:sz="6"/>
            </w:tcBorders>
          </w:tcPr>
          <w:p>
            <w:pPr>
              <w:pStyle w:val="Compact"/>
              <w:spacing w:after="20" w:before="20"/>
              <w:jc w:val="left"/>
            </w:pPr>
            <w:r>
              <w:rPr>
                <w:b/>
                <w:sz w:val="17"/>
              </w:rPr>
              <w:t xml:space="preserve">vs. Confidence</w:t>
            </w:r>
          </w:p>
        </w:tc>
        <w:tc>
          <w:tcPr>
            <w:tcBorders>
              <w:bottom w:val="single" w:sz="6"/>
            </w:tcBorders>
          </w:tcPr>
          <w:p>
            <w:pPr>
              <w:pStyle w:val="Compact"/>
              <w:spacing w:after="20" w:before="20"/>
              <w:jc w:val="left"/>
            </w:pPr>
            <w:r>
              <w:rPr>
                <w:b/>
                <w:sz w:val="17"/>
              </w:rPr>
              <w:t xml:space="preserve">vs. L2D-CE</w:t>
            </w:r>
          </w:p>
        </w:tc>
        <w:tc>
          <w:tcPr>
            <w:tcBorders>
              <w:bottom w:val="single" w:sz="6"/>
            </w:tcBorders>
          </w:tcPr>
          <w:p>
            <w:pPr>
              <w:pStyle w:val="Compact"/>
              <w:spacing w:after="20" w:before="20"/>
              <w:jc w:val="left"/>
            </w:pPr>
            <w:r>
              <w:rPr>
                <w:b/>
                <w:sz w:val="17"/>
              </w:rPr>
              <w:t xml:space="preserve">vs. Two-head prob. only</w:t>
            </w:r>
          </w:p>
        </w:tc>
      </w:tr>
      <w:tr>
        <w:tc>
          <w:tcPr/>
          <w:p>
            <w:pPr>
              <w:pStyle w:val="Compact"/>
              <w:spacing w:after="20" w:before="20"/>
              <w:jc w:val="left"/>
            </w:pPr>
            <w:r>
              <w:rPr>
                <w:sz w:val="17"/>
              </w:rPr>
              <w:t xml:space="preserve">German (≈200)</w:t>
            </w:r>
          </w:p>
        </w:tc>
        <w:tc>
          <w:tcPr/>
          <w:p>
            <w:pPr>
              <w:pStyle w:val="Compact"/>
              <w:spacing w:after="20" w:before="20"/>
              <w:jc w:val="left"/>
            </w:pPr>
            <w:r>
              <w:rPr>
                <w:sz w:val="17"/>
              </w:rPr>
              <w:t xml:space="preserve">−1.96% (3/20)</w:t>
            </w:r>
          </w:p>
        </w:tc>
        <w:tc>
          <w:tcPr/>
          <w:p>
            <w:pPr>
              <w:pStyle w:val="Compact"/>
              <w:spacing w:after="20" w:before="20"/>
              <w:jc w:val="left"/>
            </w:pPr>
            <w:r>
              <w:rPr>
                <w:sz w:val="17"/>
              </w:rPr>
              <w:t xml:space="preserve">−0.98% (7/20)</w:t>
            </w:r>
          </w:p>
        </w:tc>
        <w:tc>
          <w:tcPr/>
          <w:p>
            <w:pPr>
              <w:pStyle w:val="Compact"/>
              <w:spacing w:after="20" w:before="20"/>
              <w:jc w:val="left"/>
            </w:pPr>
            <w:r>
              <w:rPr>
                <w:sz w:val="17"/>
              </w:rPr>
              <w:t xml:space="preserve">+1.84% (16/20)</w:t>
            </w:r>
          </w:p>
        </w:tc>
        <w:tc>
          <w:tcPr/>
          <w:p>
            <w:pPr>
              <w:pStyle w:val="Compact"/>
              <w:spacing w:after="20" w:before="20"/>
              <w:jc w:val="left"/>
            </w:pPr>
            <w:r>
              <w:rPr>
                <w:sz w:val="17"/>
              </w:rPr>
              <w:t xml:space="preserve">−0.07% (7/20)</w:t>
            </w:r>
          </w:p>
        </w:tc>
      </w:tr>
      <w:tr>
        <w:tc>
          <w:tcPr/>
          <w:p>
            <w:pPr>
              <w:pStyle w:val="Compact"/>
              <w:spacing w:after="20" w:before="20"/>
              <w:jc w:val="left"/>
            </w:pPr>
            <w:r>
              <w:rPr>
                <w:sz w:val="17"/>
              </w:rPr>
              <w:t xml:space="preserve">Australian (≈140)</w:t>
            </w:r>
          </w:p>
        </w:tc>
        <w:tc>
          <w:tcPr/>
          <w:p>
            <w:pPr>
              <w:pStyle w:val="Compact"/>
              <w:spacing w:after="20" w:before="20"/>
              <w:jc w:val="left"/>
            </w:pPr>
            <w:r>
              <w:rPr>
                <w:sz w:val="17"/>
              </w:rPr>
              <w:t xml:space="preserve">−3.20% (3/20)</w:t>
            </w:r>
          </w:p>
        </w:tc>
        <w:tc>
          <w:tcPr/>
          <w:p>
            <w:pPr>
              <w:pStyle w:val="Compact"/>
              <w:spacing w:after="20" w:before="20"/>
              <w:jc w:val="left"/>
            </w:pPr>
            <w:r>
              <w:rPr>
                <w:sz w:val="17"/>
              </w:rPr>
              <w:t xml:space="preserve">−4.81% (1/20)</w:t>
            </w:r>
          </w:p>
        </w:tc>
        <w:tc>
          <w:tcPr/>
          <w:p>
            <w:pPr>
              <w:pStyle w:val="Compact"/>
              <w:spacing w:after="20" w:before="20"/>
              <w:jc w:val="left"/>
            </w:pPr>
            <w:r>
              <w:rPr>
                <w:sz w:val="17"/>
              </w:rPr>
              <w:t xml:space="preserve">+2.94% (16/20)</w:t>
            </w:r>
          </w:p>
        </w:tc>
        <w:tc>
          <w:tcPr/>
          <w:p>
            <w:pPr>
              <w:pStyle w:val="Compact"/>
              <w:spacing w:after="20" w:before="20"/>
              <w:jc w:val="left"/>
            </w:pPr>
            <w:r>
              <w:rPr>
                <w:sz w:val="17"/>
              </w:rPr>
              <w:t xml:space="preserve">+0.01% (9/20)</w:t>
            </w:r>
          </w:p>
        </w:tc>
      </w:tr>
      <w:tr>
        <w:tc>
          <w:tcPr/>
          <w:p>
            <w:pPr>
              <w:pStyle w:val="Compact"/>
              <w:spacing w:after="20" w:before="20"/>
              <w:jc w:val="left"/>
            </w:pPr>
            <w:r>
              <w:rPr>
                <w:sz w:val="17"/>
              </w:rPr>
              <w:t xml:space="preserve">Default (≈6,000)</w:t>
            </w:r>
          </w:p>
        </w:tc>
        <w:tc>
          <w:tcPr/>
          <w:p>
            <w:pPr>
              <w:pStyle w:val="Compact"/>
              <w:spacing w:after="20" w:before="20"/>
              <w:jc w:val="left"/>
            </w:pPr>
            <w:r>
              <w:rPr>
                <w:bCs/>
                <w:b/>
                <w:sz w:val="17"/>
              </w:rPr>
              <w:t xml:space="preserve">+1.10% (20/20)</w:t>
            </w:r>
          </w:p>
        </w:tc>
        <w:tc>
          <w:tcPr/>
          <w:p>
            <w:pPr>
              <w:pStyle w:val="Compact"/>
              <w:spacing w:after="20" w:before="20"/>
              <w:jc w:val="left"/>
            </w:pPr>
            <w:r>
              <w:rPr>
                <w:bCs/>
                <w:b/>
                <w:sz w:val="17"/>
              </w:rPr>
              <w:t xml:space="preserve">+1.37% (20/20)</w:t>
            </w:r>
          </w:p>
        </w:tc>
        <w:tc>
          <w:tcPr/>
          <w:p>
            <w:pPr>
              <w:pStyle w:val="Compact"/>
              <w:spacing w:after="20" w:before="20"/>
              <w:jc w:val="left"/>
            </w:pPr>
            <w:r>
              <w:rPr>
                <w:bCs/>
                <w:b/>
                <w:sz w:val="17"/>
              </w:rPr>
              <w:t xml:space="preserve">+1.29% (20/20)</w:t>
            </w:r>
          </w:p>
        </w:tc>
        <w:tc>
          <w:tcPr/>
          <w:p>
            <w:pPr>
              <w:pStyle w:val="Compact"/>
              <w:spacing w:after="20" w:before="20"/>
              <w:jc w:val="left"/>
            </w:pPr>
            <w:r>
              <w:rPr>
                <w:bCs/>
                <w:b/>
                <w:sz w:val="17"/>
              </w:rPr>
              <w:t xml:space="preserve">+1.45% (20/20)</w:t>
            </w:r>
          </w:p>
        </w:tc>
      </w:tr>
      <w:tr>
        <w:tc>
          <w:tcPr/>
          <w:p>
            <w:pPr>
              <w:pStyle w:val="Compact"/>
              <w:spacing w:after="20" w:before="20"/>
              <w:jc w:val="left"/>
            </w:pPr>
            <w:r>
              <w:rPr>
                <w:sz w:val="17"/>
              </w:rPr>
              <w:t xml:space="preserve">HMEQ, external (≈1,190)</w:t>
            </w:r>
          </w:p>
        </w:tc>
        <w:tc>
          <w:tcPr/>
          <w:p>
            <w:pPr>
              <w:pStyle w:val="Compact"/>
              <w:spacing w:after="20" w:before="20"/>
              <w:jc w:val="left"/>
            </w:pPr>
            <w:r>
              <w:rPr>
                <w:sz w:val="17"/>
              </w:rPr>
              <w:t xml:space="preserve">+0.24% (11/20)</w:t>
            </w:r>
          </w:p>
        </w:tc>
        <w:tc>
          <w:tcPr/>
          <w:p>
            <w:pPr>
              <w:pStyle w:val="Compact"/>
              <w:spacing w:after="20" w:before="20"/>
              <w:jc w:val="left"/>
            </w:pPr>
            <w:r>
              <w:rPr>
                <w:sz w:val="17"/>
              </w:rPr>
              <w:t xml:space="preserve">−2.22% (0/20)</w:t>
            </w:r>
          </w:p>
        </w:tc>
        <w:tc>
          <w:tcPr/>
          <w:p>
            <w:pPr>
              <w:pStyle w:val="Compact"/>
              <w:spacing w:after="20" w:before="20"/>
              <w:jc w:val="left"/>
            </w:pPr>
            <w:r>
              <w:rPr>
                <w:sz w:val="17"/>
              </w:rPr>
              <w:t xml:space="preserve">+0.65% (14/20)</w:t>
            </w:r>
          </w:p>
        </w:tc>
        <w:tc>
          <w:tcPr/>
          <w:p>
            <w:pPr>
              <w:pStyle w:val="Compact"/>
              <w:spacing w:after="20" w:before="20"/>
              <w:jc w:val="left"/>
            </w:pPr>
            <w:r>
              <w:rPr>
                <w:sz w:val="17"/>
              </w:rPr>
              <w:t xml:space="preserve">−0.03% (12/20)</w:t>
            </w:r>
          </w:p>
        </w:tc>
      </w:tr>
    </w:tbl>
    <w:p>
      <w:pPr>
        <w:pStyle w:val="CaptionedFigure"/>
      </w:pPr>
      <w:r>
        <w:drawing>
          <wp:inline>
            <wp:extent cx="5887023" cy="2538301"/>
            <wp:effectExtent b="0" l="0" r="0" t="0"/>
            <wp:docPr descr="Fig. 2. Cost of learned routers relative to Chow cost risk across review capacity, by reviewer model (three datasets, eight non-clean conditions, 20 splits). Bands are ±1.96 standard errors across split means. Values above zero indicate higher cost than Chow’s rule." title="" id="45" name="Picture"/>
            <a:graphic>
              <a:graphicData uri="http://schemas.openxmlformats.org/drawingml/2006/picture">
                <pic:pic>
                  <pic:nvPicPr>
                    <pic:cNvPr descr="figs/fig2_capacity.png" id="46" name="Picture"/>
                    <pic:cNvPicPr>
                      <a:picLocks noChangeArrowheads="1" noChangeAspect="1"/>
                    </pic:cNvPicPr>
                  </pic:nvPicPr>
                  <pic:blipFill>
                    <a:blip r:embed="rId44"/>
                    <a:stretch>
                      <a:fillRect/>
                    </a:stretch>
                  </pic:blipFill>
                  <pic:spPr bwMode="auto">
                    <a:xfrm>
                      <a:off x="0" y="0"/>
                      <a:ext cx="5887023" cy="2538301"/>
                    </a:xfrm>
                    <a:prstGeom prst="rect">
                      <a:avLst/>
                    </a:prstGeom>
                    <a:noFill/>
                    <a:ln w="9525">
                      <a:noFill/>
                      <a:headEnd/>
                      <a:tailEnd/>
                    </a:ln>
                  </pic:spPr>
                </pic:pic>
              </a:graphicData>
            </a:graphic>
          </wp:inline>
        </w:drawing>
      </w:r>
    </w:p>
    <w:p>
      <w:pPr>
        <w:pStyle w:val="ImageCaption"/>
      </w:pPr>
      <w:r>
        <w:t xml:space="preserve">Fig. 2. Cost of learned routers relative to Chow cost risk across review capacity, by reviewer model (three datasets, eight non-clean conditions, 20 splits). Bands are ±1.96 standard errors across split means. Values above zero indicate higher cost than Chow’s rule.</w:t>
      </w:r>
    </w:p>
    <w:bookmarkEnd w:id="47"/>
    <w:bookmarkStart w:id="51" w:name="X1bbe1d6af563c744346624d7f7b90465bc6c522"/>
    <w:p>
      <w:pPr>
        <w:pStyle w:val="Heading2"/>
      </w:pPr>
      <w:r>
        <w:t xml:space="preserve">5.3. How much review data does a learned router need?</w:t>
      </w:r>
    </w:p>
    <w:p>
      <w:pPr>
        <w:pStyle w:val="FirstParagraph"/>
      </w:pPr>
      <w:r>
        <w:t xml:space="preserve">To test the sample-size explanation directly, we subsampled the gain-fitting partition of the default and HMEQ datasets while holding everything else fixed (Fig. 3). With about 200 gain-fitting records, the same size as the German partition, the proposed router was 1.96% more expensive than Chow on the default dataset and won on no split; L2D-CE was 5.06% more expensive. The gap closed at about 1,800 records (+0.10%, 10/20 wins) and reversed at 6,000 (−1.10%, 20/20 wins). The two-head quality-aware router was the best learned method at every size on the default dataset. Its advantage over the probability-only two-head router also grew with data (0.5 percentage points at 200 records, 1.5 at 6,000). HMEQ showed the same trend over its smaller range, from +2.47% at 119 records to −0.24% at 1,192. Because each gain-fitting record contributes four corrupted copies and 40% of copies carry a review log, 1,800 records correspond to roughly 2,900 logged review decisions. In this setting, then, a learned router needs a few thousand logged review outcomes before it beats a cost-aware heuristic. Below that volume Chow’s rule is the better choice.</w:t>
      </w:r>
    </w:p>
    <w:p>
      <w:pPr>
        <w:pStyle w:val="CaptionedFigure"/>
      </w:pPr>
      <w:r>
        <w:drawing>
          <wp:inline>
            <wp:extent cx="5657088" cy="2439376"/>
            <wp:effectExtent b="0" l="0" r="0" t="0"/>
            <wp:docPr descr="Fig. 3. Learned routing versus Chow’s rule as the gain-fitting partition grows (20% capacity, eight non-clean conditions, five reviewers, 20 splits per size). Negative values indicate lower cost than Chow." title="" id="49" name="Picture"/>
            <a:graphic>
              <a:graphicData uri="http://schemas.openxmlformats.org/drawingml/2006/picture">
                <pic:pic>
                  <pic:nvPicPr>
                    <pic:cNvPr descr="figs/fig4_volume.png" id="50" name="Picture"/>
                    <pic:cNvPicPr>
                      <a:picLocks noChangeArrowheads="1" noChangeAspect="1"/>
                    </pic:cNvPicPr>
                  </pic:nvPicPr>
                  <pic:blipFill>
                    <a:blip r:embed="rId48"/>
                    <a:stretch>
                      <a:fillRect/>
                    </a:stretch>
                  </pic:blipFill>
                  <pic:spPr bwMode="auto">
                    <a:xfrm>
                      <a:off x="0" y="0"/>
                      <a:ext cx="5657088" cy="2439376"/>
                    </a:xfrm>
                    <a:prstGeom prst="rect">
                      <a:avLst/>
                    </a:prstGeom>
                    <a:noFill/>
                    <a:ln w="9525">
                      <a:noFill/>
                      <a:headEnd/>
                      <a:tailEnd/>
                    </a:ln>
                  </pic:spPr>
                </pic:pic>
              </a:graphicData>
            </a:graphic>
          </wp:inline>
        </w:drawing>
      </w:r>
    </w:p>
    <w:p>
      <w:pPr>
        <w:pStyle w:val="ImageCaption"/>
      </w:pPr>
      <w:r>
        <w:t xml:space="preserve">Fig. 3. Learned routing versus Chow’s rule as the gain-fitting partition grows (20% capacity, eight non-clean conditions, five reviewers, 20 splits per size). Negative values indicate lower cost than Chow.</w:t>
      </w:r>
    </w:p>
    <w:bookmarkEnd w:id="51"/>
    <w:bookmarkStart w:id="55" w:name="when-does-quality-information-help"/>
    <w:p>
      <w:pPr>
        <w:pStyle w:val="Heading2"/>
      </w:pPr>
      <w:r>
        <w:t xml:space="preserve">5.4. When does quality information help?</w:t>
      </w:r>
    </w:p>
    <w:p>
      <w:pPr>
        <w:pStyle w:val="FirstParagraph"/>
      </w:pPr>
      <w:r>
        <w:t xml:space="preserve">Fig. 4 reports the cost reduction from adding quality inputs (</w:t>
      </w:r>
      <m:oMath>
        <m:r>
          <m:t>u</m:t>
        </m:r>
        <m:r>
          <m:rPr>
            <m:sty m:val="p"/>
          </m:rPr>
          <m:t>,</m:t>
        </m:r>
        <m:r>
          <m:t>v</m:t>
        </m:r>
      </m:oMath>
      <w:r>
        <w:t xml:space="preserve"> </w:t>
      </w:r>
      <w:r>
        <w:t xml:space="preserve">and interactions) to the two-head router, holding everything else fixed, for every condition × reviewer cell at 20% capacity. The prespecified hypotheses fare as follows.</w:t>
      </w:r>
    </w:p>
    <w:p>
      <w:pPr>
        <w:pStyle w:val="BodyText"/>
      </w:pPr>
      <w:r>
        <w:rPr>
          <w:bCs/>
          <w:b/>
        </w:rPr>
        <w:t xml:space="preserve">H1 (coupled value) was not supported at conventional significance.</w:t>
      </w:r>
      <w:r>
        <w:t xml:space="preserve"> </w:t>
      </w:r>
      <w:r>
        <w:t xml:space="preserve">With the quality-coupled reviewer and visible defects, quality inputs reduced cost by 0.65% on 16 of 20 splits (corrected 95% CI [−0.0029, 0.0108], p = 0.24).</w:t>
      </w:r>
    </w:p>
    <w:p>
      <w:pPr>
        <w:pStyle w:val="BodyText"/>
      </w:pPr>
      <w:r>
        <w:rPr>
          <w:bCs/>
          <w:b/>
        </w:rPr>
        <w:t xml:space="preserve">H2 (decoupled null) was supported for visible defects but not for invisible ones.</w:t>
      </w:r>
      <w:r>
        <w:t xml:space="preserve"> </w:t>
      </w:r>
      <w:r>
        <w:t xml:space="preserve">When reviewer error did not depend on quality and defects were visible, the effect was essentially zero: −0.07%, 10/20 wins, p = 0.80. Contrary to H2, quality inputs helped</w:t>
      </w:r>
      <w:r>
        <w:t xml:space="preserve"> </w:t>
      </w:r>
      <w:r>
        <w:rPr>
          <w:iCs/>
          <w:i/>
        </w:rPr>
        <w:t xml:space="preserve">more</w:t>
      </w:r>
      <w:r>
        <w:t xml:space="preserve"> </w:t>
      </w:r>
      <w:r>
        <w:t xml:space="preserve">under Family B (domain-valid defects): +1.41% with the coupled reviewer and +0.94% with the decoupled reviewers, neither significant. The effect came almost entirely from one condition. Under informative missingness, quality inputs reduced cost under every reviewer model, from +1.2% (adverse) to +3.5% (constant; 17/20, p = 0.039). Pooled over reviewers the reduction was 2.29% (18/20, p = 0.045).</w:t>
      </w:r>
    </w:p>
    <w:p>
      <w:pPr>
        <w:pStyle w:val="BodyText"/>
      </w:pPr>
      <w:r>
        <w:t xml:space="preserve">The mechanism is identified by routing quality information to only one head (Table 8). Under informative missingness, quality inputs in the automation-loss head alone reduced cost by 2.83% on all 20 splits (p = 0.013), whereas quality inputs in the reviewer-loss head alone did nothing (−0.28%, 7/20). Missingness that depends on the outcome makes the base predictor’s error on incomplete records predictable from the missing fraction. The quality signal therefore improves the estimate of</w:t>
      </w:r>
      <w:r>
        <w:t xml:space="preserve"> </w:t>
      </w:r>
      <w:r>
        <w:rPr>
          <w:iCs/>
          <w:i/>
        </w:rPr>
        <w:t xml:space="preserve">how wrong the automated decision is likely to be</w:t>
      </w:r>
      <w:r>
        <w:t xml:space="preserve">, not of how accurate the reviewer will be. Through the reviewer-loss head, quality inputs helped only when reviewer error actually depended on quality: +0.70% (16/20, p = 0.17) with the coupled reviewer on Family A, versus −0.41% (7/20) with the feature-dependent reviewer. The earlier draft’s concern that its reviewer simulation favoured the quality representation was therefore justified in direction but small in magnitude, and this channel is not where most of the value lies.</w:t>
      </w:r>
    </w:p>
    <w:p>
      <w:pPr>
        <w:pStyle w:val="TableCaption"/>
      </w:pPr>
      <w:r>
        <w:t xml:space="preserve">Table 8. Where quality information acts. Cost reduction relative to the probability-only two-head router at 20% capacity (positive = quality inputs help); wins out of 20 splits. Bold: corrected p &lt; 0.05.</w:t>
      </w:r>
    </w:p>
    <w:tbl>
      <w:tblPr>
        <w:tblStyle w:val="Table"/>
        <w:tblW w:type="pct" w:w="5000"/>
        <w:tblLook w:firstRow="1" w:lastRow="0" w:firstColumn="0" w:lastColumn="0" w:noHBand="0" w:noVBand="0" w:val="0020"/>
        <w:jc w:val="start"/>
        <w:tblCaption w:val="Table 8. Where quality information acts. Cost reduction relative to the probability-only two-head router at 20% capacity (positive = quality inputs help); wins out of 20 splits. Bold: corrected p &lt; 0.05."/>
        <w:tblBorders>
          <w:top w:val="single" w:sz="8" w:color="000000"/>
          <w:bottom w:val="single" w:sz="8" w:color="000000"/>
          <w:insideH w:val="nil" w:sz="8" w:color="000000"/>
          <w:insideV w:val="nil" w:sz="8" w:color="000000"/>
          <w:left w:val="nil" w:sz="8" w:color="000000"/>
          <w:right w:val="nil" w:sz="8" w:color="000000"/>
        </w:tblBorders>
      </w:tblPr>
      <w:tblGrid>
        <w:gridCol w:w="1980"/>
        <w:gridCol w:w="1980"/>
        <w:gridCol w:w="1980"/>
        <w:gridCol w:w="1980"/>
      </w:tblGrid>
      <w:tr>
        <w:trPr>
          <w:tblHeader w:val="true"/>
        </w:trPr>
        <w:tc>
          <w:tcPr>
            <w:tcBorders>
              <w:bottom w:val="single" w:sz="6"/>
            </w:tcBorders>
          </w:tcPr>
          <w:p>
            <w:pPr>
              <w:pStyle w:val="Compact"/>
              <w:spacing w:after="20" w:before="20"/>
              <w:jc w:val="left"/>
            </w:pPr>
            <w:r>
              <w:rPr>
                <w:b/>
                <w:sz w:val="17"/>
              </w:rPr>
              <w:t xml:space="preserve">Condition</w:t>
            </w:r>
          </w:p>
        </w:tc>
        <w:tc>
          <w:tcPr>
            <w:tcBorders>
              <w:bottom w:val="single" w:sz="6"/>
            </w:tcBorders>
          </w:tcPr>
          <w:p>
            <w:pPr>
              <w:pStyle w:val="Compact"/>
              <w:spacing w:after="20" w:before="20"/>
              <w:jc w:val="left"/>
            </w:pPr>
            <w:r>
              <w:rPr>
                <w:b/>
                <w:sz w:val="17"/>
              </w:rPr>
              <w:t xml:space="preserve">Quality in automation head only</w:t>
            </w:r>
          </w:p>
        </w:tc>
        <w:tc>
          <w:tcPr>
            <w:tcBorders>
              <w:bottom w:val="single" w:sz="6"/>
            </w:tcBorders>
          </w:tcPr>
          <w:p>
            <w:pPr>
              <w:pStyle w:val="Compact"/>
              <w:spacing w:after="20" w:before="20"/>
              <w:jc w:val="left"/>
            </w:pPr>
            <w:r>
              <w:rPr>
                <w:b/>
                <w:sz w:val="17"/>
              </w:rPr>
              <w:t xml:space="preserve">Quality in reviewer head only</w:t>
            </w:r>
          </w:p>
        </w:tc>
        <w:tc>
          <w:tcPr>
            <w:tcBorders>
              <w:bottom w:val="single" w:sz="6"/>
            </w:tcBorders>
          </w:tcPr>
          <w:p>
            <w:pPr>
              <w:pStyle w:val="Compact"/>
              <w:spacing w:after="20" w:before="20"/>
              <w:jc w:val="left"/>
            </w:pPr>
            <w:r>
              <w:rPr>
                <w:b/>
                <w:sz w:val="17"/>
              </w:rPr>
              <w:t xml:space="preserve">Quality in both (proposed)</w:t>
            </w:r>
          </w:p>
        </w:tc>
      </w:tr>
      <w:tr>
        <w:tc>
          <w:tcPr/>
          <w:p>
            <w:pPr>
              <w:pStyle w:val="Compact"/>
              <w:spacing w:after="20" w:before="20"/>
              <w:jc w:val="left"/>
            </w:pPr>
            <w:r>
              <w:rPr>
                <w:sz w:val="17"/>
              </w:rPr>
              <w:t xml:space="preserve">Informative missing (all reviewers)</w:t>
            </w:r>
          </w:p>
        </w:tc>
        <w:tc>
          <w:tcPr/>
          <w:p>
            <w:pPr>
              <w:pStyle w:val="Compact"/>
              <w:spacing w:after="20" w:before="20"/>
              <w:jc w:val="left"/>
            </w:pPr>
            <w:r>
              <w:rPr>
                <w:bCs/>
                <w:b/>
                <w:sz w:val="17"/>
              </w:rPr>
              <w:t xml:space="preserve">+2.83% (20/20)</w:t>
            </w:r>
          </w:p>
        </w:tc>
        <w:tc>
          <w:tcPr/>
          <w:p>
            <w:pPr>
              <w:pStyle w:val="Compact"/>
              <w:spacing w:after="20" w:before="20"/>
              <w:jc w:val="left"/>
            </w:pPr>
            <w:r>
              <w:rPr>
                <w:sz w:val="17"/>
              </w:rPr>
              <w:t xml:space="preserve">−0.28% (7/20)</w:t>
            </w:r>
          </w:p>
        </w:tc>
        <w:tc>
          <w:tcPr/>
          <w:p>
            <w:pPr>
              <w:pStyle w:val="Compact"/>
              <w:spacing w:after="20" w:before="20"/>
              <w:jc w:val="left"/>
            </w:pPr>
            <w:r>
              <w:rPr>
                <w:bCs/>
                <w:b/>
                <w:sz w:val="17"/>
              </w:rPr>
              <w:t xml:space="preserve">+2.29% (18/20)</w:t>
            </w:r>
          </w:p>
        </w:tc>
      </w:tr>
      <w:tr>
        <w:tc>
          <w:tcPr/>
          <w:p>
            <w:pPr>
              <w:pStyle w:val="Compact"/>
              <w:spacing w:after="20" w:before="20"/>
              <w:jc w:val="left"/>
            </w:pPr>
            <w:r>
              <w:rPr>
                <w:sz w:val="17"/>
              </w:rPr>
              <w:t xml:space="preserve">Stale records (all reviewers)</w:t>
            </w:r>
          </w:p>
        </w:tc>
        <w:tc>
          <w:tcPr/>
          <w:p>
            <w:pPr>
              <w:pStyle w:val="Compact"/>
              <w:spacing w:after="20" w:before="20"/>
              <w:jc w:val="left"/>
            </w:pPr>
            <w:r>
              <w:rPr>
                <w:sz w:val="17"/>
              </w:rPr>
              <w:t xml:space="preserve">+0.98% (13/20)</w:t>
            </w:r>
          </w:p>
        </w:tc>
        <w:tc>
          <w:tcPr/>
          <w:p>
            <w:pPr>
              <w:pStyle w:val="Compact"/>
              <w:spacing w:after="20" w:before="20"/>
              <w:jc w:val="left"/>
            </w:pPr>
            <w:r>
              <w:rPr>
                <w:sz w:val="17"/>
              </w:rPr>
              <w:t xml:space="preserve">+0.04% (10/20)</w:t>
            </w:r>
          </w:p>
        </w:tc>
        <w:tc>
          <w:tcPr/>
          <w:p>
            <w:pPr>
              <w:pStyle w:val="Compact"/>
              <w:spacing w:after="20" w:before="20"/>
              <w:jc w:val="left"/>
            </w:pPr>
            <w:r>
              <w:rPr>
                <w:sz w:val="17"/>
              </w:rPr>
              <w:t xml:space="preserve">+0.91% (14/20)</w:t>
            </w:r>
          </w:p>
        </w:tc>
      </w:tr>
      <w:tr>
        <w:tc>
          <w:tcPr/>
          <w:p>
            <w:pPr>
              <w:pStyle w:val="Compact"/>
              <w:spacing w:after="20" w:before="20"/>
              <w:jc w:val="left"/>
            </w:pPr>
            <w:r>
              <w:rPr>
                <w:sz w:val="17"/>
              </w:rPr>
              <w:t xml:space="preserve">Realistic mix (all reviewers)</w:t>
            </w:r>
          </w:p>
        </w:tc>
        <w:tc>
          <w:tcPr/>
          <w:p>
            <w:pPr>
              <w:pStyle w:val="Compact"/>
              <w:spacing w:after="20" w:before="20"/>
              <w:jc w:val="left"/>
            </w:pPr>
            <w:r>
              <w:rPr>
                <w:sz w:val="17"/>
              </w:rPr>
              <w:t xml:space="preserve">+1.86% (15/20)</w:t>
            </w:r>
          </w:p>
        </w:tc>
        <w:tc>
          <w:tcPr/>
          <w:p>
            <w:pPr>
              <w:pStyle w:val="Compact"/>
              <w:spacing w:after="20" w:before="20"/>
              <w:jc w:val="left"/>
            </w:pPr>
            <w:r>
              <w:rPr>
                <w:sz w:val="17"/>
              </w:rPr>
              <w:t xml:space="preserve">−0.74% (6/20)</w:t>
            </w:r>
          </w:p>
        </w:tc>
        <w:tc>
          <w:tcPr/>
          <w:p>
            <w:pPr>
              <w:pStyle w:val="Compact"/>
              <w:spacing w:after="20" w:before="20"/>
              <w:jc w:val="left"/>
            </w:pPr>
            <w:r>
              <w:rPr>
                <w:sz w:val="17"/>
              </w:rPr>
              <w:t xml:space="preserve">+0.91% (14/20)</w:t>
            </w:r>
          </w:p>
        </w:tc>
      </w:tr>
      <w:tr>
        <w:tc>
          <w:tcPr/>
          <w:p>
            <w:pPr>
              <w:pStyle w:val="Compact"/>
              <w:spacing w:after="20" w:before="20"/>
              <w:jc w:val="left"/>
            </w:pPr>
            <w:r>
              <w:rPr>
                <w:sz w:val="17"/>
              </w:rPr>
              <w:t xml:space="preserve">Family A, quality-coupled reviewer</w:t>
            </w:r>
          </w:p>
        </w:tc>
        <w:tc>
          <w:tcPr/>
          <w:p>
            <w:pPr>
              <w:pStyle w:val="Compact"/>
              <w:spacing w:after="20" w:before="20"/>
              <w:jc w:val="left"/>
            </w:pPr>
            <w:r>
              <w:rPr>
                <w:sz w:val="17"/>
              </w:rPr>
              <w:t xml:space="preserve">+0.07% (13/20)</w:t>
            </w:r>
          </w:p>
        </w:tc>
        <w:tc>
          <w:tcPr/>
          <w:p>
            <w:pPr>
              <w:pStyle w:val="Compact"/>
              <w:spacing w:after="20" w:before="20"/>
              <w:jc w:val="left"/>
            </w:pPr>
            <w:r>
              <w:rPr>
                <w:sz w:val="17"/>
              </w:rPr>
              <w:t xml:space="preserve">+0.70% (16/20)</w:t>
            </w:r>
          </w:p>
        </w:tc>
        <w:tc>
          <w:tcPr/>
          <w:p>
            <w:pPr>
              <w:pStyle w:val="Compact"/>
              <w:spacing w:after="20" w:before="20"/>
              <w:jc w:val="left"/>
            </w:pPr>
            <w:r>
              <w:rPr>
                <w:sz w:val="17"/>
              </w:rPr>
              <w:t xml:space="preserve">+0.65% (16/20)</w:t>
            </w:r>
          </w:p>
        </w:tc>
      </w:tr>
      <w:tr>
        <w:tc>
          <w:tcPr/>
          <w:p>
            <w:pPr>
              <w:pStyle w:val="Compact"/>
              <w:spacing w:after="20" w:before="20"/>
              <w:jc w:val="left"/>
            </w:pPr>
            <w:r>
              <w:rPr>
                <w:sz w:val="17"/>
              </w:rPr>
              <w:t xml:space="preserve">Family A, feature-dependent reviewer</w:t>
            </w:r>
          </w:p>
        </w:tc>
        <w:tc>
          <w:tcPr/>
          <w:p>
            <w:pPr>
              <w:pStyle w:val="Compact"/>
              <w:spacing w:after="20" w:before="20"/>
              <w:jc w:val="left"/>
            </w:pPr>
            <w:r>
              <w:rPr>
                <w:sz w:val="17"/>
              </w:rPr>
              <w:t xml:space="preserve">+0.18% (11/20)</w:t>
            </w:r>
          </w:p>
        </w:tc>
        <w:tc>
          <w:tcPr/>
          <w:p>
            <w:pPr>
              <w:pStyle w:val="Compact"/>
              <w:spacing w:after="20" w:before="20"/>
              <w:jc w:val="left"/>
            </w:pPr>
            <w:r>
              <w:rPr>
                <w:sz w:val="17"/>
              </w:rPr>
              <w:t xml:space="preserve">−0.41% (7/20)</w:t>
            </w:r>
          </w:p>
        </w:tc>
        <w:tc>
          <w:tcPr/>
          <w:p>
            <w:pPr>
              <w:pStyle w:val="Compact"/>
              <w:spacing w:after="20" w:before="20"/>
              <w:jc w:val="left"/>
            </w:pPr>
            <w:r>
              <w:rPr>
                <w:sz w:val="17"/>
              </w:rPr>
              <w:t xml:space="preserve">−0.34% (4/20)</w:t>
            </w:r>
          </w:p>
        </w:tc>
      </w:tr>
    </w:tbl>
    <w:p>
      <w:pPr>
        <w:pStyle w:val="BodyText"/>
      </w:pPr>
      <w:r>
        <w:t xml:space="preserve">Stale records and inconsistent codes, which the quality monitor cannot see (correlation between the true defect fraction and</w:t>
      </w:r>
      <w:r>
        <w:t xml:space="preserve"> </w:t>
      </w:r>
      <m:oMath>
        <m:r>
          <m:t>u</m:t>
        </m:r>
        <m:r>
          <m:rPr>
            <m:sty m:val="p"/>
          </m:rPr>
          <m:t>+</m:t>
        </m:r>
        <m:r>
          <m:t>v</m:t>
        </m:r>
      </m:oMath>
      <w:r>
        <w:t xml:space="preserve"> </w:t>
      </w:r>
      <w:r>
        <w:t xml:space="preserve">of −0.01 to 0.14 for stale records and 0.14 to 0.45 for inconsistent codes), produced small and unstable effects. They also produced almost no mandatory reviews: at most 0.5% of records were flagged, against 13–18% under the missing condition.</w:t>
      </w:r>
    </w:p>
    <w:p>
      <w:pPr>
        <w:pStyle w:val="CaptionedFigure"/>
      </w:pPr>
      <w:r>
        <w:drawing>
          <wp:inline>
            <wp:extent cx="4832096" cy="2713878"/>
            <wp:effectExtent b="0" l="0" r="0" t="0"/>
            <wp:docPr descr="Fig. 4. Cost reduction (%) from adding quality inputs to the two-head router, by data condition and reviewer model, at 20% capacity. Each cell shows the mean over three datasets and the number of splits (of 20) on which quality inputs helped; * marks corrected p &lt; 0.05. Blue: quality helps; red: quality hurts." title="" id="53" name="Picture"/>
            <a:graphic>
              <a:graphicData uri="http://schemas.openxmlformats.org/drawingml/2006/picture">
                <pic:pic>
                  <pic:nvPicPr>
                    <pic:cNvPr descr="figs/fig3_quality_value.png" id="54" name="Picture"/>
                    <pic:cNvPicPr>
                      <a:picLocks noChangeArrowheads="1" noChangeAspect="1"/>
                    </pic:cNvPicPr>
                  </pic:nvPicPr>
                  <pic:blipFill>
                    <a:blip r:embed="rId52"/>
                    <a:stretch>
                      <a:fillRect/>
                    </a:stretch>
                  </pic:blipFill>
                  <pic:spPr bwMode="auto">
                    <a:xfrm>
                      <a:off x="0" y="0"/>
                      <a:ext cx="4832096" cy="2713878"/>
                    </a:xfrm>
                    <a:prstGeom prst="rect">
                      <a:avLst/>
                    </a:prstGeom>
                    <a:noFill/>
                    <a:ln w="9525">
                      <a:noFill/>
                      <a:headEnd/>
                      <a:tailEnd/>
                    </a:ln>
                  </pic:spPr>
                </pic:pic>
              </a:graphicData>
            </a:graphic>
          </wp:inline>
        </w:drawing>
      </w:r>
    </w:p>
    <w:p>
      <w:pPr>
        <w:pStyle w:val="ImageCaption"/>
      </w:pPr>
      <w:r>
        <w:t xml:space="preserve">Fig. 4. Cost reduction (%) from adding quality inputs to the two-head router, by data condition and reviewer model, at 20% capacity. Each cell shows the mean over three datasets and the number of splits (of 20) on which quality inputs helped; * marks corrected p &lt; 0.05. Blue: quality helps; red: quality hurts.</w:t>
      </w:r>
    </w:p>
    <w:bookmarkEnd w:id="55"/>
    <w:bookmarkStart w:id="56" w:name="X964fbbc39f46794a880300c375de7a25a56f892"/>
    <w:p>
      <w:pPr>
        <w:pStyle w:val="Heading2"/>
      </w:pPr>
      <w:r>
        <w:t xml:space="preserve">5.5. Ablations: rules, overload ordering and log completeness</w:t>
      </w:r>
    </w:p>
    <w:p>
      <w:pPr>
        <w:pStyle w:val="FirstParagraph"/>
      </w:pPr>
      <w:r>
        <w:rPr>
          <w:bCs/>
          <w:b/>
        </w:rPr>
        <w:t xml:space="preserve">Rules versus quality.</w:t>
      </w:r>
      <w:r>
        <w:t xml:space="preserve"> </w:t>
      </w:r>
      <w:r>
        <w:t xml:space="preserve">Table 9 separates the quality inputs from the rule layer. In the mixed and realistic conditions the rule layer added 0.7–1.7% to cost (for example 0.4614→0.4679 under mixed), the price of reviewing flagged records instead of higher-gain optional ones. Removing the rules left 2.1% and 0.7% of records automated in violation. Under severe shift the rules forced 47.5% of records into holds and raised cost by 67% (0.5987→1.0015). Without rules the router automated 54% of records the policy deems unfit for automation. The two factors were roughly additive: the quality effect had the same sign with and without rules in all three conditions.</w:t>
      </w:r>
    </w:p>
    <w:p>
      <w:pPr>
        <w:pStyle w:val="TableCaption"/>
      </w:pPr>
      <w:r>
        <w:t xml:space="preserve">Table 9. 2 × 2 ablation of quality inputs and the rule layer for the two-head router (three datasets, five reviewers, 20 splits, 20% capacity). Unconstrained rows are diagnostic: they are cheaper because they automate records the governance policy forbids automating.</w:t>
      </w:r>
    </w:p>
    <w:tbl>
      <w:tblPr>
        <w:tblStyle w:val="Table"/>
        <w:tblW w:type="pct" w:w="5000"/>
        <w:tblLook w:firstRow="1" w:lastRow="0" w:firstColumn="0" w:lastColumn="0" w:noHBand="0" w:noVBand="0" w:val="0020"/>
        <w:jc w:val="start"/>
        <w:tblCaption w:val="Table 9. 2 × 2 ablation of quality inputs and the rule layer for the two-head router (three datasets, five reviewers, 20 splits, 20% capacity). Unconstrained rows are diagnostic: they are cheaper because they automate records the governance policy forbids automating."/>
        <w:tblBorders>
          <w:top w:val="single" w:sz="8" w:color="000000"/>
          <w:bottom w:val="single" w:sz="8" w:color="000000"/>
          <w:insideH w:val="nil" w:sz="8" w:color="000000"/>
          <w:insideV w:val="nil" w:sz="8" w:color="000000"/>
          <w:left w:val="nil" w:sz="8" w:color="000000"/>
          <w:right w:val="nil" w:sz="8" w:color="000000"/>
        </w:tblBorders>
      </w:tblPr>
      <w:tblGrid>
        <w:gridCol w:w="1131"/>
        <w:gridCol w:w="1131"/>
        <w:gridCol w:w="1131"/>
        <w:gridCol w:w="1131"/>
        <w:gridCol w:w="1131"/>
        <w:gridCol w:w="1131"/>
        <w:gridCol w:w="1131"/>
      </w:tblGrid>
      <w:tr>
        <w:trPr>
          <w:tblHeader w:val="true"/>
        </w:trPr>
        <w:tc>
          <w:tcPr>
            <w:tcBorders>
              <w:bottom w:val="single" w:sz="6"/>
            </w:tcBorders>
          </w:tcPr>
          <w:p>
            <w:pPr>
              <w:pStyle w:val="Compact"/>
              <w:spacing w:after="20" w:before="20"/>
              <w:jc w:val="left"/>
            </w:pPr>
            <w:r>
              <w:rPr>
                <w:b/>
                <w:sz w:val="17"/>
              </w:rPr>
              <w:t xml:space="preserve">Condition</w:t>
            </w:r>
          </w:p>
        </w:tc>
        <w:tc>
          <w:tcPr>
            <w:tcBorders>
              <w:bottom w:val="single" w:sz="6"/>
            </w:tcBorders>
          </w:tcPr>
          <w:p>
            <w:pPr>
              <w:pStyle w:val="Compact"/>
              <w:spacing w:after="20" w:before="20"/>
              <w:jc w:val="left"/>
            </w:pPr>
            <w:r>
              <w:rPr>
                <w:b/>
                <w:sz w:val="17"/>
              </w:rPr>
              <w:t xml:space="preserve">Quality inputs</w:t>
            </w:r>
          </w:p>
        </w:tc>
        <w:tc>
          <w:tcPr>
            <w:tcBorders>
              <w:bottom w:val="single" w:sz="6"/>
            </w:tcBorders>
          </w:tcPr>
          <w:p>
            <w:pPr>
              <w:pStyle w:val="Compact"/>
              <w:spacing w:after="20" w:before="20"/>
              <w:jc w:val="left"/>
            </w:pPr>
            <w:r>
              <w:rPr>
                <w:b/>
                <w:sz w:val="17"/>
              </w:rPr>
              <w:t xml:space="preserve">Rules</w:t>
            </w:r>
          </w:p>
        </w:tc>
        <w:tc>
          <w:tcPr>
            <w:tcBorders>
              <w:bottom w:val="single" w:sz="6"/>
            </w:tcBorders>
          </w:tcPr>
          <w:p>
            <w:pPr>
              <w:pStyle w:val="Compact"/>
              <w:spacing w:after="20" w:before="20"/>
              <w:jc w:val="left"/>
            </w:pPr>
            <w:r>
              <w:rPr>
                <w:b/>
                <w:sz w:val="17"/>
              </w:rPr>
              <w:t xml:space="preserve">Cost</w:t>
            </w:r>
          </w:p>
        </w:tc>
        <w:tc>
          <w:tcPr>
            <w:tcBorders>
              <w:bottom w:val="single" w:sz="6"/>
            </w:tcBorders>
          </w:tcPr>
          <w:p>
            <w:pPr>
              <w:pStyle w:val="Compact"/>
              <w:spacing w:after="20" w:before="20"/>
              <w:jc w:val="left"/>
            </w:pPr>
            <w:r>
              <w:rPr>
                <w:b/>
                <w:sz w:val="17"/>
              </w:rPr>
              <w:t xml:space="preserve">Review %</w:t>
            </w:r>
          </w:p>
        </w:tc>
        <w:tc>
          <w:tcPr>
            <w:tcBorders>
              <w:bottom w:val="single" w:sz="6"/>
            </w:tcBorders>
          </w:tcPr>
          <w:p>
            <w:pPr>
              <w:pStyle w:val="Compact"/>
              <w:spacing w:after="20" w:before="20"/>
              <w:jc w:val="left"/>
            </w:pPr>
            <w:r>
              <w:rPr>
                <w:b/>
                <w:sz w:val="17"/>
              </w:rPr>
              <w:t xml:space="preserve">Hold %</w:t>
            </w:r>
          </w:p>
        </w:tc>
        <w:tc>
          <w:tcPr>
            <w:tcBorders>
              <w:bottom w:val="single" w:sz="6"/>
            </w:tcBorders>
          </w:tcPr>
          <w:p>
            <w:pPr>
              <w:pStyle w:val="Compact"/>
              <w:spacing w:after="20" w:before="20"/>
              <w:jc w:val="left"/>
            </w:pPr>
            <w:r>
              <w:rPr>
                <w:b/>
                <w:sz w:val="17"/>
              </w:rPr>
              <w:t xml:space="preserve">Violation %</w:t>
            </w:r>
          </w:p>
        </w:tc>
      </w:tr>
      <w:tr>
        <w:tc>
          <w:tcPr/>
          <w:p>
            <w:pPr>
              <w:pStyle w:val="Compact"/>
              <w:spacing w:after="20" w:before="20"/>
              <w:jc w:val="left"/>
            </w:pPr>
            <w:r>
              <w:rPr>
                <w:sz w:val="17"/>
              </w:rPr>
              <w:t xml:space="preserve">Mixed</w:t>
            </w:r>
          </w:p>
        </w:tc>
        <w:tc>
          <w:tcPr/>
          <w:p>
            <w:pPr>
              <w:pStyle w:val="Compact"/>
              <w:spacing w:after="20" w:before="20"/>
              <w:jc w:val="left"/>
            </w:pPr>
            <w:r>
              <w:rPr>
                <w:sz w:val="17"/>
              </w:rPr>
              <w:t xml:space="preserve">off</w:t>
            </w:r>
          </w:p>
        </w:tc>
        <w:tc>
          <w:tcPr/>
          <w:p>
            <w:pPr>
              <w:pStyle w:val="Compact"/>
              <w:spacing w:after="20" w:before="20"/>
              <w:jc w:val="left"/>
            </w:pPr>
            <w:r>
              <w:rPr>
                <w:sz w:val="17"/>
              </w:rPr>
              <w:t xml:space="preserve">on</w:t>
            </w:r>
          </w:p>
        </w:tc>
        <w:tc>
          <w:tcPr/>
          <w:p>
            <w:pPr>
              <w:pStyle w:val="Compact"/>
              <w:spacing w:after="20" w:before="20"/>
              <w:jc w:val="left"/>
            </w:pPr>
            <w:r>
              <w:rPr>
                <w:sz w:val="17"/>
              </w:rPr>
              <w:t xml:space="preserve">0.4688</w:t>
            </w:r>
          </w:p>
        </w:tc>
        <w:tc>
          <w:tcPr/>
          <w:p>
            <w:pPr>
              <w:pStyle w:val="Compact"/>
              <w:spacing w:after="20" w:before="20"/>
              <w:jc w:val="left"/>
            </w:pPr>
            <w:r>
              <w:rPr>
                <w:sz w:val="17"/>
              </w:rPr>
              <w:t xml:space="preserve">19.8</w:t>
            </w:r>
          </w:p>
        </w:tc>
        <w:tc>
          <w:tcPr/>
          <w:p>
            <w:pPr>
              <w:pStyle w:val="Compact"/>
              <w:spacing w:after="20" w:before="20"/>
              <w:jc w:val="left"/>
            </w:pPr>
            <w:r>
              <w:rPr>
                <w:sz w:val="17"/>
              </w:rPr>
              <w:t xml:space="preserve">0.0</w:t>
            </w:r>
          </w:p>
        </w:tc>
        <w:tc>
          <w:tcPr/>
          <w:p>
            <w:pPr>
              <w:pStyle w:val="Compact"/>
              <w:spacing w:after="20" w:before="20"/>
              <w:jc w:val="left"/>
            </w:pPr>
            <w:r>
              <w:rPr>
                <w:sz w:val="17"/>
              </w:rPr>
              <w:t xml:space="preserve">0.0</w:t>
            </w:r>
          </w:p>
        </w:tc>
      </w:tr>
      <w:tr>
        <w:tc>
          <w:tcPr/>
          <w:p>
            <w:pPr>
              <w:pStyle w:val="Compact"/>
              <w:spacing w:after="20" w:before="20"/>
              <w:jc w:val="left"/>
            </w:pPr>
            <w:r>
              <w:rPr>
                <w:sz w:val="17"/>
              </w:rPr>
              <w:t xml:space="preserve">Mixed</w:t>
            </w:r>
          </w:p>
        </w:tc>
        <w:tc>
          <w:tcPr/>
          <w:p>
            <w:pPr>
              <w:pStyle w:val="Compact"/>
              <w:spacing w:after="20" w:before="20"/>
              <w:jc w:val="left"/>
            </w:pPr>
            <w:r>
              <w:rPr>
                <w:sz w:val="17"/>
              </w:rPr>
              <w:t xml:space="preserve">on</w:t>
            </w:r>
          </w:p>
        </w:tc>
        <w:tc>
          <w:tcPr/>
          <w:p>
            <w:pPr>
              <w:pStyle w:val="Compact"/>
              <w:spacing w:after="20" w:before="20"/>
              <w:jc w:val="left"/>
            </w:pPr>
            <w:r>
              <w:rPr>
                <w:sz w:val="17"/>
              </w:rPr>
              <w:t xml:space="preserve">on</w:t>
            </w:r>
          </w:p>
        </w:tc>
        <w:tc>
          <w:tcPr/>
          <w:p>
            <w:pPr>
              <w:pStyle w:val="Compact"/>
              <w:spacing w:after="20" w:before="20"/>
              <w:jc w:val="left"/>
            </w:pPr>
            <w:r>
              <w:rPr>
                <w:sz w:val="17"/>
              </w:rPr>
              <w:t xml:space="preserve">0.4679</w:t>
            </w:r>
          </w:p>
        </w:tc>
        <w:tc>
          <w:tcPr/>
          <w:p>
            <w:pPr>
              <w:pStyle w:val="Compact"/>
              <w:spacing w:after="20" w:before="20"/>
              <w:jc w:val="left"/>
            </w:pPr>
            <w:r>
              <w:rPr>
                <w:sz w:val="17"/>
              </w:rPr>
              <w:t xml:space="preserve">19.8</w:t>
            </w:r>
          </w:p>
        </w:tc>
        <w:tc>
          <w:tcPr/>
          <w:p>
            <w:pPr>
              <w:pStyle w:val="Compact"/>
              <w:spacing w:after="20" w:before="20"/>
              <w:jc w:val="left"/>
            </w:pPr>
            <w:r>
              <w:rPr>
                <w:sz w:val="17"/>
              </w:rPr>
              <w:t xml:space="preserve">0.0</w:t>
            </w:r>
          </w:p>
        </w:tc>
        <w:tc>
          <w:tcPr/>
          <w:p>
            <w:pPr>
              <w:pStyle w:val="Compact"/>
              <w:spacing w:after="20" w:before="20"/>
              <w:jc w:val="left"/>
            </w:pPr>
            <w:r>
              <w:rPr>
                <w:sz w:val="17"/>
              </w:rPr>
              <w:t xml:space="preserve">0.0</w:t>
            </w:r>
          </w:p>
        </w:tc>
      </w:tr>
      <w:tr>
        <w:tc>
          <w:tcPr/>
          <w:p>
            <w:pPr>
              <w:pStyle w:val="Compact"/>
              <w:spacing w:after="20" w:before="20"/>
              <w:jc w:val="left"/>
            </w:pPr>
            <w:r>
              <w:rPr>
                <w:sz w:val="17"/>
              </w:rPr>
              <w:t xml:space="preserve">Mixed</w:t>
            </w:r>
          </w:p>
        </w:tc>
        <w:tc>
          <w:tcPr/>
          <w:p>
            <w:pPr>
              <w:pStyle w:val="Compact"/>
              <w:spacing w:after="20" w:before="20"/>
              <w:jc w:val="left"/>
            </w:pPr>
            <w:r>
              <w:rPr>
                <w:sz w:val="17"/>
              </w:rPr>
              <w:t xml:space="preserve">off</w:t>
            </w:r>
          </w:p>
        </w:tc>
        <w:tc>
          <w:tcPr/>
          <w:p>
            <w:pPr>
              <w:pStyle w:val="Compact"/>
              <w:spacing w:after="20" w:before="20"/>
              <w:jc w:val="left"/>
            </w:pPr>
            <w:r>
              <w:rPr>
                <w:sz w:val="17"/>
              </w:rPr>
              <w:t xml:space="preserve">off</w:t>
            </w:r>
          </w:p>
        </w:tc>
        <w:tc>
          <w:tcPr/>
          <w:p>
            <w:pPr>
              <w:pStyle w:val="Compact"/>
              <w:spacing w:after="20" w:before="20"/>
              <w:jc w:val="left"/>
            </w:pPr>
            <w:r>
              <w:rPr>
                <w:sz w:val="17"/>
              </w:rPr>
              <w:t xml:space="preserve">0.4610</w:t>
            </w:r>
          </w:p>
        </w:tc>
        <w:tc>
          <w:tcPr/>
          <w:p>
            <w:pPr>
              <w:pStyle w:val="Compact"/>
              <w:spacing w:after="20" w:before="20"/>
              <w:jc w:val="left"/>
            </w:pPr>
            <w:r>
              <w:rPr>
                <w:sz w:val="17"/>
              </w:rPr>
              <w:t xml:space="preserve">19.8</w:t>
            </w:r>
          </w:p>
        </w:tc>
        <w:tc>
          <w:tcPr/>
          <w:p>
            <w:pPr>
              <w:pStyle w:val="Compact"/>
              <w:spacing w:after="20" w:before="20"/>
              <w:jc w:val="left"/>
            </w:pPr>
            <w:r>
              <w:rPr>
                <w:sz w:val="17"/>
              </w:rPr>
              <w:t xml:space="preserve">0.0</w:t>
            </w:r>
          </w:p>
        </w:tc>
        <w:tc>
          <w:tcPr/>
          <w:p>
            <w:pPr>
              <w:pStyle w:val="Compact"/>
              <w:spacing w:after="20" w:before="20"/>
              <w:jc w:val="left"/>
            </w:pPr>
            <w:r>
              <w:rPr>
                <w:sz w:val="17"/>
              </w:rPr>
              <w:t xml:space="preserve">2.2</w:t>
            </w:r>
          </w:p>
        </w:tc>
      </w:tr>
      <w:tr>
        <w:tc>
          <w:tcPr/>
          <w:p>
            <w:pPr>
              <w:pStyle w:val="Compact"/>
              <w:spacing w:after="20" w:before="20"/>
              <w:jc w:val="left"/>
            </w:pPr>
            <w:r>
              <w:rPr>
                <w:sz w:val="17"/>
              </w:rPr>
              <w:t xml:space="preserve">Mixed</w:t>
            </w:r>
          </w:p>
        </w:tc>
        <w:tc>
          <w:tcPr/>
          <w:p>
            <w:pPr>
              <w:pStyle w:val="Compact"/>
              <w:spacing w:after="20" w:before="20"/>
              <w:jc w:val="left"/>
            </w:pPr>
            <w:r>
              <w:rPr>
                <w:sz w:val="17"/>
              </w:rPr>
              <w:t xml:space="preserve">on</w:t>
            </w:r>
          </w:p>
        </w:tc>
        <w:tc>
          <w:tcPr/>
          <w:p>
            <w:pPr>
              <w:pStyle w:val="Compact"/>
              <w:spacing w:after="20" w:before="20"/>
              <w:jc w:val="left"/>
            </w:pPr>
            <w:r>
              <w:rPr>
                <w:sz w:val="17"/>
              </w:rPr>
              <w:t xml:space="preserve">off</w:t>
            </w:r>
          </w:p>
        </w:tc>
        <w:tc>
          <w:tcPr/>
          <w:p>
            <w:pPr>
              <w:pStyle w:val="Compact"/>
              <w:spacing w:after="20" w:before="20"/>
              <w:jc w:val="left"/>
            </w:pPr>
            <w:r>
              <w:rPr>
                <w:sz w:val="17"/>
              </w:rPr>
              <w:t xml:space="preserve">0.4614</w:t>
            </w:r>
          </w:p>
        </w:tc>
        <w:tc>
          <w:tcPr/>
          <w:p>
            <w:pPr>
              <w:pStyle w:val="Compact"/>
              <w:spacing w:after="20" w:before="20"/>
              <w:jc w:val="left"/>
            </w:pPr>
            <w:r>
              <w:rPr>
                <w:sz w:val="17"/>
              </w:rPr>
              <w:t xml:space="preserve">19.8</w:t>
            </w:r>
          </w:p>
        </w:tc>
        <w:tc>
          <w:tcPr/>
          <w:p>
            <w:pPr>
              <w:pStyle w:val="Compact"/>
              <w:spacing w:after="20" w:before="20"/>
              <w:jc w:val="left"/>
            </w:pPr>
            <w:r>
              <w:rPr>
                <w:sz w:val="17"/>
              </w:rPr>
              <w:t xml:space="preserve">0.0</w:t>
            </w:r>
          </w:p>
        </w:tc>
        <w:tc>
          <w:tcPr/>
          <w:p>
            <w:pPr>
              <w:pStyle w:val="Compact"/>
              <w:spacing w:after="20" w:before="20"/>
              <w:jc w:val="left"/>
            </w:pPr>
            <w:r>
              <w:rPr>
                <w:sz w:val="17"/>
              </w:rPr>
              <w:t xml:space="preserve">2.1</w:t>
            </w:r>
          </w:p>
        </w:tc>
      </w:tr>
      <w:tr>
        <w:tc>
          <w:tcPr/>
          <w:p>
            <w:pPr>
              <w:pStyle w:val="Compact"/>
              <w:spacing w:after="20" w:before="20"/>
              <w:jc w:val="left"/>
            </w:pPr>
            <w:r>
              <w:rPr>
                <w:sz w:val="17"/>
              </w:rPr>
              <w:t xml:space="preserve">Realistic mix</w:t>
            </w:r>
          </w:p>
        </w:tc>
        <w:tc>
          <w:tcPr/>
          <w:p>
            <w:pPr>
              <w:pStyle w:val="Compact"/>
              <w:spacing w:after="20" w:before="20"/>
              <w:jc w:val="left"/>
            </w:pPr>
            <w:r>
              <w:rPr>
                <w:sz w:val="17"/>
              </w:rPr>
              <w:t xml:space="preserve">off</w:t>
            </w:r>
          </w:p>
        </w:tc>
        <w:tc>
          <w:tcPr/>
          <w:p>
            <w:pPr>
              <w:pStyle w:val="Compact"/>
              <w:spacing w:after="20" w:before="20"/>
              <w:jc w:val="left"/>
            </w:pPr>
            <w:r>
              <w:rPr>
                <w:sz w:val="17"/>
              </w:rPr>
              <w:t xml:space="preserve">on</w:t>
            </w:r>
          </w:p>
        </w:tc>
        <w:tc>
          <w:tcPr/>
          <w:p>
            <w:pPr>
              <w:pStyle w:val="Compact"/>
              <w:spacing w:after="20" w:before="20"/>
              <w:jc w:val="left"/>
            </w:pPr>
            <w:r>
              <w:rPr>
                <w:sz w:val="17"/>
              </w:rPr>
              <w:t xml:space="preserve">0.4782</w:t>
            </w:r>
          </w:p>
        </w:tc>
        <w:tc>
          <w:tcPr/>
          <w:p>
            <w:pPr>
              <w:pStyle w:val="Compact"/>
              <w:spacing w:after="20" w:before="20"/>
              <w:jc w:val="left"/>
            </w:pPr>
            <w:r>
              <w:rPr>
                <w:sz w:val="17"/>
              </w:rPr>
              <w:t xml:space="preserve">19.8</w:t>
            </w:r>
          </w:p>
        </w:tc>
        <w:tc>
          <w:tcPr/>
          <w:p>
            <w:pPr>
              <w:pStyle w:val="Compact"/>
              <w:spacing w:after="20" w:before="20"/>
              <w:jc w:val="left"/>
            </w:pPr>
            <w:r>
              <w:rPr>
                <w:sz w:val="17"/>
              </w:rPr>
              <w:t xml:space="preserve">0.0</w:t>
            </w:r>
          </w:p>
        </w:tc>
        <w:tc>
          <w:tcPr/>
          <w:p>
            <w:pPr>
              <w:pStyle w:val="Compact"/>
              <w:spacing w:after="20" w:before="20"/>
              <w:jc w:val="left"/>
            </w:pPr>
            <w:r>
              <w:rPr>
                <w:sz w:val="17"/>
              </w:rPr>
              <w:t xml:space="preserve">0.0</w:t>
            </w:r>
          </w:p>
        </w:tc>
      </w:tr>
      <w:tr>
        <w:tc>
          <w:tcPr/>
          <w:p>
            <w:pPr>
              <w:pStyle w:val="Compact"/>
              <w:spacing w:after="20" w:before="20"/>
              <w:jc w:val="left"/>
            </w:pPr>
            <w:r>
              <w:rPr>
                <w:sz w:val="17"/>
              </w:rPr>
              <w:t xml:space="preserve">Realistic mix</w:t>
            </w:r>
          </w:p>
        </w:tc>
        <w:tc>
          <w:tcPr/>
          <w:p>
            <w:pPr>
              <w:pStyle w:val="Compact"/>
              <w:spacing w:after="20" w:before="20"/>
              <w:jc w:val="left"/>
            </w:pPr>
            <w:r>
              <w:rPr>
                <w:sz w:val="17"/>
              </w:rPr>
              <w:t xml:space="preserve">on</w:t>
            </w:r>
          </w:p>
        </w:tc>
        <w:tc>
          <w:tcPr/>
          <w:p>
            <w:pPr>
              <w:pStyle w:val="Compact"/>
              <w:spacing w:after="20" w:before="20"/>
              <w:jc w:val="left"/>
            </w:pPr>
            <w:r>
              <w:rPr>
                <w:sz w:val="17"/>
              </w:rPr>
              <w:t xml:space="preserve">on</w:t>
            </w:r>
          </w:p>
        </w:tc>
        <w:tc>
          <w:tcPr/>
          <w:p>
            <w:pPr>
              <w:pStyle w:val="Compact"/>
              <w:spacing w:after="20" w:before="20"/>
              <w:jc w:val="left"/>
            </w:pPr>
            <w:r>
              <w:rPr>
                <w:sz w:val="17"/>
              </w:rPr>
              <w:t xml:space="preserve">0.4739</w:t>
            </w:r>
          </w:p>
        </w:tc>
        <w:tc>
          <w:tcPr/>
          <w:p>
            <w:pPr>
              <w:pStyle w:val="Compact"/>
              <w:spacing w:after="20" w:before="20"/>
              <w:jc w:val="left"/>
            </w:pPr>
            <w:r>
              <w:rPr>
                <w:sz w:val="17"/>
              </w:rPr>
              <w:t xml:space="preserve">19.8</w:t>
            </w:r>
          </w:p>
        </w:tc>
        <w:tc>
          <w:tcPr/>
          <w:p>
            <w:pPr>
              <w:pStyle w:val="Compact"/>
              <w:spacing w:after="20" w:before="20"/>
              <w:jc w:val="left"/>
            </w:pPr>
            <w:r>
              <w:rPr>
                <w:sz w:val="17"/>
              </w:rPr>
              <w:t xml:space="preserve">0.0</w:t>
            </w:r>
          </w:p>
        </w:tc>
        <w:tc>
          <w:tcPr/>
          <w:p>
            <w:pPr>
              <w:pStyle w:val="Compact"/>
              <w:spacing w:after="20" w:before="20"/>
              <w:jc w:val="left"/>
            </w:pPr>
            <w:r>
              <w:rPr>
                <w:sz w:val="17"/>
              </w:rPr>
              <w:t xml:space="preserve">0.0</w:t>
            </w:r>
          </w:p>
        </w:tc>
      </w:tr>
      <w:tr>
        <w:tc>
          <w:tcPr/>
          <w:p>
            <w:pPr>
              <w:pStyle w:val="Compact"/>
              <w:spacing w:after="20" w:before="20"/>
              <w:jc w:val="left"/>
            </w:pPr>
            <w:r>
              <w:rPr>
                <w:sz w:val="17"/>
              </w:rPr>
              <w:t xml:space="preserve">Realistic mix</w:t>
            </w:r>
          </w:p>
        </w:tc>
        <w:tc>
          <w:tcPr/>
          <w:p>
            <w:pPr>
              <w:pStyle w:val="Compact"/>
              <w:spacing w:after="20" w:before="20"/>
              <w:jc w:val="left"/>
            </w:pPr>
            <w:r>
              <w:rPr>
                <w:sz w:val="17"/>
              </w:rPr>
              <w:t xml:space="preserve">off</w:t>
            </w:r>
          </w:p>
        </w:tc>
        <w:tc>
          <w:tcPr/>
          <w:p>
            <w:pPr>
              <w:pStyle w:val="Compact"/>
              <w:spacing w:after="20" w:before="20"/>
              <w:jc w:val="left"/>
            </w:pPr>
            <w:r>
              <w:rPr>
                <w:sz w:val="17"/>
              </w:rPr>
              <w:t xml:space="preserve">off</w:t>
            </w:r>
          </w:p>
        </w:tc>
        <w:tc>
          <w:tcPr/>
          <w:p>
            <w:pPr>
              <w:pStyle w:val="Compact"/>
              <w:spacing w:after="20" w:before="20"/>
              <w:jc w:val="left"/>
            </w:pPr>
            <w:r>
              <w:rPr>
                <w:sz w:val="17"/>
              </w:rPr>
              <w:t xml:space="preserve">0.4748</w:t>
            </w:r>
          </w:p>
        </w:tc>
        <w:tc>
          <w:tcPr/>
          <w:p>
            <w:pPr>
              <w:pStyle w:val="Compact"/>
              <w:spacing w:after="20" w:before="20"/>
              <w:jc w:val="left"/>
            </w:pPr>
            <w:r>
              <w:rPr>
                <w:sz w:val="17"/>
              </w:rPr>
              <w:t xml:space="preserve">19.8</w:t>
            </w:r>
          </w:p>
        </w:tc>
        <w:tc>
          <w:tcPr/>
          <w:p>
            <w:pPr>
              <w:pStyle w:val="Compact"/>
              <w:spacing w:after="20" w:before="20"/>
              <w:jc w:val="left"/>
            </w:pPr>
            <w:r>
              <w:rPr>
                <w:sz w:val="17"/>
              </w:rPr>
              <w:t xml:space="preserve">0.0</w:t>
            </w:r>
          </w:p>
        </w:tc>
        <w:tc>
          <w:tcPr/>
          <w:p>
            <w:pPr>
              <w:pStyle w:val="Compact"/>
              <w:spacing w:after="20" w:before="20"/>
              <w:jc w:val="left"/>
            </w:pPr>
            <w:r>
              <w:rPr>
                <w:sz w:val="17"/>
              </w:rPr>
              <w:t xml:space="preserve">0.7</w:t>
            </w:r>
          </w:p>
        </w:tc>
      </w:tr>
      <w:tr>
        <w:tc>
          <w:tcPr/>
          <w:p>
            <w:pPr>
              <w:pStyle w:val="Compact"/>
              <w:spacing w:after="20" w:before="20"/>
              <w:jc w:val="left"/>
            </w:pPr>
            <w:r>
              <w:rPr>
                <w:sz w:val="17"/>
              </w:rPr>
              <w:t xml:space="preserve">Realistic mix</w:t>
            </w:r>
          </w:p>
        </w:tc>
        <w:tc>
          <w:tcPr/>
          <w:p>
            <w:pPr>
              <w:pStyle w:val="Compact"/>
              <w:spacing w:after="20" w:before="20"/>
              <w:jc w:val="left"/>
            </w:pPr>
            <w:r>
              <w:rPr>
                <w:sz w:val="17"/>
              </w:rPr>
              <w:t xml:space="preserve">on</w:t>
            </w:r>
          </w:p>
        </w:tc>
        <w:tc>
          <w:tcPr/>
          <w:p>
            <w:pPr>
              <w:pStyle w:val="Compact"/>
              <w:spacing w:after="20" w:before="20"/>
              <w:jc w:val="left"/>
            </w:pPr>
            <w:r>
              <w:rPr>
                <w:sz w:val="17"/>
              </w:rPr>
              <w:t xml:space="preserve">off</w:t>
            </w:r>
          </w:p>
        </w:tc>
        <w:tc>
          <w:tcPr/>
          <w:p>
            <w:pPr>
              <w:pStyle w:val="Compact"/>
              <w:spacing w:after="20" w:before="20"/>
              <w:jc w:val="left"/>
            </w:pPr>
            <w:r>
              <w:rPr>
                <w:sz w:val="17"/>
              </w:rPr>
              <w:t xml:space="preserve">0.4687</w:t>
            </w:r>
          </w:p>
        </w:tc>
        <w:tc>
          <w:tcPr/>
          <w:p>
            <w:pPr>
              <w:pStyle w:val="Compact"/>
              <w:spacing w:after="20" w:before="20"/>
              <w:jc w:val="left"/>
            </w:pPr>
            <w:r>
              <w:rPr>
                <w:sz w:val="17"/>
              </w:rPr>
              <w:t xml:space="preserve">19.8</w:t>
            </w:r>
          </w:p>
        </w:tc>
        <w:tc>
          <w:tcPr/>
          <w:p>
            <w:pPr>
              <w:pStyle w:val="Compact"/>
              <w:spacing w:after="20" w:before="20"/>
              <w:jc w:val="left"/>
            </w:pPr>
            <w:r>
              <w:rPr>
                <w:sz w:val="17"/>
              </w:rPr>
              <w:t xml:space="preserve">0.0</w:t>
            </w:r>
          </w:p>
        </w:tc>
        <w:tc>
          <w:tcPr/>
          <w:p>
            <w:pPr>
              <w:pStyle w:val="Compact"/>
              <w:spacing w:after="20" w:before="20"/>
              <w:jc w:val="left"/>
            </w:pPr>
            <w:r>
              <w:rPr>
                <w:sz w:val="17"/>
              </w:rPr>
              <w:t xml:space="preserve">0.7</w:t>
            </w:r>
          </w:p>
        </w:tc>
      </w:tr>
      <w:tr>
        <w:tc>
          <w:tcPr/>
          <w:p>
            <w:pPr>
              <w:pStyle w:val="Compact"/>
              <w:spacing w:after="20" w:before="20"/>
              <w:jc w:val="left"/>
            </w:pPr>
            <w:r>
              <w:rPr>
                <w:sz w:val="17"/>
              </w:rPr>
              <w:t xml:space="preserve">Severe shift</w:t>
            </w:r>
          </w:p>
        </w:tc>
        <w:tc>
          <w:tcPr/>
          <w:p>
            <w:pPr>
              <w:pStyle w:val="Compact"/>
              <w:spacing w:after="20" w:before="20"/>
              <w:jc w:val="left"/>
            </w:pPr>
            <w:r>
              <w:rPr>
                <w:sz w:val="17"/>
              </w:rPr>
              <w:t xml:space="preserve">off</w:t>
            </w:r>
          </w:p>
        </w:tc>
        <w:tc>
          <w:tcPr/>
          <w:p>
            <w:pPr>
              <w:pStyle w:val="Compact"/>
              <w:spacing w:after="20" w:before="20"/>
              <w:jc w:val="left"/>
            </w:pPr>
            <w:r>
              <w:rPr>
                <w:sz w:val="17"/>
              </w:rPr>
              <w:t xml:space="preserve">on</w:t>
            </w:r>
          </w:p>
        </w:tc>
        <w:tc>
          <w:tcPr/>
          <w:p>
            <w:pPr>
              <w:pStyle w:val="Compact"/>
              <w:spacing w:after="20" w:before="20"/>
              <w:jc w:val="left"/>
            </w:pPr>
            <w:r>
              <w:rPr>
                <w:sz w:val="17"/>
              </w:rPr>
              <w:t xml:space="preserve">1.0016</w:t>
            </w:r>
          </w:p>
        </w:tc>
        <w:tc>
          <w:tcPr/>
          <w:p>
            <w:pPr>
              <w:pStyle w:val="Compact"/>
              <w:spacing w:after="20" w:before="20"/>
              <w:jc w:val="left"/>
            </w:pPr>
            <w:r>
              <w:rPr>
                <w:sz w:val="17"/>
              </w:rPr>
              <w:t xml:space="preserve">19.8</w:t>
            </w:r>
          </w:p>
        </w:tc>
        <w:tc>
          <w:tcPr/>
          <w:p>
            <w:pPr>
              <w:pStyle w:val="Compact"/>
              <w:spacing w:after="20" w:before="20"/>
              <w:jc w:val="left"/>
            </w:pPr>
            <w:r>
              <w:rPr>
                <w:sz w:val="17"/>
              </w:rPr>
              <w:t xml:space="preserve">47.5</w:t>
            </w:r>
          </w:p>
        </w:tc>
        <w:tc>
          <w:tcPr/>
          <w:p>
            <w:pPr>
              <w:pStyle w:val="Compact"/>
              <w:spacing w:after="20" w:before="20"/>
              <w:jc w:val="left"/>
            </w:pPr>
            <w:r>
              <w:rPr>
                <w:sz w:val="17"/>
              </w:rPr>
              <w:t xml:space="preserve">0.0</w:t>
            </w:r>
          </w:p>
        </w:tc>
      </w:tr>
      <w:tr>
        <w:tc>
          <w:tcPr/>
          <w:p>
            <w:pPr>
              <w:pStyle w:val="Compact"/>
              <w:spacing w:after="20" w:before="20"/>
              <w:jc w:val="left"/>
            </w:pPr>
            <w:r>
              <w:rPr>
                <w:sz w:val="17"/>
              </w:rPr>
              <w:t xml:space="preserve">Severe shift</w:t>
            </w:r>
          </w:p>
        </w:tc>
        <w:tc>
          <w:tcPr/>
          <w:p>
            <w:pPr>
              <w:pStyle w:val="Compact"/>
              <w:spacing w:after="20" w:before="20"/>
              <w:jc w:val="left"/>
            </w:pPr>
            <w:r>
              <w:rPr>
                <w:sz w:val="17"/>
              </w:rPr>
              <w:t xml:space="preserve">on</w:t>
            </w:r>
          </w:p>
        </w:tc>
        <w:tc>
          <w:tcPr/>
          <w:p>
            <w:pPr>
              <w:pStyle w:val="Compact"/>
              <w:spacing w:after="20" w:before="20"/>
              <w:jc w:val="left"/>
            </w:pPr>
            <w:r>
              <w:rPr>
                <w:sz w:val="17"/>
              </w:rPr>
              <w:t xml:space="preserve">on</w:t>
            </w:r>
          </w:p>
        </w:tc>
        <w:tc>
          <w:tcPr/>
          <w:p>
            <w:pPr>
              <w:pStyle w:val="Compact"/>
              <w:spacing w:after="20" w:before="20"/>
              <w:jc w:val="left"/>
            </w:pPr>
            <w:r>
              <w:rPr>
                <w:sz w:val="17"/>
              </w:rPr>
              <w:t xml:space="preserve">1.0015</w:t>
            </w:r>
          </w:p>
        </w:tc>
        <w:tc>
          <w:tcPr/>
          <w:p>
            <w:pPr>
              <w:pStyle w:val="Compact"/>
              <w:spacing w:after="20" w:before="20"/>
              <w:jc w:val="left"/>
            </w:pPr>
            <w:r>
              <w:rPr>
                <w:sz w:val="17"/>
              </w:rPr>
              <w:t xml:space="preserve">19.8</w:t>
            </w:r>
          </w:p>
        </w:tc>
        <w:tc>
          <w:tcPr/>
          <w:p>
            <w:pPr>
              <w:pStyle w:val="Compact"/>
              <w:spacing w:after="20" w:before="20"/>
              <w:jc w:val="left"/>
            </w:pPr>
            <w:r>
              <w:rPr>
                <w:sz w:val="17"/>
              </w:rPr>
              <w:t xml:space="preserve">47.5</w:t>
            </w:r>
          </w:p>
        </w:tc>
        <w:tc>
          <w:tcPr/>
          <w:p>
            <w:pPr>
              <w:pStyle w:val="Compact"/>
              <w:spacing w:after="20" w:before="20"/>
              <w:jc w:val="left"/>
            </w:pPr>
            <w:r>
              <w:rPr>
                <w:sz w:val="17"/>
              </w:rPr>
              <w:t xml:space="preserve">0.0</w:t>
            </w:r>
          </w:p>
        </w:tc>
      </w:tr>
      <w:tr>
        <w:tc>
          <w:tcPr/>
          <w:p>
            <w:pPr>
              <w:pStyle w:val="Compact"/>
              <w:spacing w:after="20" w:before="20"/>
              <w:jc w:val="left"/>
            </w:pPr>
            <w:r>
              <w:rPr>
                <w:sz w:val="17"/>
              </w:rPr>
              <w:t xml:space="preserve">Severe shift</w:t>
            </w:r>
          </w:p>
        </w:tc>
        <w:tc>
          <w:tcPr/>
          <w:p>
            <w:pPr>
              <w:pStyle w:val="Compact"/>
              <w:spacing w:after="20" w:before="20"/>
              <w:jc w:val="left"/>
            </w:pPr>
            <w:r>
              <w:rPr>
                <w:sz w:val="17"/>
              </w:rPr>
              <w:t xml:space="preserve">off</w:t>
            </w:r>
          </w:p>
        </w:tc>
        <w:tc>
          <w:tcPr/>
          <w:p>
            <w:pPr>
              <w:pStyle w:val="Compact"/>
              <w:spacing w:after="20" w:before="20"/>
              <w:jc w:val="left"/>
            </w:pPr>
            <w:r>
              <w:rPr>
                <w:sz w:val="17"/>
              </w:rPr>
              <w:t xml:space="preserve">off</w:t>
            </w:r>
          </w:p>
        </w:tc>
        <w:tc>
          <w:tcPr/>
          <w:p>
            <w:pPr>
              <w:pStyle w:val="Compact"/>
              <w:spacing w:after="20" w:before="20"/>
              <w:jc w:val="left"/>
            </w:pPr>
            <w:r>
              <w:rPr>
                <w:sz w:val="17"/>
              </w:rPr>
              <w:t xml:space="preserve">0.6028</w:t>
            </w:r>
          </w:p>
        </w:tc>
        <w:tc>
          <w:tcPr/>
          <w:p>
            <w:pPr>
              <w:pStyle w:val="Compact"/>
              <w:spacing w:after="20" w:before="20"/>
              <w:jc w:val="left"/>
            </w:pPr>
            <w:r>
              <w:rPr>
                <w:sz w:val="17"/>
              </w:rPr>
              <w:t xml:space="preserve">19.7</w:t>
            </w:r>
          </w:p>
        </w:tc>
        <w:tc>
          <w:tcPr/>
          <w:p>
            <w:pPr>
              <w:pStyle w:val="Compact"/>
              <w:spacing w:after="20" w:before="20"/>
              <w:jc w:val="left"/>
            </w:pPr>
            <w:r>
              <w:rPr>
                <w:sz w:val="17"/>
              </w:rPr>
              <w:t xml:space="preserve">0.0</w:t>
            </w:r>
          </w:p>
        </w:tc>
        <w:tc>
          <w:tcPr/>
          <w:p>
            <w:pPr>
              <w:pStyle w:val="Compact"/>
              <w:spacing w:after="20" w:before="20"/>
              <w:jc w:val="left"/>
            </w:pPr>
            <w:r>
              <w:rPr>
                <w:sz w:val="17"/>
              </w:rPr>
              <w:t xml:space="preserve">54.5</w:t>
            </w:r>
          </w:p>
        </w:tc>
      </w:tr>
      <w:tr>
        <w:tc>
          <w:tcPr/>
          <w:p>
            <w:pPr>
              <w:pStyle w:val="Compact"/>
              <w:spacing w:after="20" w:before="20"/>
              <w:jc w:val="left"/>
            </w:pPr>
            <w:r>
              <w:rPr>
                <w:sz w:val="17"/>
              </w:rPr>
              <w:t xml:space="preserve">Severe shift</w:t>
            </w:r>
          </w:p>
        </w:tc>
        <w:tc>
          <w:tcPr/>
          <w:p>
            <w:pPr>
              <w:pStyle w:val="Compact"/>
              <w:spacing w:after="20" w:before="20"/>
              <w:jc w:val="left"/>
            </w:pPr>
            <w:r>
              <w:rPr>
                <w:sz w:val="17"/>
              </w:rPr>
              <w:t xml:space="preserve">on</w:t>
            </w:r>
          </w:p>
        </w:tc>
        <w:tc>
          <w:tcPr/>
          <w:p>
            <w:pPr>
              <w:pStyle w:val="Compact"/>
              <w:spacing w:after="20" w:before="20"/>
              <w:jc w:val="left"/>
            </w:pPr>
            <w:r>
              <w:rPr>
                <w:sz w:val="17"/>
              </w:rPr>
              <w:t xml:space="preserve">off</w:t>
            </w:r>
          </w:p>
        </w:tc>
        <w:tc>
          <w:tcPr/>
          <w:p>
            <w:pPr>
              <w:pStyle w:val="Compact"/>
              <w:spacing w:after="20" w:before="20"/>
              <w:jc w:val="left"/>
            </w:pPr>
            <w:r>
              <w:rPr>
                <w:sz w:val="17"/>
              </w:rPr>
              <w:t xml:space="preserve">0.5987</w:t>
            </w:r>
          </w:p>
        </w:tc>
        <w:tc>
          <w:tcPr/>
          <w:p>
            <w:pPr>
              <w:pStyle w:val="Compact"/>
              <w:spacing w:after="20" w:before="20"/>
              <w:jc w:val="left"/>
            </w:pPr>
            <w:r>
              <w:rPr>
                <w:sz w:val="17"/>
              </w:rPr>
              <w:t xml:space="preserve">19.6</w:t>
            </w:r>
          </w:p>
        </w:tc>
        <w:tc>
          <w:tcPr/>
          <w:p>
            <w:pPr>
              <w:pStyle w:val="Compact"/>
              <w:spacing w:after="20" w:before="20"/>
              <w:jc w:val="left"/>
            </w:pPr>
            <w:r>
              <w:rPr>
                <w:sz w:val="17"/>
              </w:rPr>
              <w:t xml:space="preserve">0.0</w:t>
            </w:r>
          </w:p>
        </w:tc>
        <w:tc>
          <w:tcPr/>
          <w:p>
            <w:pPr>
              <w:pStyle w:val="Compact"/>
              <w:spacing w:after="20" w:before="20"/>
              <w:jc w:val="left"/>
            </w:pPr>
            <w:r>
              <w:rPr>
                <w:sz w:val="17"/>
              </w:rPr>
              <w:t xml:space="preserve">54.2</w:t>
            </w:r>
          </w:p>
        </w:tc>
      </w:tr>
    </w:tbl>
    <w:p>
      <w:pPr>
        <w:pStyle w:val="BodyText"/>
      </w:pPr>
      <w:r>
        <w:rPr>
          <w:bCs/>
          <w:b/>
        </w:rPr>
        <w:t xml:space="preserve">Overload ordering (H3) was not supported empirically.</w:t>
      </w:r>
      <w:r>
        <w:t xml:space="preserve"> </w:t>
      </w:r>
      <w:r>
        <w:t xml:space="preserve">Ordering mandatory records by</w:t>
      </w:r>
      <w:r>
        <w:t xml:space="preserve"> </w:t>
      </w:r>
      <m:oMath>
        <m:sSup>
          <m:e>
            <m:acc>
              <m:accPr>
                <m:chr m:val="̂"/>
              </m:accPr>
              <m:e>
                <m:r>
                  <m:rPr>
                    <m:sty m:val="p"/>
                  </m:rPr>
                  <m:t>ℓ</m:t>
                </m:r>
              </m:e>
            </m:acc>
          </m:e>
          <m:sup>
            <m:r>
              <m:t>H</m:t>
            </m:r>
          </m:sup>
        </m:sSup>
      </m:oMath>
      <w:r>
        <w:t xml:space="preserve"> </w:t>
      </w:r>
      <w:r>
        <w:t xml:space="preserve">(Proposition 1b) rather than by</w:t>
      </w:r>
      <w:r>
        <w:t xml:space="preserve"> </w:t>
      </w:r>
      <m:oMath>
        <m:acc>
          <m:accPr>
            <m:chr m:val="̂"/>
          </m:accPr>
          <m:e>
            <m:r>
              <m:t>g</m:t>
            </m:r>
          </m:e>
        </m:acc>
      </m:oMath>
      <w:r>
        <w:t xml:space="preserve"> </w:t>
      </w:r>
      <w:r>
        <w:t xml:space="preserve">reduced cost under severe shift by only 0.18% (14/20, p = 0.47); with the quality-coupled reviewer the reduction was 0.47% (p = 0.30). The correction is exact for true losses, but under severe shift almost all mandatory records have similar estimated reviewer loss, so the two orderings select largely the same records. Section 5.9 shows that in a multi-period system the ordering affects waiting times far more than cost.</w:t>
      </w:r>
    </w:p>
    <w:p>
      <w:pPr>
        <w:pStyle w:val="BodyText"/>
      </w:pPr>
      <w:r>
        <w:rPr>
          <w:bCs/>
          <w:b/>
        </w:rPr>
        <w:t xml:space="preserve">Log completeness (H4) received only directional support.</w:t>
      </w:r>
      <w:r>
        <w:t xml:space="preserve"> </w:t>
      </w:r>
      <w:r>
        <w:t xml:space="preserve">In the primary comparison the two-head estimator was 0.13% cheaper than the single-head estimator (13/20, p = 0.70). In a dedicated sweep (three datasets, mixed and realistic conditions, quality-coupled and feature-dependent reviewers, 10 splits), the two-head estimator was 0.60% cheaper with 10% of records logged and 0.54% cheaper with 40%, and 0.46% more expensive with complete logs (all p &gt; 0.5). This is the direction H4 predicts, since the two-head design’s advantage is that its automation head can use unlogged records, but the effect is too small to establish with these data.</w:t>
      </w:r>
    </w:p>
    <w:bookmarkEnd w:id="56"/>
    <w:bookmarkStart w:id="57" w:name="Xa9802702d266123efe522612be6ead9ca2cf64b"/>
    <w:p>
      <w:pPr>
        <w:pStyle w:val="Heading2"/>
      </w:pPr>
      <w:r>
        <w:t xml:space="preserve">5.6. External dataset with natural missingness</w:t>
      </w:r>
    </w:p>
    <w:p>
      <w:pPr>
        <w:pStyle w:val="FirstParagraph"/>
      </w:pPr>
      <w:r>
        <w:t xml:space="preserve">On HMEQ, where 43.6% of records have at least one naturally missing value and DEBTINC is missing for 21.3% of records, the quality-aware router was evaluated without any injected corruption (Table 10,</w:t>
      </w:r>
      <w:r>
        <w:t xml:space="preserve"> </w:t>
      </w:r>
      <w:r>
        <w:t xml:space="preserve">“</w:t>
      </w:r>
      <w:r>
        <w:t xml:space="preserve">natural</w:t>
      </w:r>
      <w:r>
        <w:t xml:space="preserve">”</w:t>
      </w:r>
      <w:r>
        <w:t xml:space="preserve"> </w:t>
      </w:r>
      <w:r>
        <w:t xml:space="preserve">column). There it was cheaper than the probability-only two-head router (0.2053 vs 0.2163; 19/20 splits, corrected p = 0.019) and than Chow cost risk (0.2288; 19/20, p &lt; 0.001). This matches the informative-missingness mechanism above: natural missingness in HMEQ is associated with default. Confidence ranking was cheaper still (0.1847; the proposed router won on 2 of 20 splits). Under the rules, 3.3% of HMEQ records were mandatory in the natural condition. Pooled over all nine HMEQ conditions, confidence (0.3950) and differential triage (0.4027) had the lowest deployable costs, and the proposed router (0.4056) was 0.9% below Chow (0.4091).</w:t>
      </w:r>
    </w:p>
    <w:p>
      <w:pPr>
        <w:pStyle w:val="TableCaption"/>
      </w:pPr>
      <w:r>
        <w:t xml:space="preserve">Table 10. HMEQ external dataset at 20% capacity (expected cost per record, five reviewers, 20 splits). The outliers column is omitted for space but included in the mean.</w:t>
      </w:r>
      <w:r>
        <w:t xml:space="preserve"> </w:t>
      </w:r>
      <w:r>
        <w:t xml:space="preserve">“</w:t>
      </w:r>
      <w:r>
        <w:t xml:space="preserve">Natural</w:t>
      </w:r>
      <w:r>
        <w:t xml:space="preserve">”</w:t>
      </w:r>
      <w:r>
        <w:t xml:space="preserve"> </w:t>
      </w:r>
      <w:r>
        <w:t xml:space="preserve">applies no injected corruption.</w:t>
      </w:r>
    </w:p>
    <w:tbl>
      <w:tblPr>
        <w:tblStyle w:val="Table"/>
        <w:tblW w:type="pct" w:w="5000"/>
        <w:tblLook w:firstRow="1" w:lastRow="0" w:firstColumn="0" w:lastColumn="0" w:noHBand="0" w:noVBand="0" w:val="0020"/>
        <w:jc w:val="start"/>
        <w:tblCaption w:val="Table 10. HMEQ external dataset at 20% capacity (expected cost per record, five reviewers, 20 splits). The outliers column is omitted for space but included in the mean. “Natural” applies no injected corruption."/>
        <w:tblBorders>
          <w:top w:val="single" w:sz="8" w:color="000000"/>
          <w:bottom w:val="single" w:sz="8" w:color="000000"/>
          <w:insideH w:val="nil" w:sz="8" w:color="000000"/>
          <w:insideV w:val="nil" w:sz="8" w:color="000000"/>
          <w:left w:val="nil" w:sz="8" w:color="000000"/>
          <w:right w:val="nil" w:sz="8" w:color="000000"/>
        </w:tblBorders>
      </w:tblPr>
      <w:tblGrid>
        <w:gridCol w:w="792"/>
        <w:gridCol w:w="792"/>
        <w:gridCol w:w="792"/>
        <w:gridCol w:w="792"/>
        <w:gridCol w:w="792"/>
        <w:gridCol w:w="792"/>
        <w:gridCol w:w="792"/>
        <w:gridCol w:w="792"/>
        <w:gridCol w:w="792"/>
        <w:gridCol w:w="792"/>
      </w:tblGrid>
      <w:tr>
        <w:trPr>
          <w:tblHeader w:val="true"/>
        </w:trPr>
        <w:tc>
          <w:tcPr>
            <w:tcBorders>
              <w:bottom w:val="single" w:sz="6"/>
            </w:tcBorders>
          </w:tcPr>
          <w:p>
            <w:pPr>
              <w:pStyle w:val="Compact"/>
              <w:spacing w:after="20" w:before="20"/>
              <w:jc w:val="left"/>
            </w:pPr>
            <w:r>
              <w:rPr>
                <w:b/>
                <w:sz w:val="17"/>
              </w:rPr>
              <w:t xml:space="preserve">Method</w:t>
            </w:r>
          </w:p>
        </w:tc>
        <w:tc>
          <w:tcPr>
            <w:tcBorders>
              <w:bottom w:val="single" w:sz="6"/>
            </w:tcBorders>
          </w:tcPr>
          <w:p>
            <w:pPr>
              <w:pStyle w:val="Compact"/>
              <w:spacing w:after="20" w:before="20"/>
              <w:jc w:val="left"/>
            </w:pPr>
            <w:r>
              <w:rPr>
                <w:b/>
                <w:sz w:val="17"/>
              </w:rPr>
              <w:t xml:space="preserve">Natural</w:t>
            </w:r>
          </w:p>
        </w:tc>
        <w:tc>
          <w:tcPr>
            <w:tcBorders>
              <w:bottom w:val="single" w:sz="6"/>
            </w:tcBorders>
          </w:tcPr>
          <w:p>
            <w:pPr>
              <w:pStyle w:val="Compact"/>
              <w:spacing w:after="20" w:before="20"/>
              <w:jc w:val="left"/>
            </w:pPr>
            <w:r>
              <w:rPr>
                <w:b/>
                <w:sz w:val="17"/>
              </w:rPr>
              <w:t xml:space="preserve">Missing</w:t>
            </w:r>
          </w:p>
        </w:tc>
        <w:tc>
          <w:tcPr>
            <w:tcBorders>
              <w:bottom w:val="single" w:sz="6"/>
            </w:tcBorders>
          </w:tcPr>
          <w:p>
            <w:pPr>
              <w:pStyle w:val="Compact"/>
              <w:spacing w:after="20" w:before="20"/>
              <w:jc w:val="left"/>
            </w:pPr>
            <w:r>
              <w:rPr>
                <w:b/>
                <w:sz w:val="17"/>
              </w:rPr>
              <w:t xml:space="preserve">Mixed</w:t>
            </w:r>
          </w:p>
        </w:tc>
        <w:tc>
          <w:tcPr>
            <w:tcBorders>
              <w:bottom w:val="single" w:sz="6"/>
            </w:tcBorders>
          </w:tcPr>
          <w:p>
            <w:pPr>
              <w:pStyle w:val="Compact"/>
              <w:spacing w:after="20" w:before="20"/>
              <w:jc w:val="left"/>
            </w:pPr>
            <w:r>
              <w:rPr>
                <w:b/>
                <w:sz w:val="17"/>
              </w:rPr>
              <w:t xml:space="preserve">Shift</w:t>
            </w:r>
          </w:p>
        </w:tc>
        <w:tc>
          <w:tcPr>
            <w:tcBorders>
              <w:bottom w:val="single" w:sz="6"/>
            </w:tcBorders>
          </w:tcPr>
          <w:p>
            <w:pPr>
              <w:pStyle w:val="Compact"/>
              <w:spacing w:after="20" w:before="20"/>
              <w:jc w:val="left"/>
            </w:pPr>
            <w:r>
              <w:rPr>
                <w:b/>
                <w:sz w:val="17"/>
              </w:rPr>
              <w:t xml:space="preserve">Informative</w:t>
            </w:r>
          </w:p>
        </w:tc>
        <w:tc>
          <w:tcPr>
            <w:tcBorders>
              <w:bottom w:val="single" w:sz="6"/>
            </w:tcBorders>
          </w:tcPr>
          <w:p>
            <w:pPr>
              <w:pStyle w:val="Compact"/>
              <w:spacing w:after="20" w:before="20"/>
              <w:jc w:val="left"/>
            </w:pPr>
            <w:r>
              <w:rPr>
                <w:b/>
                <w:sz w:val="17"/>
              </w:rPr>
              <w:t xml:space="preserve">Stale</w:t>
            </w:r>
          </w:p>
        </w:tc>
        <w:tc>
          <w:tcPr>
            <w:tcBorders>
              <w:bottom w:val="single" w:sz="6"/>
            </w:tcBorders>
          </w:tcPr>
          <w:p>
            <w:pPr>
              <w:pStyle w:val="Compact"/>
              <w:spacing w:after="20" w:before="20"/>
              <w:jc w:val="left"/>
            </w:pPr>
            <w:r>
              <w:rPr>
                <w:b/>
                <w:sz w:val="17"/>
              </w:rPr>
              <w:t xml:space="preserve">Inconsistent</w:t>
            </w:r>
          </w:p>
        </w:tc>
        <w:tc>
          <w:tcPr>
            <w:tcBorders>
              <w:bottom w:val="single" w:sz="6"/>
            </w:tcBorders>
          </w:tcPr>
          <w:p>
            <w:pPr>
              <w:pStyle w:val="Compact"/>
              <w:spacing w:after="20" w:before="20"/>
              <w:jc w:val="left"/>
            </w:pPr>
            <w:r>
              <w:rPr>
                <w:b/>
                <w:sz w:val="17"/>
              </w:rPr>
              <w:t xml:space="preserve">Realistic</w:t>
            </w:r>
          </w:p>
        </w:tc>
        <w:tc>
          <w:tcPr>
            <w:tcBorders>
              <w:bottom w:val="single" w:sz="6"/>
            </w:tcBorders>
          </w:tcPr>
          <w:p>
            <w:pPr>
              <w:pStyle w:val="Compact"/>
              <w:spacing w:after="20" w:before="20"/>
              <w:jc w:val="left"/>
            </w:pPr>
            <w:r>
              <w:rPr>
                <w:b/>
                <w:sz w:val="17"/>
              </w:rPr>
              <w:t xml:space="preserve">Mean (9)</w:t>
            </w:r>
          </w:p>
        </w:tc>
      </w:tr>
      <w:tr>
        <w:tc>
          <w:tcPr/>
          <w:p>
            <w:pPr>
              <w:pStyle w:val="Compact"/>
              <w:spacing w:after="20" w:before="20"/>
              <w:jc w:val="left"/>
            </w:pPr>
            <w:r>
              <w:rPr>
                <w:sz w:val="17"/>
              </w:rPr>
              <w:t xml:space="preserve">Confidence</w:t>
            </w:r>
          </w:p>
        </w:tc>
        <w:tc>
          <w:tcPr/>
          <w:p>
            <w:pPr>
              <w:pStyle w:val="Compact"/>
              <w:spacing w:after="20" w:before="20"/>
              <w:jc w:val="left"/>
            </w:pPr>
            <w:r>
              <w:rPr>
                <w:bCs/>
                <w:b/>
                <w:sz w:val="17"/>
              </w:rPr>
              <w:t xml:space="preserve">0.1847</w:t>
            </w:r>
          </w:p>
        </w:tc>
        <w:tc>
          <w:tcPr/>
          <w:p>
            <w:pPr>
              <w:pStyle w:val="Compact"/>
              <w:spacing w:after="20" w:before="20"/>
              <w:jc w:val="left"/>
            </w:pPr>
            <w:r>
              <w:rPr>
                <w:sz w:val="17"/>
              </w:rPr>
              <w:t xml:space="preserve">0.5148</w:t>
            </w:r>
          </w:p>
        </w:tc>
        <w:tc>
          <w:tcPr/>
          <w:p>
            <w:pPr>
              <w:pStyle w:val="Compact"/>
              <w:spacing w:after="20" w:before="20"/>
              <w:jc w:val="left"/>
            </w:pPr>
            <w:r>
              <w:rPr>
                <w:sz w:val="17"/>
              </w:rPr>
              <w:t xml:space="preserve">0.4135</w:t>
            </w:r>
          </w:p>
        </w:tc>
        <w:tc>
          <w:tcPr/>
          <w:p>
            <w:pPr>
              <w:pStyle w:val="Compact"/>
              <w:spacing w:after="20" w:before="20"/>
              <w:jc w:val="left"/>
            </w:pPr>
            <w:r>
              <w:rPr>
                <w:sz w:val="17"/>
              </w:rPr>
              <w:t xml:space="preserve">1.0844</w:t>
            </w:r>
          </w:p>
        </w:tc>
        <w:tc>
          <w:tcPr/>
          <w:p>
            <w:pPr>
              <w:pStyle w:val="Compact"/>
              <w:spacing w:after="20" w:before="20"/>
              <w:jc w:val="left"/>
            </w:pPr>
            <w:r>
              <w:rPr>
                <w:sz w:val="17"/>
              </w:rPr>
              <w:t xml:space="preserve">0.3319</w:t>
            </w:r>
          </w:p>
        </w:tc>
        <w:tc>
          <w:tcPr/>
          <w:p>
            <w:pPr>
              <w:pStyle w:val="Compact"/>
              <w:spacing w:after="20" w:before="20"/>
              <w:jc w:val="left"/>
            </w:pPr>
            <w:r>
              <w:rPr>
                <w:bCs/>
                <w:b/>
                <w:sz w:val="17"/>
              </w:rPr>
              <w:t xml:space="preserve">0.2223</w:t>
            </w:r>
          </w:p>
        </w:tc>
        <w:tc>
          <w:tcPr/>
          <w:p>
            <w:pPr>
              <w:pStyle w:val="Compact"/>
              <w:spacing w:after="20" w:before="20"/>
              <w:jc w:val="left"/>
            </w:pPr>
            <w:r>
              <w:rPr>
                <w:bCs/>
                <w:b/>
                <w:sz w:val="17"/>
              </w:rPr>
              <w:t xml:space="preserve">0.2038</w:t>
            </w:r>
          </w:p>
        </w:tc>
        <w:tc>
          <w:tcPr/>
          <w:p>
            <w:pPr>
              <w:pStyle w:val="Compact"/>
              <w:spacing w:after="20" w:before="20"/>
              <w:jc w:val="left"/>
            </w:pPr>
            <w:r>
              <w:rPr>
                <w:sz w:val="17"/>
              </w:rPr>
              <w:t xml:space="preserve">0.2957</w:t>
            </w:r>
          </w:p>
        </w:tc>
        <w:tc>
          <w:tcPr/>
          <w:p>
            <w:pPr>
              <w:pStyle w:val="Compact"/>
              <w:spacing w:after="20" w:before="20"/>
              <w:jc w:val="left"/>
            </w:pPr>
            <w:r>
              <w:rPr>
                <w:bCs/>
                <w:b/>
                <w:sz w:val="17"/>
              </w:rPr>
              <w:t xml:space="preserve">0.3950</w:t>
            </w:r>
          </w:p>
        </w:tc>
      </w:tr>
      <w:tr>
        <w:tc>
          <w:tcPr/>
          <w:p>
            <w:pPr>
              <w:pStyle w:val="Compact"/>
              <w:spacing w:after="20" w:before="20"/>
              <w:jc w:val="left"/>
            </w:pPr>
            <w:r>
              <w:rPr>
                <w:sz w:val="17"/>
              </w:rPr>
              <w:t xml:space="preserve">Chow cost risk</w:t>
            </w:r>
          </w:p>
        </w:tc>
        <w:tc>
          <w:tcPr/>
          <w:p>
            <w:pPr>
              <w:pStyle w:val="Compact"/>
              <w:spacing w:after="20" w:before="20"/>
              <w:jc w:val="left"/>
            </w:pPr>
            <w:r>
              <w:rPr>
                <w:sz w:val="17"/>
              </w:rPr>
              <w:t xml:space="preserve">0.2288</w:t>
            </w:r>
          </w:p>
        </w:tc>
        <w:tc>
          <w:tcPr/>
          <w:p>
            <w:pPr>
              <w:pStyle w:val="Compact"/>
              <w:spacing w:after="20" w:before="20"/>
              <w:jc w:val="left"/>
            </w:pPr>
            <w:r>
              <w:rPr>
                <w:sz w:val="17"/>
              </w:rPr>
              <w:t xml:space="preserve">0.5247</w:t>
            </w:r>
          </w:p>
        </w:tc>
        <w:tc>
          <w:tcPr/>
          <w:p>
            <w:pPr>
              <w:pStyle w:val="Compact"/>
              <w:spacing w:after="20" w:before="20"/>
              <w:jc w:val="left"/>
            </w:pPr>
            <w:r>
              <w:rPr>
                <w:sz w:val="17"/>
              </w:rPr>
              <w:t xml:space="preserve">0.4137</w:t>
            </w:r>
          </w:p>
        </w:tc>
        <w:tc>
          <w:tcPr/>
          <w:p>
            <w:pPr>
              <w:pStyle w:val="Compact"/>
              <w:spacing w:after="20" w:before="20"/>
              <w:jc w:val="left"/>
            </w:pPr>
            <w:r>
              <w:rPr>
                <w:sz w:val="17"/>
              </w:rPr>
              <w:t xml:space="preserve">1.0871</w:t>
            </w:r>
          </w:p>
        </w:tc>
        <w:tc>
          <w:tcPr/>
          <w:p>
            <w:pPr>
              <w:pStyle w:val="Compact"/>
              <w:spacing w:after="20" w:before="20"/>
              <w:jc w:val="left"/>
            </w:pPr>
            <w:r>
              <w:rPr>
                <w:sz w:val="17"/>
              </w:rPr>
              <w:t xml:space="preserve">0.3333</w:t>
            </w:r>
          </w:p>
        </w:tc>
        <w:tc>
          <w:tcPr/>
          <w:p>
            <w:pPr>
              <w:pStyle w:val="Compact"/>
              <w:spacing w:after="20" w:before="20"/>
              <w:jc w:val="left"/>
            </w:pPr>
            <w:r>
              <w:rPr>
                <w:sz w:val="17"/>
              </w:rPr>
              <w:t xml:space="preserve">0.2506</w:t>
            </w:r>
          </w:p>
        </w:tc>
        <w:tc>
          <w:tcPr/>
          <w:p>
            <w:pPr>
              <w:pStyle w:val="Compact"/>
              <w:spacing w:after="20" w:before="20"/>
              <w:jc w:val="left"/>
            </w:pPr>
            <w:r>
              <w:rPr>
                <w:sz w:val="17"/>
              </w:rPr>
              <w:t xml:space="preserve">0.2363</w:t>
            </w:r>
          </w:p>
        </w:tc>
        <w:tc>
          <w:tcPr/>
          <w:p>
            <w:pPr>
              <w:pStyle w:val="Compact"/>
              <w:spacing w:after="20" w:before="20"/>
              <w:jc w:val="left"/>
            </w:pPr>
            <w:r>
              <w:rPr>
                <w:sz w:val="17"/>
              </w:rPr>
              <w:t xml:space="preserve">0.3029</w:t>
            </w:r>
          </w:p>
        </w:tc>
        <w:tc>
          <w:tcPr/>
          <w:p>
            <w:pPr>
              <w:pStyle w:val="Compact"/>
              <w:spacing w:after="20" w:before="20"/>
              <w:jc w:val="left"/>
            </w:pPr>
            <w:r>
              <w:rPr>
                <w:sz w:val="17"/>
              </w:rPr>
              <w:t xml:space="preserve">0.4091</w:t>
            </w:r>
          </w:p>
        </w:tc>
      </w:tr>
      <w:tr>
        <w:tc>
          <w:tcPr/>
          <w:p>
            <w:pPr>
              <w:pStyle w:val="Compact"/>
              <w:spacing w:after="20" w:before="20"/>
              <w:jc w:val="left"/>
            </w:pPr>
            <w:r>
              <w:rPr>
                <w:sz w:val="17"/>
              </w:rPr>
              <w:t xml:space="preserve">Single-head gain (earlier draft)</w:t>
            </w:r>
          </w:p>
        </w:tc>
        <w:tc>
          <w:tcPr/>
          <w:p>
            <w:pPr>
              <w:pStyle w:val="Compact"/>
              <w:spacing w:after="20" w:before="20"/>
              <w:jc w:val="left"/>
            </w:pPr>
            <w:r>
              <w:rPr>
                <w:sz w:val="17"/>
              </w:rPr>
              <w:t xml:space="preserve">0.2065</w:t>
            </w:r>
          </w:p>
        </w:tc>
        <w:tc>
          <w:tcPr/>
          <w:p>
            <w:pPr>
              <w:pStyle w:val="Compact"/>
              <w:spacing w:after="20" w:before="20"/>
              <w:jc w:val="left"/>
            </w:pPr>
            <w:r>
              <w:rPr>
                <w:sz w:val="17"/>
              </w:rPr>
              <w:t xml:space="preserve">0.5228</w:t>
            </w:r>
          </w:p>
        </w:tc>
        <w:tc>
          <w:tcPr/>
          <w:p>
            <w:pPr>
              <w:pStyle w:val="Compact"/>
              <w:spacing w:after="20" w:before="20"/>
              <w:jc w:val="left"/>
            </w:pPr>
            <w:r>
              <w:rPr>
                <w:sz w:val="17"/>
              </w:rPr>
              <w:t xml:space="preserve">0.4192</w:t>
            </w:r>
          </w:p>
        </w:tc>
        <w:tc>
          <w:tcPr/>
          <w:p>
            <w:pPr>
              <w:pStyle w:val="Compact"/>
              <w:spacing w:after="20" w:before="20"/>
              <w:jc w:val="left"/>
            </w:pPr>
            <w:r>
              <w:rPr>
                <w:sz w:val="17"/>
              </w:rPr>
              <w:t xml:space="preserve">1.0905</w:t>
            </w:r>
          </w:p>
        </w:tc>
        <w:tc>
          <w:tcPr/>
          <w:p>
            <w:pPr>
              <w:pStyle w:val="Compact"/>
              <w:spacing w:after="20" w:before="20"/>
              <w:jc w:val="left"/>
            </w:pPr>
            <w:r>
              <w:rPr>
                <w:sz w:val="17"/>
              </w:rPr>
              <w:t xml:space="preserve">0.3444</w:t>
            </w:r>
          </w:p>
        </w:tc>
        <w:tc>
          <w:tcPr/>
          <w:p>
            <w:pPr>
              <w:pStyle w:val="Compact"/>
              <w:spacing w:after="20" w:before="20"/>
              <w:jc w:val="left"/>
            </w:pPr>
            <w:r>
              <w:rPr>
                <w:sz w:val="17"/>
              </w:rPr>
              <w:t xml:space="preserve">0.2389</w:t>
            </w:r>
          </w:p>
        </w:tc>
        <w:tc>
          <w:tcPr/>
          <w:p>
            <w:pPr>
              <w:pStyle w:val="Compact"/>
              <w:spacing w:after="20" w:before="20"/>
              <w:jc w:val="left"/>
            </w:pPr>
            <w:r>
              <w:rPr>
                <w:sz w:val="17"/>
              </w:rPr>
              <w:t xml:space="preserve">0.2226</w:t>
            </w:r>
          </w:p>
        </w:tc>
        <w:tc>
          <w:tcPr/>
          <w:p>
            <w:pPr>
              <w:pStyle w:val="Compact"/>
              <w:spacing w:after="20" w:before="20"/>
              <w:jc w:val="left"/>
            </w:pPr>
            <w:r>
              <w:rPr>
                <w:sz w:val="17"/>
              </w:rPr>
              <w:t xml:space="preserve">0.3153</w:t>
            </w:r>
          </w:p>
        </w:tc>
        <w:tc>
          <w:tcPr/>
          <w:p>
            <w:pPr>
              <w:pStyle w:val="Compact"/>
              <w:spacing w:after="20" w:before="20"/>
              <w:jc w:val="left"/>
            </w:pPr>
            <w:r>
              <w:rPr>
                <w:sz w:val="17"/>
              </w:rPr>
              <w:t xml:space="preserve">0.4074</w:t>
            </w:r>
          </w:p>
        </w:tc>
      </w:tr>
      <w:tr>
        <w:tc>
          <w:tcPr/>
          <w:p>
            <w:pPr>
              <w:pStyle w:val="Compact"/>
              <w:spacing w:after="20" w:before="20"/>
              <w:jc w:val="left"/>
            </w:pPr>
            <w:r>
              <w:rPr>
                <w:sz w:val="17"/>
              </w:rPr>
              <w:t xml:space="preserve">L2D-CE</w:t>
            </w:r>
          </w:p>
        </w:tc>
        <w:tc>
          <w:tcPr/>
          <w:p>
            <w:pPr>
              <w:pStyle w:val="Compact"/>
              <w:spacing w:after="20" w:before="20"/>
              <w:jc w:val="left"/>
            </w:pPr>
            <w:r>
              <w:rPr>
                <w:sz w:val="17"/>
              </w:rPr>
              <w:t xml:space="preserve">0.2182</w:t>
            </w:r>
          </w:p>
        </w:tc>
        <w:tc>
          <w:tcPr/>
          <w:p>
            <w:pPr>
              <w:pStyle w:val="Compact"/>
              <w:spacing w:after="20" w:before="20"/>
              <w:jc w:val="left"/>
            </w:pPr>
            <w:r>
              <w:rPr>
                <w:sz w:val="17"/>
              </w:rPr>
              <w:t xml:space="preserve">0.5212</w:t>
            </w:r>
          </w:p>
        </w:tc>
        <w:tc>
          <w:tcPr/>
          <w:p>
            <w:pPr>
              <w:pStyle w:val="Compact"/>
              <w:spacing w:after="20" w:before="20"/>
              <w:jc w:val="left"/>
            </w:pPr>
            <w:r>
              <w:rPr>
                <w:sz w:val="17"/>
              </w:rPr>
              <w:t xml:space="preserve">0.4215</w:t>
            </w:r>
          </w:p>
        </w:tc>
        <w:tc>
          <w:tcPr/>
          <w:p>
            <w:pPr>
              <w:pStyle w:val="Compact"/>
              <w:spacing w:after="20" w:before="20"/>
              <w:jc w:val="left"/>
            </w:pPr>
            <w:r>
              <w:rPr>
                <w:sz w:val="17"/>
              </w:rPr>
              <w:t xml:space="preserve">1.0911</w:t>
            </w:r>
          </w:p>
        </w:tc>
        <w:tc>
          <w:tcPr/>
          <w:p>
            <w:pPr>
              <w:pStyle w:val="Compact"/>
              <w:spacing w:after="20" w:before="20"/>
              <w:jc w:val="left"/>
            </w:pPr>
            <w:r>
              <w:rPr>
                <w:sz w:val="17"/>
              </w:rPr>
              <w:t xml:space="preserve">0.3343</w:t>
            </w:r>
          </w:p>
        </w:tc>
        <w:tc>
          <w:tcPr/>
          <w:p>
            <w:pPr>
              <w:pStyle w:val="Compact"/>
              <w:spacing w:after="20" w:before="20"/>
              <w:jc w:val="left"/>
            </w:pPr>
            <w:r>
              <w:rPr>
                <w:sz w:val="17"/>
              </w:rPr>
              <w:t xml:space="preserve">0.2406</w:t>
            </w:r>
          </w:p>
        </w:tc>
        <w:tc>
          <w:tcPr/>
          <w:p>
            <w:pPr>
              <w:pStyle w:val="Compact"/>
              <w:spacing w:after="20" w:before="20"/>
              <w:jc w:val="left"/>
            </w:pPr>
            <w:r>
              <w:rPr>
                <w:sz w:val="17"/>
              </w:rPr>
              <w:t xml:space="preserve">0.2336</w:t>
            </w:r>
          </w:p>
        </w:tc>
        <w:tc>
          <w:tcPr/>
          <w:p>
            <w:pPr>
              <w:pStyle w:val="Compact"/>
              <w:spacing w:after="20" w:before="20"/>
              <w:jc w:val="left"/>
            </w:pPr>
            <w:r>
              <w:rPr>
                <w:sz w:val="17"/>
              </w:rPr>
              <w:t xml:space="preserve">0.3065</w:t>
            </w:r>
          </w:p>
        </w:tc>
        <w:tc>
          <w:tcPr/>
          <w:p>
            <w:pPr>
              <w:pStyle w:val="Compact"/>
              <w:spacing w:after="20" w:before="20"/>
              <w:jc w:val="left"/>
            </w:pPr>
            <w:r>
              <w:rPr>
                <w:sz w:val="17"/>
              </w:rPr>
              <w:t xml:space="preserve">0.4095</w:t>
            </w:r>
          </w:p>
        </w:tc>
      </w:tr>
      <w:tr>
        <w:tc>
          <w:tcPr/>
          <w:p>
            <w:pPr>
              <w:pStyle w:val="Compact"/>
              <w:spacing w:after="20" w:before="20"/>
              <w:jc w:val="left"/>
            </w:pPr>
            <w:r>
              <w:rPr>
                <w:sz w:val="17"/>
              </w:rPr>
              <w:t xml:space="preserve">L2D-OvA</w:t>
            </w:r>
          </w:p>
        </w:tc>
        <w:tc>
          <w:tcPr/>
          <w:p>
            <w:pPr>
              <w:pStyle w:val="Compact"/>
              <w:spacing w:after="20" w:before="20"/>
              <w:jc w:val="left"/>
            </w:pPr>
            <w:r>
              <w:rPr>
                <w:sz w:val="17"/>
              </w:rPr>
              <w:t xml:space="preserve">0.2118</w:t>
            </w:r>
          </w:p>
        </w:tc>
        <w:tc>
          <w:tcPr/>
          <w:p>
            <w:pPr>
              <w:pStyle w:val="Compact"/>
              <w:spacing w:after="20" w:before="20"/>
              <w:jc w:val="left"/>
            </w:pPr>
            <w:r>
              <w:rPr>
                <w:sz w:val="17"/>
              </w:rPr>
              <w:t xml:space="preserve">0.5171</w:t>
            </w:r>
          </w:p>
        </w:tc>
        <w:tc>
          <w:tcPr/>
          <w:p>
            <w:pPr>
              <w:pStyle w:val="Compact"/>
              <w:spacing w:after="20" w:before="20"/>
              <w:jc w:val="left"/>
            </w:pPr>
            <w:r>
              <w:rPr>
                <w:sz w:val="17"/>
              </w:rPr>
              <w:t xml:space="preserve">0.4210</w:t>
            </w:r>
          </w:p>
        </w:tc>
        <w:tc>
          <w:tcPr/>
          <w:p>
            <w:pPr>
              <w:pStyle w:val="Compact"/>
              <w:spacing w:after="20" w:before="20"/>
              <w:jc w:val="left"/>
            </w:pPr>
            <w:r>
              <w:rPr>
                <w:sz w:val="17"/>
              </w:rPr>
              <w:t xml:space="preserve">1.0890</w:t>
            </w:r>
          </w:p>
        </w:tc>
        <w:tc>
          <w:tcPr/>
          <w:p>
            <w:pPr>
              <w:pStyle w:val="Compact"/>
              <w:spacing w:after="20" w:before="20"/>
              <w:jc w:val="left"/>
            </w:pPr>
            <w:r>
              <w:rPr>
                <w:sz w:val="17"/>
              </w:rPr>
              <w:t xml:space="preserve">0.3338</w:t>
            </w:r>
          </w:p>
        </w:tc>
        <w:tc>
          <w:tcPr/>
          <w:p>
            <w:pPr>
              <w:pStyle w:val="Compact"/>
              <w:spacing w:after="20" w:before="20"/>
              <w:jc w:val="left"/>
            </w:pPr>
            <w:r>
              <w:rPr>
                <w:sz w:val="17"/>
              </w:rPr>
              <w:t xml:space="preserve">0.2367</w:t>
            </w:r>
          </w:p>
        </w:tc>
        <w:tc>
          <w:tcPr/>
          <w:p>
            <w:pPr>
              <w:pStyle w:val="Compact"/>
              <w:spacing w:after="20" w:before="20"/>
              <w:jc w:val="left"/>
            </w:pPr>
            <w:r>
              <w:rPr>
                <w:sz w:val="17"/>
              </w:rPr>
              <w:t xml:space="preserve">0.2320</w:t>
            </w:r>
          </w:p>
        </w:tc>
        <w:tc>
          <w:tcPr/>
          <w:p>
            <w:pPr>
              <w:pStyle w:val="Compact"/>
              <w:spacing w:after="20" w:before="20"/>
              <w:jc w:val="left"/>
            </w:pPr>
            <w:r>
              <w:rPr>
                <w:sz w:val="17"/>
              </w:rPr>
              <w:t xml:space="preserve">0.3048</w:t>
            </w:r>
          </w:p>
        </w:tc>
        <w:tc>
          <w:tcPr/>
          <w:p>
            <w:pPr>
              <w:pStyle w:val="Compact"/>
              <w:spacing w:after="20" w:before="20"/>
              <w:jc w:val="left"/>
            </w:pPr>
            <w:r>
              <w:rPr>
                <w:sz w:val="17"/>
              </w:rPr>
              <w:t xml:space="preserve">0.4071</w:t>
            </w:r>
          </w:p>
        </w:tc>
      </w:tr>
      <w:tr>
        <w:tc>
          <w:tcPr/>
          <w:p>
            <w:pPr>
              <w:pStyle w:val="Compact"/>
              <w:spacing w:after="20" w:before="20"/>
              <w:jc w:val="left"/>
            </w:pPr>
            <w:r>
              <w:rPr>
                <w:sz w:val="17"/>
              </w:rPr>
              <w:t xml:space="preserve">Differential triage</w:t>
            </w:r>
          </w:p>
        </w:tc>
        <w:tc>
          <w:tcPr/>
          <w:p>
            <w:pPr>
              <w:pStyle w:val="Compact"/>
              <w:spacing w:after="20" w:before="20"/>
              <w:jc w:val="left"/>
            </w:pPr>
            <w:r>
              <w:rPr>
                <w:sz w:val="17"/>
              </w:rPr>
              <w:t xml:space="preserve">0.2082</w:t>
            </w:r>
          </w:p>
        </w:tc>
        <w:tc>
          <w:tcPr/>
          <w:p>
            <w:pPr>
              <w:pStyle w:val="Compact"/>
              <w:spacing w:after="20" w:before="20"/>
              <w:jc w:val="left"/>
            </w:pPr>
            <w:r>
              <w:rPr>
                <w:sz w:val="17"/>
              </w:rPr>
              <w:t xml:space="preserve">0.5199</w:t>
            </w:r>
          </w:p>
        </w:tc>
        <w:tc>
          <w:tcPr/>
          <w:p>
            <w:pPr>
              <w:pStyle w:val="Compact"/>
              <w:spacing w:after="20" w:before="20"/>
              <w:jc w:val="left"/>
            </w:pPr>
            <w:r>
              <w:rPr>
                <w:bCs/>
                <w:b/>
                <w:sz w:val="17"/>
              </w:rPr>
              <w:t xml:space="preserve">0.4107</w:t>
            </w:r>
          </w:p>
        </w:tc>
        <w:tc>
          <w:tcPr/>
          <w:p>
            <w:pPr>
              <w:pStyle w:val="Compact"/>
              <w:spacing w:after="20" w:before="20"/>
              <w:jc w:val="left"/>
            </w:pPr>
            <w:r>
              <w:rPr>
                <w:sz w:val="17"/>
              </w:rPr>
              <w:t xml:space="preserve">1.0837</w:t>
            </w:r>
          </w:p>
        </w:tc>
        <w:tc>
          <w:tcPr/>
          <w:p>
            <w:pPr>
              <w:pStyle w:val="Compact"/>
              <w:spacing w:after="20" w:before="20"/>
              <w:jc w:val="left"/>
            </w:pPr>
            <w:r>
              <w:rPr>
                <w:sz w:val="17"/>
              </w:rPr>
              <w:t xml:space="preserve">0.3326</w:t>
            </w:r>
          </w:p>
        </w:tc>
        <w:tc>
          <w:tcPr/>
          <w:p>
            <w:pPr>
              <w:pStyle w:val="Compact"/>
              <w:spacing w:after="20" w:before="20"/>
              <w:jc w:val="left"/>
            </w:pPr>
            <w:r>
              <w:rPr>
                <w:sz w:val="17"/>
              </w:rPr>
              <w:t xml:space="preserve">0.2434</w:t>
            </w:r>
          </w:p>
        </w:tc>
        <w:tc>
          <w:tcPr/>
          <w:p>
            <w:pPr>
              <w:pStyle w:val="Compact"/>
              <w:spacing w:after="20" w:before="20"/>
              <w:jc w:val="left"/>
            </w:pPr>
            <w:r>
              <w:rPr>
                <w:sz w:val="17"/>
              </w:rPr>
              <w:t xml:space="preserve">0.2227</w:t>
            </w:r>
          </w:p>
        </w:tc>
        <w:tc>
          <w:tcPr/>
          <w:p>
            <w:pPr>
              <w:pStyle w:val="Compact"/>
              <w:spacing w:after="20" w:before="20"/>
              <w:jc w:val="left"/>
            </w:pPr>
            <w:r>
              <w:rPr>
                <w:sz w:val="17"/>
              </w:rPr>
              <w:t xml:space="preserve">0.3011</w:t>
            </w:r>
          </w:p>
        </w:tc>
        <w:tc>
          <w:tcPr/>
          <w:p>
            <w:pPr>
              <w:pStyle w:val="Compact"/>
              <w:spacing w:after="20" w:before="20"/>
              <w:jc w:val="left"/>
            </w:pPr>
            <w:r>
              <w:rPr>
                <w:sz w:val="17"/>
              </w:rPr>
              <w:t xml:space="preserve">0.4027</w:t>
            </w:r>
          </w:p>
        </w:tc>
      </w:tr>
      <w:tr>
        <w:tc>
          <w:tcPr/>
          <w:p>
            <w:pPr>
              <w:pStyle w:val="Compact"/>
              <w:spacing w:after="20" w:before="20"/>
              <w:jc w:val="left"/>
            </w:pPr>
            <w:r>
              <w:rPr>
                <w:sz w:val="17"/>
              </w:rPr>
              <w:t xml:space="preserve">Two-head, probability only</w:t>
            </w:r>
          </w:p>
        </w:tc>
        <w:tc>
          <w:tcPr/>
          <w:p>
            <w:pPr>
              <w:pStyle w:val="Compact"/>
              <w:spacing w:after="20" w:before="20"/>
              <w:jc w:val="left"/>
            </w:pPr>
            <w:r>
              <w:rPr>
                <w:sz w:val="17"/>
              </w:rPr>
              <w:t xml:space="preserve">0.2163</w:t>
            </w:r>
          </w:p>
        </w:tc>
        <w:tc>
          <w:tcPr/>
          <w:p>
            <w:pPr>
              <w:pStyle w:val="Compact"/>
              <w:spacing w:after="20" w:before="20"/>
              <w:jc w:val="left"/>
            </w:pPr>
            <w:r>
              <w:rPr>
                <w:sz w:val="17"/>
              </w:rPr>
              <w:t xml:space="preserve">0.5178</w:t>
            </w:r>
          </w:p>
        </w:tc>
        <w:tc>
          <w:tcPr/>
          <w:p>
            <w:pPr>
              <w:pStyle w:val="Compact"/>
              <w:spacing w:after="20" w:before="20"/>
              <w:jc w:val="left"/>
            </w:pPr>
            <w:r>
              <w:rPr>
                <w:sz w:val="17"/>
              </w:rPr>
              <w:t xml:space="preserve">0.4188</w:t>
            </w:r>
          </w:p>
        </w:tc>
        <w:tc>
          <w:tcPr/>
          <w:p>
            <w:pPr>
              <w:pStyle w:val="Compact"/>
              <w:spacing w:after="20" w:before="20"/>
              <w:jc w:val="left"/>
            </w:pPr>
            <w:r>
              <w:rPr>
                <w:bCs/>
                <w:b/>
                <w:sz w:val="17"/>
              </w:rPr>
              <w:t xml:space="preserve">1.0826</w:t>
            </w:r>
          </w:p>
        </w:tc>
        <w:tc>
          <w:tcPr/>
          <w:p>
            <w:pPr>
              <w:pStyle w:val="Compact"/>
              <w:spacing w:after="20" w:before="20"/>
              <w:jc w:val="left"/>
            </w:pPr>
            <w:r>
              <w:rPr>
                <w:sz w:val="17"/>
              </w:rPr>
              <w:t xml:space="preserve">0.3407</w:t>
            </w:r>
          </w:p>
        </w:tc>
        <w:tc>
          <w:tcPr/>
          <w:p>
            <w:pPr>
              <w:pStyle w:val="Compact"/>
              <w:spacing w:after="20" w:before="20"/>
              <w:jc w:val="left"/>
            </w:pPr>
            <w:r>
              <w:rPr>
                <w:sz w:val="17"/>
              </w:rPr>
              <w:t xml:space="preserve">0.2447</w:t>
            </w:r>
          </w:p>
        </w:tc>
        <w:tc>
          <w:tcPr/>
          <w:p>
            <w:pPr>
              <w:pStyle w:val="Compact"/>
              <w:spacing w:after="20" w:before="20"/>
              <w:jc w:val="left"/>
            </w:pPr>
            <w:r>
              <w:rPr>
                <w:sz w:val="17"/>
              </w:rPr>
              <w:t xml:space="preserve">0.2287</w:t>
            </w:r>
          </w:p>
        </w:tc>
        <w:tc>
          <w:tcPr/>
          <w:p>
            <w:pPr>
              <w:pStyle w:val="Compact"/>
              <w:spacing w:after="20" w:before="20"/>
              <w:jc w:val="left"/>
            </w:pPr>
            <w:r>
              <w:rPr>
                <w:sz w:val="17"/>
              </w:rPr>
              <w:t xml:space="preserve">0.3049</w:t>
            </w:r>
          </w:p>
        </w:tc>
        <w:tc>
          <w:tcPr/>
          <w:p>
            <w:pPr>
              <w:pStyle w:val="Compact"/>
              <w:spacing w:after="20" w:before="20"/>
              <w:jc w:val="left"/>
            </w:pPr>
            <w:r>
              <w:rPr>
                <w:sz w:val="17"/>
              </w:rPr>
              <w:t xml:space="preserve">0.4067</w:t>
            </w:r>
          </w:p>
        </w:tc>
      </w:tr>
      <w:tr>
        <w:tc>
          <w:tcPr/>
          <w:p>
            <w:pPr>
              <w:pStyle w:val="Compact"/>
              <w:spacing w:after="20" w:before="20"/>
              <w:jc w:val="left"/>
            </w:pPr>
            <w:r>
              <w:rPr>
                <w:sz w:val="17"/>
              </w:rPr>
              <w:t xml:space="preserve">Two-head, quality-aware</w:t>
            </w:r>
          </w:p>
        </w:tc>
        <w:tc>
          <w:tcPr/>
          <w:p>
            <w:pPr>
              <w:pStyle w:val="Compact"/>
              <w:spacing w:after="20" w:before="20"/>
              <w:jc w:val="left"/>
            </w:pPr>
            <w:r>
              <w:rPr>
                <w:sz w:val="17"/>
              </w:rPr>
              <w:t xml:space="preserve">0.2053</w:t>
            </w:r>
          </w:p>
        </w:tc>
        <w:tc>
          <w:tcPr/>
          <w:p>
            <w:pPr>
              <w:pStyle w:val="Compact"/>
              <w:spacing w:after="20" w:before="20"/>
              <w:jc w:val="left"/>
            </w:pPr>
            <w:r>
              <w:rPr>
                <w:sz w:val="17"/>
              </w:rPr>
              <w:t xml:space="preserve">0.5187</w:t>
            </w:r>
          </w:p>
        </w:tc>
        <w:tc>
          <w:tcPr/>
          <w:p>
            <w:pPr>
              <w:pStyle w:val="Compact"/>
              <w:spacing w:after="20" w:before="20"/>
              <w:jc w:val="left"/>
            </w:pPr>
            <w:r>
              <w:rPr>
                <w:sz w:val="17"/>
              </w:rPr>
              <w:t xml:space="preserve">0.4176</w:t>
            </w:r>
          </w:p>
        </w:tc>
        <w:tc>
          <w:tcPr/>
          <w:p>
            <w:pPr>
              <w:pStyle w:val="Compact"/>
              <w:spacing w:after="20" w:before="20"/>
              <w:jc w:val="left"/>
            </w:pPr>
            <w:r>
              <w:rPr>
                <w:sz w:val="17"/>
              </w:rPr>
              <w:t xml:space="preserve">1.0868</w:t>
            </w:r>
          </w:p>
        </w:tc>
        <w:tc>
          <w:tcPr/>
          <w:p>
            <w:pPr>
              <w:pStyle w:val="Compact"/>
              <w:spacing w:after="20" w:before="20"/>
              <w:jc w:val="left"/>
            </w:pPr>
            <w:r>
              <w:rPr>
                <w:sz w:val="17"/>
              </w:rPr>
              <w:t xml:space="preserve">0.3450</w:t>
            </w:r>
          </w:p>
        </w:tc>
        <w:tc>
          <w:tcPr/>
          <w:p>
            <w:pPr>
              <w:pStyle w:val="Compact"/>
              <w:spacing w:after="20" w:before="20"/>
              <w:jc w:val="left"/>
            </w:pPr>
            <w:r>
              <w:rPr>
                <w:sz w:val="17"/>
              </w:rPr>
              <w:t xml:space="preserve">0.2370</w:t>
            </w:r>
          </w:p>
        </w:tc>
        <w:tc>
          <w:tcPr/>
          <w:p>
            <w:pPr>
              <w:pStyle w:val="Compact"/>
              <w:spacing w:after="20" w:before="20"/>
              <w:jc w:val="left"/>
            </w:pPr>
            <w:r>
              <w:rPr>
                <w:sz w:val="17"/>
              </w:rPr>
              <w:t xml:space="preserve">0.2208</w:t>
            </w:r>
          </w:p>
        </w:tc>
        <w:tc>
          <w:tcPr/>
          <w:p>
            <w:pPr>
              <w:pStyle w:val="Compact"/>
              <w:spacing w:after="20" w:before="20"/>
              <w:jc w:val="left"/>
            </w:pPr>
            <w:r>
              <w:rPr>
                <w:sz w:val="17"/>
              </w:rPr>
              <w:t xml:space="preserve">0.3153</w:t>
            </w:r>
          </w:p>
        </w:tc>
        <w:tc>
          <w:tcPr/>
          <w:p>
            <w:pPr>
              <w:pStyle w:val="Compact"/>
              <w:spacing w:after="20" w:before="20"/>
              <w:jc w:val="left"/>
            </w:pPr>
            <w:r>
              <w:rPr>
                <w:sz w:val="17"/>
              </w:rPr>
              <w:t xml:space="preserve">0.4056</w:t>
            </w:r>
          </w:p>
        </w:tc>
      </w:tr>
    </w:tbl>
    <w:bookmarkEnd w:id="57"/>
    <w:bookmarkStart w:id="58" w:name="governance-rule-alternatives"/>
    <w:p>
      <w:pPr>
        <w:pStyle w:val="Heading2"/>
      </w:pPr>
      <w:r>
        <w:t xml:space="preserve">5.7. Governance-rule alternatives</w:t>
      </w:r>
    </w:p>
    <w:p>
      <w:pPr>
        <w:pStyle w:val="FirstParagraph"/>
      </w:pPr>
      <w:r>
        <w:t xml:space="preserve">Table 11 compares four rule sets for the proposed router, with the router unchanged. Because the rules are evaluated against their own thresholds, each rule set has zero violations by construction. To judge whether a rule set is</w:t>
      </w:r>
      <w:r>
        <w:t xml:space="preserve"> </w:t>
      </w:r>
      <w:r>
        <w:rPr>
          <w:iCs/>
          <w:i/>
        </w:rPr>
        <w:t xml:space="preserve">appropriate</w:t>
      </w:r>
      <w:r>
        <w:t xml:space="preserve">, we report the share of truly defective records (more than 20% of cells corrupted) that were nevertheless automated. Under severe shift, the main rules reduced automated defective records from 80.3% (no rules) to 32.2% at a cost increase of 71%, and strict rules reduced them to 4.5% at a cost increase of 111%, with 75.6% of records held. Under the realistic mix, whose defects are mostly invisible, even strict rules left 74.7% of defective records automated, because rules built on completeness and range checks cannot see stale or mis-keyed values. Lenient rules were nearly indistinguishable from no rules except under shift. Rule sets shifted all ranking methods by similar amounts. Confidence had the lowest cost under the none, lenient and main rule sets, with Chow second. Under strict rules, where three-quarters of records are mandatory, confidence, L2D-OvA, the proposed router and its rich-input variant were within 0.001 of each other and all slightly below Chow.</w:t>
      </w:r>
    </w:p>
    <w:p>
      <w:pPr>
        <w:pStyle w:val="TableCaption"/>
      </w:pPr>
      <w:r>
        <w:t xml:space="preserve">Table 11. Governance-rule alternatives for the proposed router (German, Australian and default; quality-coupled and feature-dependent reviewers; 10 splits; 20% capacity).</w:t>
      </w:r>
      <w:r>
        <w:t xml:space="preserve"> </w:t>
      </w:r>
      <w:r>
        <w:t xml:space="preserve">“</w:t>
      </w:r>
      <w:r>
        <w:t xml:space="preserve">Defective records automated</w:t>
      </w:r>
      <w:r>
        <w:t xml:space="preserve">”</w:t>
      </w:r>
      <w:r>
        <w:t xml:space="preserve"> </w:t>
      </w:r>
      <w:r>
        <w:t xml:space="preserve">is the share of records with more than 20% corrupted cells that the policy automated. The lenient row for the realistic mix equals</w:t>
      </w:r>
      <w:r>
        <w:t xml:space="preserve"> </w:t>
      </w:r>
      <w:r>
        <w:t xml:space="preserve">“</w:t>
      </w:r>
      <w:r>
        <w:t xml:space="preserve">none</w:t>
      </w:r>
      <w:r>
        <w:t xml:space="preserve">”</w:t>
      </w:r>
      <w:r>
        <w:t xml:space="preserve"> </w:t>
      </w:r>
      <w:r>
        <w:t xml:space="preserve">and is omitted.</w:t>
      </w:r>
    </w:p>
    <w:tbl>
      <w:tblPr>
        <w:tblStyle w:val="Table"/>
        <w:tblW w:type="pct" w:w="5000"/>
        <w:tblLook w:firstRow="1" w:lastRow="0" w:firstColumn="0" w:lastColumn="0" w:noHBand="0" w:noVBand="0" w:val="0020"/>
        <w:jc w:val="start"/>
        <w:tblCaption w:val="Table 11. Governance-rule alternatives for the proposed router (German, Australian and default; quality-coupled and feature-dependent reviewers; 10 splits; 20% capacity). “Defective records automated” is the share of records with more than 20% corrupted cells that the policy automated. The lenient row for the realistic mix equals “none” and is omitted."/>
        <w:tblBorders>
          <w:top w:val="single" w:sz="8" w:color="000000"/>
          <w:bottom w:val="single" w:sz="8" w:color="000000"/>
          <w:insideH w:val="nil" w:sz="8" w:color="000000"/>
          <w:insideV w:val="nil" w:sz="8" w:color="000000"/>
          <w:left w:val="nil" w:sz="8" w:color="000000"/>
          <w:right w:val="nil" w:sz="8" w:color="000000"/>
        </w:tblBorders>
      </w:tblPr>
      <w:tblGrid>
        <w:gridCol w:w="1320"/>
        <w:gridCol w:w="1320"/>
        <w:gridCol w:w="1320"/>
        <w:gridCol w:w="1320"/>
        <w:gridCol w:w="1320"/>
        <w:gridCol w:w="1320"/>
      </w:tblGrid>
      <w:tr>
        <w:trPr>
          <w:tblHeader w:val="true"/>
        </w:trPr>
        <w:tc>
          <w:tcPr>
            <w:tcBorders>
              <w:bottom w:val="single" w:sz="6"/>
            </w:tcBorders>
          </w:tcPr>
          <w:p>
            <w:pPr>
              <w:pStyle w:val="Compact"/>
              <w:spacing w:after="20" w:before="20"/>
              <w:jc w:val="left"/>
            </w:pPr>
            <w:r>
              <w:rPr>
                <w:b/>
                <w:sz w:val="17"/>
              </w:rPr>
              <w:t xml:space="preserve">Condition</w:t>
            </w:r>
          </w:p>
        </w:tc>
        <w:tc>
          <w:tcPr>
            <w:tcBorders>
              <w:bottom w:val="single" w:sz="6"/>
            </w:tcBorders>
          </w:tcPr>
          <w:p>
            <w:pPr>
              <w:pStyle w:val="Compact"/>
              <w:spacing w:after="20" w:before="20"/>
              <w:jc w:val="left"/>
            </w:pPr>
            <w:r>
              <w:rPr>
                <w:b/>
                <w:sz w:val="17"/>
              </w:rPr>
              <w:t xml:space="preserve">Rule set (</w:t>
            </w:r>
            <m:oMath>
              <m:sSub>
                <m:e>
                  <m:r>
                    <m:t>τ</m:t>
                  </m:r>
                </m:e>
                <m:sub>
                  <m:r>
                    <m:t>u</m:t>
                  </m:r>
                </m:sub>
              </m:sSub>
              <m:r>
                <m:rPr>
                  <m:sty m:val="p"/>
                </m:rPr>
                <m:t>,</m:t>
              </m:r>
              <m:sSub>
                <m:e>
                  <m:r>
                    <m:t>τ</m:t>
                  </m:r>
                </m:e>
                <m:sub>
                  <m:r>
                    <m:t>v</m:t>
                  </m:r>
                </m:sub>
              </m:sSub>
            </m:oMath>
            <w:r>
              <w:rPr>
                <w:b/>
                <w:sz w:val="17"/>
              </w:rPr>
              <w:t xml:space="preserve">)</w:t>
            </w:r>
          </w:p>
        </w:tc>
        <w:tc>
          <w:tcPr>
            <w:tcBorders>
              <w:bottom w:val="single" w:sz="6"/>
            </w:tcBorders>
          </w:tcPr>
          <w:p>
            <w:pPr>
              <w:pStyle w:val="Compact"/>
              <w:spacing w:after="20" w:before="20"/>
              <w:jc w:val="left"/>
            </w:pPr>
            <w:r>
              <w:rPr>
                <w:b/>
                <w:sz w:val="17"/>
              </w:rPr>
              <w:t xml:space="preserve">Mandatory %</w:t>
            </w:r>
          </w:p>
        </w:tc>
        <w:tc>
          <w:tcPr>
            <w:tcBorders>
              <w:bottom w:val="single" w:sz="6"/>
            </w:tcBorders>
          </w:tcPr>
          <w:p>
            <w:pPr>
              <w:pStyle w:val="Compact"/>
              <w:spacing w:after="20" w:before="20"/>
              <w:jc w:val="left"/>
            </w:pPr>
            <w:r>
              <w:rPr>
                <w:b/>
                <w:sz w:val="17"/>
              </w:rPr>
              <w:t xml:space="preserve">Cost</w:t>
            </w:r>
          </w:p>
        </w:tc>
        <w:tc>
          <w:tcPr>
            <w:tcBorders>
              <w:bottom w:val="single" w:sz="6"/>
            </w:tcBorders>
          </w:tcPr>
          <w:p>
            <w:pPr>
              <w:pStyle w:val="Compact"/>
              <w:spacing w:after="20" w:before="20"/>
              <w:jc w:val="left"/>
            </w:pPr>
            <w:r>
              <w:rPr>
                <w:b/>
                <w:sz w:val="17"/>
              </w:rPr>
              <w:t xml:space="preserve">Hold %</w:t>
            </w:r>
          </w:p>
        </w:tc>
        <w:tc>
          <w:tcPr>
            <w:tcBorders>
              <w:bottom w:val="single" w:sz="6"/>
            </w:tcBorders>
          </w:tcPr>
          <w:p>
            <w:pPr>
              <w:pStyle w:val="Compact"/>
              <w:spacing w:after="20" w:before="20"/>
              <w:jc w:val="left"/>
            </w:pPr>
            <w:r>
              <w:rPr>
                <w:b/>
                <w:sz w:val="17"/>
              </w:rPr>
              <w:t xml:space="preserve">Defective records automated %</w:t>
            </w:r>
          </w:p>
        </w:tc>
      </w:tr>
      <w:tr>
        <w:tc>
          <w:tcPr/>
          <w:p>
            <w:pPr>
              <w:pStyle w:val="Compact"/>
              <w:spacing w:after="20" w:before="20"/>
              <w:jc w:val="left"/>
            </w:pPr>
            <w:r>
              <w:rPr>
                <w:sz w:val="17"/>
              </w:rPr>
              <w:t xml:space="preserve">Mixed</w:t>
            </w:r>
          </w:p>
        </w:tc>
        <w:tc>
          <w:tcPr/>
          <w:p>
            <w:pPr>
              <w:pStyle w:val="Compact"/>
              <w:spacing w:after="20" w:before="20"/>
              <w:jc w:val="left"/>
            </w:pPr>
            <w:r>
              <w:rPr>
                <w:sz w:val="17"/>
              </w:rPr>
              <w:t xml:space="preserve">none</w:t>
            </w:r>
          </w:p>
        </w:tc>
        <w:tc>
          <w:tcPr/>
          <w:p>
            <w:pPr>
              <w:pStyle w:val="Compact"/>
              <w:spacing w:after="20" w:before="20"/>
              <w:jc w:val="left"/>
            </w:pPr>
            <w:r>
              <w:rPr>
                <w:sz w:val="17"/>
              </w:rPr>
              <w:t xml:space="preserve">0.0</w:t>
            </w:r>
          </w:p>
        </w:tc>
        <w:tc>
          <w:tcPr/>
          <w:p>
            <w:pPr>
              <w:pStyle w:val="Compact"/>
              <w:spacing w:after="20" w:before="20"/>
              <w:jc w:val="left"/>
            </w:pPr>
            <w:r>
              <w:rPr>
                <w:sz w:val="17"/>
              </w:rPr>
              <w:t xml:space="preserve">0.4415</w:t>
            </w:r>
          </w:p>
        </w:tc>
        <w:tc>
          <w:tcPr/>
          <w:p>
            <w:pPr>
              <w:pStyle w:val="Compact"/>
              <w:spacing w:after="20" w:before="20"/>
              <w:jc w:val="left"/>
            </w:pPr>
            <w:r>
              <w:rPr>
                <w:sz w:val="17"/>
              </w:rPr>
              <w:t xml:space="preserve">0.0</w:t>
            </w:r>
          </w:p>
        </w:tc>
        <w:tc>
          <w:tcPr/>
          <w:p>
            <w:pPr>
              <w:pStyle w:val="Compact"/>
              <w:spacing w:after="20" w:before="20"/>
              <w:jc w:val="left"/>
            </w:pPr>
            <w:r>
              <w:rPr>
                <w:sz w:val="17"/>
              </w:rPr>
              <w:t xml:space="preserve">80.9</w:t>
            </w:r>
          </w:p>
        </w:tc>
      </w:tr>
      <w:tr>
        <w:tc>
          <w:tcPr/>
          <w:p>
            <w:pPr>
              <w:pStyle w:val="Compact"/>
              <w:spacing w:after="20" w:before="20"/>
              <w:jc w:val="left"/>
            </w:pPr>
            <w:r>
              <w:rPr>
                <w:sz w:val="17"/>
              </w:rPr>
              <w:t xml:space="preserve">Mixed</w:t>
            </w:r>
          </w:p>
        </w:tc>
        <w:tc>
          <w:tcPr/>
          <w:p>
            <w:pPr>
              <w:pStyle w:val="Compact"/>
              <w:spacing w:after="20" w:before="20"/>
              <w:jc w:val="left"/>
            </w:pPr>
            <w:r>
              <w:rPr>
                <w:sz w:val="17"/>
              </w:rPr>
              <w:t xml:space="preserve">lenient (0.7, 0.4)</w:t>
            </w:r>
          </w:p>
        </w:tc>
        <w:tc>
          <w:tcPr/>
          <w:p>
            <w:pPr>
              <w:pStyle w:val="Compact"/>
              <w:spacing w:after="20" w:before="20"/>
              <w:jc w:val="left"/>
            </w:pPr>
            <w:r>
              <w:rPr>
                <w:sz w:val="17"/>
              </w:rPr>
              <w:t xml:space="preserve">0.1</w:t>
            </w:r>
          </w:p>
        </w:tc>
        <w:tc>
          <w:tcPr/>
          <w:p>
            <w:pPr>
              <w:pStyle w:val="Compact"/>
              <w:spacing w:after="20" w:before="20"/>
              <w:jc w:val="left"/>
            </w:pPr>
            <w:r>
              <w:rPr>
                <w:sz w:val="17"/>
              </w:rPr>
              <w:t xml:space="preserve">0.4424</w:t>
            </w:r>
          </w:p>
        </w:tc>
        <w:tc>
          <w:tcPr/>
          <w:p>
            <w:pPr>
              <w:pStyle w:val="Compact"/>
              <w:spacing w:after="20" w:before="20"/>
              <w:jc w:val="left"/>
            </w:pPr>
            <w:r>
              <w:rPr>
                <w:sz w:val="17"/>
              </w:rPr>
              <w:t xml:space="preserve">0.0</w:t>
            </w:r>
          </w:p>
        </w:tc>
        <w:tc>
          <w:tcPr/>
          <w:p>
            <w:pPr>
              <w:pStyle w:val="Compact"/>
              <w:spacing w:after="20" w:before="20"/>
              <w:jc w:val="left"/>
            </w:pPr>
            <w:r>
              <w:rPr>
                <w:sz w:val="17"/>
              </w:rPr>
              <w:t xml:space="preserve">80.9</w:t>
            </w:r>
          </w:p>
        </w:tc>
      </w:tr>
      <w:tr>
        <w:tc>
          <w:tcPr/>
          <w:p>
            <w:pPr>
              <w:pStyle w:val="Compact"/>
              <w:spacing w:after="20" w:before="20"/>
              <w:jc w:val="left"/>
            </w:pPr>
            <w:r>
              <w:rPr>
                <w:sz w:val="17"/>
              </w:rPr>
              <w:t xml:space="preserve">Mixed</w:t>
            </w:r>
          </w:p>
        </w:tc>
        <w:tc>
          <w:tcPr/>
          <w:p>
            <w:pPr>
              <w:pStyle w:val="Compact"/>
              <w:spacing w:after="20" w:before="20"/>
              <w:jc w:val="left"/>
            </w:pPr>
            <w:r>
              <w:rPr>
                <w:sz w:val="17"/>
              </w:rPr>
              <w:t xml:space="preserve">main (0.5, 0.25)</w:t>
            </w:r>
          </w:p>
        </w:tc>
        <w:tc>
          <w:tcPr/>
          <w:p>
            <w:pPr>
              <w:pStyle w:val="Compact"/>
              <w:spacing w:after="20" w:before="20"/>
              <w:jc w:val="left"/>
            </w:pPr>
            <w:r>
              <w:rPr>
                <w:sz w:val="17"/>
              </w:rPr>
              <w:t xml:space="preserve">2.8</w:t>
            </w:r>
          </w:p>
        </w:tc>
        <w:tc>
          <w:tcPr/>
          <w:p>
            <w:pPr>
              <w:pStyle w:val="Compact"/>
              <w:spacing w:after="20" w:before="20"/>
              <w:jc w:val="left"/>
            </w:pPr>
            <w:r>
              <w:rPr>
                <w:sz w:val="17"/>
              </w:rPr>
              <w:t xml:space="preserve">0.4533</w:t>
            </w:r>
          </w:p>
        </w:tc>
        <w:tc>
          <w:tcPr/>
          <w:p>
            <w:pPr>
              <w:pStyle w:val="Compact"/>
              <w:spacing w:after="20" w:before="20"/>
              <w:jc w:val="left"/>
            </w:pPr>
            <w:r>
              <w:rPr>
                <w:sz w:val="17"/>
              </w:rPr>
              <w:t xml:space="preserve">0.0</w:t>
            </w:r>
          </w:p>
        </w:tc>
        <w:tc>
          <w:tcPr/>
          <w:p>
            <w:pPr>
              <w:pStyle w:val="Compact"/>
              <w:spacing w:after="20" w:before="20"/>
              <w:jc w:val="left"/>
            </w:pPr>
            <w:r>
              <w:rPr>
                <w:sz w:val="17"/>
              </w:rPr>
              <w:t xml:space="preserve">79.3</w:t>
            </w:r>
          </w:p>
        </w:tc>
      </w:tr>
      <w:tr>
        <w:tc>
          <w:tcPr/>
          <w:p>
            <w:pPr>
              <w:pStyle w:val="Compact"/>
              <w:spacing w:after="20" w:before="20"/>
              <w:jc w:val="left"/>
            </w:pPr>
            <w:r>
              <w:rPr>
                <w:sz w:val="17"/>
              </w:rPr>
              <w:t xml:space="preserve">Mixed</w:t>
            </w:r>
          </w:p>
        </w:tc>
        <w:tc>
          <w:tcPr/>
          <w:p>
            <w:pPr>
              <w:pStyle w:val="Compact"/>
              <w:spacing w:after="20" w:before="20"/>
              <w:jc w:val="left"/>
            </w:pPr>
            <w:r>
              <w:rPr>
                <w:sz w:val="17"/>
              </w:rPr>
              <w:t xml:space="preserve">strict (0.3, 0.15)</w:t>
            </w:r>
          </w:p>
        </w:tc>
        <w:tc>
          <w:tcPr/>
          <w:p>
            <w:pPr>
              <w:pStyle w:val="Compact"/>
              <w:spacing w:after="20" w:before="20"/>
              <w:jc w:val="left"/>
            </w:pPr>
            <w:r>
              <w:rPr>
                <w:sz w:val="17"/>
              </w:rPr>
              <w:t xml:space="preserve">23.4</w:t>
            </w:r>
          </w:p>
        </w:tc>
        <w:tc>
          <w:tcPr/>
          <w:p>
            <w:pPr>
              <w:pStyle w:val="Compact"/>
              <w:spacing w:after="20" w:before="20"/>
              <w:jc w:val="left"/>
            </w:pPr>
            <w:r>
              <w:rPr>
                <w:sz w:val="17"/>
              </w:rPr>
              <w:t xml:space="preserve">0.5268</w:t>
            </w:r>
          </w:p>
        </w:tc>
        <w:tc>
          <w:tcPr/>
          <w:p>
            <w:pPr>
              <w:pStyle w:val="Compact"/>
              <w:spacing w:after="20" w:before="20"/>
              <w:jc w:val="left"/>
            </w:pPr>
            <w:r>
              <w:rPr>
                <w:sz w:val="17"/>
              </w:rPr>
              <w:t xml:space="preserve">3.9</w:t>
            </w:r>
          </w:p>
        </w:tc>
        <w:tc>
          <w:tcPr/>
          <w:p>
            <w:pPr>
              <w:pStyle w:val="Compact"/>
              <w:spacing w:after="20" w:before="20"/>
              <w:jc w:val="left"/>
            </w:pPr>
            <w:r>
              <w:rPr>
                <w:sz w:val="17"/>
              </w:rPr>
              <w:t xml:space="preserve">60.0</w:t>
            </w:r>
          </w:p>
        </w:tc>
      </w:tr>
      <w:tr>
        <w:tc>
          <w:tcPr/>
          <w:p>
            <w:pPr>
              <w:pStyle w:val="Compact"/>
              <w:spacing w:after="20" w:before="20"/>
              <w:jc w:val="left"/>
            </w:pPr>
            <w:r>
              <w:rPr>
                <w:sz w:val="17"/>
              </w:rPr>
              <w:t xml:space="preserve">Severe shift</w:t>
            </w:r>
          </w:p>
        </w:tc>
        <w:tc>
          <w:tcPr/>
          <w:p>
            <w:pPr>
              <w:pStyle w:val="Compact"/>
              <w:spacing w:after="20" w:before="20"/>
              <w:jc w:val="left"/>
            </w:pPr>
            <w:r>
              <w:rPr>
                <w:sz w:val="17"/>
              </w:rPr>
              <w:t xml:space="preserve">none</w:t>
            </w:r>
          </w:p>
        </w:tc>
        <w:tc>
          <w:tcPr/>
          <w:p>
            <w:pPr>
              <w:pStyle w:val="Compact"/>
              <w:spacing w:after="20" w:before="20"/>
              <w:jc w:val="left"/>
            </w:pPr>
            <w:r>
              <w:rPr>
                <w:sz w:val="17"/>
              </w:rPr>
              <w:t xml:space="preserve">0.0</w:t>
            </w:r>
          </w:p>
        </w:tc>
        <w:tc>
          <w:tcPr/>
          <w:p>
            <w:pPr>
              <w:pStyle w:val="Compact"/>
              <w:spacing w:after="20" w:before="20"/>
              <w:jc w:val="left"/>
            </w:pPr>
            <w:r>
              <w:rPr>
                <w:sz w:val="17"/>
              </w:rPr>
              <w:t xml:space="preserve">0.5888</w:t>
            </w:r>
          </w:p>
        </w:tc>
        <w:tc>
          <w:tcPr/>
          <w:p>
            <w:pPr>
              <w:pStyle w:val="Compact"/>
              <w:spacing w:after="20" w:before="20"/>
              <w:jc w:val="left"/>
            </w:pPr>
            <w:r>
              <w:rPr>
                <w:sz w:val="17"/>
              </w:rPr>
              <w:t xml:space="preserve">0.0</w:t>
            </w:r>
          </w:p>
        </w:tc>
        <w:tc>
          <w:tcPr/>
          <w:p>
            <w:pPr>
              <w:pStyle w:val="Compact"/>
              <w:spacing w:after="20" w:before="20"/>
              <w:jc w:val="left"/>
            </w:pPr>
            <w:r>
              <w:rPr>
                <w:sz w:val="17"/>
              </w:rPr>
              <w:t xml:space="preserve">80.3</w:t>
            </w:r>
          </w:p>
        </w:tc>
      </w:tr>
      <w:tr>
        <w:tc>
          <w:tcPr/>
          <w:p>
            <w:pPr>
              <w:pStyle w:val="Compact"/>
              <w:spacing w:after="20" w:before="20"/>
              <w:jc w:val="left"/>
            </w:pPr>
            <w:r>
              <w:rPr>
                <w:sz w:val="17"/>
              </w:rPr>
              <w:t xml:space="preserve">Severe shift</w:t>
            </w:r>
          </w:p>
        </w:tc>
        <w:tc>
          <w:tcPr/>
          <w:p>
            <w:pPr>
              <w:pStyle w:val="Compact"/>
              <w:spacing w:after="20" w:before="20"/>
              <w:jc w:val="left"/>
            </w:pPr>
            <w:r>
              <w:rPr>
                <w:sz w:val="17"/>
              </w:rPr>
              <w:t xml:space="preserve">lenient</w:t>
            </w:r>
          </w:p>
        </w:tc>
        <w:tc>
          <w:tcPr/>
          <w:p>
            <w:pPr>
              <w:pStyle w:val="Compact"/>
              <w:spacing w:after="20" w:before="20"/>
              <w:jc w:val="left"/>
            </w:pPr>
            <w:r>
              <w:rPr>
                <w:sz w:val="17"/>
              </w:rPr>
              <w:t xml:space="preserve">19.1</w:t>
            </w:r>
          </w:p>
        </w:tc>
        <w:tc>
          <w:tcPr/>
          <w:p>
            <w:pPr>
              <w:pStyle w:val="Compact"/>
              <w:spacing w:after="20" w:before="20"/>
              <w:jc w:val="left"/>
            </w:pPr>
            <w:r>
              <w:rPr>
                <w:sz w:val="17"/>
              </w:rPr>
              <w:t xml:space="preserve">0.6437</w:t>
            </w:r>
          </w:p>
        </w:tc>
        <w:tc>
          <w:tcPr/>
          <w:p>
            <w:pPr>
              <w:pStyle w:val="Compact"/>
              <w:spacing w:after="20" w:before="20"/>
              <w:jc w:val="left"/>
            </w:pPr>
            <w:r>
              <w:rPr>
                <w:sz w:val="17"/>
              </w:rPr>
              <w:t xml:space="preserve">1.7</w:t>
            </w:r>
          </w:p>
        </w:tc>
        <w:tc>
          <w:tcPr/>
          <w:p>
            <w:pPr>
              <w:pStyle w:val="Compact"/>
              <w:spacing w:after="20" w:before="20"/>
              <w:jc w:val="left"/>
            </w:pPr>
            <w:r>
              <w:rPr>
                <w:sz w:val="17"/>
              </w:rPr>
              <w:t xml:space="preserve">78.5</w:t>
            </w:r>
          </w:p>
        </w:tc>
      </w:tr>
      <w:tr>
        <w:tc>
          <w:tcPr/>
          <w:p>
            <w:pPr>
              <w:pStyle w:val="Compact"/>
              <w:spacing w:after="20" w:before="20"/>
              <w:jc w:val="left"/>
            </w:pPr>
            <w:r>
              <w:rPr>
                <w:sz w:val="17"/>
              </w:rPr>
              <w:t xml:space="preserve">Severe shift</w:t>
            </w:r>
          </w:p>
        </w:tc>
        <w:tc>
          <w:tcPr/>
          <w:p>
            <w:pPr>
              <w:pStyle w:val="Compact"/>
              <w:spacing w:after="20" w:before="20"/>
              <w:jc w:val="left"/>
            </w:pPr>
            <w:r>
              <w:rPr>
                <w:sz w:val="17"/>
              </w:rPr>
              <w:t xml:space="preserve">main</w:t>
            </w:r>
          </w:p>
        </w:tc>
        <w:tc>
          <w:tcPr/>
          <w:p>
            <w:pPr>
              <w:pStyle w:val="Compact"/>
              <w:spacing w:after="20" w:before="20"/>
              <w:jc w:val="left"/>
            </w:pPr>
            <w:r>
              <w:rPr>
                <w:sz w:val="17"/>
              </w:rPr>
              <w:t xml:space="preserve">67.8</w:t>
            </w:r>
          </w:p>
        </w:tc>
        <w:tc>
          <w:tcPr/>
          <w:p>
            <w:pPr>
              <w:pStyle w:val="Compact"/>
              <w:spacing w:after="20" w:before="20"/>
              <w:jc w:val="left"/>
            </w:pPr>
            <w:r>
              <w:rPr>
                <w:sz w:val="17"/>
              </w:rPr>
              <w:t xml:space="preserve">1.0093</w:t>
            </w:r>
          </w:p>
        </w:tc>
        <w:tc>
          <w:tcPr/>
          <w:p>
            <w:pPr>
              <w:pStyle w:val="Compact"/>
              <w:spacing w:after="20" w:before="20"/>
              <w:jc w:val="left"/>
            </w:pPr>
            <w:r>
              <w:rPr>
                <w:sz w:val="17"/>
              </w:rPr>
              <w:t xml:space="preserve">48.0</w:t>
            </w:r>
          </w:p>
        </w:tc>
        <w:tc>
          <w:tcPr/>
          <w:p>
            <w:pPr>
              <w:pStyle w:val="Compact"/>
              <w:spacing w:after="20" w:before="20"/>
              <w:jc w:val="left"/>
            </w:pPr>
            <w:r>
              <w:rPr>
                <w:sz w:val="17"/>
              </w:rPr>
              <w:t xml:space="preserve">32.2</w:t>
            </w:r>
          </w:p>
        </w:tc>
      </w:tr>
      <w:tr>
        <w:tc>
          <w:tcPr/>
          <w:p>
            <w:pPr>
              <w:pStyle w:val="Compact"/>
              <w:spacing w:after="20" w:before="20"/>
              <w:jc w:val="left"/>
            </w:pPr>
            <w:r>
              <w:rPr>
                <w:sz w:val="17"/>
              </w:rPr>
              <w:t xml:space="preserve">Severe shift</w:t>
            </w:r>
          </w:p>
        </w:tc>
        <w:tc>
          <w:tcPr/>
          <w:p>
            <w:pPr>
              <w:pStyle w:val="Compact"/>
              <w:spacing w:after="20" w:before="20"/>
              <w:jc w:val="left"/>
            </w:pPr>
            <w:r>
              <w:rPr>
                <w:sz w:val="17"/>
              </w:rPr>
              <w:t xml:space="preserve">strict</w:t>
            </w:r>
          </w:p>
        </w:tc>
        <w:tc>
          <w:tcPr/>
          <w:p>
            <w:pPr>
              <w:pStyle w:val="Compact"/>
              <w:spacing w:after="20" w:before="20"/>
              <w:jc w:val="left"/>
            </w:pPr>
            <w:r>
              <w:rPr>
                <w:sz w:val="17"/>
              </w:rPr>
              <w:t xml:space="preserve">95.5</w:t>
            </w:r>
          </w:p>
        </w:tc>
        <w:tc>
          <w:tcPr/>
          <w:p>
            <w:pPr>
              <w:pStyle w:val="Compact"/>
              <w:spacing w:after="20" w:before="20"/>
              <w:jc w:val="left"/>
            </w:pPr>
            <w:r>
              <w:rPr>
                <w:sz w:val="17"/>
              </w:rPr>
              <w:t xml:space="preserve">1.2413</w:t>
            </w:r>
          </w:p>
        </w:tc>
        <w:tc>
          <w:tcPr/>
          <w:p>
            <w:pPr>
              <w:pStyle w:val="Compact"/>
              <w:spacing w:after="20" w:before="20"/>
              <w:jc w:val="left"/>
            </w:pPr>
            <w:r>
              <w:rPr>
                <w:sz w:val="17"/>
              </w:rPr>
              <w:t xml:space="preserve">75.6</w:t>
            </w:r>
          </w:p>
        </w:tc>
        <w:tc>
          <w:tcPr/>
          <w:p>
            <w:pPr>
              <w:pStyle w:val="Compact"/>
              <w:spacing w:after="20" w:before="20"/>
              <w:jc w:val="left"/>
            </w:pPr>
            <w:r>
              <w:rPr>
                <w:sz w:val="17"/>
              </w:rPr>
              <w:t xml:space="preserve">4.5</w:t>
            </w:r>
          </w:p>
        </w:tc>
      </w:tr>
      <w:tr>
        <w:tc>
          <w:tcPr/>
          <w:p>
            <w:pPr>
              <w:pStyle w:val="Compact"/>
              <w:spacing w:after="20" w:before="20"/>
              <w:jc w:val="left"/>
            </w:pPr>
            <w:r>
              <w:rPr>
                <w:sz w:val="17"/>
              </w:rPr>
              <w:t xml:space="preserve">Realistic mix</w:t>
            </w:r>
          </w:p>
        </w:tc>
        <w:tc>
          <w:tcPr/>
          <w:p>
            <w:pPr>
              <w:pStyle w:val="Compact"/>
              <w:spacing w:after="20" w:before="20"/>
              <w:jc w:val="left"/>
            </w:pPr>
            <w:r>
              <w:rPr>
                <w:sz w:val="17"/>
              </w:rPr>
              <w:t xml:space="preserve">none</w:t>
            </w:r>
          </w:p>
        </w:tc>
        <w:tc>
          <w:tcPr/>
          <w:p>
            <w:pPr>
              <w:pStyle w:val="Compact"/>
              <w:spacing w:after="20" w:before="20"/>
              <w:jc w:val="left"/>
            </w:pPr>
            <w:r>
              <w:rPr>
                <w:sz w:val="17"/>
              </w:rPr>
              <w:t xml:space="preserve">0.0</w:t>
            </w:r>
          </w:p>
        </w:tc>
        <w:tc>
          <w:tcPr/>
          <w:p>
            <w:pPr>
              <w:pStyle w:val="Compact"/>
              <w:spacing w:after="20" w:before="20"/>
              <w:jc w:val="left"/>
            </w:pPr>
            <w:r>
              <w:rPr>
                <w:sz w:val="17"/>
              </w:rPr>
              <w:t xml:space="preserve">0.4395</w:t>
            </w:r>
          </w:p>
        </w:tc>
        <w:tc>
          <w:tcPr/>
          <w:p>
            <w:pPr>
              <w:pStyle w:val="Compact"/>
              <w:spacing w:after="20" w:before="20"/>
              <w:jc w:val="left"/>
            </w:pPr>
            <w:r>
              <w:rPr>
                <w:sz w:val="17"/>
              </w:rPr>
              <w:t xml:space="preserve">0.0</w:t>
            </w:r>
          </w:p>
        </w:tc>
        <w:tc>
          <w:tcPr/>
          <w:p>
            <w:pPr>
              <w:pStyle w:val="Compact"/>
              <w:spacing w:after="20" w:before="20"/>
              <w:jc w:val="left"/>
            </w:pPr>
            <w:r>
              <w:rPr>
                <w:sz w:val="17"/>
              </w:rPr>
              <w:t xml:space="preserve">80.8</w:t>
            </w:r>
          </w:p>
        </w:tc>
      </w:tr>
      <w:tr>
        <w:tc>
          <w:tcPr/>
          <w:p>
            <w:pPr>
              <w:pStyle w:val="Compact"/>
              <w:spacing w:after="20" w:before="20"/>
              <w:jc w:val="left"/>
            </w:pPr>
            <w:r>
              <w:rPr>
                <w:sz w:val="17"/>
              </w:rPr>
              <w:t xml:space="preserve">Realistic mix</w:t>
            </w:r>
          </w:p>
        </w:tc>
        <w:tc>
          <w:tcPr/>
          <w:p>
            <w:pPr>
              <w:pStyle w:val="Compact"/>
              <w:spacing w:after="20" w:before="20"/>
              <w:jc w:val="left"/>
            </w:pPr>
            <w:r>
              <w:rPr>
                <w:sz w:val="17"/>
              </w:rPr>
              <w:t xml:space="preserve">main</w:t>
            </w:r>
          </w:p>
        </w:tc>
        <w:tc>
          <w:tcPr/>
          <w:p>
            <w:pPr>
              <w:pStyle w:val="Compact"/>
              <w:spacing w:after="20" w:before="20"/>
              <w:jc w:val="left"/>
            </w:pPr>
            <w:r>
              <w:rPr>
                <w:sz w:val="17"/>
              </w:rPr>
              <w:t xml:space="preserve">0.8</w:t>
            </w:r>
          </w:p>
        </w:tc>
        <w:tc>
          <w:tcPr/>
          <w:p>
            <w:pPr>
              <w:pStyle w:val="Compact"/>
              <w:spacing w:after="20" w:before="20"/>
              <w:jc w:val="left"/>
            </w:pPr>
            <w:r>
              <w:rPr>
                <w:sz w:val="17"/>
              </w:rPr>
              <w:t xml:space="preserve">0.4449</w:t>
            </w:r>
          </w:p>
        </w:tc>
        <w:tc>
          <w:tcPr/>
          <w:p>
            <w:pPr>
              <w:pStyle w:val="Compact"/>
              <w:spacing w:after="20" w:before="20"/>
              <w:jc w:val="left"/>
            </w:pPr>
            <w:r>
              <w:rPr>
                <w:sz w:val="17"/>
              </w:rPr>
              <w:t xml:space="preserve">0.0</w:t>
            </w:r>
          </w:p>
        </w:tc>
        <w:tc>
          <w:tcPr/>
          <w:p>
            <w:pPr>
              <w:pStyle w:val="Compact"/>
              <w:spacing w:after="20" w:before="20"/>
              <w:jc w:val="left"/>
            </w:pPr>
            <w:r>
              <w:rPr>
                <w:sz w:val="17"/>
              </w:rPr>
              <w:t xml:space="preserve">80.3</w:t>
            </w:r>
          </w:p>
        </w:tc>
      </w:tr>
      <w:tr>
        <w:tc>
          <w:tcPr/>
          <w:p>
            <w:pPr>
              <w:pStyle w:val="Compact"/>
              <w:spacing w:after="20" w:before="20"/>
              <w:jc w:val="left"/>
            </w:pPr>
            <w:r>
              <w:rPr>
                <w:sz w:val="17"/>
              </w:rPr>
              <w:t xml:space="preserve">Realistic mix</w:t>
            </w:r>
          </w:p>
        </w:tc>
        <w:tc>
          <w:tcPr/>
          <w:p>
            <w:pPr>
              <w:pStyle w:val="Compact"/>
              <w:spacing w:after="20" w:before="20"/>
              <w:jc w:val="left"/>
            </w:pPr>
            <w:r>
              <w:rPr>
                <w:sz w:val="17"/>
              </w:rPr>
              <w:t xml:space="preserve">strict</w:t>
            </w:r>
          </w:p>
        </w:tc>
        <w:tc>
          <w:tcPr/>
          <w:p>
            <w:pPr>
              <w:pStyle w:val="Compact"/>
              <w:spacing w:after="20" w:before="20"/>
              <w:jc w:val="left"/>
            </w:pPr>
            <w:r>
              <w:rPr>
                <w:sz w:val="17"/>
              </w:rPr>
              <w:t xml:space="preserve">6.4</w:t>
            </w:r>
          </w:p>
        </w:tc>
        <w:tc>
          <w:tcPr/>
          <w:p>
            <w:pPr>
              <w:pStyle w:val="Compact"/>
              <w:spacing w:after="20" w:before="20"/>
              <w:jc w:val="left"/>
            </w:pPr>
            <w:r>
              <w:rPr>
                <w:sz w:val="17"/>
              </w:rPr>
              <w:t xml:space="preserve">0.4763</w:t>
            </w:r>
          </w:p>
        </w:tc>
        <w:tc>
          <w:tcPr/>
          <w:p>
            <w:pPr>
              <w:pStyle w:val="Compact"/>
              <w:spacing w:after="20" w:before="20"/>
              <w:jc w:val="left"/>
            </w:pPr>
            <w:r>
              <w:rPr>
                <w:sz w:val="17"/>
              </w:rPr>
              <w:t xml:space="preserve">0.0</w:t>
            </w:r>
          </w:p>
        </w:tc>
        <w:tc>
          <w:tcPr/>
          <w:p>
            <w:pPr>
              <w:pStyle w:val="Compact"/>
              <w:spacing w:after="20" w:before="20"/>
              <w:jc w:val="left"/>
            </w:pPr>
            <w:r>
              <w:rPr>
                <w:sz w:val="17"/>
              </w:rPr>
              <w:t xml:space="preserve">74.7</w:t>
            </w:r>
          </w:p>
        </w:tc>
      </w:tr>
    </w:tbl>
    <w:bookmarkEnd w:id="58"/>
    <w:bookmarkStart w:id="59" w:name="cost-settings-with-re-optimisation"/>
    <w:p>
      <w:pPr>
        <w:pStyle w:val="Heading2"/>
      </w:pPr>
      <w:r>
        <w:t xml:space="preserve">5.8. Cost settings with re-optimisation</w:t>
      </w:r>
    </w:p>
    <w:p>
      <w:pPr>
        <w:pStyle w:val="FirstParagraph"/>
      </w:pPr>
      <w:r>
        <w:t xml:space="preserve">In contrast to the earlier draft’s fixed-route sensitivity, here every cost change refits the decision threshold, the loss heads and the L2D surrogates (Table 12). The ranking was stable. Confidence had the lowest cost in all seven settings, Chow was second, and the proposed router was third, 0.4–1.2% above Chow. It remained ahead of the probability-only router, the single-head router and both L2D surrogates in every setting. Changing the hold penalty from 0.5 to 3.0 raised the proposed router’s cost by 0.3998, equal to 2.5 × its 16.0% hold rate, with identical review and hold rates. This confirms empirically the invariance in Proposition 1: under the service-first constraint, the hold penalty changes the price of overload but not the routes.</w:t>
      </w:r>
    </w:p>
    <w:p>
      <w:pPr>
        <w:pStyle w:val="TableCaption"/>
      </w:pPr>
      <w:r>
        <w:t xml:space="preserve">Table 12. Expected cost after re-optimising all methods for each cost setting (German, Australian and default; mixed, shift and realistic conditions; two reviewers; 10 splits; 20% capacity). Small datasets dominate this average; see Table 7 for the dataset-size dependence.</w:t>
      </w:r>
    </w:p>
    <w:tbl>
      <w:tblPr>
        <w:tblStyle w:val="Table"/>
        <w:tblW w:type="pct" w:w="5000"/>
        <w:tblLook w:firstRow="1" w:lastRow="0" w:firstColumn="0" w:lastColumn="0" w:noHBand="0" w:noVBand="0" w:val="0020"/>
        <w:jc w:val="start"/>
        <w:tblCaption w:val="Table 12. Expected cost after re-optimising all methods for each cost setting (German, Australian and default; mixed, shift and realistic conditions; two reviewers; 10 splits; 20% capacity). Small datasets dominate this average; see Table 7 for the dataset-size dependence."/>
        <w:tblBorders>
          <w:top w:val="single" w:sz="8" w:color="000000"/>
          <w:bottom w:val="single" w:sz="8" w:color="000000"/>
          <w:insideH w:val="nil" w:sz="8" w:color="000000"/>
          <w:insideV w:val="nil" w:sz="8" w:color="000000"/>
          <w:left w:val="nil" w:sz="8" w:color="000000"/>
          <w:right w:val="nil" w:sz="8" w:color="000000"/>
        </w:tblBorders>
      </w:tblPr>
      <w:tblGrid>
        <w:gridCol w:w="990"/>
        <w:gridCol w:w="990"/>
        <w:gridCol w:w="990"/>
        <w:gridCol w:w="990"/>
        <w:gridCol w:w="990"/>
        <w:gridCol w:w="990"/>
        <w:gridCol w:w="990"/>
        <w:gridCol w:w="990"/>
      </w:tblGrid>
      <w:tr>
        <w:trPr>
          <w:tblHeader w:val="true"/>
        </w:trPr>
        <w:tc>
          <w:tcPr>
            <w:tcBorders>
              <w:bottom w:val="single" w:sz="6"/>
            </w:tcBorders>
          </w:tcPr>
          <w:p>
            <w:pPr>
              <w:pStyle w:val="Compact"/>
              <w:spacing w:after="20" w:before="20"/>
              <w:jc w:val="left"/>
            </w:pPr>
            <w:r>
              <w:rPr>
                <w:b/>
                <w:sz w:val="17"/>
              </w:rPr>
              <w:t xml:space="preserve">Setting</w:t>
            </w:r>
          </w:p>
        </w:tc>
        <w:tc>
          <w:tcPr>
            <w:tcBorders>
              <w:bottom w:val="single" w:sz="6"/>
            </w:tcBorders>
          </w:tcPr>
          <w:p>
            <w:pPr>
              <w:pStyle w:val="Compact"/>
              <w:spacing w:after="20" w:before="20"/>
              <w:jc w:val="left"/>
            </w:pPr>
            <w:r>
              <w:rPr>
                <w:b/>
                <w:sz w:val="17"/>
              </w:rPr>
              <w:t xml:space="preserve">Chow</w:t>
            </w:r>
          </w:p>
        </w:tc>
        <w:tc>
          <w:tcPr>
            <w:tcBorders>
              <w:bottom w:val="single" w:sz="6"/>
            </w:tcBorders>
          </w:tcPr>
          <w:p>
            <w:pPr>
              <w:pStyle w:val="Compact"/>
              <w:spacing w:after="20" w:before="20"/>
              <w:jc w:val="left"/>
            </w:pPr>
            <w:r>
              <w:rPr>
                <w:b/>
                <w:sz w:val="17"/>
              </w:rPr>
              <w:t xml:space="preserve">Confidence</w:t>
            </w:r>
          </w:p>
        </w:tc>
        <w:tc>
          <w:tcPr>
            <w:tcBorders>
              <w:bottom w:val="single" w:sz="6"/>
            </w:tcBorders>
          </w:tcPr>
          <w:p>
            <w:pPr>
              <w:pStyle w:val="Compact"/>
              <w:spacing w:after="20" w:before="20"/>
              <w:jc w:val="left"/>
            </w:pPr>
            <w:r>
              <w:rPr>
                <w:b/>
                <w:sz w:val="17"/>
              </w:rPr>
              <w:t xml:space="preserve">Proposed</w:t>
            </w:r>
          </w:p>
        </w:tc>
        <w:tc>
          <w:tcPr>
            <w:tcBorders>
              <w:bottom w:val="single" w:sz="6"/>
            </w:tcBorders>
          </w:tcPr>
          <w:p>
            <w:pPr>
              <w:pStyle w:val="Compact"/>
              <w:spacing w:after="20" w:before="20"/>
              <w:jc w:val="left"/>
            </w:pPr>
            <w:r>
              <w:rPr>
                <w:b/>
                <w:sz w:val="17"/>
              </w:rPr>
              <w:t xml:space="preserve">Two-head prob.</w:t>
            </w:r>
          </w:p>
        </w:tc>
        <w:tc>
          <w:tcPr>
            <w:tcBorders>
              <w:bottom w:val="single" w:sz="6"/>
            </w:tcBorders>
          </w:tcPr>
          <w:p>
            <w:pPr>
              <w:pStyle w:val="Compact"/>
              <w:spacing w:after="20" w:before="20"/>
              <w:jc w:val="left"/>
            </w:pPr>
            <w:r>
              <w:rPr>
                <w:b/>
                <w:sz w:val="17"/>
              </w:rPr>
              <w:t xml:space="preserve">Single-head</w:t>
            </w:r>
          </w:p>
        </w:tc>
        <w:tc>
          <w:tcPr>
            <w:tcBorders>
              <w:bottom w:val="single" w:sz="6"/>
            </w:tcBorders>
          </w:tcPr>
          <w:p>
            <w:pPr>
              <w:pStyle w:val="Compact"/>
              <w:spacing w:after="20" w:before="20"/>
              <w:jc w:val="left"/>
            </w:pPr>
            <w:r>
              <w:rPr>
                <w:b/>
                <w:sz w:val="17"/>
              </w:rPr>
              <w:t xml:space="preserve">L2D-CE</w:t>
            </w:r>
          </w:p>
        </w:tc>
        <w:tc>
          <w:tcPr>
            <w:tcBorders>
              <w:bottom w:val="single" w:sz="6"/>
            </w:tcBorders>
          </w:tcPr>
          <w:p>
            <w:pPr>
              <w:pStyle w:val="Compact"/>
              <w:spacing w:after="20" w:before="20"/>
              <w:jc w:val="left"/>
            </w:pPr>
            <w:r>
              <w:rPr>
                <w:b/>
                <w:sz w:val="17"/>
              </w:rPr>
              <w:t xml:space="preserve">L2D-OvA</w:t>
            </w:r>
          </w:p>
        </w:tc>
      </w:tr>
      <w:tr>
        <w:tc>
          <w:tcPr/>
          <w:p>
            <w:pPr>
              <w:pStyle w:val="Compact"/>
              <w:spacing w:after="20" w:before="20"/>
              <w:jc w:val="left"/>
            </w:pPr>
            <w:r>
              <w:rPr>
                <w:sz w:val="17"/>
              </w:rPr>
              <w:t xml:space="preserve">FN:FP = 2:1</w:t>
            </w:r>
          </w:p>
        </w:tc>
        <w:tc>
          <w:tcPr/>
          <w:p>
            <w:pPr>
              <w:pStyle w:val="Compact"/>
              <w:spacing w:after="20" w:before="20"/>
              <w:jc w:val="left"/>
            </w:pPr>
            <w:r>
              <w:rPr>
                <w:sz w:val="17"/>
              </w:rPr>
              <w:t xml:space="preserve">0.4877</w:t>
            </w:r>
          </w:p>
        </w:tc>
        <w:tc>
          <w:tcPr/>
          <w:p>
            <w:pPr>
              <w:pStyle w:val="Compact"/>
              <w:spacing w:after="20" w:before="20"/>
              <w:jc w:val="left"/>
            </w:pPr>
            <w:r>
              <w:rPr>
                <w:bCs/>
                <w:b/>
                <w:sz w:val="17"/>
              </w:rPr>
              <w:t xml:space="preserve">0.4874</w:t>
            </w:r>
          </w:p>
        </w:tc>
        <w:tc>
          <w:tcPr/>
          <w:p>
            <w:pPr>
              <w:pStyle w:val="Compact"/>
              <w:spacing w:after="20" w:before="20"/>
              <w:jc w:val="left"/>
            </w:pPr>
            <w:r>
              <w:rPr>
                <w:sz w:val="17"/>
              </w:rPr>
              <w:t xml:space="preserve">0.4925</w:t>
            </w:r>
          </w:p>
        </w:tc>
        <w:tc>
          <w:tcPr/>
          <w:p>
            <w:pPr>
              <w:pStyle w:val="Compact"/>
              <w:spacing w:after="20" w:before="20"/>
              <w:jc w:val="left"/>
            </w:pPr>
            <w:r>
              <w:rPr>
                <w:sz w:val="17"/>
              </w:rPr>
              <w:t xml:space="preserve">0.4946</w:t>
            </w:r>
          </w:p>
        </w:tc>
        <w:tc>
          <w:tcPr/>
          <w:p>
            <w:pPr>
              <w:pStyle w:val="Compact"/>
              <w:spacing w:after="20" w:before="20"/>
              <w:jc w:val="left"/>
            </w:pPr>
            <w:r>
              <w:rPr>
                <w:sz w:val="17"/>
              </w:rPr>
              <w:t xml:space="preserve">0.4945</w:t>
            </w:r>
          </w:p>
        </w:tc>
        <w:tc>
          <w:tcPr/>
          <w:p>
            <w:pPr>
              <w:pStyle w:val="Compact"/>
              <w:spacing w:after="20" w:before="20"/>
              <w:jc w:val="left"/>
            </w:pPr>
            <w:r>
              <w:rPr>
                <w:sz w:val="17"/>
              </w:rPr>
              <w:t xml:space="preserve">0.5025</w:t>
            </w:r>
          </w:p>
        </w:tc>
        <w:tc>
          <w:tcPr/>
          <w:p>
            <w:pPr>
              <w:pStyle w:val="Compact"/>
              <w:spacing w:after="20" w:before="20"/>
              <w:jc w:val="left"/>
            </w:pPr>
            <w:r>
              <w:rPr>
                <w:sz w:val="17"/>
              </w:rPr>
              <w:t xml:space="preserve">0.5008</w:t>
            </w:r>
          </w:p>
        </w:tc>
      </w:tr>
      <w:tr>
        <w:tc>
          <w:tcPr/>
          <w:p>
            <w:pPr>
              <w:pStyle w:val="Compact"/>
              <w:spacing w:after="20" w:before="20"/>
              <w:jc w:val="left"/>
            </w:pPr>
            <w:r>
              <w:rPr>
                <w:sz w:val="17"/>
              </w:rPr>
              <w:t xml:space="preserve">FN:FP = 5:1 (main)</w:t>
            </w:r>
          </w:p>
        </w:tc>
        <w:tc>
          <w:tcPr/>
          <w:p>
            <w:pPr>
              <w:pStyle w:val="Compact"/>
              <w:spacing w:after="20" w:before="20"/>
              <w:jc w:val="left"/>
            </w:pPr>
            <w:r>
              <w:rPr>
                <w:sz w:val="17"/>
              </w:rPr>
              <w:t xml:space="preserve">0.6320</w:t>
            </w:r>
          </w:p>
        </w:tc>
        <w:tc>
          <w:tcPr/>
          <w:p>
            <w:pPr>
              <w:pStyle w:val="Compact"/>
              <w:spacing w:after="20" w:before="20"/>
              <w:jc w:val="left"/>
            </w:pPr>
            <w:r>
              <w:rPr>
                <w:bCs/>
                <w:b/>
                <w:sz w:val="17"/>
              </w:rPr>
              <w:t xml:space="preserve">0.6314</w:t>
            </w:r>
          </w:p>
        </w:tc>
        <w:tc>
          <w:tcPr/>
          <w:p>
            <w:pPr>
              <w:pStyle w:val="Compact"/>
              <w:spacing w:after="20" w:before="20"/>
              <w:jc w:val="left"/>
            </w:pPr>
            <w:r>
              <w:rPr>
                <w:sz w:val="17"/>
              </w:rPr>
              <w:t xml:space="preserve">0.6358</w:t>
            </w:r>
          </w:p>
        </w:tc>
        <w:tc>
          <w:tcPr/>
          <w:p>
            <w:pPr>
              <w:pStyle w:val="Compact"/>
              <w:spacing w:after="20" w:before="20"/>
              <w:jc w:val="left"/>
            </w:pPr>
            <w:r>
              <w:rPr>
                <w:sz w:val="17"/>
              </w:rPr>
              <w:t xml:space="preserve">0.6406</w:t>
            </w:r>
          </w:p>
        </w:tc>
        <w:tc>
          <w:tcPr/>
          <w:p>
            <w:pPr>
              <w:pStyle w:val="Compact"/>
              <w:spacing w:after="20" w:before="20"/>
              <w:jc w:val="left"/>
            </w:pPr>
            <w:r>
              <w:rPr>
                <w:sz w:val="17"/>
              </w:rPr>
              <w:t xml:space="preserve">0.6384</w:t>
            </w:r>
          </w:p>
        </w:tc>
        <w:tc>
          <w:tcPr/>
          <w:p>
            <w:pPr>
              <w:pStyle w:val="Compact"/>
              <w:spacing w:after="20" w:before="20"/>
              <w:jc w:val="left"/>
            </w:pPr>
            <w:r>
              <w:rPr>
                <w:sz w:val="17"/>
              </w:rPr>
              <w:t xml:space="preserve">0.6476</w:t>
            </w:r>
          </w:p>
        </w:tc>
        <w:tc>
          <w:tcPr/>
          <w:p>
            <w:pPr>
              <w:pStyle w:val="Compact"/>
              <w:spacing w:after="20" w:before="20"/>
              <w:jc w:val="left"/>
            </w:pPr>
            <w:r>
              <w:rPr>
                <w:sz w:val="17"/>
              </w:rPr>
              <w:t xml:space="preserve">0.6444</w:t>
            </w:r>
          </w:p>
        </w:tc>
      </w:tr>
      <w:tr>
        <w:tc>
          <w:tcPr/>
          <w:p>
            <w:pPr>
              <w:pStyle w:val="Compact"/>
              <w:spacing w:after="20" w:before="20"/>
              <w:jc w:val="left"/>
            </w:pPr>
            <w:r>
              <w:rPr>
                <w:sz w:val="17"/>
              </w:rPr>
              <w:t xml:space="preserve">FN:FP = 10:1</w:t>
            </w:r>
          </w:p>
        </w:tc>
        <w:tc>
          <w:tcPr/>
          <w:p>
            <w:pPr>
              <w:pStyle w:val="Compact"/>
              <w:spacing w:after="20" w:before="20"/>
              <w:jc w:val="left"/>
            </w:pPr>
            <w:r>
              <w:rPr>
                <w:sz w:val="17"/>
              </w:rPr>
              <w:t xml:space="preserve">0.7216</w:t>
            </w:r>
          </w:p>
        </w:tc>
        <w:tc>
          <w:tcPr/>
          <w:p>
            <w:pPr>
              <w:pStyle w:val="Compact"/>
              <w:spacing w:after="20" w:before="20"/>
              <w:jc w:val="left"/>
            </w:pPr>
            <w:r>
              <w:rPr>
                <w:bCs/>
                <w:b/>
                <w:sz w:val="17"/>
              </w:rPr>
              <w:t xml:space="preserve">0.7157</w:t>
            </w:r>
          </w:p>
        </w:tc>
        <w:tc>
          <w:tcPr/>
          <w:p>
            <w:pPr>
              <w:pStyle w:val="Compact"/>
              <w:spacing w:after="20" w:before="20"/>
              <w:jc w:val="left"/>
            </w:pPr>
            <w:r>
              <w:rPr>
                <w:sz w:val="17"/>
              </w:rPr>
              <w:t xml:space="preserve">0.7302</w:t>
            </w:r>
          </w:p>
        </w:tc>
        <w:tc>
          <w:tcPr/>
          <w:p>
            <w:pPr>
              <w:pStyle w:val="Compact"/>
              <w:spacing w:after="20" w:before="20"/>
              <w:jc w:val="left"/>
            </w:pPr>
            <w:r>
              <w:rPr>
                <w:sz w:val="17"/>
              </w:rPr>
              <w:t xml:space="preserve">0.7323</w:t>
            </w:r>
          </w:p>
        </w:tc>
        <w:tc>
          <w:tcPr/>
          <w:p>
            <w:pPr>
              <w:pStyle w:val="Compact"/>
              <w:spacing w:after="20" w:before="20"/>
              <w:jc w:val="left"/>
            </w:pPr>
            <w:r>
              <w:rPr>
                <w:sz w:val="17"/>
              </w:rPr>
              <w:t xml:space="preserve">0.7339</w:t>
            </w:r>
          </w:p>
        </w:tc>
        <w:tc>
          <w:tcPr/>
          <w:p>
            <w:pPr>
              <w:pStyle w:val="Compact"/>
              <w:spacing w:after="20" w:before="20"/>
              <w:jc w:val="left"/>
            </w:pPr>
            <w:r>
              <w:rPr>
                <w:sz w:val="17"/>
              </w:rPr>
              <w:t xml:space="preserve">0.7446</w:t>
            </w:r>
          </w:p>
        </w:tc>
        <w:tc>
          <w:tcPr/>
          <w:p>
            <w:pPr>
              <w:pStyle w:val="Compact"/>
              <w:spacing w:after="20" w:before="20"/>
              <w:jc w:val="left"/>
            </w:pPr>
            <w:r>
              <w:rPr>
                <w:sz w:val="17"/>
              </w:rPr>
              <w:t xml:space="preserve">0.7359</w:t>
            </w:r>
          </w:p>
        </w:tc>
      </w:tr>
      <w:tr>
        <w:tc>
          <w:tcPr/>
          <w:p>
            <w:pPr>
              <w:pStyle w:val="Compact"/>
              <w:spacing w:after="20" w:before="20"/>
              <w:jc w:val="left"/>
            </w:pPr>
            <w:r>
              <w:rPr>
                <w:sz w:val="17"/>
              </w:rPr>
              <w:t xml:space="preserve">Review fee 0</w:t>
            </w:r>
          </w:p>
        </w:tc>
        <w:tc>
          <w:tcPr/>
          <w:p>
            <w:pPr>
              <w:pStyle w:val="Compact"/>
              <w:spacing w:after="20" w:before="20"/>
              <w:jc w:val="left"/>
            </w:pPr>
            <w:r>
              <w:rPr>
                <w:sz w:val="17"/>
              </w:rPr>
              <w:t xml:space="preserve">0.6221</w:t>
            </w:r>
          </w:p>
        </w:tc>
        <w:tc>
          <w:tcPr/>
          <w:p>
            <w:pPr>
              <w:pStyle w:val="Compact"/>
              <w:spacing w:after="20" w:before="20"/>
              <w:jc w:val="left"/>
            </w:pPr>
            <w:r>
              <w:rPr>
                <w:bCs/>
                <w:b/>
                <w:sz w:val="17"/>
              </w:rPr>
              <w:t xml:space="preserve">0.6215</w:t>
            </w:r>
          </w:p>
        </w:tc>
        <w:tc>
          <w:tcPr/>
          <w:p>
            <w:pPr>
              <w:pStyle w:val="Compact"/>
              <w:spacing w:after="20" w:before="20"/>
              <w:jc w:val="left"/>
            </w:pPr>
            <w:r>
              <w:rPr>
                <w:sz w:val="17"/>
              </w:rPr>
              <w:t xml:space="preserve">0.6259</w:t>
            </w:r>
          </w:p>
        </w:tc>
        <w:tc>
          <w:tcPr/>
          <w:p>
            <w:pPr>
              <w:pStyle w:val="Compact"/>
              <w:spacing w:after="20" w:before="20"/>
              <w:jc w:val="left"/>
            </w:pPr>
            <w:r>
              <w:rPr>
                <w:sz w:val="17"/>
              </w:rPr>
              <w:t xml:space="preserve">0.6307</w:t>
            </w:r>
          </w:p>
        </w:tc>
        <w:tc>
          <w:tcPr/>
          <w:p>
            <w:pPr>
              <w:pStyle w:val="Compact"/>
              <w:spacing w:after="20" w:before="20"/>
              <w:jc w:val="left"/>
            </w:pPr>
            <w:r>
              <w:rPr>
                <w:sz w:val="17"/>
              </w:rPr>
              <w:t xml:space="preserve">0.6285</w:t>
            </w:r>
          </w:p>
        </w:tc>
        <w:tc>
          <w:tcPr/>
          <w:p>
            <w:pPr>
              <w:pStyle w:val="Compact"/>
              <w:spacing w:after="20" w:before="20"/>
              <w:jc w:val="left"/>
            </w:pPr>
            <w:r>
              <w:rPr>
                <w:sz w:val="17"/>
              </w:rPr>
              <w:t xml:space="preserve">0.6380</w:t>
            </w:r>
          </w:p>
        </w:tc>
        <w:tc>
          <w:tcPr/>
          <w:p>
            <w:pPr>
              <w:pStyle w:val="Compact"/>
              <w:spacing w:after="20" w:before="20"/>
              <w:jc w:val="left"/>
            </w:pPr>
            <w:r>
              <w:rPr>
                <w:sz w:val="17"/>
              </w:rPr>
              <w:t xml:space="preserve">0.6345</w:t>
            </w:r>
          </w:p>
        </w:tc>
      </w:tr>
      <w:tr>
        <w:tc>
          <w:tcPr/>
          <w:p>
            <w:pPr>
              <w:pStyle w:val="Compact"/>
              <w:spacing w:after="20" w:before="20"/>
              <w:jc w:val="left"/>
            </w:pPr>
            <w:r>
              <w:rPr>
                <w:sz w:val="17"/>
              </w:rPr>
              <w:t xml:space="preserve">Review fee 0.20</w:t>
            </w:r>
          </w:p>
        </w:tc>
        <w:tc>
          <w:tcPr/>
          <w:p>
            <w:pPr>
              <w:pStyle w:val="Compact"/>
              <w:spacing w:after="20" w:before="20"/>
              <w:jc w:val="left"/>
            </w:pPr>
            <w:r>
              <w:rPr>
                <w:sz w:val="17"/>
              </w:rPr>
              <w:t xml:space="preserve">0.6618</w:t>
            </w:r>
          </w:p>
        </w:tc>
        <w:tc>
          <w:tcPr/>
          <w:p>
            <w:pPr>
              <w:pStyle w:val="Compact"/>
              <w:spacing w:after="20" w:before="20"/>
              <w:jc w:val="left"/>
            </w:pPr>
            <w:r>
              <w:rPr>
                <w:bCs/>
                <w:b/>
                <w:sz w:val="17"/>
              </w:rPr>
              <w:t xml:space="preserve">0.6612</w:t>
            </w:r>
          </w:p>
        </w:tc>
        <w:tc>
          <w:tcPr/>
          <w:p>
            <w:pPr>
              <w:pStyle w:val="Compact"/>
              <w:spacing w:after="20" w:before="20"/>
              <w:jc w:val="left"/>
            </w:pPr>
            <w:r>
              <w:rPr>
                <w:sz w:val="17"/>
              </w:rPr>
              <w:t xml:space="preserve">0.6655</w:t>
            </w:r>
          </w:p>
        </w:tc>
        <w:tc>
          <w:tcPr/>
          <w:p>
            <w:pPr>
              <w:pStyle w:val="Compact"/>
              <w:spacing w:after="20" w:before="20"/>
              <w:jc w:val="left"/>
            </w:pPr>
            <w:r>
              <w:rPr>
                <w:sz w:val="17"/>
              </w:rPr>
              <w:t xml:space="preserve">0.6703</w:t>
            </w:r>
          </w:p>
        </w:tc>
        <w:tc>
          <w:tcPr/>
          <w:p>
            <w:pPr>
              <w:pStyle w:val="Compact"/>
              <w:spacing w:after="20" w:before="20"/>
              <w:jc w:val="left"/>
            </w:pPr>
            <w:r>
              <w:rPr>
                <w:sz w:val="17"/>
              </w:rPr>
              <w:t xml:space="preserve">0.6681</w:t>
            </w:r>
          </w:p>
        </w:tc>
        <w:tc>
          <w:tcPr/>
          <w:p>
            <w:pPr>
              <w:pStyle w:val="Compact"/>
              <w:spacing w:after="20" w:before="20"/>
              <w:jc w:val="left"/>
            </w:pPr>
            <w:r>
              <w:rPr>
                <w:sz w:val="17"/>
              </w:rPr>
              <w:t xml:space="preserve">0.6788</w:t>
            </w:r>
          </w:p>
        </w:tc>
        <w:tc>
          <w:tcPr/>
          <w:p>
            <w:pPr>
              <w:pStyle w:val="Compact"/>
              <w:spacing w:after="20" w:before="20"/>
              <w:jc w:val="left"/>
            </w:pPr>
            <w:r>
              <w:rPr>
                <w:sz w:val="17"/>
              </w:rPr>
              <w:t xml:space="preserve">0.6741</w:t>
            </w:r>
          </w:p>
        </w:tc>
      </w:tr>
      <w:tr>
        <w:tc>
          <w:tcPr/>
          <w:p>
            <w:pPr>
              <w:pStyle w:val="Compact"/>
              <w:spacing w:after="20" w:before="20"/>
              <w:jc w:val="left"/>
            </w:pPr>
            <w:r>
              <w:rPr>
                <w:sz w:val="17"/>
              </w:rPr>
              <w:t xml:space="preserve">Hold penalty 0.5</w:t>
            </w:r>
          </w:p>
        </w:tc>
        <w:tc>
          <w:tcPr/>
          <w:p>
            <w:pPr>
              <w:pStyle w:val="Compact"/>
              <w:spacing w:after="20" w:before="20"/>
              <w:jc w:val="left"/>
            </w:pPr>
            <w:r>
              <w:rPr>
                <w:sz w:val="17"/>
              </w:rPr>
              <w:t xml:space="preserve">0.4721</w:t>
            </w:r>
          </w:p>
        </w:tc>
        <w:tc>
          <w:tcPr/>
          <w:p>
            <w:pPr>
              <w:pStyle w:val="Compact"/>
              <w:spacing w:after="20" w:before="20"/>
              <w:jc w:val="left"/>
            </w:pPr>
            <w:r>
              <w:rPr>
                <w:bCs/>
                <w:b/>
                <w:sz w:val="17"/>
              </w:rPr>
              <w:t xml:space="preserve">0.4715</w:t>
            </w:r>
          </w:p>
        </w:tc>
        <w:tc>
          <w:tcPr/>
          <w:p>
            <w:pPr>
              <w:pStyle w:val="Compact"/>
              <w:spacing w:after="20" w:before="20"/>
              <w:jc w:val="left"/>
            </w:pPr>
            <w:r>
              <w:rPr>
                <w:sz w:val="17"/>
              </w:rPr>
              <w:t xml:space="preserve">0.4759</w:t>
            </w:r>
          </w:p>
        </w:tc>
        <w:tc>
          <w:tcPr/>
          <w:p>
            <w:pPr>
              <w:pStyle w:val="Compact"/>
              <w:spacing w:after="20" w:before="20"/>
              <w:jc w:val="left"/>
            </w:pPr>
            <w:r>
              <w:rPr>
                <w:sz w:val="17"/>
              </w:rPr>
              <w:t xml:space="preserve">0.4806</w:t>
            </w:r>
          </w:p>
        </w:tc>
        <w:tc>
          <w:tcPr/>
          <w:p>
            <w:pPr>
              <w:pStyle w:val="Compact"/>
              <w:spacing w:after="20" w:before="20"/>
              <w:jc w:val="left"/>
            </w:pPr>
            <w:r>
              <w:rPr>
                <w:sz w:val="17"/>
              </w:rPr>
              <w:t xml:space="preserve">0.4785</w:t>
            </w:r>
          </w:p>
        </w:tc>
        <w:tc>
          <w:tcPr/>
          <w:p>
            <w:pPr>
              <w:pStyle w:val="Compact"/>
              <w:spacing w:after="20" w:before="20"/>
              <w:jc w:val="left"/>
            </w:pPr>
            <w:r>
              <w:rPr>
                <w:sz w:val="17"/>
              </w:rPr>
              <w:t xml:space="preserve">0.4877</w:t>
            </w:r>
          </w:p>
        </w:tc>
        <w:tc>
          <w:tcPr/>
          <w:p>
            <w:pPr>
              <w:pStyle w:val="Compact"/>
              <w:spacing w:after="20" w:before="20"/>
              <w:jc w:val="left"/>
            </w:pPr>
            <w:r>
              <w:rPr>
                <w:sz w:val="17"/>
              </w:rPr>
              <w:t xml:space="preserve">0.4844</w:t>
            </w:r>
          </w:p>
        </w:tc>
      </w:tr>
      <w:tr>
        <w:tc>
          <w:tcPr/>
          <w:p>
            <w:pPr>
              <w:pStyle w:val="Compact"/>
              <w:spacing w:after="20" w:before="20"/>
              <w:jc w:val="left"/>
            </w:pPr>
            <w:r>
              <w:rPr>
                <w:sz w:val="17"/>
              </w:rPr>
              <w:t xml:space="preserve">Hold penalty 3.0</w:t>
            </w:r>
          </w:p>
        </w:tc>
        <w:tc>
          <w:tcPr/>
          <w:p>
            <w:pPr>
              <w:pStyle w:val="Compact"/>
              <w:spacing w:after="20" w:before="20"/>
              <w:jc w:val="left"/>
            </w:pPr>
            <w:r>
              <w:rPr>
                <w:sz w:val="17"/>
              </w:rPr>
              <w:t xml:space="preserve">0.8720</w:t>
            </w:r>
          </w:p>
        </w:tc>
        <w:tc>
          <w:tcPr/>
          <w:p>
            <w:pPr>
              <w:pStyle w:val="Compact"/>
              <w:spacing w:after="20" w:before="20"/>
              <w:jc w:val="left"/>
            </w:pPr>
            <w:r>
              <w:rPr>
                <w:bCs/>
                <w:b/>
                <w:sz w:val="17"/>
              </w:rPr>
              <w:t xml:space="preserve">0.8714</w:t>
            </w:r>
          </w:p>
        </w:tc>
        <w:tc>
          <w:tcPr/>
          <w:p>
            <w:pPr>
              <w:pStyle w:val="Compact"/>
              <w:spacing w:after="20" w:before="20"/>
              <w:jc w:val="left"/>
            </w:pPr>
            <w:r>
              <w:rPr>
                <w:sz w:val="17"/>
              </w:rPr>
              <w:t xml:space="preserve">0.8757</w:t>
            </w:r>
          </w:p>
        </w:tc>
        <w:tc>
          <w:tcPr/>
          <w:p>
            <w:pPr>
              <w:pStyle w:val="Compact"/>
              <w:spacing w:after="20" w:before="20"/>
              <w:jc w:val="left"/>
            </w:pPr>
            <w:r>
              <w:rPr>
                <w:sz w:val="17"/>
              </w:rPr>
              <w:t xml:space="preserve">0.8805</w:t>
            </w:r>
          </w:p>
        </w:tc>
        <w:tc>
          <w:tcPr/>
          <w:p>
            <w:pPr>
              <w:pStyle w:val="Compact"/>
              <w:spacing w:after="20" w:before="20"/>
              <w:jc w:val="left"/>
            </w:pPr>
            <w:r>
              <w:rPr>
                <w:sz w:val="17"/>
              </w:rPr>
              <w:t xml:space="preserve">0.8783</w:t>
            </w:r>
          </w:p>
        </w:tc>
        <w:tc>
          <w:tcPr/>
          <w:p>
            <w:pPr>
              <w:pStyle w:val="Compact"/>
              <w:spacing w:after="20" w:before="20"/>
              <w:jc w:val="left"/>
            </w:pPr>
            <w:r>
              <w:rPr>
                <w:sz w:val="17"/>
              </w:rPr>
              <w:t xml:space="preserve">0.8875</w:t>
            </w:r>
          </w:p>
        </w:tc>
        <w:tc>
          <w:tcPr/>
          <w:p>
            <w:pPr>
              <w:pStyle w:val="Compact"/>
              <w:spacing w:after="20" w:before="20"/>
              <w:jc w:val="left"/>
            </w:pPr>
            <w:r>
              <w:rPr>
                <w:sz w:val="17"/>
              </w:rPr>
              <w:t xml:space="preserve">0.8843</w:t>
            </w:r>
          </w:p>
        </w:tc>
      </w:tr>
    </w:tbl>
    <w:bookmarkEnd w:id="59"/>
    <w:bookmarkStart w:id="63" w:name="X55dd63c8c4b0b6a329524320a4539c66b08a4e5"/>
    <w:p>
      <w:pPr>
        <w:pStyle w:val="Heading2"/>
      </w:pPr>
      <w:r>
        <w:t xml:space="preserve">5.9. Managerial outcomes in a multi-period system</w:t>
      </w:r>
    </w:p>
    <w:p>
      <w:pPr>
        <w:pStyle w:val="FirstParagraph"/>
      </w:pPr>
      <w:r>
        <w:t xml:space="preserve">Table 13 and Fig. 5 report the 40-day simulation (four datasets, two reviewers, ten seeds). Mandatory demand averaged 5.5% of arrivals in mixed periods and 70.0% during the ten-day severe-shift episode. As Proposition 2 predicts, the three prioritisation rules produced identical backlogs, completion rates and capacity utilisation at every staffing level, and cost per arrival differed by at most 0.005. The fluid approximation predicted the peak backlog closely: 500, 300 and 200 records at 20%, 40% and 50% capacity, against simulated means of 499.8, 299.7 and 199.7 (Fig. 5a). At 20% capacity, 5.2% of all arrivals were still unresolved at day 40, and cost per arrival was 1.16 against 0.39 at 70% capacity. Capacity, not routing, dominated cost during the deterioration episode.</w:t>
      </w:r>
    </w:p>
    <w:p>
      <w:pPr>
        <w:pStyle w:val="BodyText"/>
      </w:pPr>
      <w:r>
        <w:t xml:space="preserve">Prioritisation changed</w:t>
      </w:r>
      <w:r>
        <w:t xml:space="preserve"> </w:t>
      </w:r>
      <w:r>
        <w:rPr>
          <w:iCs/>
          <w:i/>
        </w:rPr>
        <w:t xml:space="preserve">who</w:t>
      </w:r>
      <w:r>
        <w:t xml:space="preserve"> </w:t>
      </w:r>
      <w:r>
        <w:t xml:space="preserve">waited. FIFO ordering cut the 95th-percentile wait at 40% capacity from 13.8 days (cost-exact ordering) to 7.1 days and the maximum wait from 18.4 to 8.0 days. But it reduced the share of mandatory cases resolved within two days from 65.3% to 41.1%, because FIFO serves old cases first and newly flagged cases wait. The cost-exact and gain orderings behaved almost identically, again because estimated reviewer losses vary little among mandatory records. Reviewers overturned the automated decision in 44–49% of reviewed cases. With a 5:1 cost ratio, the automated decision deliberately labels many uncertain records as positive, so a high override rate is expected and is not by itself evidence of a poor model.</w:t>
      </w:r>
    </w:p>
    <w:p>
      <w:pPr>
        <w:pStyle w:val="TableCaption"/>
      </w:pPr>
      <w:r>
        <w:t xml:space="preserve">Table 13. Multi-period managerial outcomes (40 days, 100 arrivals per day, severe-shift episode on days 11–20; four datasets, two reviewers, ten seeds). The gain ordering of the earlier draft is omitted; it differs from the cost-exact rule by at most 0.5 days in any waiting-time measure and at most 0.04 in any rate.</w:t>
      </w:r>
    </w:p>
    <w:tbl>
      <w:tblPr>
        <w:tblStyle w:val="Table"/>
        <w:tblW w:type="pct" w:w="5000"/>
        <w:tblLook w:firstRow="1" w:lastRow="0" w:firstColumn="0" w:lastColumn="0" w:noHBand="0" w:noVBand="0" w:val="0020"/>
        <w:jc w:val="start"/>
        <w:tblCaption w:val="Table 13. Multi-period managerial outcomes (40 days, 100 arrivals per day, severe-shift episode on days 11–20; four datasets, two reviewers, ten seeds). The gain ordering of the earlier draft is omitted; it differs from the cost-exact rule by at most 0.5 days in any waiting-time measure and at most 0.04 in any rate."/>
        <w:tblBorders>
          <w:top w:val="single" w:sz="8" w:color="000000"/>
          <w:bottom w:val="single" w:sz="8" w:color="000000"/>
          <w:insideH w:val="nil" w:sz="8" w:color="000000"/>
          <w:insideV w:val="nil" w:sz="8" w:color="000000"/>
          <w:left w:val="nil" w:sz="8" w:color="000000"/>
          <w:right w:val="nil" w:sz="8" w:color="000000"/>
        </w:tblBorders>
      </w:tblPr>
      <w:tblGrid>
        <w:gridCol w:w="792"/>
        <w:gridCol w:w="792"/>
        <w:gridCol w:w="792"/>
        <w:gridCol w:w="792"/>
        <w:gridCol w:w="792"/>
        <w:gridCol w:w="792"/>
        <w:gridCol w:w="792"/>
        <w:gridCol w:w="792"/>
        <w:gridCol w:w="792"/>
        <w:gridCol w:w="792"/>
      </w:tblGrid>
      <w:tr>
        <w:trPr>
          <w:tblHeader w:val="true"/>
        </w:trPr>
        <w:tc>
          <w:tcPr>
            <w:tcBorders>
              <w:bottom w:val="single" w:sz="6"/>
            </w:tcBorders>
          </w:tcPr>
          <w:p>
            <w:pPr>
              <w:pStyle w:val="Compact"/>
              <w:spacing w:after="20" w:before="20"/>
              <w:jc w:val="left"/>
            </w:pPr>
            <w:r>
              <w:rPr>
                <w:b/>
                <w:sz w:val="17"/>
              </w:rPr>
              <w:t xml:space="preserve">Capacity</w:t>
            </w:r>
          </w:p>
        </w:tc>
        <w:tc>
          <w:tcPr>
            <w:tcBorders>
              <w:bottom w:val="single" w:sz="6"/>
            </w:tcBorders>
          </w:tcPr>
          <w:p>
            <w:pPr>
              <w:pStyle w:val="Compact"/>
              <w:spacing w:after="20" w:before="20"/>
              <w:jc w:val="left"/>
            </w:pPr>
            <w:r>
              <w:rPr>
                <w:b/>
                <w:sz w:val="17"/>
              </w:rPr>
              <w:t xml:space="preserve">Order</w:t>
            </w:r>
          </w:p>
        </w:tc>
        <w:tc>
          <w:tcPr>
            <w:tcBorders>
              <w:bottom w:val="single" w:sz="6"/>
            </w:tcBorders>
          </w:tcPr>
          <w:p>
            <w:pPr>
              <w:pStyle w:val="Compact"/>
              <w:spacing w:after="20" w:before="20"/>
              <w:jc w:val="left"/>
            </w:pPr>
            <w:r>
              <w:rPr>
                <w:b/>
                <w:sz w:val="17"/>
              </w:rPr>
              <w:t xml:space="preserve">Cost / arrival</w:t>
            </w:r>
          </w:p>
        </w:tc>
        <w:tc>
          <w:tcPr>
            <w:tcBorders>
              <w:bottom w:val="single" w:sz="6"/>
            </w:tcBorders>
          </w:tcPr>
          <w:p>
            <w:pPr>
              <w:pStyle w:val="Compact"/>
              <w:spacing w:after="20" w:before="20"/>
              <w:jc w:val="left"/>
            </w:pPr>
            <w:r>
              <w:rPr>
                <w:b/>
                <w:sz w:val="17"/>
              </w:rPr>
              <w:t xml:space="preserve">Cost / completed</w:t>
            </w:r>
          </w:p>
        </w:tc>
        <w:tc>
          <w:tcPr>
            <w:tcBorders>
              <w:bottom w:val="single" w:sz="6"/>
            </w:tcBorders>
          </w:tcPr>
          <w:p>
            <w:pPr>
              <w:pStyle w:val="Compact"/>
              <w:spacing w:after="20" w:before="20"/>
              <w:jc w:val="left"/>
            </w:pPr>
            <w:r>
              <w:rPr>
                <w:b/>
                <w:sz w:val="17"/>
              </w:rPr>
              <w:t xml:space="preserve">Completed %</w:t>
            </w:r>
          </w:p>
        </w:tc>
        <w:tc>
          <w:tcPr>
            <w:tcBorders>
              <w:bottom w:val="single" w:sz="6"/>
            </w:tcBorders>
          </w:tcPr>
          <w:p>
            <w:pPr>
              <w:pStyle w:val="Compact"/>
              <w:spacing w:after="20" w:before="20"/>
              <w:jc w:val="left"/>
            </w:pPr>
            <w:r>
              <w:rPr>
                <w:b/>
                <w:sz w:val="17"/>
              </w:rPr>
              <w:t xml:space="preserve">Peak backlog</w:t>
            </w:r>
          </w:p>
        </w:tc>
        <w:tc>
          <w:tcPr>
            <w:tcBorders>
              <w:bottom w:val="single" w:sz="6"/>
            </w:tcBorders>
          </w:tcPr>
          <w:p>
            <w:pPr>
              <w:pStyle w:val="Compact"/>
              <w:spacing w:after="20" w:before="20"/>
              <w:jc w:val="left"/>
            </w:pPr>
            <w:r>
              <w:rPr>
                <w:b/>
                <w:sz w:val="17"/>
              </w:rPr>
              <w:t xml:space="preserve">Mean wait (d)</w:t>
            </w:r>
          </w:p>
        </w:tc>
        <w:tc>
          <w:tcPr>
            <w:tcBorders>
              <w:bottom w:val="single" w:sz="6"/>
            </w:tcBorders>
          </w:tcPr>
          <w:p>
            <w:pPr>
              <w:pStyle w:val="Compact"/>
              <w:spacing w:after="20" w:before="20"/>
              <w:jc w:val="left"/>
            </w:pPr>
            <w:r>
              <w:rPr>
                <w:b/>
                <w:sz w:val="17"/>
              </w:rPr>
              <w:t xml:space="preserve">P95 wait (d)</w:t>
            </w:r>
          </w:p>
        </w:tc>
        <w:tc>
          <w:tcPr>
            <w:tcBorders>
              <w:bottom w:val="single" w:sz="6"/>
            </w:tcBorders>
          </w:tcPr>
          <w:p>
            <w:pPr>
              <w:pStyle w:val="Compact"/>
              <w:spacing w:after="20" w:before="20"/>
              <w:jc w:val="left"/>
            </w:pPr>
            <w:r>
              <w:rPr>
                <w:b/>
                <w:sz w:val="17"/>
              </w:rPr>
              <w:t xml:space="preserve">SLA-2 %</w:t>
            </w:r>
          </w:p>
        </w:tc>
        <w:tc>
          <w:tcPr>
            <w:tcBorders>
              <w:bottom w:val="single" w:sz="6"/>
            </w:tcBorders>
          </w:tcPr>
          <w:p>
            <w:pPr>
              <w:pStyle w:val="Compact"/>
              <w:spacing w:after="20" w:before="20"/>
              <w:jc w:val="left"/>
            </w:pPr>
            <w:r>
              <w:rPr>
                <w:b/>
                <w:sz w:val="17"/>
              </w:rPr>
              <w:t xml:space="preserve">Override %</w:t>
            </w:r>
          </w:p>
        </w:tc>
      </w:tr>
      <w:tr>
        <w:tc>
          <w:tcPr/>
          <w:p>
            <w:pPr>
              <w:pStyle w:val="Compact"/>
              <w:spacing w:after="20" w:before="20"/>
              <w:jc w:val="left"/>
            </w:pPr>
            <w:r>
              <w:rPr>
                <w:sz w:val="17"/>
              </w:rPr>
              <w:t xml:space="preserve">20%</w:t>
            </w:r>
          </w:p>
        </w:tc>
        <w:tc>
          <w:tcPr/>
          <w:p>
            <w:pPr>
              <w:pStyle w:val="Compact"/>
              <w:spacing w:after="20" w:before="20"/>
              <w:jc w:val="left"/>
            </w:pPr>
            <w:r>
              <w:rPr>
                <w:sz w:val="17"/>
              </w:rPr>
              <w:t xml:space="preserve">FIFO</w:t>
            </w:r>
          </w:p>
        </w:tc>
        <w:tc>
          <w:tcPr/>
          <w:p>
            <w:pPr>
              <w:pStyle w:val="Compact"/>
              <w:spacing w:after="20" w:before="20"/>
              <w:jc w:val="left"/>
            </w:pPr>
            <w:r>
              <w:rPr>
                <w:sz w:val="17"/>
              </w:rPr>
              <w:t xml:space="preserve">1.161</w:t>
            </w:r>
          </w:p>
        </w:tc>
        <w:tc>
          <w:tcPr/>
          <w:p>
            <w:pPr>
              <w:pStyle w:val="Compact"/>
              <w:spacing w:after="20" w:before="20"/>
              <w:jc w:val="left"/>
            </w:pPr>
            <w:r>
              <w:rPr>
                <w:sz w:val="17"/>
              </w:rPr>
              <w:t xml:space="preserve">1.148</w:t>
            </w:r>
          </w:p>
        </w:tc>
        <w:tc>
          <w:tcPr/>
          <w:p>
            <w:pPr>
              <w:pStyle w:val="Compact"/>
              <w:spacing w:after="20" w:before="20"/>
              <w:jc w:val="left"/>
            </w:pPr>
            <w:r>
              <w:rPr>
                <w:sz w:val="17"/>
              </w:rPr>
              <w:t xml:space="preserve">94.8</w:t>
            </w:r>
          </w:p>
        </w:tc>
        <w:tc>
          <w:tcPr/>
          <w:p>
            <w:pPr>
              <w:pStyle w:val="Compact"/>
              <w:spacing w:after="20" w:before="20"/>
              <w:jc w:val="left"/>
            </w:pPr>
            <w:r>
              <w:rPr>
                <w:sz w:val="17"/>
              </w:rPr>
              <w:t xml:space="preserve">499.8</w:t>
            </w:r>
          </w:p>
        </w:tc>
        <w:tc>
          <w:tcPr/>
          <w:p>
            <w:pPr>
              <w:pStyle w:val="Compact"/>
              <w:spacing w:after="20" w:before="20"/>
              <w:jc w:val="left"/>
            </w:pPr>
            <w:r>
              <w:rPr>
                <w:sz w:val="17"/>
              </w:rPr>
              <w:t xml:space="preserve">9.8</w:t>
            </w:r>
          </w:p>
        </w:tc>
        <w:tc>
          <w:tcPr/>
          <w:p>
            <w:pPr>
              <w:pStyle w:val="Compact"/>
              <w:spacing w:after="20" w:before="20"/>
              <w:jc w:val="left"/>
            </w:pPr>
            <w:r>
              <w:rPr>
                <w:sz w:val="17"/>
              </w:rPr>
              <w:t xml:space="preserve">20.2</w:t>
            </w:r>
          </w:p>
        </w:tc>
        <w:tc>
          <w:tcPr/>
          <w:p>
            <w:pPr>
              <w:pStyle w:val="Compact"/>
              <w:spacing w:after="20" w:before="20"/>
              <w:jc w:val="left"/>
            </w:pPr>
            <w:r>
              <w:rPr>
                <w:sz w:val="17"/>
              </w:rPr>
              <w:t xml:space="preserve">18.5</w:t>
            </w:r>
          </w:p>
        </w:tc>
        <w:tc>
          <w:tcPr/>
          <w:p>
            <w:pPr>
              <w:pStyle w:val="Compact"/>
              <w:spacing w:after="20" w:before="20"/>
              <w:jc w:val="left"/>
            </w:pPr>
            <w:r>
              <w:rPr>
                <w:sz w:val="17"/>
              </w:rPr>
              <w:t xml:space="preserve">48.3</w:t>
            </w:r>
          </w:p>
        </w:tc>
      </w:tr>
      <w:tr>
        <w:tc>
          <w:tcPr/>
          <w:p>
            <w:pPr>
              <w:pStyle w:val="Compact"/>
              <w:spacing w:after="20" w:before="20"/>
              <w:jc w:val="left"/>
            </w:pPr>
            <w:r>
              <w:rPr>
                <w:sz w:val="17"/>
              </w:rPr>
              <w:t xml:space="preserve">20%</w:t>
            </w:r>
          </w:p>
        </w:tc>
        <w:tc>
          <w:tcPr/>
          <w:p>
            <w:pPr>
              <w:pStyle w:val="Compact"/>
              <w:spacing w:after="20" w:before="20"/>
              <w:jc w:val="left"/>
            </w:pPr>
            <w:r>
              <w:rPr>
                <w:sz w:val="17"/>
              </w:rPr>
              <w:t xml:space="preserve">Cost-exact</w:t>
            </w:r>
          </w:p>
        </w:tc>
        <w:tc>
          <w:tcPr/>
          <w:p>
            <w:pPr>
              <w:pStyle w:val="Compact"/>
              <w:spacing w:after="20" w:before="20"/>
              <w:jc w:val="left"/>
            </w:pPr>
            <w:r>
              <w:rPr>
                <w:sz w:val="17"/>
              </w:rPr>
              <w:t xml:space="preserve">1.157</w:t>
            </w:r>
          </w:p>
        </w:tc>
        <w:tc>
          <w:tcPr/>
          <w:p>
            <w:pPr>
              <w:pStyle w:val="Compact"/>
              <w:spacing w:after="20" w:before="20"/>
              <w:jc w:val="left"/>
            </w:pPr>
            <w:r>
              <w:rPr>
                <w:sz w:val="17"/>
              </w:rPr>
              <w:t xml:space="preserve">1.144</w:t>
            </w:r>
          </w:p>
        </w:tc>
        <w:tc>
          <w:tcPr/>
          <w:p>
            <w:pPr>
              <w:pStyle w:val="Compact"/>
              <w:spacing w:after="20" w:before="20"/>
              <w:jc w:val="left"/>
            </w:pPr>
            <w:r>
              <w:rPr>
                <w:sz w:val="17"/>
              </w:rPr>
              <w:t xml:space="preserve">94.8</w:t>
            </w:r>
          </w:p>
        </w:tc>
        <w:tc>
          <w:tcPr/>
          <w:p>
            <w:pPr>
              <w:pStyle w:val="Compact"/>
              <w:spacing w:after="20" w:before="20"/>
              <w:jc w:val="left"/>
            </w:pPr>
            <w:r>
              <w:rPr>
                <w:sz w:val="17"/>
              </w:rPr>
              <w:t xml:space="preserve">499.8</w:t>
            </w:r>
          </w:p>
        </w:tc>
        <w:tc>
          <w:tcPr/>
          <w:p>
            <w:pPr>
              <w:pStyle w:val="Compact"/>
              <w:spacing w:after="20" w:before="20"/>
              <w:jc w:val="left"/>
            </w:pPr>
            <w:r>
              <w:rPr>
                <w:sz w:val="17"/>
              </w:rPr>
              <w:t xml:space="preserve">7.5</w:t>
            </w:r>
          </w:p>
        </w:tc>
        <w:tc>
          <w:tcPr/>
          <w:p>
            <w:pPr>
              <w:pStyle w:val="Compact"/>
              <w:spacing w:after="20" w:before="20"/>
              <w:jc w:val="left"/>
            </w:pPr>
            <w:r>
              <w:rPr>
                <w:sz w:val="17"/>
              </w:rPr>
              <w:t xml:space="preserve">23.0</w:t>
            </w:r>
          </w:p>
        </w:tc>
        <w:tc>
          <w:tcPr/>
          <w:p>
            <w:pPr>
              <w:pStyle w:val="Compact"/>
              <w:spacing w:after="20" w:before="20"/>
              <w:jc w:val="left"/>
            </w:pPr>
            <w:r>
              <w:rPr>
                <w:sz w:val="17"/>
              </w:rPr>
              <w:t xml:space="preserve">48.4</w:t>
            </w:r>
          </w:p>
        </w:tc>
        <w:tc>
          <w:tcPr/>
          <w:p>
            <w:pPr>
              <w:pStyle w:val="Compact"/>
              <w:spacing w:after="20" w:before="20"/>
              <w:jc w:val="left"/>
            </w:pPr>
            <w:r>
              <w:rPr>
                <w:sz w:val="17"/>
              </w:rPr>
              <w:t xml:space="preserve">46.8</w:t>
            </w:r>
          </w:p>
        </w:tc>
      </w:tr>
      <w:tr>
        <w:tc>
          <w:tcPr/>
          <w:p>
            <w:pPr>
              <w:pStyle w:val="Compact"/>
              <w:spacing w:after="20" w:before="20"/>
              <w:jc w:val="left"/>
            </w:pPr>
            <w:r>
              <w:rPr>
                <w:sz w:val="17"/>
              </w:rPr>
              <w:t xml:space="preserve">40%</w:t>
            </w:r>
          </w:p>
        </w:tc>
        <w:tc>
          <w:tcPr/>
          <w:p>
            <w:pPr>
              <w:pStyle w:val="Compact"/>
              <w:spacing w:after="20" w:before="20"/>
              <w:jc w:val="left"/>
            </w:pPr>
            <w:r>
              <w:rPr>
                <w:sz w:val="17"/>
              </w:rPr>
              <w:t xml:space="preserve">FIFO</w:t>
            </w:r>
          </w:p>
        </w:tc>
        <w:tc>
          <w:tcPr/>
          <w:p>
            <w:pPr>
              <w:pStyle w:val="Compact"/>
              <w:spacing w:after="20" w:before="20"/>
              <w:jc w:val="left"/>
            </w:pPr>
            <w:r>
              <w:rPr>
                <w:sz w:val="17"/>
              </w:rPr>
              <w:t xml:space="preserve">0.634</w:t>
            </w:r>
          </w:p>
        </w:tc>
        <w:tc>
          <w:tcPr/>
          <w:p>
            <w:pPr>
              <w:pStyle w:val="Compact"/>
              <w:spacing w:after="20" w:before="20"/>
              <w:jc w:val="left"/>
            </w:pPr>
            <w:r>
              <w:rPr>
                <w:sz w:val="17"/>
              </w:rPr>
              <w:t xml:space="preserve">0.634</w:t>
            </w:r>
          </w:p>
        </w:tc>
        <w:tc>
          <w:tcPr/>
          <w:p>
            <w:pPr>
              <w:pStyle w:val="Compact"/>
              <w:spacing w:after="20" w:before="20"/>
              <w:jc w:val="left"/>
            </w:pPr>
            <w:r>
              <w:rPr>
                <w:sz w:val="17"/>
              </w:rPr>
              <w:t xml:space="preserve">100.0</w:t>
            </w:r>
          </w:p>
        </w:tc>
        <w:tc>
          <w:tcPr/>
          <w:p>
            <w:pPr>
              <w:pStyle w:val="Compact"/>
              <w:spacing w:after="20" w:before="20"/>
              <w:jc w:val="left"/>
            </w:pPr>
            <w:r>
              <w:rPr>
                <w:sz w:val="17"/>
              </w:rPr>
              <w:t xml:space="preserve">299.7</w:t>
            </w:r>
          </w:p>
        </w:tc>
        <w:tc>
          <w:tcPr/>
          <w:p>
            <w:pPr>
              <w:pStyle w:val="Compact"/>
              <w:spacing w:after="20" w:before="20"/>
              <w:jc w:val="left"/>
            </w:pPr>
            <w:r>
              <w:rPr>
                <w:sz w:val="17"/>
              </w:rPr>
              <w:t xml:space="preserve">3.4</w:t>
            </w:r>
          </w:p>
        </w:tc>
        <w:tc>
          <w:tcPr/>
          <w:p>
            <w:pPr>
              <w:pStyle w:val="Compact"/>
              <w:spacing w:after="20" w:before="20"/>
              <w:jc w:val="left"/>
            </w:pPr>
            <w:r>
              <w:rPr>
                <w:sz w:val="17"/>
              </w:rPr>
              <w:t xml:space="preserve">7.1</w:t>
            </w:r>
          </w:p>
        </w:tc>
        <w:tc>
          <w:tcPr/>
          <w:p>
            <w:pPr>
              <w:pStyle w:val="Compact"/>
              <w:spacing w:after="20" w:before="20"/>
              <w:jc w:val="left"/>
            </w:pPr>
            <w:r>
              <w:rPr>
                <w:sz w:val="17"/>
              </w:rPr>
              <w:t xml:space="preserve">41.1</w:t>
            </w:r>
          </w:p>
        </w:tc>
        <w:tc>
          <w:tcPr/>
          <w:p>
            <w:pPr>
              <w:pStyle w:val="Compact"/>
              <w:spacing w:after="20" w:before="20"/>
              <w:jc w:val="left"/>
            </w:pPr>
            <w:r>
              <w:rPr>
                <w:sz w:val="17"/>
              </w:rPr>
              <w:t xml:space="preserve">48.2</w:t>
            </w:r>
          </w:p>
        </w:tc>
      </w:tr>
      <w:tr>
        <w:tc>
          <w:tcPr/>
          <w:p>
            <w:pPr>
              <w:pStyle w:val="Compact"/>
              <w:spacing w:after="20" w:before="20"/>
              <w:jc w:val="left"/>
            </w:pPr>
            <w:r>
              <w:rPr>
                <w:sz w:val="17"/>
              </w:rPr>
              <w:t xml:space="preserve">40%</w:t>
            </w:r>
          </w:p>
        </w:tc>
        <w:tc>
          <w:tcPr/>
          <w:p>
            <w:pPr>
              <w:pStyle w:val="Compact"/>
              <w:spacing w:after="20" w:before="20"/>
              <w:jc w:val="left"/>
            </w:pPr>
            <w:r>
              <w:rPr>
                <w:sz w:val="17"/>
              </w:rPr>
              <w:t xml:space="preserve">Cost-exact</w:t>
            </w:r>
          </w:p>
        </w:tc>
        <w:tc>
          <w:tcPr/>
          <w:p>
            <w:pPr>
              <w:pStyle w:val="Compact"/>
              <w:spacing w:after="20" w:before="20"/>
              <w:jc w:val="left"/>
            </w:pPr>
            <w:r>
              <w:rPr>
                <w:sz w:val="17"/>
              </w:rPr>
              <w:t xml:space="preserve">0.634</w:t>
            </w:r>
          </w:p>
        </w:tc>
        <w:tc>
          <w:tcPr/>
          <w:p>
            <w:pPr>
              <w:pStyle w:val="Compact"/>
              <w:spacing w:after="20" w:before="20"/>
              <w:jc w:val="left"/>
            </w:pPr>
            <w:r>
              <w:rPr>
                <w:sz w:val="17"/>
              </w:rPr>
              <w:t xml:space="preserve">0.634</w:t>
            </w:r>
          </w:p>
        </w:tc>
        <w:tc>
          <w:tcPr/>
          <w:p>
            <w:pPr>
              <w:pStyle w:val="Compact"/>
              <w:spacing w:after="20" w:before="20"/>
              <w:jc w:val="left"/>
            </w:pPr>
            <w:r>
              <w:rPr>
                <w:sz w:val="17"/>
              </w:rPr>
              <w:t xml:space="preserve">100.0</w:t>
            </w:r>
          </w:p>
        </w:tc>
        <w:tc>
          <w:tcPr/>
          <w:p>
            <w:pPr>
              <w:pStyle w:val="Compact"/>
              <w:spacing w:after="20" w:before="20"/>
              <w:jc w:val="left"/>
            </w:pPr>
            <w:r>
              <w:rPr>
                <w:sz w:val="17"/>
              </w:rPr>
              <w:t xml:space="preserve">299.7</w:t>
            </w:r>
          </w:p>
        </w:tc>
        <w:tc>
          <w:tcPr/>
          <w:p>
            <w:pPr>
              <w:pStyle w:val="Compact"/>
              <w:spacing w:after="20" w:before="20"/>
              <w:jc w:val="left"/>
            </w:pPr>
            <w:r>
              <w:rPr>
                <w:sz w:val="17"/>
              </w:rPr>
              <w:t xml:space="preserve">3.4</w:t>
            </w:r>
          </w:p>
        </w:tc>
        <w:tc>
          <w:tcPr/>
          <w:p>
            <w:pPr>
              <w:pStyle w:val="Compact"/>
              <w:spacing w:after="20" w:before="20"/>
              <w:jc w:val="left"/>
            </w:pPr>
            <w:r>
              <w:rPr>
                <w:sz w:val="17"/>
              </w:rPr>
              <w:t xml:space="preserve">13.8</w:t>
            </w:r>
          </w:p>
        </w:tc>
        <w:tc>
          <w:tcPr/>
          <w:p>
            <w:pPr>
              <w:pStyle w:val="Compact"/>
              <w:spacing w:after="20" w:before="20"/>
              <w:jc w:val="left"/>
            </w:pPr>
            <w:r>
              <w:rPr>
                <w:sz w:val="17"/>
              </w:rPr>
              <w:t xml:space="preserve">65.3</w:t>
            </w:r>
          </w:p>
        </w:tc>
        <w:tc>
          <w:tcPr/>
          <w:p>
            <w:pPr>
              <w:pStyle w:val="Compact"/>
              <w:spacing w:after="20" w:before="20"/>
              <w:jc w:val="left"/>
            </w:pPr>
            <w:r>
              <w:rPr>
                <w:sz w:val="17"/>
              </w:rPr>
              <w:t xml:space="preserve">48.2</w:t>
            </w:r>
          </w:p>
        </w:tc>
      </w:tr>
      <w:tr>
        <w:tc>
          <w:tcPr/>
          <w:p>
            <w:pPr>
              <w:pStyle w:val="Compact"/>
              <w:spacing w:after="20" w:before="20"/>
              <w:jc w:val="left"/>
            </w:pPr>
            <w:r>
              <w:rPr>
                <w:sz w:val="17"/>
              </w:rPr>
              <w:t xml:space="preserve">50%</w:t>
            </w:r>
          </w:p>
        </w:tc>
        <w:tc>
          <w:tcPr/>
          <w:p>
            <w:pPr>
              <w:pStyle w:val="Compact"/>
              <w:spacing w:after="20" w:before="20"/>
              <w:jc w:val="left"/>
            </w:pPr>
            <w:r>
              <w:rPr>
                <w:sz w:val="17"/>
              </w:rPr>
              <w:t xml:space="preserve">FIFO</w:t>
            </w:r>
          </w:p>
        </w:tc>
        <w:tc>
          <w:tcPr/>
          <w:p>
            <w:pPr>
              <w:pStyle w:val="Compact"/>
              <w:spacing w:after="20" w:before="20"/>
              <w:jc w:val="left"/>
            </w:pPr>
            <w:r>
              <w:rPr>
                <w:sz w:val="17"/>
              </w:rPr>
              <w:t xml:space="preserve">0.516</w:t>
            </w:r>
          </w:p>
        </w:tc>
        <w:tc>
          <w:tcPr/>
          <w:p>
            <w:pPr>
              <w:pStyle w:val="Compact"/>
              <w:spacing w:after="20" w:before="20"/>
              <w:jc w:val="left"/>
            </w:pPr>
            <w:r>
              <w:rPr>
                <w:sz w:val="17"/>
              </w:rPr>
              <w:t xml:space="preserve">0.516</w:t>
            </w:r>
          </w:p>
        </w:tc>
        <w:tc>
          <w:tcPr/>
          <w:p>
            <w:pPr>
              <w:pStyle w:val="Compact"/>
              <w:spacing w:after="20" w:before="20"/>
              <w:jc w:val="left"/>
            </w:pPr>
            <w:r>
              <w:rPr>
                <w:sz w:val="17"/>
              </w:rPr>
              <w:t xml:space="preserve">100.0</w:t>
            </w:r>
          </w:p>
        </w:tc>
        <w:tc>
          <w:tcPr/>
          <w:p>
            <w:pPr>
              <w:pStyle w:val="Compact"/>
              <w:spacing w:after="20" w:before="20"/>
              <w:jc w:val="left"/>
            </w:pPr>
            <w:r>
              <w:rPr>
                <w:sz w:val="17"/>
              </w:rPr>
              <w:t xml:space="preserve">199.7</w:t>
            </w:r>
          </w:p>
        </w:tc>
        <w:tc>
          <w:tcPr/>
          <w:p>
            <w:pPr>
              <w:pStyle w:val="Compact"/>
              <w:spacing w:after="20" w:before="20"/>
              <w:jc w:val="left"/>
            </w:pPr>
            <w:r>
              <w:rPr>
                <w:sz w:val="17"/>
              </w:rPr>
              <w:t xml:space="preserve">1.7</w:t>
            </w:r>
          </w:p>
        </w:tc>
        <w:tc>
          <w:tcPr/>
          <w:p>
            <w:pPr>
              <w:pStyle w:val="Compact"/>
              <w:spacing w:after="20" w:before="20"/>
              <w:jc w:val="left"/>
            </w:pPr>
            <w:r>
              <w:rPr>
                <w:sz w:val="17"/>
              </w:rPr>
              <w:t xml:space="preserve">3.9</w:t>
            </w:r>
          </w:p>
        </w:tc>
        <w:tc>
          <w:tcPr/>
          <w:p>
            <w:pPr>
              <w:pStyle w:val="Compact"/>
              <w:spacing w:after="20" w:before="20"/>
              <w:jc w:val="left"/>
            </w:pPr>
            <w:r>
              <w:rPr>
                <w:sz w:val="17"/>
              </w:rPr>
              <w:t xml:space="preserve">71.8</w:t>
            </w:r>
          </w:p>
        </w:tc>
        <w:tc>
          <w:tcPr/>
          <w:p>
            <w:pPr>
              <w:pStyle w:val="Compact"/>
              <w:spacing w:after="20" w:before="20"/>
              <w:jc w:val="left"/>
            </w:pPr>
            <w:r>
              <w:rPr>
                <w:sz w:val="17"/>
              </w:rPr>
              <w:t xml:space="preserve">47.3</w:t>
            </w:r>
          </w:p>
        </w:tc>
      </w:tr>
      <w:tr>
        <w:tc>
          <w:tcPr/>
          <w:p>
            <w:pPr>
              <w:pStyle w:val="Compact"/>
              <w:spacing w:after="20" w:before="20"/>
              <w:jc w:val="left"/>
            </w:pPr>
            <w:r>
              <w:rPr>
                <w:sz w:val="17"/>
              </w:rPr>
              <w:t xml:space="preserve">50%</w:t>
            </w:r>
          </w:p>
        </w:tc>
        <w:tc>
          <w:tcPr/>
          <w:p>
            <w:pPr>
              <w:pStyle w:val="Compact"/>
              <w:spacing w:after="20" w:before="20"/>
              <w:jc w:val="left"/>
            </w:pPr>
            <w:r>
              <w:rPr>
                <w:sz w:val="17"/>
              </w:rPr>
              <w:t xml:space="preserve">Cost-exact</w:t>
            </w:r>
          </w:p>
        </w:tc>
        <w:tc>
          <w:tcPr/>
          <w:p>
            <w:pPr>
              <w:pStyle w:val="Compact"/>
              <w:spacing w:after="20" w:before="20"/>
              <w:jc w:val="left"/>
            </w:pPr>
            <w:r>
              <w:rPr>
                <w:sz w:val="17"/>
              </w:rPr>
              <w:t xml:space="preserve">0.516</w:t>
            </w:r>
          </w:p>
        </w:tc>
        <w:tc>
          <w:tcPr/>
          <w:p>
            <w:pPr>
              <w:pStyle w:val="Compact"/>
              <w:spacing w:after="20" w:before="20"/>
              <w:jc w:val="left"/>
            </w:pPr>
            <w:r>
              <w:rPr>
                <w:sz w:val="17"/>
              </w:rPr>
              <w:t xml:space="preserve">0.516</w:t>
            </w:r>
          </w:p>
        </w:tc>
        <w:tc>
          <w:tcPr/>
          <w:p>
            <w:pPr>
              <w:pStyle w:val="Compact"/>
              <w:spacing w:after="20" w:before="20"/>
              <w:jc w:val="left"/>
            </w:pPr>
            <w:r>
              <w:rPr>
                <w:sz w:val="17"/>
              </w:rPr>
              <w:t xml:space="preserve">100.0</w:t>
            </w:r>
          </w:p>
        </w:tc>
        <w:tc>
          <w:tcPr/>
          <w:p>
            <w:pPr>
              <w:pStyle w:val="Compact"/>
              <w:spacing w:after="20" w:before="20"/>
              <w:jc w:val="left"/>
            </w:pPr>
            <w:r>
              <w:rPr>
                <w:sz w:val="17"/>
              </w:rPr>
              <w:t xml:space="preserve">199.7</w:t>
            </w:r>
          </w:p>
        </w:tc>
        <w:tc>
          <w:tcPr/>
          <w:p>
            <w:pPr>
              <w:pStyle w:val="Compact"/>
              <w:spacing w:after="20" w:before="20"/>
              <w:jc w:val="left"/>
            </w:pPr>
            <w:r>
              <w:rPr>
                <w:sz w:val="17"/>
              </w:rPr>
              <w:t xml:space="preserve">1.7</w:t>
            </w:r>
          </w:p>
        </w:tc>
        <w:tc>
          <w:tcPr/>
          <w:p>
            <w:pPr>
              <w:pStyle w:val="Compact"/>
              <w:spacing w:after="20" w:before="20"/>
              <w:jc w:val="left"/>
            </w:pPr>
            <w:r>
              <w:rPr>
                <w:sz w:val="17"/>
              </w:rPr>
              <w:t xml:space="preserve">10.0</w:t>
            </w:r>
          </w:p>
        </w:tc>
        <w:tc>
          <w:tcPr/>
          <w:p>
            <w:pPr>
              <w:pStyle w:val="Compact"/>
              <w:spacing w:after="20" w:before="20"/>
              <w:jc w:val="left"/>
            </w:pPr>
            <w:r>
              <w:rPr>
                <w:sz w:val="17"/>
              </w:rPr>
              <w:t xml:space="preserve">78.4</w:t>
            </w:r>
          </w:p>
        </w:tc>
        <w:tc>
          <w:tcPr/>
          <w:p>
            <w:pPr>
              <w:pStyle w:val="Compact"/>
              <w:spacing w:after="20" w:before="20"/>
              <w:jc w:val="left"/>
            </w:pPr>
            <w:r>
              <w:rPr>
                <w:sz w:val="17"/>
              </w:rPr>
              <w:t xml:space="preserve">47.3</w:t>
            </w:r>
          </w:p>
        </w:tc>
      </w:tr>
      <w:tr>
        <w:tc>
          <w:tcPr/>
          <w:p>
            <w:pPr>
              <w:pStyle w:val="Compact"/>
              <w:spacing w:after="20" w:before="20"/>
              <w:jc w:val="left"/>
            </w:pPr>
            <w:r>
              <w:rPr>
                <w:sz w:val="17"/>
              </w:rPr>
              <w:t xml:space="preserve">70%</w:t>
            </w:r>
          </w:p>
        </w:tc>
        <w:tc>
          <w:tcPr/>
          <w:p>
            <w:pPr>
              <w:pStyle w:val="Compact"/>
              <w:spacing w:after="20" w:before="20"/>
              <w:jc w:val="left"/>
            </w:pPr>
            <w:r>
              <w:rPr>
                <w:sz w:val="17"/>
              </w:rPr>
              <w:t xml:space="preserve">FIFO</w:t>
            </w:r>
          </w:p>
        </w:tc>
        <w:tc>
          <w:tcPr/>
          <w:p>
            <w:pPr>
              <w:pStyle w:val="Compact"/>
              <w:spacing w:after="20" w:before="20"/>
              <w:jc w:val="left"/>
            </w:pPr>
            <w:r>
              <w:rPr>
                <w:sz w:val="17"/>
              </w:rPr>
              <w:t xml:space="preserve">0.389</w:t>
            </w:r>
          </w:p>
        </w:tc>
        <w:tc>
          <w:tcPr/>
          <w:p>
            <w:pPr>
              <w:pStyle w:val="Compact"/>
              <w:spacing w:after="20" w:before="20"/>
              <w:jc w:val="left"/>
            </w:pPr>
            <w:r>
              <w:rPr>
                <w:sz w:val="17"/>
              </w:rPr>
              <w:t xml:space="preserve">0.389</w:t>
            </w:r>
          </w:p>
        </w:tc>
        <w:tc>
          <w:tcPr/>
          <w:p>
            <w:pPr>
              <w:pStyle w:val="Compact"/>
              <w:spacing w:after="20" w:before="20"/>
              <w:jc w:val="left"/>
            </w:pPr>
            <w:r>
              <w:rPr>
                <w:sz w:val="17"/>
              </w:rPr>
              <w:t xml:space="preserve">100.0</w:t>
            </w:r>
          </w:p>
        </w:tc>
        <w:tc>
          <w:tcPr/>
          <w:p>
            <w:pPr>
              <w:pStyle w:val="Compact"/>
              <w:spacing w:after="20" w:before="20"/>
              <w:jc w:val="left"/>
            </w:pPr>
            <w:r>
              <w:rPr>
                <w:sz w:val="17"/>
              </w:rPr>
              <w:t xml:space="preserve">26.8</w:t>
            </w:r>
          </w:p>
        </w:tc>
        <w:tc>
          <w:tcPr/>
          <w:p>
            <w:pPr>
              <w:pStyle w:val="Compact"/>
              <w:spacing w:after="20" w:before="20"/>
              <w:jc w:val="left"/>
            </w:pPr>
            <w:r>
              <w:rPr>
                <w:sz w:val="17"/>
              </w:rPr>
              <w:t xml:space="preserve">0.1</w:t>
            </w:r>
          </w:p>
        </w:tc>
        <w:tc>
          <w:tcPr/>
          <w:p>
            <w:pPr>
              <w:pStyle w:val="Compact"/>
              <w:spacing w:after="20" w:before="20"/>
              <w:jc w:val="left"/>
            </w:pPr>
            <w:r>
              <w:rPr>
                <w:sz w:val="17"/>
              </w:rPr>
              <w:t xml:space="preserve">0.5</w:t>
            </w:r>
          </w:p>
        </w:tc>
        <w:tc>
          <w:tcPr/>
          <w:p>
            <w:pPr>
              <w:pStyle w:val="Compact"/>
              <w:spacing w:after="20" w:before="20"/>
              <w:jc w:val="left"/>
            </w:pPr>
            <w:r>
              <w:rPr>
                <w:sz w:val="17"/>
              </w:rPr>
              <w:t xml:space="preserve">100.0</w:t>
            </w:r>
          </w:p>
        </w:tc>
        <w:tc>
          <w:tcPr/>
          <w:p>
            <w:pPr>
              <w:pStyle w:val="Compact"/>
              <w:spacing w:after="20" w:before="20"/>
              <w:jc w:val="left"/>
            </w:pPr>
            <w:r>
              <w:rPr>
                <w:sz w:val="17"/>
              </w:rPr>
              <w:t xml:space="preserve">45.6</w:t>
            </w:r>
          </w:p>
        </w:tc>
      </w:tr>
      <w:tr>
        <w:tc>
          <w:tcPr/>
          <w:p>
            <w:pPr>
              <w:pStyle w:val="Compact"/>
              <w:spacing w:after="20" w:before="20"/>
              <w:jc w:val="left"/>
            </w:pPr>
            <w:r>
              <w:rPr>
                <w:sz w:val="17"/>
              </w:rPr>
              <w:t xml:space="preserve">70%</w:t>
            </w:r>
          </w:p>
        </w:tc>
        <w:tc>
          <w:tcPr/>
          <w:p>
            <w:pPr>
              <w:pStyle w:val="Compact"/>
              <w:spacing w:after="20" w:before="20"/>
              <w:jc w:val="left"/>
            </w:pPr>
            <w:r>
              <w:rPr>
                <w:sz w:val="17"/>
              </w:rPr>
              <w:t xml:space="preserve">Cost-exact</w:t>
            </w:r>
          </w:p>
        </w:tc>
        <w:tc>
          <w:tcPr/>
          <w:p>
            <w:pPr>
              <w:pStyle w:val="Compact"/>
              <w:spacing w:after="20" w:before="20"/>
              <w:jc w:val="left"/>
            </w:pPr>
            <w:r>
              <w:rPr>
                <w:sz w:val="17"/>
              </w:rPr>
              <w:t xml:space="preserve">0.389</w:t>
            </w:r>
          </w:p>
        </w:tc>
        <w:tc>
          <w:tcPr/>
          <w:p>
            <w:pPr>
              <w:pStyle w:val="Compact"/>
              <w:spacing w:after="20" w:before="20"/>
              <w:jc w:val="left"/>
            </w:pPr>
            <w:r>
              <w:rPr>
                <w:sz w:val="17"/>
              </w:rPr>
              <w:t xml:space="preserve">0.389</w:t>
            </w:r>
          </w:p>
        </w:tc>
        <w:tc>
          <w:tcPr/>
          <w:p>
            <w:pPr>
              <w:pStyle w:val="Compact"/>
              <w:spacing w:after="20" w:before="20"/>
              <w:jc w:val="left"/>
            </w:pPr>
            <w:r>
              <w:rPr>
                <w:sz w:val="17"/>
              </w:rPr>
              <w:t xml:space="preserve">100.0</w:t>
            </w:r>
          </w:p>
        </w:tc>
        <w:tc>
          <w:tcPr/>
          <w:p>
            <w:pPr>
              <w:pStyle w:val="Compact"/>
              <w:spacing w:after="20" w:before="20"/>
              <w:jc w:val="left"/>
            </w:pPr>
            <w:r>
              <w:rPr>
                <w:sz w:val="17"/>
              </w:rPr>
              <w:t xml:space="preserve">26.8</w:t>
            </w:r>
          </w:p>
        </w:tc>
        <w:tc>
          <w:tcPr/>
          <w:p>
            <w:pPr>
              <w:pStyle w:val="Compact"/>
              <w:spacing w:after="20" w:before="20"/>
              <w:jc w:val="left"/>
            </w:pPr>
            <w:r>
              <w:rPr>
                <w:sz w:val="17"/>
              </w:rPr>
              <w:t xml:space="preserve">0.1</w:t>
            </w:r>
          </w:p>
        </w:tc>
        <w:tc>
          <w:tcPr/>
          <w:p>
            <w:pPr>
              <w:pStyle w:val="Compact"/>
              <w:spacing w:after="20" w:before="20"/>
              <w:jc w:val="left"/>
            </w:pPr>
            <w:r>
              <w:rPr>
                <w:sz w:val="17"/>
              </w:rPr>
              <w:t xml:space="preserve">0.9</w:t>
            </w:r>
          </w:p>
        </w:tc>
        <w:tc>
          <w:tcPr/>
          <w:p>
            <w:pPr>
              <w:pStyle w:val="Compact"/>
              <w:spacing w:after="20" w:before="20"/>
              <w:jc w:val="left"/>
            </w:pPr>
            <w:r>
              <w:rPr>
                <w:sz w:val="17"/>
              </w:rPr>
              <w:t xml:space="preserve">98.2</w:t>
            </w:r>
          </w:p>
        </w:tc>
        <w:tc>
          <w:tcPr/>
          <w:p>
            <w:pPr>
              <w:pStyle w:val="Compact"/>
              <w:spacing w:after="20" w:before="20"/>
              <w:jc w:val="left"/>
            </w:pPr>
            <w:r>
              <w:rPr>
                <w:sz w:val="17"/>
              </w:rPr>
              <w:t xml:space="preserve">45.6</w:t>
            </w:r>
          </w:p>
        </w:tc>
      </w:tr>
    </w:tbl>
    <w:p>
      <w:pPr>
        <w:pStyle w:val="CaptionedFigure"/>
      </w:pPr>
      <w:r>
        <w:drawing>
          <wp:inline>
            <wp:extent cx="5892800" cy="1938956"/>
            <wp:effectExtent b="0" l="0" r="0" t="0"/>
            <wp:docPr descr="Fig. 5. Multi-period simulation. (a) Backlog over time (seed 2, quality-coupled reviewer, mean of four datasets) at four staffing levels, with the fluid approximation dotted; the shaded band is the severe-shift episode. (b) 95th-percentile waiting time and (c) share of mandatory cases resolved within two days, by prioritisation rule, averaged over four datasets, two reviewers and ten seeds." title="" id="61" name="Picture"/>
            <a:graphic>
              <a:graphicData uri="http://schemas.openxmlformats.org/drawingml/2006/picture">
                <pic:pic>
                  <pic:nvPicPr>
                    <pic:cNvPr descr="figs/fig5_backlog.png" id="62" name="Picture"/>
                    <pic:cNvPicPr>
                      <a:picLocks noChangeArrowheads="1" noChangeAspect="1"/>
                    </pic:cNvPicPr>
                  </pic:nvPicPr>
                  <pic:blipFill>
                    <a:blip r:embed="rId60"/>
                    <a:stretch>
                      <a:fillRect/>
                    </a:stretch>
                  </pic:blipFill>
                  <pic:spPr bwMode="auto">
                    <a:xfrm>
                      <a:off x="0" y="0"/>
                      <a:ext cx="5892800" cy="1938956"/>
                    </a:xfrm>
                    <a:prstGeom prst="rect">
                      <a:avLst/>
                    </a:prstGeom>
                    <a:noFill/>
                    <a:ln w="9525">
                      <a:noFill/>
                      <a:headEnd/>
                      <a:tailEnd/>
                    </a:ln>
                  </pic:spPr>
                </pic:pic>
              </a:graphicData>
            </a:graphic>
          </wp:inline>
        </w:drawing>
      </w:r>
    </w:p>
    <w:p>
      <w:pPr>
        <w:pStyle w:val="ImageCaption"/>
      </w:pPr>
      <w:r>
        <w:t xml:space="preserve">Fig. 5. Multi-period simulation. (a) Backlog over time (seed 2, quality-coupled reviewer, mean of four datasets) at four staffing levels, with the fluid approximation dotted; the shaded band is the severe-shift episode. (b) 95th-percentile waiting time and (c) share of mandatory cases resolved within two days, by prioritisation rule, averaged over four datasets, two reviewers and ten seeds.</w:t>
      </w:r>
    </w:p>
    <w:bookmarkEnd w:id="63"/>
    <w:bookmarkEnd w:id="64"/>
    <w:bookmarkStart w:id="68" w:name="discussion"/>
    <w:p>
      <w:pPr>
        <w:pStyle w:val="Heading1"/>
      </w:pPr>
      <w:r>
        <w:t xml:space="preserve">6. Discussion</w:t>
      </w:r>
    </w:p>
    <w:bookmarkStart w:id="65" w:name="answer-to-the-research-question"/>
    <w:p>
      <w:pPr>
        <w:pStyle w:val="Heading2"/>
      </w:pPr>
      <w:r>
        <w:t xml:space="preserve">6.1. Answer to the research question</w:t>
      </w:r>
    </w:p>
    <w:p>
      <w:pPr>
        <w:pStyle w:val="FirstParagraph"/>
      </w:pPr>
      <w:r>
        <w:t xml:space="preserve">The research question asked under what data-quality and review-capacity conditions quality-aware deferral improves decision cost and service completion while satisfying explicit governance rules. The evidence supports a conditional answer with four parts.</w:t>
      </w:r>
    </w:p>
    <w:p>
      <w:pPr>
        <w:pStyle w:val="BodyText"/>
      </w:pPr>
      <w:r>
        <w:t xml:space="preserve">First,</w:t>
      </w:r>
      <w:r>
        <w:t xml:space="preserve"> </w:t>
      </w:r>
      <w:r>
        <w:rPr>
          <w:bCs/>
          <w:b/>
        </w:rPr>
        <w:t xml:space="preserve">quality information pays when missingness is informative about the outcome.</w:t>
      </w:r>
      <w:r>
        <w:t xml:space="preserve"> </w:t>
      </w:r>
      <w:r>
        <w:t xml:space="preserve">In that case it improves the estimate of automated-decision error, not of reviewer error. This was the only condition with a consistent effect across all five reviewer models (+1.2% to +3.5%), and it reappeared on the external HMEQ data, where missingness is natural rather than injected. When defects were visible but uninformative about the outcome, or invisible to completeness and range checks, quality inputs added little and sometimes hurt.</w:t>
      </w:r>
    </w:p>
    <w:p>
      <w:pPr>
        <w:pStyle w:val="BodyText"/>
      </w:pPr>
      <w:r>
        <w:t xml:space="preserve">Second,</w:t>
      </w:r>
      <w:r>
        <w:t xml:space="preserve"> </w:t>
      </w:r>
      <w:r>
        <w:rPr>
          <w:bCs/>
          <w:b/>
        </w:rPr>
        <w:t xml:space="preserve">learned routing pays only with enough review history.</w:t>
      </w:r>
      <w:r>
        <w:t xml:space="preserve"> </w:t>
      </w:r>
      <w:r>
        <w:t xml:space="preserve">Holding information, rules and costs fixed, every learned router, including the published L2D surrogates, was worse than Chow’s cost-risk rule when trained on a few hundred records. The proposed router overtook Chow at roughly 1,800 gain-fitting records (about 2,900 logged review decisions) and beat every comparator on all splits at 6,000. The pooled comparison in Table 5, in which two of three datasets are small, therefore understates what a learned router achieves at operational data volumes and overstates it for small portfolios.</w:t>
      </w:r>
    </w:p>
    <w:p>
      <w:pPr>
        <w:pStyle w:val="BodyText"/>
      </w:pPr>
      <w:r>
        <w:t xml:space="preserve">Third,</w:t>
      </w:r>
      <w:r>
        <w:t xml:space="preserve"> </w:t>
      </w:r>
      <w:r>
        <w:rPr>
          <w:bCs/>
          <w:b/>
        </w:rPr>
        <w:t xml:space="preserve">capacity, not ranking, decides service completion under deterioration.</w:t>
      </w:r>
      <w:r>
        <w:t xml:space="preserve"> </w:t>
      </w:r>
      <w:r>
        <w:t xml:space="preserve">When mandatory demand exceeded capacity, the backlog was fully determined by staffing (Proposition 2), and the fluid rule</w:t>
      </w:r>
      <w:r>
        <w:t xml:space="preserve"> </w:t>
      </w:r>
      <m:oMath>
        <m:sSup>
          <m:e>
            <m:d>
              <m:dPr>
                <m:begChr m:val="("/>
                <m:endChr m:val=")"/>
                <m:sepChr m:val=""/>
                <m:grow/>
              </m:dPr>
              <m:e>
                <m:r>
                  <m:t>μ</m:t>
                </m:r>
                <m:r>
                  <m:rPr>
                    <m:sty m:val="p"/>
                  </m:rPr>
                  <m:t>−</m:t>
                </m:r>
                <m:r>
                  <m:t>b</m:t>
                </m:r>
              </m:e>
            </m:d>
          </m:e>
          <m:sup>
            <m:r>
              <m:rPr>
                <m:sty m:val="p"/>
              </m:rPr>
              <m:t>+</m:t>
            </m:r>
          </m:sup>
        </m:sSup>
        <m:r>
          <m:t>n</m:t>
        </m:r>
      </m:oMath>
      <w:r>
        <w:t xml:space="preserve"> </w:t>
      </w:r>
      <w:r>
        <w:t xml:space="preserve">predicted the peak backlog to within 0.3 records. Ranking methods moved cost by about 1%; moving capacity from 20% to 40% during the episode cut cost per arrival by 45% and eliminated unresolved cases.</w:t>
      </w:r>
    </w:p>
    <w:p>
      <w:pPr>
        <w:pStyle w:val="BodyText"/>
      </w:pPr>
      <w:r>
        <w:t xml:space="preserve">Fourth,</w:t>
      </w:r>
      <w:r>
        <w:t xml:space="preserve"> </w:t>
      </w:r>
      <w:r>
        <w:rPr>
          <w:bCs/>
          <w:b/>
        </w:rPr>
        <w:t xml:space="preserve">governance rules built on observable quality checks protect against visible defects only.</w:t>
      </w:r>
      <w:r>
        <w:t xml:space="preserve"> </w:t>
      </w:r>
      <w:r>
        <w:t xml:space="preserve">They prevented the automation of most severely degraded records under visible shift, at a substantial service cost, but let three-quarters of records with invisible defects through even under strict thresholds.</w:t>
      </w:r>
    </w:p>
    <w:bookmarkEnd w:id="65"/>
    <w:bookmarkStart w:id="66" w:name="X4640177af4501280f1513c273a8b8b93c6b1d77"/>
    <w:p>
      <w:pPr>
        <w:pStyle w:val="Heading2"/>
      </w:pPr>
      <w:r>
        <w:t xml:space="preserve">6.2. Implications for knowledge-based decision systems</w:t>
      </w:r>
    </w:p>
    <w:p>
      <w:pPr>
        <w:pStyle w:val="FirstParagraph"/>
      </w:pPr>
      <w:r>
        <w:t xml:space="preserve">The study separates three components that are often conflated in deferral systems: a</w:t>
      </w:r>
      <w:r>
        <w:t xml:space="preserve"> </w:t>
      </w:r>
      <w:r>
        <w:rPr>
          <w:iCs/>
          <w:i/>
        </w:rPr>
        <w:t xml:space="preserve">knowledge layer</w:t>
      </w:r>
      <w:r>
        <w:t xml:space="preserve"> </w:t>
      </w:r>
      <w:r>
        <w:t xml:space="preserve">that encodes non-negotiable policy, an</w:t>
      </w:r>
      <w:r>
        <w:t xml:space="preserve"> </w:t>
      </w:r>
      <w:r>
        <w:rPr>
          <w:iCs/>
          <w:i/>
        </w:rPr>
        <w:t xml:space="preserve">estimation layer</w:t>
      </w:r>
      <w:r>
        <w:t xml:space="preserve"> </w:t>
      </w:r>
      <w:r>
        <w:t xml:space="preserve">that predicts the value of review, and an</w:t>
      </w:r>
      <w:r>
        <w:t xml:space="preserve"> </w:t>
      </w:r>
      <w:r>
        <w:rPr>
          <w:iCs/>
          <w:i/>
        </w:rPr>
        <w:t xml:space="preserve">allocation layer</w:t>
      </w:r>
      <w:r>
        <w:t xml:space="preserve"> </w:t>
      </w:r>
      <w:r>
        <w:t xml:space="preserve">that enforces capacity. Proposition 1 shows that once the policy is fixed and estimates are given, allocation is a sorting problem with an exact solution in both regimes. The design effort should therefore go into estimation and into the rules themselves, not into the allocator. The mechanism analysis (Table 8) adds a design principle: quality signals belong in the model of</w:t>
      </w:r>
      <w:r>
        <w:t xml:space="preserve"> </w:t>
      </w:r>
      <w:r>
        <w:rPr>
          <w:iCs/>
          <w:i/>
        </w:rPr>
        <w:t xml:space="preserve">automated</w:t>
      </w:r>
      <w:r>
        <w:t xml:space="preserve"> </w:t>
      </w:r>
      <w:r>
        <w:t xml:space="preserve">error when missingness may be informative, and in the model of</w:t>
      </w:r>
      <w:r>
        <w:t xml:space="preserve"> </w:t>
      </w:r>
      <w:r>
        <w:rPr>
          <w:iCs/>
          <w:i/>
        </w:rPr>
        <w:t xml:space="preserve">reviewer</w:t>
      </w:r>
      <w:r>
        <w:t xml:space="preserve"> </w:t>
      </w:r>
      <w:r>
        <w:t xml:space="preserve">error only when there is evidence that reviewers are affected by the same defects. The two-head decomposition makes that choice explicit and auditable, and lets the automation head use all labelled outcomes even when review logs are sparse.</w:t>
      </w:r>
    </w:p>
    <w:p>
      <w:pPr>
        <w:pStyle w:val="BodyText"/>
      </w:pPr>
      <w:r>
        <w:t xml:space="preserve">The results also qualify the value of methodological sophistication in this setting. Two consistent L2D surrogates, adapted only by adding cost weights and a shared classifier, were the weakest learned methods at small and medium data volumes. This is unsurprising given that they learn a three-way decision from scratch, whereas the two-head router and Chow’s rule start from a calibrated probability, but it suggests that reviews of deferral methods should report sample-size dependence alongside asymptotic guarantees.</w:t>
      </w:r>
    </w:p>
    <w:bookmarkEnd w:id="66"/>
    <w:bookmarkStart w:id="67" w:name="implications-for-managers"/>
    <w:p>
      <w:pPr>
        <w:pStyle w:val="Heading2"/>
      </w:pPr>
      <w:r>
        <w:t xml:space="preserve">6.3. Implications for managers</w:t>
      </w:r>
    </w:p>
    <w:p>
      <w:pPr>
        <w:pStyle w:val="FirstParagraph"/>
      </w:pPr>
      <w:r>
        <w:t xml:space="preserve">Four operational recommendations follow, each tied to a measured outcome:</w:t>
      </w:r>
    </w:p>
    <w:p>
      <w:pPr>
        <w:numPr>
          <w:ilvl w:val="0"/>
          <w:numId w:val="1004"/>
        </w:numPr>
        <w:pStyle w:val="Compact"/>
      </w:pPr>
      <w:r>
        <w:rPr>
          <w:bCs/>
          <w:b/>
        </w:rPr>
        <w:t xml:space="preserve">Start with a cost-aware heuristic.</w:t>
      </w:r>
      <w:r>
        <w:t xml:space="preserve"> </w:t>
      </w:r>
      <w:r>
        <w:t xml:space="preserve">Until a few thousand review outcomes have been logged, route by Bayes risk of the automated decision (Chow’s rule) or by closeness to the cost threshold. Both use no reviewer data, cannot overfit review logs, and were within about 1% of the best learned router in most settings.</w:t>
      </w:r>
    </w:p>
    <w:p>
      <w:pPr>
        <w:numPr>
          <w:ilvl w:val="0"/>
          <w:numId w:val="1004"/>
        </w:numPr>
        <w:pStyle w:val="Compact"/>
      </w:pPr>
      <w:r>
        <w:rPr>
          <w:bCs/>
          <w:b/>
        </w:rPr>
        <w:t xml:space="preserve">Staff to mandatory demand, not to average demand.</w:t>
      </w:r>
      <w:r>
        <w:t xml:space="preserve"> </w:t>
      </w:r>
      <w:r>
        <w:t xml:space="preserve">Review capacity must exceed the mandatory arrival rate during deterioration episodes, or a backlog of</w:t>
      </w:r>
      <w:r>
        <w:t xml:space="preserve"> </w:t>
      </w:r>
      <m:oMath>
        <m:sSup>
          <m:e>
            <m:d>
              <m:dPr>
                <m:begChr m:val="("/>
                <m:endChr m:val=")"/>
                <m:sepChr m:val=""/>
                <m:grow/>
              </m:dPr>
              <m:e>
                <m:r>
                  <m:t>μ</m:t>
                </m:r>
                <m:r>
                  <m:rPr>
                    <m:sty m:val="p"/>
                  </m:rPr>
                  <m:t>−</m:t>
                </m:r>
                <m:r>
                  <m:t>b</m:t>
                </m:r>
              </m:e>
            </m:d>
          </m:e>
          <m:sup>
            <m:r>
              <m:rPr>
                <m:sty m:val="p"/>
              </m:rPr>
              <m:t>+</m:t>
            </m:r>
          </m:sup>
        </m:sSup>
      </m:oMath>
      <w:r>
        <w:t xml:space="preserve"> </w:t>
      </w:r>
      <w:r>
        <w:t xml:space="preserve">per record per period accumulates. In our simulation a ten-day episode at 70% mandatory demand left about 500 records waiting at 20% capacity and about 27 at 70%. Monitoring the mandatory rate is a leading indicator of staffing gaps.</w:t>
      </w:r>
    </w:p>
    <w:p>
      <w:pPr>
        <w:numPr>
          <w:ilvl w:val="0"/>
          <w:numId w:val="1004"/>
        </w:numPr>
        <w:pStyle w:val="Compact"/>
      </w:pPr>
      <w:r>
        <w:rPr>
          <w:bCs/>
          <w:b/>
        </w:rPr>
        <w:t xml:space="preserve">Choose the queue discipline for its service profile, not its cost.</w:t>
      </w:r>
      <w:r>
        <w:t xml:space="preserve"> </w:t>
      </w:r>
      <w:r>
        <w:t xml:space="preserve">FIFO halves tail waiting time; cost-ordered queues resolve more cases within two days but let some cases wait more than two weeks. The choice belongs in the service-level agreement.</w:t>
      </w:r>
    </w:p>
    <w:p>
      <w:pPr>
        <w:numPr>
          <w:ilvl w:val="0"/>
          <w:numId w:val="1004"/>
        </w:numPr>
        <w:pStyle w:val="Compact"/>
      </w:pPr>
      <w:r>
        <w:rPr>
          <w:bCs/>
          <w:b/>
        </w:rPr>
        <w:t xml:space="preserve">Do not treat override rates or zero violations as evidence of good governance.</w:t>
      </w:r>
      <w:r>
        <w:t xml:space="preserve"> </w:t>
      </w:r>
      <w:r>
        <w:t xml:space="preserve">With asymmetric costs, reviewers overturned nearly half of automated decisions by design. Zero rule violations held by construction even when three-quarters of defective records were automated under invisible defects. Governance reporting should include defect-detection coverage, unresolved-case age and the mandatory-to-capacity ratio.</w:t>
      </w:r>
    </w:p>
    <w:bookmarkEnd w:id="67"/>
    <w:bookmarkEnd w:id="68"/>
    <w:bookmarkStart w:id="69" w:name="limitations-and-future-work"/>
    <w:p>
      <w:pPr>
        <w:pStyle w:val="Heading1"/>
      </w:pPr>
      <w:r>
        <w:t xml:space="preserve">7. Limitations and future work</w:t>
      </w:r>
    </w:p>
    <w:p>
      <w:pPr>
        <w:pStyle w:val="FirstParagraph"/>
      </w:pPr>
      <w:r>
        <w:rPr>
          <w:bCs/>
          <w:b/>
        </w:rPr>
        <w:t xml:space="preserve">Simulated reviewers.</w:t>
      </w:r>
      <w:r>
        <w:t xml:space="preserve"> </w:t>
      </w:r>
      <w:r>
        <w:t xml:space="preserve">No public dataset links credit decisions to logged human reviews, so reviewer behaviour is simulated. We reduced dependence on any single assumption by using five reviewer models, two of which err on information the router cannot see, and by training on sampled rather than expected reviewer outcomes. Real reviewers may also learn, tire, anchor on the model’s recommendation [30] or change behaviour under backlog pressure, none of which is modelled. Validation with operational review logs is the most important next step.</w:t>
      </w:r>
    </w:p>
    <w:p>
      <w:pPr>
        <w:pStyle w:val="BodyText"/>
      </w:pPr>
      <w:r>
        <w:rPr>
          <w:bCs/>
          <w:b/>
        </w:rPr>
        <w:t xml:space="preserve">Datasets and corruption.</w:t>
      </w:r>
      <w:r>
        <w:t xml:space="preserve"> </w:t>
      </w:r>
      <w:r>
        <w:t xml:space="preserve">The three original benchmarks are old and small, and Family B mechanisms are stylised versions of real defects. HMEQ provides natural missingness but is itself a public benchmark of uncertain provenance. Category codes are treated as integers, and no contemporary dataset could be obtained in the computing environment used for this revision. Results for invisible defects depend on how stale and mis-keyed values are generated.</w:t>
      </w:r>
    </w:p>
    <w:p>
      <w:pPr>
        <w:pStyle w:val="BodyText"/>
      </w:pPr>
      <w:r>
        <w:rPr>
          <w:bCs/>
          <w:b/>
        </w:rPr>
        <w:t xml:space="preserve">Rules and costs.</w:t>
      </w:r>
      <w:r>
        <w:t xml:space="preserve"> </w:t>
      </w:r>
      <w:r>
        <w:t xml:space="preserve">Thresholds, the 5:1 cost ratio, the review fee and the hold penalty are illustrative rather than elicited from an organisation. We varied each and refitted the policies, and the method ranking was stable, but appropriate values must come from domain owners and regulators. The defect-based appropriateness measure in Table 11 uses an arbitrary 20% threshold.</w:t>
      </w:r>
    </w:p>
    <w:p>
      <w:pPr>
        <w:pStyle w:val="BodyText"/>
      </w:pPr>
      <w:r>
        <w:rPr>
          <w:bCs/>
          <w:b/>
        </w:rPr>
        <w:t xml:space="preserve">Statistics.</w:t>
      </w:r>
      <w:r>
        <w:t xml:space="preserve"> </w:t>
      </w:r>
      <w:r>
        <w:t xml:space="preserve">Repeated splits reuse observations. The corrected resampled</w:t>
      </w:r>
      <w:r>
        <w:t xml:space="preserve"> </w:t>
      </w:r>
      <m:oMath>
        <m:r>
          <m:t>t</m:t>
        </m:r>
      </m:oMath>
      <w:r>
        <w:t xml:space="preserve">-test reduces but does not eliminate the resulting optimism, and with three primary datasets, dataset-level generalisation rests largely on the data-volume and external analyses. Several effects of interest (H1, H3, H4) were directionally consistent but not significant, and should be treated as inconclusive rather than as evidence of no effect.</w:t>
      </w:r>
    </w:p>
    <w:p>
      <w:pPr>
        <w:pStyle w:val="BodyText"/>
      </w:pPr>
      <w:r>
        <w:rPr>
          <w:bCs/>
          <w:b/>
        </w:rPr>
        <w:t xml:space="preserve">Scope of the method.</w:t>
      </w:r>
      <w:r>
        <w:t xml:space="preserve"> </w:t>
      </w:r>
      <w:r>
        <w:t xml:space="preserve">The allocator is exact for the stated single-batch problem, but the multi-period system uses it myopically, without anticipating future arrivals. Congestion-aware deferral [28] and constraint-programming assignment [15] address related dynamic and multi-expert problems. The L2D baselines were adapted (shared classifier, cost weights, a small network) and may perform better with tuning or larger architectures. Fairness, legal sufficiency of the rules and causal effects of review on outcomes are outside the scope of this study.</w:t>
      </w:r>
    </w:p>
    <w:bookmarkEnd w:id="69"/>
    <w:bookmarkStart w:id="70" w:name="conclusion"/>
    <w:p>
      <w:pPr>
        <w:pStyle w:val="Heading1"/>
      </w:pPr>
      <w:r>
        <w:t xml:space="preserve">8. Conclusion</w:t>
      </w:r>
    </w:p>
    <w:p>
      <w:pPr>
        <w:pStyle w:val="FirstParagraph"/>
      </w:pPr>
      <w:r>
        <w:t xml:space="preserve">This study re-examined a data-quality-aware deferral system with explicit governance rules and review capacity, against published deferral methods, under reviewer models that do not favour its representation and under defects that quality checks cannot see. The system’s allocator solves the governance-constrained routing problem exactly in both feasible and overloaded regimes, and its two-head estimator learns from incomplete review logs. It did not, however, outperform simple cost-aware routing in the pooled comparison dominated by small datasets. Its value is conditional. It outperformed all comparators when trained on several thousand records, and quality information improved it chiefly when missingness was informative about outcomes, through better estimates of automated error rather than of reviewer error. Under severe data deterioration, staffing determined backlog and service completion far more than any routing choice, and quality-triggered rules protected only against the defects they could observe. For knowledge-based decision systems used in AI governance, the practical message is to make the rule layer, the estimation layer and the capacity layer separately visible, to measure each, and to reserve learned routing for settings with sufficient review history.</w:t>
      </w:r>
    </w:p>
    <w:bookmarkEnd w:id="70"/>
    <w:bookmarkStart w:id="71" w:name="data-and-code-availability"/>
    <w:p>
      <w:pPr>
        <w:pStyle w:val="Heading1"/>
      </w:pPr>
      <w:r>
        <w:t xml:space="preserve">Data and code availability</w:t>
      </w:r>
    </w:p>
    <w:p>
      <w:pPr>
        <w:pStyle w:val="FirstParagraph"/>
      </w:pPr>
      <w:r>
        <w:t xml:space="preserve">All data are public: German, Australian and default credit from the UCI Machine Learning Repository [43–45] and HMEQ [46]. The code, configuration, seed-level results for every experiment, and scripts that regenerate every table and figure are in the</w:t>
      </w:r>
      <w:r>
        <w:t xml:space="preserve"> </w:t>
      </w:r>
      <w:r>
        <w:rPr>
          <w:rStyle w:val="VerbatimChar"/>
        </w:rPr>
        <w:t xml:space="preserve">budgeted_deferral/</w:t>
      </w:r>
      <w:r>
        <w:t xml:space="preserve"> </w:t>
      </w:r>
      <w:r>
        <w:t xml:space="preserve">directory of the author’s repository https://github.com/ykunam/data-quality-budgeted-deferral. A versioned release with an archival DOI should be created before submission.</w:t>
      </w:r>
    </w:p>
    <w:bookmarkEnd w:id="71"/>
    <w:bookmarkStart w:id="72" w:name="declaration-of-competing-interest"/>
    <w:p>
      <w:pPr>
        <w:pStyle w:val="Heading1"/>
      </w:pPr>
      <w:r>
        <w:t xml:space="preserve">Declaration of competing interest</w:t>
      </w:r>
    </w:p>
    <w:p>
      <w:pPr>
        <w:pStyle w:val="FirstParagraph"/>
      </w:pPr>
      <w:r>
        <w:t xml:space="preserve">The author must confirm before submission. No funding or competing interests are asserted in this draft.</w:t>
      </w:r>
    </w:p>
    <w:bookmarkEnd w:id="72"/>
    <w:bookmarkStart w:id="73" w:name="funding"/>
    <w:p>
      <w:pPr>
        <w:pStyle w:val="Heading1"/>
      </w:pPr>
      <w:r>
        <w:t xml:space="preserve">Funding</w:t>
      </w:r>
    </w:p>
    <w:p>
      <w:pPr>
        <w:pStyle w:val="FirstParagraph"/>
      </w:pPr>
      <w:r>
        <w:t xml:space="preserve">To be confirmed by the author before submission.</w:t>
      </w:r>
    </w:p>
    <w:bookmarkEnd w:id="73"/>
    <w:bookmarkStart w:id="74" w:name="credit-authorship-contribution-statement"/>
    <w:p>
      <w:pPr>
        <w:pStyle w:val="Heading1"/>
      </w:pPr>
      <w:r>
        <w:t xml:space="preserve">CRediT authorship contribution statement</w:t>
      </w:r>
    </w:p>
    <w:p>
      <w:pPr>
        <w:pStyle w:val="FirstParagraph"/>
      </w:pPr>
      <w:r>
        <w:rPr>
          <w:bCs/>
          <w:b/>
        </w:rPr>
        <w:t xml:space="preserve">Yeshwanth Reddy Kunam:</w:t>
      </w:r>
      <w:r>
        <w:t xml:space="preserve"> </w:t>
      </w:r>
      <w:r>
        <w:t xml:space="preserve">Conceptualization, Methodology, Software, Validation, Formal analysis, Investigation, Data curation, Writing – original draft, Writing – review and editing, Visualization. (To be confirmed by the author.)</w:t>
      </w:r>
    </w:p>
    <w:bookmarkEnd w:id="74"/>
    <w:bookmarkStart w:id="75" w:name="X1f74eb43af444059c7518034463b6c89b1cacf4"/>
    <w:p>
      <w:pPr>
        <w:pStyle w:val="Heading1"/>
      </w:pPr>
      <w:r>
        <w:t xml:space="preserve">Declaration of generative AI and AI-assisted technologies in the manuscript preparation process</w:t>
      </w:r>
    </w:p>
    <w:p>
      <w:pPr>
        <w:pStyle w:val="FirstParagraph"/>
      </w:pPr>
      <w:r>
        <w:t xml:space="preserve">ChatGPT (OpenAI) assisted with the original study design, code and drafting. Claude (Anthropic) assisted with the revision: reimplementing the experimental pipeline, implementing the comparison methods, running the experiments, statistical analysis, figures, literature checking and manuscript drafting. The author must critically review, verify and adopt all content before submission and takes full responsibility for the accuracy and originality of the published work.</w:t>
      </w:r>
    </w:p>
    <w:bookmarkEnd w:id="75"/>
    <w:bookmarkStart w:id="76" w:name="references"/>
    <w:p>
      <w:pPr>
        <w:pStyle w:val="Heading1"/>
      </w:pPr>
      <w:r>
        <w:t xml:space="preserve">References</w:t>
      </w:r>
    </w:p>
    <w:p>
      <w:pPr>
        <w:pStyle w:val="FirstParagraph"/>
      </w:pPr>
      <w:r>
        <w:t xml:space="preserve">[1] R. Abraham, J. Schneider, J. vom Brocke, Data governance: A conceptual framework, structured review, and research agenda, Int. J. Inf. Manag. 49 (2019) 424–438. https://doi.org/10.1016/j.ijinfomgt.2019.07.008</w:t>
      </w:r>
    </w:p>
    <w:p>
      <w:pPr>
        <w:pStyle w:val="BodyText"/>
      </w:pPr>
      <w:r>
        <w:t xml:space="preserve">[2] M. Janssen, P. Brous, E. Estevez, L.S. Barbosa, T. Janowski, Data governance: Organizing data for trustworthy artificial intelligence, Gov. Inf. Q. 37 (2020) 101493. https://doi.org/10.1016/j.giq.2020.101493</w:t>
      </w:r>
    </w:p>
    <w:p>
      <w:pPr>
        <w:pStyle w:val="BodyText"/>
      </w:pPr>
      <w:r>
        <w:t xml:space="preserve">[3] E. Papagiannidis, P. Mikalef, K. Conboy, Responsible artificial intelligence governance: A review and research framework, J. Strateg. Inf. Syst. 34 (2025) 101885. https://doi.org/10.1016/j.jsis.2024.101885</w:t>
      </w:r>
    </w:p>
    <w:p>
      <w:pPr>
        <w:pStyle w:val="BodyText"/>
      </w:pPr>
      <w:r>
        <w:t xml:space="preserve">[4] B.W. Wirtz, J.C. Weyerer, I. Kehl, Governance of artificial intelligence: A risk and guideline-based integrative framework, Gov. Inf. Q. 39 (2022) 101685. https://doi.org/10.1016/j.giq.2022.101685</w:t>
      </w:r>
    </w:p>
    <w:p>
      <w:pPr>
        <w:pStyle w:val="BodyText"/>
      </w:pPr>
      <w:r>
        <w:t xml:space="preserve">[5] European Parliament and Council, Regulation (EU) 2024/1689 laying down harmonised rules on artificial intelligence (Artificial Intelligence Act), Off. J. Eur. Union L, 2024/1689, 12 July 2024, Art. 14 and Annex III(5)(b).</w:t>
      </w:r>
    </w:p>
    <w:p>
      <w:pPr>
        <w:pStyle w:val="BodyText"/>
      </w:pPr>
      <w:r>
        <w:t xml:space="preserve">[6] B. Green, The flaws of policies requiring human oversight of government algorithms, Comput. Law Secur. Rev. 45 (2022) 105681. https://doi.org/10.1016/j.clsr.2022.105681</w:t>
      </w:r>
    </w:p>
    <w:p>
      <w:pPr>
        <w:pStyle w:val="BodyText"/>
      </w:pPr>
      <w:r>
        <w:t xml:space="preserve">[7] C. Chow, On optimum recognition error and reject tradeoff, IEEE Trans. Inf. Theory 16 (1970) 41–46. https://doi.org/10.1109/TIT.1970.1054406</w:t>
      </w:r>
    </w:p>
    <w:p>
      <w:pPr>
        <w:pStyle w:val="BodyText"/>
      </w:pPr>
      <w:r>
        <w:t xml:space="preserve">[8] X.Y. Zhang, G.S. Xie, X. Li, T. Mei, C.L. Liu, A survey on learning to reject, Proc. IEEE 111 (2023) 185–215. https://doi.org/10.1109/JPROC.2023.3238024</w:t>
      </w:r>
    </w:p>
    <w:p>
      <w:pPr>
        <w:pStyle w:val="BodyText"/>
      </w:pPr>
      <w:r>
        <w:t xml:space="preserve">[9] D. Madras, T. Pitassi, R. Zemel, Predict responsibly: Improving fairness and accuracy by learning to defer, in: Adv. Neural Inf. Process. Syst. 31 (2018).</w:t>
      </w:r>
    </w:p>
    <w:p>
      <w:pPr>
        <w:pStyle w:val="BodyText"/>
      </w:pPr>
      <w:r>
        <w:t xml:space="preserve">[10] H. Mozannar, D. Sontag, Consistent estimators for learning to defer to an expert, in: Proc. 37th Int. Conf. Mach. Learn., PMLR 119 (2020) 7076–7087.</w:t>
      </w:r>
    </w:p>
    <w:p>
      <w:pPr>
        <w:pStyle w:val="BodyText"/>
      </w:pPr>
      <w:r>
        <w:t xml:space="preserve">[11] R. Verma, E. Nalisnick, Calibrated learning to defer with one-vs-all classifiers, in: Proc. 39th Int. Conf. Mach. Learn., PMLR 162 (2022) 22184–22202.</w:t>
      </w:r>
    </w:p>
    <w:p>
      <w:pPr>
        <w:pStyle w:val="BodyText"/>
      </w:pPr>
      <w:r>
        <w:t xml:space="preserve">[12] H. Mozannar, H. Lang, D. Wei, P. Sattigeri, S. Das, D. Sontag, Who should predict? Exact algorithms for learning to defer to humans, in: Proc. 26th Int. Conf. Artif. Intell. Stat., PMLR 206 (2023) 10520–10545.</w:t>
      </w:r>
    </w:p>
    <w:p>
      <w:pPr>
        <w:pStyle w:val="BodyText"/>
      </w:pPr>
      <w:r>
        <w:t xml:space="preserve">[13] M. Raghu, K. Blumer, G. Corrado, J. Kleinberg, Z. Obermeyer, S. Mullainathan, The algorithmic automation problem: Prediction, triage, and human effort, arXiv preprint (2019). https://doi.org/10.48550/arXiv.1903.12220</w:t>
      </w:r>
    </w:p>
    <w:p>
      <w:pPr>
        <w:pStyle w:val="BodyText"/>
      </w:pPr>
      <w:r>
        <w:t xml:space="preserve">[14] N. Okati, A. De, M. Gomez-Rodriguez, Differentiable learning under triage, in: Adv. Neural Inf. Process. Syst. 34 (2021). https://doi.org/10.48550/arXiv.2103.08902</w:t>
      </w:r>
    </w:p>
    <w:p>
      <w:pPr>
        <w:pStyle w:val="BodyText"/>
      </w:pPr>
      <w:r>
        <w:t xml:space="preserve">[15] J.V. Alves, D. Leitão, S. Jesus, M.O.P. Sampaio, J. Liébana, P. Saleiro, M.A.T. Figueiredo, P. Bizarro, Cost-sensitive learning to defer to multiple experts with workload constraints, Trans. Mach. Learn. Res. (2024). https://openreview.net/forum?id=TAvGZm2Rqb</w:t>
      </w:r>
    </w:p>
    <w:p>
      <w:pPr>
        <w:pStyle w:val="BodyText"/>
      </w:pPr>
      <w:r>
        <w:t xml:space="preserve">[16] P. Hemmer, L. Thede, M. Vössing, J. Jakubik, N. Kühl, Learning to defer with limited expert predictions, Proc. AAAI Conf. Artif. Intell. 37 (2023) 6002–6011. https://doi.org/10.1609/aaai.v37i5.25742</w:t>
      </w:r>
    </w:p>
    <w:p>
      <w:pPr>
        <w:pStyle w:val="BodyText"/>
      </w:pPr>
      <w:r>
        <w:t xml:space="preserve">[17] R.Y. Wang, D.M. Strong, Beyond accuracy: What data quality means to data consumers, J. Manag. Inf. Syst. 12 (1996) 5–33. https://doi.org/10.1080/07421222.1996.11518099</w:t>
      </w:r>
    </w:p>
    <w:p>
      <w:pPr>
        <w:pStyle w:val="BodyText"/>
      </w:pPr>
      <w:r>
        <w:t xml:space="preserve">[18] E. Breck, N. Polyzotis, S. Roy, S.E. Whang, M. Zinkevich, Data validation for machine learning, in: Proc. Mach. Learn. Syst. 1 (2019) 334–347.</w:t>
      </w:r>
    </w:p>
    <w:p>
      <w:pPr>
        <w:pStyle w:val="BodyText"/>
      </w:pPr>
      <w:r>
        <w:t xml:space="preserve">[19] C. Chai, J. Wang, Y. Luo, Z. Niu, G. Li, Data management for machine learning: A survey, IEEE Trans. Knowl. Data Eng. 35 (2023) 4646–4667. https://doi.org/10.1109/TKDE.2022.3148237</w:t>
      </w:r>
    </w:p>
    <w:p>
      <w:pPr>
        <w:pStyle w:val="BodyText"/>
      </w:pPr>
      <w:r>
        <w:t xml:space="preserve">[20] Board of Governors of the Federal Reserve System, Office of the Comptroller of the Currency, Supervisory guidance on model risk management, SR Letter 11-7, 4 April 2011.</w:t>
      </w:r>
    </w:p>
    <w:p>
      <w:pPr>
        <w:pStyle w:val="BodyText"/>
      </w:pPr>
      <w:r>
        <w:t xml:space="preserve">[21] Y. Geifman, R. El-Yaniv, SelectiveNet: A deep neural network with an integrated reject option, in: Proc. 36th Int. Conf. Mach. Learn., PMLR 97 (2019) 2151–2159.</w:t>
      </w:r>
    </w:p>
    <w:p>
      <w:pPr>
        <w:pStyle w:val="BodyText"/>
      </w:pPr>
      <w:r>
        <w:t xml:space="preserve">[22] J. Mena, O. Pujol, J. Vitrià, Uncertainty-based rejection wrappers for black-box classifiers, IEEE Access 8 (2020) 101721–101746. https://doi.org/10.1109/ACCESS.2020.2996495</w:t>
      </w:r>
    </w:p>
    <w:p>
      <w:pPr>
        <w:pStyle w:val="BodyText"/>
      </w:pPr>
      <w:r>
        <w:t xml:space="preserve">[23] R. Verma, D. Barrejón, E. Nalisnick, Learning to defer to multiple experts: Consistent surrogate losses, confidence calibration, and conformal ensembles, in: Proc. 26th Int. Conf. Artif. Intell. Stat., PMLR 206 (2023) 11415–11434.</w:t>
      </w:r>
    </w:p>
    <w:p>
      <w:pPr>
        <w:pStyle w:val="BodyText"/>
      </w:pPr>
      <w:r>
        <w:t xml:space="preserve">[24] A. Mao, M. Mohri, Y. Zhong, Mastering multiple-expert routing: Realizable H-consistency and strong guarantees for learning to defer, in: Proc. 42nd Int. Conf. Mach. Learn., PMLR 267 (2025) 43035–43066.</w:t>
      </w:r>
    </w:p>
    <w:p>
      <w:pPr>
        <w:pStyle w:val="BodyText"/>
      </w:pPr>
      <w:r>
        <w:t xml:space="preserve">[25] S. Liu, Y. Cao, Q. Zhang, L. Feng, B. An, Mitigating underfitting in learning to defer with consistent losses, in: Proc. 27th Int. Conf. Artif. Intell. Stat., PMLR 238 (2024) 4816–4824.</w:t>
      </w:r>
    </w:p>
    <w:p>
      <w:pPr>
        <w:pStyle w:val="BodyText"/>
      </w:pPr>
      <w:r>
        <w:t xml:space="preserve">[26] Z. Wei, Y. Cao, L. Feng, Exploiting human-AI dependence for learning to defer, in: Proc. 41st Int. Conf. Mach. Learn., PMLR 235 (2024) 52484–52499.</w:t>
      </w:r>
    </w:p>
    <w:p>
      <w:pPr>
        <w:pStyle w:val="BodyText"/>
      </w:pPr>
      <w:r>
        <w:t xml:space="preserve">[27] G. DeSalvo, C. Mohri, M. Mohri, Y. Zhong, Budgeted multiple-expert deferral, arXiv preprint (2025). https://doi.org/10.48550/arXiv.2510.26706</w:t>
      </w:r>
    </w:p>
    <w:p>
      <w:pPr>
        <w:pStyle w:val="BodyText"/>
      </w:pPr>
      <w:r>
        <w:t xml:space="preserve">[28] V. Saketos, W. Reveillard, A. Proutiere, S. Dalleiger, M. Xiao, To defer or not to defer? Online learning with LLMs and congested experts, arXiv preprint (2026). https://doi.org/10.48550/arXiv.2610.15128</w:t>
      </w:r>
    </w:p>
    <w:p>
      <w:pPr>
        <w:pStyle w:val="BodyText"/>
      </w:pPr>
      <w:r>
        <w:t xml:space="preserve">[29] S. Tariq, M. Baruwal Chhetri, S. Nepal, C. Paris, A2C: A modular multi-stage collaborative decision framework for human–AI teams, Expert Syst. Appl. 282 (2025) 127318. https://doi.org/10.1016/j.eswa.2025.127318</w:t>
      </w:r>
    </w:p>
    <w:p>
      <w:pPr>
        <w:pStyle w:val="BodyText"/>
      </w:pPr>
      <w:r>
        <w:t xml:space="preserve">[30] G. Bansal, B. Nushi, E. Kamar, E. Horvitz, D.S. Weld, Is the most accurate AI the best teammate? Optimizing AI for teamwork, Proc. AAAI Conf. Artif. Intell. 35 (2021) 11405–11414. https://doi.org/10.1609/aaai.v35i13.17359</w:t>
      </w:r>
    </w:p>
    <w:p>
      <w:pPr>
        <w:pStyle w:val="BodyText"/>
      </w:pPr>
      <w:r>
        <w:t xml:space="preserve">[31] A. Farinhas, N.M. Guerreiro, S. Agrawal, R. Rei, A. Martins, Translate smart, not hard: Cascaded translation systems with quality-aware deferral, in: Proc. 2025 Conf. Empirical Methods Nat. Lang. Process. (2025) 26742–26756. https://doi.org/10.18653/v1/2025.emnlp-main.1358</w:t>
      </w:r>
    </w:p>
    <w:p>
      <w:pPr>
        <w:pStyle w:val="BodyText"/>
      </w:pPr>
      <w:r>
        <w:t xml:space="preserve">[32] L. Zhang, D. Jeong, S. Lee, Data quality management in the Internet of Things, Sensors 21 (2021) 5834. https://doi.org/10.3390/s21175834</w:t>
      </w:r>
    </w:p>
    <w:p>
      <w:pPr>
        <w:pStyle w:val="BodyText"/>
      </w:pPr>
      <w:r>
        <w:t xml:space="preserve">[33] R.J.A. Little, D.B. Rubin, Statistical Analysis with Missing Data, 3rd ed., Wiley, Hoboken, NJ, 2019. https://doi.org/10.1002/9781119482260</w:t>
      </w:r>
    </w:p>
    <w:p>
      <w:pPr>
        <w:pStyle w:val="BodyText"/>
      </w:pPr>
      <w:r>
        <w:t xml:space="preserve">[34] G. Sklavos, G. Theodossiou, Z. Papanikolaou, C. Karelakis, K. Ragazou, Environmental, social, and governance-based artificial intelligence governance: Digitalizing firms’ leadership and human resources management, Sustainability 16 (2024) 7154. https://doi.org/10.3390/su16167154</w:t>
      </w:r>
    </w:p>
    <w:p>
      <w:pPr>
        <w:pStyle w:val="BodyText"/>
      </w:pPr>
      <w:r>
        <w:t xml:space="preserve">[35] M.H. Jarrahi, Artificial intelligence and the future of work: Human-AI symbiosis in organizational decision making, Bus. Horiz. 61 (2018) 577–586. https://doi.org/10.1016/j.bushor.2018.03.007</w:t>
      </w:r>
    </w:p>
    <w:p>
      <w:pPr>
        <w:pStyle w:val="BodyText"/>
      </w:pPr>
      <w:r>
        <w:t xml:space="preserve">[36] P. Mikalef, M. Gupta, Artificial intelligence capability: Conceptualization, measurement calibration, and empirical study on its impact on organizational creativity and firm performance, Inf. Manag. 58 (2021) 103434. https://doi.org/10.1016/j.im.2021.103434</w:t>
      </w:r>
    </w:p>
    <w:p>
      <w:pPr>
        <w:pStyle w:val="BodyText"/>
      </w:pPr>
      <w:r>
        <w:t xml:space="preserve">[37] M.A. Onari, M.J. Rezaee, M. Saberi, M.S. Nobile, An explainable data-driven decision support framework for strategic customer development, Knowl.-Based Syst. 295 (2024) 111761. https://doi.org/10.1016/j.knosys.2024.111761</w:t>
      </w:r>
    </w:p>
    <w:p>
      <w:pPr>
        <w:pStyle w:val="BodyText"/>
      </w:pPr>
      <w:r>
        <w:t xml:space="preserve">[38] A. Barredo Arrieta, N. Díaz-Rodríguez, J. Del Ser, et al., Explainable artificial intelligence (XAI): Concepts, taxonomies, opportunities and challenges toward responsible AI, Inf. Fusion 58 (2020) 82–115. https://doi.org/10.1016/j.inffus.2019.12.012</w:t>
      </w:r>
    </w:p>
    <w:p>
      <w:pPr>
        <w:pStyle w:val="BodyText"/>
      </w:pPr>
      <w:r>
        <w:t xml:space="preserve">[39] A. Adadi, M. Berrada, Peeking inside the black-box: A survey on explainable artificial intelligence (XAI), IEEE Access 6 (2018) 52138–52160. https://doi.org/10.1109/ACCESS.2018.2870052</w:t>
      </w:r>
    </w:p>
    <w:p>
      <w:pPr>
        <w:pStyle w:val="BodyText"/>
      </w:pPr>
      <w:r>
        <w:t xml:space="preserve">[40] A. Artelt, R. Visser, B. Hammer,</w:t>
      </w:r>
      <w:r>
        <w:t xml:space="preserve"> </w:t>
      </w:r>
      <w:r>
        <w:t xml:space="preserve">“</w:t>
      </w:r>
      <w:r>
        <w:t xml:space="preserve">I do not know! but why?</w:t>
      </w:r>
      <w:r>
        <w:t xml:space="preserve">”</w:t>
      </w:r>
      <w:r>
        <w:t xml:space="preserve"> </w:t>
      </w:r>
      <w:r>
        <w:t xml:space="preserve">— Local model-agnostic example-based explanations of reject, Neurocomputing 558 (2023) 126722. https://doi.org/10.1016/j.neucom.2023.126722</w:t>
      </w:r>
    </w:p>
    <w:p>
      <w:pPr>
        <w:pStyle w:val="BodyText"/>
      </w:pPr>
      <w:r>
        <w:t xml:space="preserve">[41] J.D.C. Little, A proof for the queuing formula: L = λW, Oper. Res. 9 (1961) 383–387. https://doi.org/10.1287/opre.9.3.383</w:t>
      </w:r>
    </w:p>
    <w:p>
      <w:pPr>
        <w:pStyle w:val="BodyText"/>
      </w:pPr>
      <w:r>
        <w:t xml:space="preserve">[42] S. Lessmann, B. Baesens, H.V. Seow, L.C. Thomas, Benchmarking state-of-the-art classification algorithms for credit scoring: An update of research, Eur. J. Oper. Res. 247 (2015) 124–136. https://doi.org/10.1016/j.ejor.2015.05.030</w:t>
      </w:r>
    </w:p>
    <w:p>
      <w:pPr>
        <w:pStyle w:val="BodyText"/>
      </w:pPr>
      <w:r>
        <w:t xml:space="preserve">[43] [dataset] H. Hofmann, Statlog (German Credit Data), UCI Machine Learning Repository (1994). https://doi.org/10.24432/C5NC77</w:t>
      </w:r>
    </w:p>
    <w:p>
      <w:pPr>
        <w:pStyle w:val="BodyText"/>
      </w:pPr>
      <w:r>
        <w:t xml:space="preserve">[44] [dataset] R. Quinlan, Statlog (Australian Credit Approval), UCI Machine Learning Repository (1987). https://doi.org/10.24432/C59012</w:t>
      </w:r>
    </w:p>
    <w:p>
      <w:pPr>
        <w:pStyle w:val="BodyText"/>
      </w:pPr>
      <w:r>
        <w:t xml:space="preserve">[45] [dataset] I. Yeh, Default of Credit Card Clients, UCI Machine Learning Repository (2009). https://doi.org/10.24432/C55S3H</w:t>
      </w:r>
    </w:p>
    <w:p>
      <w:pPr>
        <w:pStyle w:val="BodyText"/>
      </w:pPr>
      <w:r>
        <w:t xml:space="preserve">[46] [dataset] B. Baesens, D. Rösch, H. Scheule, Credit Risk Analytics: Measurement Techniques, Applications, and Examples in SAS, Wiley, Hoboken, NJ, 2016 (HMEQ data set).</w:t>
      </w:r>
    </w:p>
    <w:p>
      <w:pPr>
        <w:pStyle w:val="BodyText"/>
      </w:pPr>
      <w:r>
        <w:t xml:space="preserve">[47] C. Nadeau, Y. Bengio, Inference for the generalization error, Mach. Learn. 52 (2003) 239–281. https://doi.org/10.1023/A:1024068626366</w:t>
      </w:r>
    </w:p>
    <w:p>
      <w:pPr>
        <w:pStyle w:val="BodyText"/>
      </w:pPr>
      <w:r>
        <w:t xml:space="preserve">[48] S. Holm, A simple sequentially rejective multiple test procedure, Scand. J. Stat. 6 (1979) 65–70.</w:t>
      </w:r>
    </w:p>
    <w:bookmarkEnd w:id="76"/>
    <w:sectPr>
      <w:pgSz w:h="16838" w:w="11906"/>
      <w:pgMar w:bottom="1304" w:left="1304" w:right="1304" w:top="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2"/>
    </w:rPr>
  </w:style>
  <w:style w:styleId="BodyText" w:type="paragraph">
    <w:name w:val="Body Text"/>
    <w:basedOn w:val="Normal"/>
    <w:link w:val="BodyTextChar"/>
    <w:pPr>
      <w:spacing w:after="120" w:before="180" w:line="336" w:lineRule="auto"/>
    </w:pPr>
    <w:qFormat/>
    <w:rPr>
      <w:rFonts w:ascii="Times New Roman" w:cs="Times New Roman" w:eastAsia="Times New Roman" w:hAnsi="Times New Roman"/>
      <w:sz w:val="22"/>
    </w:rPr>
  </w:style>
  <w:style w:customStyle="1" w:styleId="FirstParagraph" w:type="paragraph">
    <w:name w:val="First Paragraph"/>
    <w:basedOn w:val="BodyText"/>
    <w:next w:val="BodyText"/>
    <w:qFormat/>
    <w:pPr>
      <w:spacing w:after="120" w:line="336" w:lineRule="auto"/>
    </w:pPr>
    <w:rPr>
      <w:rFonts w:ascii="Times New Roman" w:cs="Times New Roman" w:eastAsia="Times New Roman" w:hAnsi="Times New Roman"/>
      <w:sz w:val="22"/>
    </w:rPr>
  </w:style>
  <w:style w:customStyle="1" w:styleId="Compact" w:type="paragraph">
    <w:name w:val="Compact"/>
    <w:basedOn w:val="BodyText"/>
    <w:qFormat/>
    <w:pPr>
      <w:spacing w:after="36" w:before="36"/>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jc w:val="center"/>
    </w:pPr>
    <w:rPr>
      <w:rFonts w:ascii="Times New Roman" w:cs="Times New Roman" w:cstheme="majorBidi"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cstheme="majorBidi"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cstheme="majorBidi" w:eastAsia="Times New Roman" w:hAnsi="Times New Roman"/>
      <w:b/>
      <w:bCs/>
      <w:i w:val="0"/>
      <w:color w:val="000000"/>
      <w:sz w:val="23"/>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cstheme="majorBidi" w:eastAsia="Times New Roman" w:hAnsi="Times New Roman"/>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cstheme="majorBidi"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cstheme="majorBidi"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cstheme="majorBidi"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cstheme="majorBidi"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cstheme="majorBidi"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cstheme="majorBidi"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1"/>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val="0"/>
      <w:sz w:val="19"/>
    </w:rPr>
  </w:style>
  <w:style w:customStyle="1" w:styleId="TableCaption" w:type="paragraph">
    <w:name w:val="Table Caption"/>
    <w:basedOn w:val="Caption"/>
    <w:pPr>
      <w:keepNext/>
    </w:pPr>
    <w:rPr>
      <w:rFonts w:ascii="Times New Roman" w:cs="Times New Roman" w:eastAsia="Times New Roman" w:hAnsi="Times New Roman"/>
      <w:i w:val="0"/>
      <w:sz w:val="19"/>
    </w:rPr>
  </w:style>
  <w:style w:customStyle="1" w:styleId="ImageCaption" w:type="paragraph">
    <w:name w:val="Image Caption"/>
    <w:basedOn w:val="Caption"/>
    <w:rPr>
      <w:rFonts w:ascii="Times New Roman" w:cs="Times New Roman" w:eastAsia="Times New Roman" w:hAnsi="Times New Roman"/>
      <w:i w:val="0"/>
      <w:sz w:val="19"/>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cstheme="majorBidi"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44" Type="http://schemas.openxmlformats.org/officeDocument/2006/relationships/image" Target="media/rId44.png"/><Relationship Id="rId52" Type="http://schemas.openxmlformats.org/officeDocument/2006/relationships/image" Target="media/rId52.png"/><Relationship Id="rId48" Type="http://schemas.openxmlformats.org/officeDocument/2006/relationships/image" Target="media/rId48.png"/><Relationship Id="rId60" Type="http://schemas.openxmlformats.org/officeDocument/2006/relationships/image" Target="media/rId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Data Quality Help Human Deferral? Governance-Constrained Review Allocation in Knowledge-Based Decision Systems</dc:title>
  <dc:creator/>
  <cp:keywords/>
  <dcterms:created xsi:type="dcterms:W3CDTF">2026-10-23T20:08:16Z</dcterms:created>
  <dcterms:modified xsi:type="dcterms:W3CDTF">2026-10-23T20:08:16Z</dcterms:modified>
</cp:coreProperties>
</file>

<file path=docProps/custom.xml><?xml version="1.0" encoding="utf-8"?>
<Properties xmlns="http://schemas.openxmlformats.org/officeDocument/2006/custom-properties" xmlns:vt="http://schemas.openxmlformats.org/officeDocument/2006/docPropsVTypes"/>
</file>