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ОПИСЬ ПАКЕТА ДОКУМЕНТОВ</w:t>
      </w:r>
    </w:p>
    <w:p>
      <w:pPr>
        <w:spacing w:after="240"/>
        <w:jc w:val="center"/>
      </w:pPr>
      <w:r>
        <w:rPr>
          <w:sz w:val="22"/>
        </w:rPr>
        <w:t>к Договору на разработку интернет-магазина «ТрудКрутШоп»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41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Документ</w:t>
            </w:r>
          </w:p>
        </w:tc>
        <w:tc>
          <w:tcPr>
            <w:tcW w:type="dxa" w:w="36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Файл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Когда подписывается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Договор на выполнение работ по разработке интернет-магазина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01 Договор на разработку сайта.docx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 заключении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1. Техническое задание с согласованными уточнениями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02 Приложение 1 — Техническое задание.docx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 заключении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2. Материалы, доступы и сведения Заказчика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03 Приложение 2 — Материалы и доступы Заказчика.docx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 заключении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3. Календарный план: этапы, сроки и стоимость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04 Приложение 3 — Календарный план и стоимость.docx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 заключении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4. Форма акта сдачи-приёмки выполненных работ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05 Приложение 4 — Форма акта сдачи-приёмки.docx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Форма — при заключении; акты — по каждому этапу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5. Соглашение о конфиденциальности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06 Приложение 5 — Соглашение о конфиденциальности.docx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 заключении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6. Поручение на обработку персональных данных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07 Приложение 6 — Поручение на обработку персональных данных.docx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 заключении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7. Форма акта приёма-передачи исключительных прав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08 Приложение 7 — Акт передачи исключительных прав.docx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Форма — при заключении; акт — при итоговой приёмке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Приложение № 8. Форма дополнительного соглашения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09 Приложение 8 — Форма доп. соглашения.docx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Форма — при заключении; соглашения — по мере необходимости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b/>
        </w:rPr>
        <w:t>Что уже заполнено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Реквизиты Исполнителя, сведения о его налоговом режиме и порядке выдачи чека.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Стоимость работ — 100 000 рублей; аванс — 50 %.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Срок выполнения работ — 14 календарных дней; распределение по этапам.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Сроки оплаты, рассмотрения актов, гарантия 3 месяца, ставка 1 000 руб./ч.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Порядок разрешения споров и уполномоченный представитель Исполнителя.</w:t>
      </w:r>
    </w:p>
    <w:p>
      <w:pPr>
        <w:keepNext/>
        <w:spacing w:before="240" w:after="80"/>
        <w:jc w:val="left"/>
      </w:pPr>
      <w:r>
        <w:rPr>
          <w:b/>
        </w:rPr>
        <w:t>Что осталось заполнить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Реквизиты Заказчика, сведения о подписанте и основании его полномочий — во всех документах.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Уполномоченный представитель Заказчика: ФИО, телефон, адрес электронной почты (раздел 15 Договора).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Даты начала и окончания работ (пункт 3.1 Договора).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Номер и дата Договора — во всех приложениях.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Количество листов Технического задания и значения пропусков в таблице уточнений (Приложение № 1).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Ставки НДС по категориям товаров и условия скидки для юридических лиц (пункты 2.2 и 2.3 Приложения № 2).</w:t>
      </w:r>
    </w:p>
    <w:p>
      <w:pPr>
        <w:keepNext/>
        <w:spacing w:before="240" w:after="80"/>
        <w:jc w:val="left"/>
      </w:pPr>
      <w:r>
        <w:rPr>
          <w:b/>
        </w:rPr>
        <w:t>Примечание</w:t>
      </w:r>
    </w:p>
    <w:p>
      <w:pPr>
        <w:jc w:val="both"/>
      </w:pPr>
      <w:r>
        <w:rPr>
          <w:b w:val="0"/>
          <w:i/>
        </w:rPr>
        <w:t>Комплект подготовлен по типовой структуре договора подряда (глава 37 Гражданского кодекса Российской Федерации) с элементами договора об отчуждении исключительного права (статья 1234 ГК РФ) и поручения на обработку персональных данных (часть 3 статьи 6 Федерального закона № 152-ФЗ). Перед подписанием документы следует согласовать с юристом — прежде всего разделы 7 «Исключительные права», 11 «Ответственность сторон» и Приложение № 6.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