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i/>
          <w:sz w:val="20"/>
        </w:rPr>
        <w:t>Приложение № 1</w:t>
        <w:br/>
      </w:r>
      <w:r>
        <w:rPr>
          <w:i/>
          <w:sz w:val="20"/>
        </w:rPr>
        <w:t>к Договору № ______________ от «___» __________ 20___ г.</w:t>
      </w:r>
    </w:p>
    <w:p/>
    <w:p>
      <w:pPr>
        <w:spacing w:after="80"/>
        <w:jc w:val="center"/>
      </w:pPr>
      <w:r>
        <w:rPr>
          <w:b/>
          <w:sz w:val="28"/>
        </w:rPr>
        <w:t>ТЕХНИЧЕСКОЕ ЗАДАНИЕ</w:t>
      </w:r>
    </w:p>
    <w:p>
      <w:pPr>
        <w:jc w:val="both"/>
      </w:pPr>
      <w:r>
        <w:rPr>
          <w:b w:val="0"/>
          <w:i w:val="0"/>
        </w:rPr>
        <w:t>1. Требования к Сайту определяются документом «Техническое задание для интернет-магазина ТрудКрутШоп», прилагаемым к настоящему Приложению на ____ листах и подписанным Сторонами.</w:t>
      </w:r>
    </w:p>
    <w:p>
      <w:pPr>
        <w:jc w:val="both"/>
      </w:pPr>
      <w:r>
        <w:rPr>
          <w:b w:val="0"/>
          <w:i w:val="0"/>
        </w:rPr>
        <w:t>2. Стороны согласовали приведённые ниже уточнения к Техническому заданию. При противоречии между текстом Технического задания и настоящим пунктом приоритет имеет настоящий пункт.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170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Пункт ТЗ</w:t>
            </w:r>
          </w:p>
        </w:tc>
        <w:tc>
          <w:tcPr>
            <w:tcW w:type="dxa" w:w="204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Формулировка в ТЗ</w:t>
            </w:r>
          </w:p>
        </w:tc>
        <w:tc>
          <w:tcPr>
            <w:tcW w:type="dxa" w:w="3175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Согласованная редакция</w:t>
            </w:r>
          </w:p>
        </w:tc>
        <w:tc>
          <w:tcPr>
            <w:tcW w:type="dxa" w:w="2381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Обоснование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Кроссбраузерность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Поддержка Internet Explorer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Поддерживаются актуальные и предшествующая им версии браузеров Chrome, Firefox, Edge, Opera, Яндекс.Браузер, Safari, включая мобильные версии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Поддержка Internet Explorer прекращена его разработчиком; требование технически неисполнимо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Главная страница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Каталог товаров выводится в случайном порядке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Порядок вывода товаров формируется псевдослучайно с фиксированным зерном, изменяемым не реже одного раза в ____ часов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Случайная сортировка при каждом запросе исключает кеширование и снижает скорость работы Сайта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Каталог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Автоматическая загрузка товаров при прокрутке и постраничный просмотр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Гибридный режим: кнопка «Показать ещё» с подгрузкой без перезагрузки и одновременно постоянные адреса страниц вида ?page=N с атрибутами rel=next/prev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Бесконечная прокрутка без адресуемых страниц не индексируется поисковыми системами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Приём платежей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Подключение модуля Точка Банка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Приём платежей осуществляется через платёжный сервис «Робокасса», формирование фискальных чеков — через облачную кассу «Бифит Касса», используемые Заказчиком на дату заключения Договора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У Заказчика действуют договоры с указанными сервисами; подключение нового эквайринга потребовало бы отдельного договора и сроков банка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Документы для юридических лиц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Формирование УПД и счетов средствами Сайта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Сайт формирует проект счёта (черновик) с составом заказа, суммой, скидкой и реквизитами покупателя, показывает его покупателю и передаёт Заказчику в форматах PDF и машиночитаемом. Выпуск счетов и универсальных передаточных документов, их нумерацию, подписание и отправку контрагенту выполняет Заказчик в системе «Контур.Диадок» и учётной системе 1С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Нумерация, учёт и подписание первичных документов относятся к бухгалтерскому учёту Заказчика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Реквизиты юридического лица</w:t>
            </w:r>
          </w:p>
        </w:tc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Автоматическое определение реквизитов по ИНН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При предоставлении Заказчиком ключа стороннего сервиса реквизиты подставляются автоматически; при его отсутствии покупатель вводит реквизиты вручную, а Сайт выполняет проверку формата ИНН и КПП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17"/>
              </w:rPr>
              <w:t>Заказчик определяет целесообразность подключения платного сервиса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3. Функциональные блоки, реализация которых зависит от сервисов третьих лиц (приём платежей, фискализация, доставка, определение реквизитов по ИНН), выполняются в объёме, поддерживаемом программными интерфейсами соответствующих сервисов на дату выполнения работ.</w:t>
      </w:r>
    </w:p>
    <w:p>
      <w:pPr>
        <w:jc w:val="both"/>
      </w:pPr>
      <w:r>
        <w:rPr>
          <w:b w:val="0"/>
          <w:i w:val="0"/>
        </w:rPr>
        <w:t>3.1. Выпуск, подписание и отправка счетов и универсальных передаточных документов контрагентам в предмет работ не входят и выполняются Заказчиком самостоятельно. Исполнитель обеспечивает выгрузку данных заказа в объёме, достаточном для формирования указанных документов в учётной системе Заказчика.</w:t>
      </w:r>
    </w:p>
    <w:p>
      <w:pPr>
        <w:jc w:val="both"/>
      </w:pPr>
      <w:r>
        <w:rPr>
          <w:b w:val="0"/>
          <w:i w:val="0"/>
        </w:rPr>
        <w:t>4. Интеграция с 1С и (или) Битрикс24 на дату заключения Договора не выполняется. Исполнитель предусматривает программный интерфейс для её последующей реализации в рамках отдельного соглашения.</w:t>
      </w:r>
    </w:p>
    <w:p>
      <w:pPr>
        <w:jc w:val="both"/>
      </w:pPr>
      <w:r>
        <w:rPr>
          <w:b w:val="0"/>
          <w:i w:val="0"/>
        </w:rPr>
        <w:t>5. Наполнение Сайта товарным контентом и текстами страниц в предмет работ не входит и выполняется Заказчиком в порядке Приложения № 2.</w:t>
      </w:r>
    </w:p>
    <w:p>
      <w:pPr>
        <w:keepNext/>
        <w:spacing w:before="240" w:after="80"/>
        <w:jc w:val="left"/>
      </w:pPr>
      <w:r>
        <w:rPr>
          <w:b/>
        </w:rPr>
        <w:t>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ЗАКАЗЧИК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Должность: 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______________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 xml:space="preserve">                                      м.п.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Яковлев Артём Сергеевич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_____________ / Яковлев А. С.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