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i/>
          <w:sz w:val="20"/>
        </w:rPr>
        <w:t>Приложение № 2</w:t>
        <w:br/>
      </w:r>
      <w:r>
        <w:rPr>
          <w:i/>
          <w:sz w:val="20"/>
        </w:rPr>
        <w:t>к Договору № ______________ от «___» __________ 20___ г.</w:t>
      </w:r>
    </w:p>
    <w:p/>
    <w:p>
      <w:pPr>
        <w:spacing w:after="80"/>
        <w:jc w:val="center"/>
      </w:pPr>
      <w:r>
        <w:rPr>
          <w:b/>
          <w:sz w:val="28"/>
        </w:rPr>
        <w:t>МАТЕРИАЛЫ, ДОСТУПЫ И СВЕДЕНИЯ,</w:t>
        <w:br/>
        <w:t>ПРЕДОСТАВЛЯЕМЫЕ ЗАКАЗЧИКОМ</w:t>
      </w:r>
    </w:p>
    <w:p>
      <w:pPr>
        <w:jc w:val="both"/>
      </w:pPr>
      <w:r>
        <w:rPr>
          <w:b w:val="0"/>
          <w:i w:val="0"/>
        </w:rPr>
        <w:t>1. Заказчик предоставляет Исполнителю перечисленные ниже материалы, доступы и сведения в указанные сроки. Срок исчисляется в календарных днях от даты начала работ, определённой пунктом 3.2 Договора.</w:t>
      </w:r>
    </w:p>
    <w:p>
      <w:pPr>
        <w:jc w:val="both"/>
      </w:pPr>
      <w:r>
        <w:rPr>
          <w:b w:val="0"/>
          <w:i w:val="0"/>
        </w:rPr>
        <w:t>2. Позиции, отмеченные в графе «Блокирует» словом «да», являются блокирующими: их непредоставление в срок останавливает соответствующий этап работ и продлевает сроки в порядке пункта 3.3 Договора.</w:t>
      </w:r>
    </w:p>
    <w:p>
      <w:pPr>
        <w:jc w:val="both"/>
      </w:pPr>
      <w:r>
        <w:rPr>
          <w:b/>
          <w:i w:val="0"/>
        </w:rPr>
        <w:t>3. Позиции со сроком «до начала работ» передаются Исполнителю не позднее дня подписания Договора. Работы не начинаются до передачи всех таких позиций; дата начала работ, указанная в пункте 3.1 Договора, в этом случае переносится на дату фактической передачи последней из них.</w:t>
      </w:r>
    </w:p>
    <w:p>
      <w:pPr>
        <w:keepNext/>
        <w:spacing w:before="240" w:after="80"/>
        <w:jc w:val="left"/>
      </w:pPr>
      <w:r>
        <w:rPr>
          <w:b/>
        </w:rPr>
        <w:t>Раздел 1. Доступы и учётные записи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/>
        </w:trP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№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Материал, доступ или сведение</w:t>
            </w:r>
          </w:p>
        </w:tc>
        <w:tc>
          <w:tcPr>
            <w:tcW w:type="dxa" w:w="306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Назначение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Срок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Блокирует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1.1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Выгрузка данных с действующего сайта: каталог товаров, остатки, заказы; перечень всех адресов страниц действующего сайта; учётная запись администратора для получения выгрузок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Перенос данных и составление карты переадресаций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 начала работ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1.2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Доступ в личный кабинет регистратора домена либо право изменения DNS-записей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Переключение на новый Сайт, выпуск SSL, настройка почтовых записей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 начала работ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1.3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Виртуальный сервер в дата-центре на территории РФ (рекомендуемая конфигурация: 4 vCPU, 8 ГБ RAM, 80 ГБ NVMe для промышленной среды и 2 vCPU, 4 ГБ RAM для тестовой) с передачей root-доступа или SSH-ключа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Развёртывание тестовой и промышленной сред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 начала работ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1.4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Учётная запись организации в системе управления версиями с правами администратора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Хранение исходного кода, автоматическая сборка и развёртывание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1.5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«Робокасса»: доступ в личный кабинет, идентификатор магазина, пароли № 1 и № 2 для тестового и промышленного режима, настроенный адрес уведомлений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Приём оплаты банковскими картами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 начала работ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1.5а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«Бифит Касса»: доступ в личный кабинет, данные для подключения к программному интерфейсу, настроенные ставки НДС и признаки предмета расчёта по каждой категории товаров, включая подарочные сертификаты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Формирование фискальных чеков по 54-ФЗ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 начала работ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1.6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Заключённый договор со службой доставки, ключ программного интерфейса, идентификатор магазина, перечень подключённых служб и тарифов, адрес склада отправления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Расчёт стоимости и оформление доставки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 начала работ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1.7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Образец счёта, применяемого Заказчиком, и правила его заполнения: порядок нумерации, реквизиты подписанта, набор обязательных полей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Формирование проекта счёта на Сайте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3-й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1.7а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Требования к выгрузке данных заказа для учётной системы: формат файла и перечень полей, необходимых для выпуска счёта и УПД в 1С и Контур.Диадок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Передача данных в бухгалтерию Заказчика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5-й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1.8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Ключ сервиса определения реквизитов организации по ИНН, если Заказчик принял решение о его подключении. При непредоставлении реализуется ручной ввод реквизитов покупателем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Заполнение реквизитов юридического лица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3-й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1.9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Доступ к почтовому ящику Заказчика на используемом почтовом сервисе (mail.ru) с параметрами SMTP либо учётная запись сервиса транзакционных рассылок; право изменения DNS-записей домена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Письма покупателям, настройка SPF, DKIM, DMARC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1.10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Доступ к рекламному кабинету социальной сети и идентификатор пикселя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Установка счётчика согласно Техническому заданию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10-й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1.11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Учётные записи сервисов веб-аналитики и панелей вебмастера поисковых систем. При их отсутствии учётные записи создаются Исполнителем и передаются Заказчику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Аналитика, индексация, перенос позиций после смены сайта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10-й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1.12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Сведения о кассовом оборудовании офлайн-магазина: производитель, модель, оператор фискальных данных, наличие программного интерфейса или выгрузок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Учёт офлайн-продаж в остатках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6-й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1.13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Сведения об учётной системе 1С: конфигурация, версия, контакт обслуживающего специалиста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Согласование формата выгрузки данных заказа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3-й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1.14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Учётная запись организации в системе управления версиями создаётся Исполнителем; отдельная оплата со стороны Заказчика не требуется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Хранение исходного кода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b/>
        </w:rPr>
        <w:t>Раздел 2. Юридические и учётные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/>
        </w:trP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№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Материал, доступ или сведение</w:t>
            </w:r>
          </w:p>
        </w:tc>
        <w:tc>
          <w:tcPr>
            <w:tcW w:type="dxa" w:w="306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Назначение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Срок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Блокирует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2.1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Полные реквизиты организации: наименование, ИНН, КПП, ОГРН, юридический и фактический адрес, расчётный счёт, банк, БИК, корреспондентский счёт, ФИО и должность подписанта, графические файлы подписи и печати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Счета, УПД, публичная оферта, подвал Сайта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 начала работ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2.2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Применяемая система налогообложения и ставка НДС по каждой категории товаров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Фискальные чеки, счета, УПД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 начала работ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2.3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Условия скидки для юридических лиц: размер, порог суммы заказа, исключения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Расчёт стоимости заказа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 начала работ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2.4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Подтверждение бухгалтера о порядке фискализации подарочных сертификатов (признак предмета расчёта при продаже и при погашении), согласованный с настройками «Бифит Кассы»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Корректность фискальных чеков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3-й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Тексты публичной оферты, политики обработки персональных данных, согласия на обработку персональных данных, условий возврата и обмена товара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Обязательные документы Сайта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9-й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2.6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Подтверждение направления уведомления в уполномоченный орган об обработке персональных данных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Соблюдение Федерального закона № 152-ФЗ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13-й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2.7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Содержание информационных страниц: «Доставка», «Оплата», «О магазине», «Контакты»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Наполнение Сайта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9-й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b/>
        </w:rPr>
        <w:t>Раздел 3. Фирменный стиль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/>
        </w:trP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№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Материал, доступ или сведение</w:t>
            </w:r>
          </w:p>
        </w:tc>
        <w:tc>
          <w:tcPr>
            <w:tcW w:type="dxa" w:w="306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Назначение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Срок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Блокирует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3.1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Логотип в векторном формате (SVG или исходный файл), светлый и тёмный варианты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Оформление Сайта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 начала работ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3.2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Брендбук: палитра в значениях HEX, шрифты, правила использования логотипа, модульная сетка и отступы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Построение дизайн-системы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 начала работ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3.3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Лицензии на использование шрифтов в сети Интернет либо согласие на подбор свободной замены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Правомерное использование шрифтов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3.4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Выбранная дизайн-система или примеры оформления (референсы)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Ускорение согласования интерфейса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 начала работ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b/>
        </w:rPr>
        <w:t>Раздел 4. Товарный контент</w:t>
      </w:r>
    </w:p>
    <w:p>
      <w:pPr>
        <w:jc w:val="both"/>
      </w:pPr>
      <w:r>
        <w:rPr>
          <w:b w:val="0"/>
          <w:i/>
          <w:sz w:val="20"/>
        </w:rPr>
        <w:t>Шаблон таблицы для загрузки товаров и требования к изображениям передаются Исполнителем Заказчику в день подписания Договора.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/>
        </w:trP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№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Материал, доступ или сведение</w:t>
            </w:r>
          </w:p>
        </w:tc>
        <w:tc>
          <w:tcPr>
            <w:tcW w:type="dxa" w:w="306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Назначение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Срок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Блокирует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4.1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Полная структура каталога: дерево разделов и подразделов до конечного уровня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Построение каталога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 начала работ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4.2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Перечень товаров в виде таблицы по шаблону Исполнителя: артикул, наименование, раздел, описание, цена, прежняя цена, размер, цвет, принт, остаток по каждой комбинации параметров, вес в граммах, габариты в сантиметрах, признаки «новинка», «хит», «распродажа»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Наполнение каталога, расчёт доставки, учёт остатков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4-й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4.3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Изображения товаров: не менее 1000×1000 пикселей, единый фон, отдельный кадр на каждый цвет, формат JPG или PNG, имя файла соответствует артикулу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Карточки товаров и товарные сетки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4-й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4.4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Изображения разделов каталога — по одному на каждый промежуточный раздел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Страницы-сетки разделов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5-й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4.5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Размерные сетки по каждому типу изделия в табличном виде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Раздел «Таблица размеров» в карточке товара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5-й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4.6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Баннеры для слайдера в двух версиях — для настольных устройств и мобильных, с указанием ссылки и текста акции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Слайдер главной страницы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6-й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4.7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Макеты подарочных сертификатов (не менее трёх вариантов) в формате PNG или PDF с указанием места размещения кода, а также текст письма получателю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Выпуск и отправка сертификатов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8-й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4.8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Тексты для страниц разделов каталога и перечень ключевых запросов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Поисковое продвижение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11-й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4.9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Содержание закрытой страницы для региональных отделений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Раздел, доступный по ссылке с токеном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8-й день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нет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4. Материалы передаются по электронной почте, через облачное хранилище или иным согласованным Сторонами способом. Дата передачи фиксируется перепиской Сторон в порядке раздела 15 Договора.</w:t>
      </w:r>
    </w:p>
    <w:p>
      <w:pPr>
        <w:jc w:val="both"/>
      </w:pPr>
      <w:r>
        <w:rPr>
          <w:b w:val="0"/>
          <w:i w:val="0"/>
        </w:rPr>
        <w:t>5. При сроке выполнения работ в 14 календарных дней задержка передачи любой блокирующей позиции на один день влечёт продление конечного срока не менее чем на один день. Стороны признают это условие существенным.</w:t>
      </w:r>
    </w:p>
    <w:p>
      <w:pPr>
        <w:keepNext/>
        <w:spacing w:before="240" w:after="80"/>
        <w:jc w:val="left"/>
      </w:pPr>
      <w:r>
        <w:rPr>
          <w:b/>
        </w:rPr>
        <w:t>ПОДПИСИ СТОРОН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Должность: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______________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 xml:space="preserve">                                      м.п.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Яковлев Артём Сергеевич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Яковлев А. С.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