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i/>
          <w:sz w:val="20"/>
        </w:rPr>
        <w:t>Приложение № 3</w:t>
        <w:br/>
      </w:r>
      <w:r>
        <w:rPr>
          <w:i/>
          <w:sz w:val="20"/>
        </w:rPr>
        <w:t>к Договору № ______________ от «___» __________ 20___ г.</w:t>
      </w:r>
    </w:p>
    <w:p/>
    <w:p>
      <w:pPr>
        <w:spacing w:after="80"/>
        <w:jc w:val="center"/>
      </w:pPr>
      <w:r>
        <w:rPr>
          <w:b/>
          <w:sz w:val="28"/>
        </w:rPr>
        <w:t>КАЛЕНДАРНЫЙ ПЛАН:</w:t>
        <w:br/>
        <w:t>ЭТАПЫ, СРОКИ И СТОИМОСТЬ РАБОТ</w:t>
      </w:r>
    </w:p>
    <w:p>
      <w:pPr>
        <w:jc w:val="both"/>
      </w:pPr>
      <w:r>
        <w:rPr>
          <w:b/>
          <w:i w:val="0"/>
        </w:rPr>
        <w:t>1. Общий срок выполнения работ — 14 (четырнадцать) календарных дней с даты начала работ, определённой пунктом 3.2 Договора. Общая стоимость работ — 100 000 (сто тысяч) рублей 00 копеек.</w:t>
      </w:r>
    </w:p>
    <w:p>
      <w:pPr>
        <w:jc w:val="both"/>
      </w:pPr>
      <w:r>
        <w:rPr>
          <w:b w:val="0"/>
          <w:i w:val="0"/>
        </w:rPr>
        <w:t>2. Работы выполняются в объёме, предусмотренном Техническим заданием (Приложение № 1), в режиме параллельного выполнения нескольких этапов. Этапы, сроки которых пересекаются, ведутся одновременно.</w:t>
      </w:r>
    </w:p>
    <w:p>
      <w:pPr>
        <w:keepNext/>
        <w:spacing w:before="240" w:after="80"/>
        <w:jc w:val="left"/>
      </w:pPr>
      <w:r>
        <w:rPr>
          <w:b/>
        </w:rPr>
        <w:t>3. Этапы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№ этапа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Наименование и состав работ</w:t>
            </w:r>
          </w:p>
        </w:tc>
        <w:tc>
          <w:tcPr>
            <w:tcW w:type="dxa" w:w="158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Срок (календарные дни от начала работ)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Стоимость, руб.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% от общей стоимости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Сбор адресов действующего сайта для карты переадресаций, развёртывание тестовой и промышленной сред, репозиторий и среда сборки, схема базы данных и миграции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1–2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10 000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Дизайн-система на основе брендбука, каркас страниц (шапка, подвал, боковая колонка, сетки), обработка и хранение изображений, каркас административной панели и авторизация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2–4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15 000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15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Каталог: дерево разделов, страницы разделов и карточка товара, варианты и остатки, фильтры, сортировки, постраничный вывод, поиск с учётом морфологии, главная страница со слайдером, загрузка товаров из таблицы, перенос данных с действующего сайта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3–7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25 000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25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Корзина, резервирование остатков, промокоды, оформление заказа физическим лицом, приём оплаты, фискальные чеки, обработка уведомлений платёжного сервиса, интеграция со службой доставки, транзакционные письма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5–9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20 000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20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Оформление заказа юридическим лицом: ввод и проверка реквизитов по ИНН, скидка, формирование проекта счёта в PDF и выгрузка данных заказа для учётной системы Заказчика, архив документов; подарочные сертификаты; складской учёт и списания; административная панель заказов, товаров, разделов, промокодов и баннеров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7–11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20 000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20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Наполнение каталога, метатеги и микроразметка, карта сайта, карта переадресаций, подключение аналитики, юридические страницы, тестирование в браузерах и на мобильных устройствах, оптимизация скорости, сквозные тесты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10–13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7 000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Приёмочное тестирование по чек-листу, контрольные платежи и отправления, проверка восстановления из резервной копии, перенос на основной домен, инструктаж сотрудников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13–14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3 000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ИТОГО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14 календарных дней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100 000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100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4. Аванс в размере 50 000 (пятидесяти тысяч) рублей, уплачиваемый в порядке пункта 2.3 Договора, засчитывается в счёт оплаты этапов 0–2 пропорционально их стоимости.</w:t>
      </w:r>
    </w:p>
    <w:p>
      <w:pPr>
        <w:keepNext/>
        <w:spacing w:before="240" w:after="80"/>
        <w:jc w:val="left"/>
      </w:pPr>
      <w:r>
        <w:rPr>
          <w:b/>
        </w:rPr>
        <w:t>5. Предпосылки соблюдения срока</w:t>
      </w:r>
    </w:p>
    <w:p>
      <w:pPr>
        <w:jc w:val="both"/>
      </w:pPr>
      <w:r>
        <w:rPr>
          <w:b w:val="0"/>
          <w:i w:val="0"/>
        </w:rPr>
        <w:t>Срок, установленный пунктом 1, достижим при одновременном соблюдении следующих условий. Несоблюдение любого из них продлевает конечный срок в порядке пункта 3.3 Договора.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Доступы к «Робокассе», «Бифит Кассе» и службе доставки переданы Исполнителю до начала работ, тестовый режим платёжного сервиса включён.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Сервер, домен и доступы к действующему сайту переданы до начала работ.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Логотип, брендбук и полная структура каталога переданы до начала работ.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Перечень товаров и изображения переданы не позднее четвёртого дня работ в формате, соответствующем шаблону Исполнителя.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Уполномоченный представитель Заказчика доступен ежедневно, включая выходные дни, и предоставляет ответы и согласования в течение 4 рабочих часов с момента обращения.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Замечания по промежуточным результатам, выходящие за пределы Технического задания, в течение срока выполнения работ не принимаются и оформляются дополнительным соглашением по форме Приложения № 8.</w:t>
      </w:r>
    </w:p>
    <w:p>
      <w:pPr>
        <w:keepNext/>
        <w:spacing w:before="240" w:after="80"/>
        <w:jc w:val="left"/>
      </w:pPr>
      <w:r>
        <w:rPr>
          <w:b/>
        </w:rPr>
        <w:t>6. Порядок действий при угрозе нарушения срока</w:t>
      </w:r>
    </w:p>
    <w:p>
      <w:pPr>
        <w:jc w:val="both"/>
      </w:pPr>
      <w:r>
        <w:rPr>
          <w:b w:val="0"/>
          <w:i w:val="0"/>
        </w:rPr>
        <w:t>При возникновении обстоятельств, ставящих под угрозу соблюдение срока, Стороны вправе дополнительным соглашением перенести в отдельный этап следующие работы (в порядке очерёдности):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загрузка офлайн-продаж из кассового оборудования — заменяется ручным списанием в административной панели;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выгрузка данных заказа в учётную систему в машиночитаемом формате — заменяется выгрузкой в виде таблицы;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отложенная отправка сертификатов по расписанию — заменяется отправкой сразу после оплаты;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автоматический подбор сопутствующих товаров — заменяется ручной привязкой;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закрытая страница для региональных отделений — заменяется страницей, защищённой паролем.</w:t>
      </w:r>
    </w:p>
    <w:p>
      <w:pPr>
        <w:jc w:val="both"/>
      </w:pPr>
      <w:r>
        <w:rPr>
          <w:b w:val="0"/>
          <w:i w:val="0"/>
        </w:rPr>
        <w:t>Не подлежат исключению: приём оплаты с формированием фискального чека, оформление доставки, корректный учёт остатков, обязательные юридические страницы и резервное копирование.</w:t>
      </w:r>
    </w:p>
    <w:p>
      <w:pPr>
        <w:keepNext/>
        <w:spacing w:before="240" w:after="80"/>
        <w:jc w:val="left"/>
      </w:pPr>
      <w:r>
        <w:rPr>
          <w:b/>
        </w:rPr>
        <w:t>7. Особые условия</w:t>
      </w:r>
    </w:p>
    <w:p>
      <w:pPr>
        <w:jc w:val="both"/>
      </w:pPr>
      <w:r>
        <w:rPr>
          <w:b w:val="0"/>
          <w:i w:val="0"/>
        </w:rPr>
        <w:t>7.1. Работы выполняются в том числе в выходные и нерабочие праздничные дни. Сроки, исчисляемые в календарных днях, включают такие дни.</w:t>
      </w:r>
    </w:p>
    <w:p>
      <w:pPr>
        <w:jc w:val="both"/>
      </w:pPr>
      <w:r>
        <w:rPr>
          <w:b w:val="0"/>
          <w:i w:val="0"/>
        </w:rPr>
        <w:t>7.2. Приёмка этапов производится в порядке раздела 4 Договора с сокращённым сроком рассмотрения акта — 1 (один) рабочий день.</w:t>
      </w:r>
    </w:p>
    <w:p>
      <w:pPr>
        <w:keepNext/>
        <w:spacing w:before="240" w:after="80"/>
        <w:jc w:val="left"/>
      </w:pPr>
      <w:r>
        <w:rPr>
          <w:b/>
        </w:rPr>
        <w:t>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______________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 xml:space="preserve">                                      м.п.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Яковлев Артём Сергеевич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Яковлев А. С.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