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sz w:val="44"/>
        </w:rPr>
        <w:t>STAJYER TAKİP RAPORU</w:t>
      </w:r>
    </w:p>
    <w:p>
      <w:pPr>
        <w:pStyle w:val="Normal"/>
        <w:spacing w:before="0" w:after="40"/>
        <w:jc w:val="center"/>
        <w:rPr/>
      </w:pPr>
      <w:r>
        <w:rPr>
          <w:b/>
          <w:sz w:val="32"/>
        </w:rPr>
        <w:t>Yapay Zekâ Yazılım Teknolojileri Birimi</w:t>
      </w:r>
    </w:p>
    <w:p>
      <w:pPr>
        <w:pStyle w:val="Normal"/>
        <w:spacing w:before="0" w:after="320"/>
        <w:jc w:val="center"/>
        <w:rPr/>
      </w:pPr>
      <w:r>
        <w:rPr>
          <w:b w:val="false"/>
          <w:sz w:val="26"/>
        </w:rPr>
        <w:t>2026 Yaz Dönemi Haftalık Stajyer Raporu</w:t>
      </w:r>
    </w:p>
    <w:tbl>
      <w:tblPr>
        <w:tblStyle w:val="TableGrid"/>
        <w:tblW w:w="85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35"/>
        <w:gridCol w:w="5669"/>
      </w:tblGrid>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Stajyer Adı-Soyadı</w:t>
            </w:r>
          </w:p>
        </w:tc>
        <w:tc>
          <w:tcPr>
            <w:tcW w:w="5669" w:type="dxa"/>
            <w:tcBorders/>
          </w:tcPr>
          <w:p>
            <w:pPr>
              <w:pStyle w:val="Normal"/>
              <w:widowControl/>
              <w:spacing w:lineRule="auto" w:line="240" w:before="80" w:after="80"/>
              <w:jc w:val="left"/>
              <w:rPr>
                <w:rFonts w:eastAsia="ＭＳ 明朝" w:cs=""/>
                <w:kern w:val="0"/>
                <w:szCs w:val="22"/>
                <w:lang w:val="en-US" w:eastAsia="en-US" w:bidi="ar-SA"/>
              </w:rPr>
            </w:pPr>
            <w:r>
              <w:rPr>
                <w:rFonts w:eastAsia="ＭＳ 明朝" w:cs=""/>
                <w:kern w:val="0"/>
                <w:szCs w:val="22"/>
                <w:lang w:val="en-US" w:eastAsia="en-US" w:bidi="ar-SA"/>
              </w:rPr>
              <w:t>Yusuf Kağan Yıldız</w:t>
            </w:r>
          </w:p>
        </w:tc>
      </w:tr>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Proje Adı</w:t>
            </w:r>
          </w:p>
        </w:tc>
        <w:tc>
          <w:tcPr>
            <w:tcW w:w="5669" w:type="dxa"/>
            <w:tcBorders/>
          </w:tcPr>
          <w:p>
            <w:pPr>
              <w:pStyle w:val="Normal"/>
              <w:spacing w:before="0" w:after="200"/>
              <w:rPr/>
            </w:pPr>
            <w:r>
              <w:rPr/>
              <w:t>Ingestion + Storage</w:t>
            </w:r>
          </w:p>
        </w:tc>
      </w:tr>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Takım Adı</w:t>
            </w:r>
          </w:p>
        </w:tc>
        <w:tc>
          <w:tcPr>
            <w:tcW w:w="5669" w:type="dxa"/>
            <w:tcBorders/>
          </w:tcPr>
          <w:p>
            <w:pPr>
              <w:pStyle w:val="Normal"/>
              <w:widowControl/>
              <w:spacing w:lineRule="auto" w:line="240" w:before="80" w:after="80"/>
              <w:jc w:val="left"/>
              <w:rPr>
                <w:rFonts w:eastAsia="ＭＳ 明朝" w:cs=""/>
                <w:kern w:val="0"/>
                <w:szCs w:val="22"/>
                <w:lang w:val="en-US" w:eastAsia="en-US" w:bidi="ar-SA"/>
              </w:rPr>
            </w:pPr>
            <w:r>
              <w:rPr>
                <w:rFonts w:eastAsia="ＭＳ 明朝" w:cs=""/>
                <w:kern w:val="0"/>
                <w:szCs w:val="22"/>
                <w:lang w:val="en-US" w:eastAsia="en-US" w:bidi="ar-SA"/>
              </w:rPr>
              <w:t>Veri Madenciliği</w:t>
            </w:r>
          </w:p>
        </w:tc>
      </w:tr>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Mentor Adı</w:t>
            </w:r>
          </w:p>
        </w:tc>
        <w:tc>
          <w:tcPr>
            <w:tcW w:w="5669" w:type="dxa"/>
            <w:tcBorders/>
          </w:tcPr>
          <w:p>
            <w:pPr>
              <w:pStyle w:val="Normal"/>
              <w:widowControl/>
              <w:spacing w:lineRule="auto" w:line="240" w:before="80" w:after="80"/>
              <w:jc w:val="left"/>
              <w:rPr>
                <w:rFonts w:eastAsia="ＭＳ 明朝" w:cs=""/>
                <w:kern w:val="0"/>
                <w:szCs w:val="22"/>
                <w:lang w:val="en-US" w:eastAsia="en-US" w:bidi="ar-SA"/>
              </w:rPr>
            </w:pPr>
            <w:r>
              <w:rPr>
                <w:rFonts w:eastAsia="ＭＳ 明朝" w:cs=""/>
                <w:kern w:val="0"/>
                <w:szCs w:val="22"/>
                <w:lang w:val="en-US" w:eastAsia="en-US" w:bidi="ar-SA"/>
              </w:rPr>
              <w:t>Mahmut Furkan Gön</w:t>
            </w:r>
          </w:p>
        </w:tc>
      </w:tr>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Tarih</w:t>
            </w:r>
          </w:p>
        </w:tc>
        <w:tc>
          <w:tcPr>
            <w:tcW w:w="5669" w:type="dxa"/>
            <w:tcBorders/>
          </w:tcPr>
          <w:p>
            <w:pPr>
              <w:pStyle w:val="Normal"/>
              <w:widowControl/>
              <w:spacing w:lineRule="auto" w:line="240" w:before="80" w:after="80"/>
              <w:jc w:val="left"/>
              <w:rPr>
                <w:rFonts w:eastAsia="ＭＳ 明朝" w:cs=""/>
                <w:kern w:val="0"/>
                <w:szCs w:val="22"/>
                <w:lang w:val="en-US" w:eastAsia="en-US" w:bidi="ar-SA"/>
              </w:rPr>
            </w:pPr>
            <w:r>
              <w:rPr>
                <w:rFonts w:eastAsia="ＭＳ 明朝" w:cs=""/>
                <w:kern w:val="0"/>
                <w:szCs w:val="22"/>
                <w:lang w:val="en-US" w:eastAsia="en-US" w:bidi="ar-SA"/>
              </w:rPr>
              <w:t>2. Hafta</w:t>
            </w:r>
          </w:p>
        </w:tc>
      </w:tr>
      <w:tr>
        <w:trPr/>
        <w:tc>
          <w:tcPr>
            <w:tcW w:w="2835" w:type="dxa"/>
            <w:tcBorders/>
            <w:shd w:color="auto" w:fill="D9D9D9" w:val="clear"/>
          </w:tcPr>
          <w:p>
            <w:pPr>
              <w:pStyle w:val="Normal"/>
              <w:widowControl/>
              <w:spacing w:lineRule="auto" w:line="240" w:before="80" w:after="80"/>
              <w:jc w:val="center"/>
              <w:rPr>
                <w:rFonts w:eastAsia="ＭＳ 明朝" w:cs=""/>
                <w:kern w:val="0"/>
                <w:szCs w:val="22"/>
                <w:lang w:val="en-US" w:eastAsia="en-US" w:bidi="ar-SA"/>
              </w:rPr>
            </w:pPr>
            <w:r>
              <w:rPr>
                <w:rFonts w:eastAsia="ＭＳ 明朝" w:cs=""/>
                <w:b/>
                <w:kern w:val="0"/>
                <w:szCs w:val="22"/>
                <w:lang w:val="en-US" w:eastAsia="en-US" w:bidi="ar-SA"/>
              </w:rPr>
              <w:t>Stajyer İmzası</w:t>
            </w:r>
          </w:p>
        </w:tc>
        <w:tc>
          <w:tcPr>
            <w:tcW w:w="5669" w:type="dxa"/>
            <w:tcBorders/>
          </w:tcPr>
          <w:p>
            <w:pPr>
              <w:pStyle w:val="Normal"/>
              <w:widowControl/>
              <w:spacing w:lineRule="auto" w:line="240" w:before="80" w:after="8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r>
        <w:br w:type="page"/>
      </w:r>
    </w:p>
    <w:p>
      <w:pPr>
        <w:pStyle w:val="Normal"/>
        <w:spacing w:before="0" w:after="80"/>
        <w:rPr/>
      </w:pPr>
      <w:r>
        <w:rPr>
          <w:b/>
          <w:sz w:val="30"/>
        </w:rPr>
        <w:t>Yapılan İşler</w:t>
      </w:r>
    </w:p>
    <w:p>
      <w:pPr>
        <w:pStyle w:val="Normal"/>
        <w:spacing w:before="160" w:after="40"/>
        <w:rPr/>
      </w:pPr>
      <w:r>
        <w:rPr>
          <w:b/>
          <w:sz w:val="23"/>
        </w:rPr>
        <w:t>Görev 1: MinIO → ClickHouse toplu veri yükleme optimizasyonu</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Mevcut prototip kodun (pandas + satır satır INSERT ile) çok yavaş olduğu ölçüldü (100.000 satırlık test verisinde 2.694 satır/sn). ClickHouse'un kendi s3() toplu yükleme fonksiyonu kullanılarak aynı veri 2,12 saniyede (47.159 satır/sn) yüklendi, yaklaşık 17,5 kat hızlanma sağlandı. Çoklu dosyanın tek sorguda (wildcard/glob) yüklenmesinin de dosya başına ek maliyet getirmediği doğrulandı.</w:t>
      </w:r>
    </w:p>
    <w:p>
      <w:pPr>
        <w:pStyle w:val="Normal"/>
        <w:spacing w:before="0" w:after="160"/>
        <w:rPr/>
      </w:pPr>
      <w:r>
        <w:rPr/>
        <w:t>Eşzamanlı worker sayısı, indirme thread sayısı (max_download_threads) ve ekleme thread sayısı (max_insert_threads) parametreleri sistematik olarak tarandı. Bu geliştirme ortamında en güvenli/hızlı konfigürasyonun N=2 eşzamanlı worker ile varsayılan thread ayarları olduğu, indirme thread sayısını artırmanın (tek worker'da) yardımcı olduğu ama ekleme thread sayısını artırmanın performansı kötüleştirdiği belirlendi.</w:t>
      </w:r>
    </w:p>
    <w:p>
      <w:pPr>
        <w:pStyle w:val="Normal"/>
        <w:spacing w:before="160" w:after="40"/>
        <w:rPr/>
      </w:pPr>
      <w:r>
        <w:rPr>
          <w:b/>
          <w:sz w:val="23"/>
        </w:rPr>
        <w:t>Görev 2: Partition ve sıralama (ORDER BY) anahtarı tasarımı</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Zaman bazlı aylık partition ile araç/İHA bazlı ORDER BY birleşiminin farklı varyasyonları (sadece zaman, sadece araç, ikisinin bileşiği) 100 milyon satırlık sentetik veriyle karşılaştırıldı. Bileşik partition (araç+ay) test edilen üç senaryoda da en kötü performansı verdi, aşırı parçalanmaya yol açtı. Karar: PARTITION BY toYYYYMM(zaman_damgası) + ORDER BY (araç_id, zaman_damgası).</w:t>
      </w:r>
    </w:p>
    <w:p>
      <w:pPr>
        <w:pStyle w:val="Normal"/>
        <w:spacing w:before="160" w:after="40"/>
        <w:rPr/>
      </w:pPr>
      <w:r>
        <w:rPr>
          <w:b/>
          <w:sz w:val="23"/>
        </w:rPr>
        <w:t>Görev 3: MinIO ile ClickHouse sorgu süresi karşılaştırması ve veri kaybı doğrulaması</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Verinin doğrudan MinIO'dan canlı sorgulanması ile önceden ClickHouse'a yüklenmiş haliyle sorgulanması karşılaştırıldı. Veri hacmi büyüdükçe (10, 50, 200 dosya) canlı sorgunun önceden yüklenmiş tabloya göre farkı süper-doğrusal büyüdü (6,8x → 34,9x → 184,2x), bu da önceden yükleme mimarisinin gerçek ölçekte zorunlu olduğunu kanıtladı.</w:t>
      </w:r>
    </w:p>
    <w:p>
      <w:pPr>
        <w:pStyle w:val="Normal"/>
        <w:spacing w:before="0" w:after="160"/>
        <w:rPr/>
      </w:pPr>
      <w:r>
        <w:rPr/>
        <w:t>Sıkıştırma yöntemlerinin (özellikle ZSTD) veri kaybına yol açıp açmadığı SHA256 karma karşılaştırmasıyla doğrulandı; tüm sıkıştırma seviyelerinde açılan veri kaynakla birebir aynı çıktı, veri kaybı olmadığı kanıtlandı.</w:t>
      </w:r>
    </w:p>
    <w:p>
      <w:pPr>
        <w:pStyle w:val="Normal"/>
        <w:spacing w:before="160" w:after="40"/>
        <w:rPr/>
      </w:pPr>
      <w:r>
        <w:rPr>
          <w:b/>
          <w:sz w:val="23"/>
        </w:rPr>
        <w:t>Görev 4: Sıkıştırma algoritması ve seviyesi araştırması (ZSTD ile bz2 karşılaştırması)</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ZSTD ve bz2 algoritmaları farklı veri kompozisyonlarında (dengeli float/binary karışımı, aşırı sabit-değerli sütunlu dosyalar, karışık rastgele binary sütunlar) ve farklı sıkıştırma seviyelerinde test edildi. Sonucun veri kompozisyonuna göre değiştiği bulundu: dengeli kompozisyonlu veride bz2 daha iyi bir boyut/süre dengesi sunarken, aşırı geniş ve sabit-ağırlıklı dosyalarda bz2'nin sıkıştırma süresi orantısız şekilde artıyor (bazı durumlarda 14 kattan fazla yavaşlama), bu senaryoda ZSTD (özellikle seviye 19) çok daha iyi bir zaman/boyut dengesi sağlıyor. Tüm seviyelerde kayıpsızlık SHA256 ile doğrulandı.</w:t>
      </w:r>
    </w:p>
    <w:p>
      <w:pPr>
        <w:pStyle w:val="Normal"/>
        <w:spacing w:before="160" w:after="40"/>
        <w:rPr/>
      </w:pPr>
      <w:r>
        <w:rPr>
          <w:b/>
          <w:sz w:val="23"/>
        </w:rPr>
        <w:t>Görev 5: Aşırı geniş sütunlu (45.000 sütun) dosyalarla uçtan uca stres testi</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Gerçek üretim verisine yakın, çok sütunlu (10.000 sütunun üzerinde beklenen) senaryoları simüle etmek için 45.000 sütunlu (1.000 float64 + 44.000 binary türevli sütun), 100.000 satırlık sentetik test dosyası oluşturuldu ve tekrar kullanılmak üzere kalıcı olarak saklandı.</w:t>
      </w:r>
    </w:p>
    <w:p>
      <w:pPr>
        <w:pStyle w:val="Normal"/>
        <w:spacing w:before="0" w:after="160"/>
        <w:rPr/>
      </w:pPr>
      <w:r>
        <w:rPr/>
        <w:t>Ham metin (TSV, ZSTD ile sıkıştırılmış) formatının ClickHouse'a başarıyla yüklendiği (186,9 saniyede tüm 100.000 satır) doğrulandı. Ancak Parquet formatının, ClickHouse'un mevcut sürümündeki okuyucusunda (V3 Parquet okuyucusu) gerçek bir bellek yönetimi sorunu nedeniyle güvenilir şekilde yüklenemediği tespit edildi; sorun satır sayısıyla değil işlenen sütun sayısıyla kümülatif olarak büyüyordu ve sunucu ayarlarıyla çözülemedi.</w:t>
      </w:r>
    </w:p>
    <w:p>
      <w:pPr>
        <w:pStyle w:val="Normal"/>
        <w:spacing w:before="160" w:after="40"/>
        <w:rPr/>
      </w:pPr>
      <w:r>
        <w:rPr>
          <w:b/>
          <w:sz w:val="23"/>
        </w:rPr>
        <w:t>Görev 6: Mimari karar: Parquet formatının boru hattından çıkarılması</w:t>
      </w:r>
    </w:p>
    <w:p>
      <w:pPr>
        <w:pStyle w:val="Normal"/>
        <w:spacing w:before="0" w:after="80"/>
        <w:rPr/>
      </w:pPr>
      <w:r>
        <w:rPr>
          <w:b/>
        </w:rPr>
        <w:t xml:space="preserve">Tamamlanma Durumu: </w:t>
      </w:r>
      <w:r>
        <w:rPr/>
        <w:t>Tamamlandı ☒   Tamamlanmadı ☐   Devam Ediyor ☐</w:t>
      </w:r>
    </w:p>
    <w:p>
      <w:pPr>
        <w:pStyle w:val="Normal"/>
        <w:spacing w:before="240" w:after="80"/>
        <w:rPr/>
      </w:pPr>
      <w:r>
        <w:rPr>
          <w:b/>
          <w:sz w:val="22"/>
        </w:rPr>
        <w:t>Detaylar:</w:t>
      </w:r>
    </w:p>
    <w:p>
      <w:pPr>
        <w:pStyle w:val="Normal"/>
        <w:spacing w:before="0" w:after="160"/>
        <w:rPr/>
      </w:pPr>
      <w:r>
        <w:rPr/>
        <w:t>Gerçek üretim verisindeki minimum sütun sayısının 10.000'in üzerinde olacağı netleşince, Parquet'in güvenilir çalıştığı kanıtlanmış tek ölçeğin (yaklaşık 1.000 sütun) üretimi temsil etmediği anlaşıldı. Bu nedenle mimari basitleştirildi: hem MinIO arşivi hem ClickHouse yükleme kaynağı için tek format olan ham metin + sıkıştırma (ZSTD/bz2, dosya kompozisyonuna göre seçilecek) kullanılmasına karar verildi. Bu, Parquet dönüşüm adımını tamamen ortadan kaldırarak hem daha basit hem daha güvenilir bir mimari sağlıyor.</w:t>
      </w:r>
    </w:p>
    <w:p>
      <w:pPr>
        <w:pStyle w:val="Normal"/>
        <w:spacing w:before="240" w:after="80"/>
        <w:rPr/>
      </w:pPr>
      <w:r>
        <w:rPr>
          <w:b/>
          <w:sz w:val="26"/>
        </w:rPr>
        <w:t>Öğrenilen Bilgi/Beceriler</w:t>
      </w:r>
    </w:p>
    <w:p>
      <w:pPr>
        <w:pStyle w:val="ListBullet"/>
        <w:numPr>
          <w:ilvl w:val="0"/>
          <w:numId w:val="1"/>
        </w:numPr>
        <w:spacing w:before="0" w:after="60"/>
        <w:contextualSpacing/>
        <w:rPr/>
      </w:pPr>
      <w:r>
        <w:rPr/>
        <w:t>ClickHouse'un s3() tablo fonksiyonu ile büyük ölçekli toplu veri yükleme.</w:t>
      </w:r>
    </w:p>
    <w:p>
      <w:pPr>
        <w:pStyle w:val="ListBullet"/>
        <w:numPr>
          <w:ilvl w:val="0"/>
          <w:numId w:val="1"/>
        </w:numPr>
        <w:spacing w:before="0" w:after="60"/>
        <w:contextualSpacing/>
        <w:rPr/>
      </w:pPr>
      <w:r>
        <w:rPr/>
        <w:t>ClickHouse MergeTree parça formatları (Wide ve Compact) ve çok sütunlu tablolarda bellek kullanımına etkileri.</w:t>
      </w:r>
    </w:p>
    <w:p>
      <w:pPr>
        <w:pStyle w:val="ListBullet"/>
        <w:numPr>
          <w:ilvl w:val="0"/>
          <w:numId w:val="1"/>
        </w:numPr>
        <w:spacing w:before="0" w:after="60"/>
        <w:contextualSpacing/>
        <w:rPr/>
      </w:pPr>
      <w:r>
        <w:rPr/>
        <w:t>ZSTD ve bz2 sıkıştırma algoritmalarının iç mekanizmaları (sırasıyla LZ77 tarzı eşleşme bulma + FSE entropi kodlama; Burrows-Wheeler dönüşümü + Move-to-Front + Huffman kodlama) ve hangi veri türünde hangisinin tercih edilmesi gerektiği.</w:t>
      </w:r>
    </w:p>
    <w:p>
      <w:pPr>
        <w:pStyle w:val="ListBullet"/>
        <w:numPr>
          <w:ilvl w:val="0"/>
          <w:numId w:val="1"/>
        </w:numPr>
        <w:spacing w:before="0" w:after="60"/>
        <w:contextualSpacing/>
        <w:rPr/>
      </w:pPr>
      <w:r>
        <w:rPr/>
        <w:t>Parquet'in sütun bazlı sözlük kodlama (dictionary encoding) mantığı ve bunun dosya boyutuna etkisi.</w:t>
      </w:r>
    </w:p>
    <w:p>
      <w:pPr>
        <w:pStyle w:val="ListBullet"/>
        <w:numPr>
          <w:ilvl w:val="0"/>
          <w:numId w:val="1"/>
        </w:numPr>
        <w:spacing w:before="0" w:after="60"/>
        <w:contextualSpacing/>
        <w:rPr/>
      </w:pPr>
      <w:r>
        <w:rPr/>
        <w:t>Docker/WSL2 ortamında kaynak yönetimi (bellek/CPU sınırı koyma) ve büyük ölçekli veri işleme testleri sırasında kararlılık sorunlarının teşhisi ve çözümü.</w:t>
      </w:r>
    </w:p>
    <w:p>
      <w:pPr>
        <w:pStyle w:val="Normal"/>
        <w:spacing w:before="240" w:after="80"/>
        <w:rPr/>
      </w:pPr>
      <w:r>
        <w:rPr>
          <w:b/>
          <w:sz w:val="26"/>
        </w:rPr>
        <w:t>Karşılaşılan Zorluklar</w:t>
      </w:r>
    </w:p>
    <w:p>
      <w:pPr>
        <w:pStyle w:val="Normal"/>
        <w:spacing w:before="0" w:after="160"/>
        <w:rPr/>
      </w:pPr>
      <w:r>
        <w:rPr/>
        <w:t>45.000 sütunlu dosyalarla çalışırken ClickHouse'un varsayılan sorgu boyutu (max_query_size) ve AST eleman sayısı (max_ast_elements) limitleri aşıldı, tablo oluşturma sorgusu çalıştırılamadı.</w:t>
      </w:r>
    </w:p>
    <w:p>
      <w:pPr>
        <w:pStyle w:val="Normal"/>
        <w:spacing w:before="0" w:after="200"/>
        <w:rPr/>
      </w:pPr>
      <w:r>
        <w:rPr>
          <w:b/>
        </w:rPr>
        <w:t xml:space="preserve">Çözüm: </w:t>
      </w:r>
      <w:r>
        <w:rPr/>
        <w:t>Bu ayarlar sorgu seviyesinde önemli ölçüde yükseltilerek (örneğin max_query_size = 200.000.000) sorun çözüldü.</w:t>
      </w:r>
    </w:p>
    <w:p>
      <w:pPr>
        <w:pStyle w:val="Normal"/>
        <w:spacing w:before="0" w:after="160"/>
        <w:rPr/>
      </w:pPr>
      <w:r>
        <w:rPr/>
        <w:t>ClickHouse'un varsayılan "Wide" parça formatı, her sütun için ayrı bir yazma tamponu açtığı için 45.000 sütunlu tabloya veri yazılırken sunucunun bellek bütçesi tek başına doluyordu.</w:t>
      </w:r>
    </w:p>
    <w:p>
      <w:pPr>
        <w:pStyle w:val="Normal"/>
        <w:spacing w:before="0" w:after="200"/>
        <w:rPr/>
      </w:pPr>
      <w:r>
        <w:rPr>
          <w:b/>
        </w:rPr>
        <w:t xml:space="preserve">Çözüm: </w:t>
      </w:r>
      <w:r>
        <w:rPr/>
        <w:t>Tablo, min_bytes_for_wide_part ve min_rows_for_wide_part ayarlarıyla her zaman "Compact" format (tüm sütunlar tek dosyada) kullanmaya zorlanarak sorun aşıldı.</w:t>
      </w:r>
    </w:p>
    <w:p>
      <w:pPr>
        <w:pStyle w:val="Normal"/>
        <w:spacing w:before="0" w:after="160"/>
        <w:rPr/>
      </w:pPr>
      <w:r>
        <w:rPr/>
        <w:t>ClickHouse'un Parquet okuyucusu, sütun sayısı arttıkça kümülatif olarak büyüyen ve serbest bırakılmayan bir bellek tüketimi gösterdi; sunucu bellek limiti %90'dan %95'e çıkarılsa bile sorun devam etti.</w:t>
      </w:r>
    </w:p>
    <w:p>
      <w:pPr>
        <w:pStyle w:val="Normal"/>
        <w:spacing w:before="0" w:after="200"/>
        <w:rPr/>
      </w:pPr>
      <w:r>
        <w:rPr>
          <w:b/>
        </w:rPr>
        <w:t xml:space="preserve">Çözüm: </w:t>
      </w:r>
      <w:r>
        <w:rPr/>
        <w:t>Ayarla düzeltilemediği için mimari karar değiştirildi, Parquet formatı boru hattından tamamen çıkarıldı; hem MinIO hem ClickHouse için ham metin + sıkıştırma kullanılmasına karar verildi.</w:t>
      </w:r>
    </w:p>
    <w:p>
      <w:pPr>
        <w:pStyle w:val="Normal"/>
        <w:spacing w:before="0" w:after="160"/>
        <w:rPr/>
      </w:pPr>
      <w:r>
        <w:rPr/>
        <w:t>Ağır CPU/bellek gerektiren dönüşüm işlemleri sırasında Docker Desktop ve WSL2 ortamı defalarca yanıtsız hale geldi, birden fazla kez tam yeniden başlatma gerekti.</w:t>
      </w:r>
    </w:p>
    <w:p>
      <w:pPr>
        <w:pStyle w:val="Normal"/>
        <w:spacing w:before="0" w:after="200"/>
        <w:rPr/>
      </w:pPr>
      <w:r>
        <w:rPr>
          <w:b/>
        </w:rPr>
        <w:t xml:space="preserve">Çözüm: </w:t>
      </w:r>
      <w:r>
        <w:rPr/>
        <w:t>Container'lara bellek ve CPU sınırları konularak host'un aşırı yüklenmesi engellendi; iş yükleri, host tarafında tekrar tekrar kontrol yapılmadan, tek bir arka plan bağlantısı üzerinden izlenerek sistem üzerindeki ek yük azaltıldı. Test veri hacmi de gerektiğinde küçültülerek (örneğin 100.000 yerine 20.000 satır) ortamın daha kararlı çalışması sağlandı.</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mbria">
    <w:charset w:val="a2"/>
    <w:family w:val="roman"/>
    <w:pitch w:val="variable"/>
  </w:font>
  <w:font w:name="Calibri">
    <w:charset w:val="a2"/>
    <w:family w:val="roman"/>
    <w:pitch w:val="variable"/>
  </w:font>
  <w:font w:name="Courier">
    <w:altName w:val="Courier New"/>
    <w:charset w:val="a2"/>
    <w:family w:val="roman"/>
    <w:pitch w:val="variable"/>
  </w:font>
  <w:font w:name="Liberation Sans">
    <w:altName w:val="Arial"/>
    <w:charset w:val="a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Stvealtbilgi">
    <w:name w:val="Üst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LibreOffice/24.2.2.2$Windows_X86_64 LibreOffice_project/d56cc158d8a96260b836f100ef4b4ef25d6f1a01</Application>
  <AppVersion>15.0000</AppVersion>
  <Pages>4</Pages>
  <Words>899</Words>
  <Characters>6137</Characters>
  <CharactersWithSpaces>6998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2026-08-20T17:28:42Z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