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FC30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Meme 代币机制理论知识梳理</w:t>
      </w:r>
    </w:p>
    <w:p w14:paraId="425C579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一、代币税机制分析</w:t>
      </w:r>
    </w:p>
    <w:p w14:paraId="7BAD5FB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1.代币税的作用</w:t>
      </w:r>
    </w:p>
    <w:p w14:paraId="43E8B3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代币税（Token Tax)是Meme代币（如 SHIB、SAFEMOON）的核心机制之一。它主要起到以下作用：</w:t>
      </w:r>
    </w:p>
    <w:p w14:paraId="41035FD4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价格文档：通过税收增加交易成本，抑制高频炒作和“科学家”抢跑，减少比价剧烈波动。</w:t>
      </w:r>
    </w:p>
    <w:p w14:paraId="085DBA68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生态建设：税收的一部分通常会注入流动性池（LP）或转入营销钱包、开发基金，为项目提供持续资金。</w:t>
      </w:r>
    </w:p>
    <w:p w14:paraId="4A6A6038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持有者激励：部分税收会以反射（Reflection）形式重新分配给现有持币者，鼓励长期持有。</w:t>
      </w:r>
    </w:p>
    <w:p w14:paraId="62C4772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2.常见征收方式</w:t>
      </w:r>
    </w:p>
    <w:p w14:paraId="4C26E370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交易税（Transfer Tax):在每次转账（买卖）时扣除一定比例。例如，用户卖出100个代币，实际到账可能只有95个，5个被扣留。</w:t>
      </w:r>
    </w:p>
    <w:p w14:paraId="476B7E4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持有税（Reflection）：通过合约逻辑，静态持币即可获得分红。通常通过记录全局指数和用户分红扣点实现</w:t>
      </w:r>
    </w:p>
    <w:p w14:paraId="1126A2D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3.示例分析</w:t>
      </w:r>
    </w:p>
    <w:p w14:paraId="02705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假设某Meme 代币设置买卖谁为5%（其中3%添加到流动性，2%划到营销钱包）：</w:t>
      </w:r>
    </w:p>
    <w:p w14:paraId="71FE5166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当市场热度高、交易量大时，LP自动增长，提升代币深度，防止砸盘。</w:t>
      </w:r>
    </w:p>
    <w:p w14:paraId="09ABE92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营销钱包资金可用于上线交易所或宣传，反哺比价。</w:t>
      </w:r>
    </w:p>
    <w:p w14:paraId="3DE8BCB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二、流动性池原理研究</w:t>
      </w:r>
    </w:p>
    <w:p w14:paraId="3FBEDE8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1.工作原理</w:t>
      </w:r>
    </w:p>
    <w:p w14:paraId="3F8D7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流动性池（Liquidity Pool, LP）是基于自动化做市商（AMM，如Uniswap）的交易模式。用户将2中代币（如ETH和SHIB）按一定比例存入池子，换取LP Token。交易者通过池子进行兑换，价格由恒定乘积公式  x*y=k决定</w:t>
      </w:r>
    </w:p>
    <w:p w14:paraId="62BA77A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2.与传统订单簿的区别</w:t>
      </w:r>
    </w:p>
    <w:p w14:paraId="45A15548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订单簿模式（如币安现货）：买卖双方挂单，系统撮合，需要有对手牌。</w:t>
      </w:r>
    </w:p>
    <w:p w14:paraId="5CE2AA4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LP模式：无需对手牌，直接与池子交易，流动性由用户提供，长尾资产也能快速交易。</w:t>
      </w:r>
    </w:p>
    <w:p w14:paraId="0274355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3.收益与风险</w:t>
      </w:r>
    </w:p>
    <w:p w14:paraId="67F01528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收益：流动性提供者获得交易手续分红（通常0.3%）。</w:t>
      </w:r>
    </w:p>
    <w:p w14:paraId="19D8A648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风险：无常损失。当吃池内代币价格发生剧烈变化时，提供者取货的资金可能低于单纯持有代币的价格</w:t>
      </w:r>
    </w:p>
    <w:p w14:paraId="0F87E4D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三、交易限制策略探讨</w:t>
      </w:r>
    </w:p>
    <w:p w14:paraId="6576E96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1.设置目的</w:t>
      </w:r>
    </w:p>
    <w:p w14:paraId="283377AE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防机器人抢购：限制单笔大额交易，防止夹子机器人。</w:t>
      </w:r>
    </w:p>
    <w:p w14:paraId="0B3440E3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保护早期投资者：设置持仓上限，避免巨鲸高度控盘</w:t>
      </w:r>
    </w:p>
    <w:p w14:paraId="1EB3F0B6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反洗钱与合规：限制每日交易次数与额度，满足监管要求</w:t>
      </w:r>
    </w:p>
    <w:p w14:paraId="7905D04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2.常见限制策略</w:t>
      </w:r>
    </w:p>
    <w:p w14:paraId="5B185104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单笔最大交易额：单次转账不超过总供应量的0.5%</w:t>
      </w:r>
    </w:p>
    <w:p w14:paraId="2E6D15D3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单日最大交易量：地址每次累计交易不超过1%。</w:t>
      </w:r>
    </w:p>
    <w:p w14:paraId="14F0977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持仓最大限额：单个地址持仓不能超过总供应量的2%</w:t>
      </w:r>
    </w:p>
    <w:p w14:paraId="1025BDD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3.优缺点</w:t>
      </w:r>
    </w:p>
    <w:p w14:paraId="1EE5813E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优点：有效防止价格操纵，增加作恶成本</w:t>
      </w:r>
    </w:p>
    <w:p w14:paraId="3A9E1B2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缺点：影响真实用户体验，需配合“排除名单”（如白名单地址）使用。</w:t>
      </w:r>
    </w:p>
    <w:p w14:paraId="043385E4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374504"/>
    <w:multiLevelType w:val="singleLevel"/>
    <w:tmpl w:val="8337450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842750"/>
    <w:rsid w:val="0C3660C3"/>
    <w:rsid w:val="5C164F06"/>
    <w:rsid w:val="7D3B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2026-02-28T12:43:17Z</dcterms:created>
  <dc:creator>Administrator</dc:creator>
  <cp:lastModifiedBy>东扯葫芦西扯瓜</cp:lastModifiedBy>
  <dcterms:modified xsi:type="dcterms:W3CDTF">2026-02-28T13:07:54Z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eyJoZGlkIjoiZmQxOGRiZDk2YjllY2MxZTZmNmFkZDliODE2OWRmZDQiLCJ1c2VySWQiOiIyMTk1NTI0NzEifQ==</vt:lpwstr>
  </property>
  <property fmtid="{D5CDD505-2E9C-101B-9397-08002B2CF9AE}" pid="4" name="ICV">
    <vt:lpwstr>4A075664F3FE4409981C07A7D02798B4_12</vt:lpwstr>
  </property>
</Properties>
</file>