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0" w:line="269" w:lineRule="auto"/>
      </w:pPr>
      <w:r>
        <w:rPr>
          <w:rFonts w:ascii="Malgun Gothic" w:hAnsi="Malgun Gothic" w:eastAsia="Malgun Gothic"/>
          <w:b/>
          <w:color w:val="246378"/>
          <w:sz w:val="44"/>
        </w:rPr>
        <w:t>아가야 구현 범위 증빙 2</w:t>
      </w:r>
    </w:p>
    <w:p>
      <w:pPr>
        <w:pStyle w:val="Subtitle"/>
        <w:spacing w:after="160" w:before="0" w:line="269" w:lineRule="auto"/>
      </w:pPr>
      <w:r>
        <w:rPr>
          <w:rFonts w:ascii="Malgun Gothic" w:hAnsi="Malgun Gothic" w:eastAsia="Malgun Gothic"/>
          <w:b w:val="0"/>
          <w:color w:val="4B5563"/>
          <w:sz w:val="21"/>
        </w:rPr>
        <w:t>제3조 구현 범위 기준 검수 문서 | 2026.05.15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9000"/>
      </w:tblGrid>
      <w:tr>
        <w:trPr>
          <w:tblHeader w:val="true"/>
        </w:trPr>
        <w:tc>
          <w:tcPr>
            <w:tcW w:type="dxa" w:w="9000"/>
            <w:shd w:fill="F8FAF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1F2937"/>
                <w:sz w:val="21"/>
              </w:rPr>
              <w:t>문서 목적</w:t>
              <w:br/>
            </w:r>
            <w:r>
              <w:rPr>
                <w:rFonts w:ascii="Malgun Gothic" w:hAnsi="Malgun Gothic" w:eastAsia="Malgun Gothic"/>
                <w:color w:val="1F2937"/>
                <w:sz w:val="21"/>
              </w:rPr>
              <w:t>이 문서는 제3조 구현 범위 중 NANDA 자유 입력, 관리자 권한, 테스팅 서버, 학생기록 조회, 채점하기 항목을 발주자 검수 기준으로 정리한 증빙 문서입니다. 검수자가 계약 표와 실제 제공 기능을 바로 대조할 수 있도록 같은 3열 구조를 유지합니다.</w:t>
            </w:r>
          </w:p>
        </w:tc>
      </w:tr>
    </w:tbl>
    <w:p/>
    <w:p>
      <w:pPr>
        <w:pStyle w:val="Heading1"/>
        <w:spacing w:after="80" w:before="80" w:line="269" w:lineRule="auto"/>
      </w:pPr>
      <w:r>
        <w:rPr>
          <w:rFonts w:ascii="Malgun Gothic" w:hAnsi="Malgun Gothic" w:eastAsia="Malgun Gothic"/>
          <w:b/>
          <w:color w:val="246378"/>
          <w:sz w:val="30"/>
        </w:rPr>
        <w:t>1. 계약 범위 대응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800"/>
        <w:gridCol w:w="3600"/>
        <w:gridCol w:w="360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검수 묶음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포함 영역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확인 초점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증빙 2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NANDA 자유 입력, 관리자 권한, 테스팅 서버, 학생기록 조회, 채점하기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자유 형식 기록, 트리거 권한 분리, 별도 테스트 진입, 기록 색상/다운로드/검색, 채점항목 관리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문서 기준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계약서 제3조 구현 범위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첨부 표의 “계약 범위 포함” 및 “세부 기준” 항목을 그대로 검수 항목화</w:t>
            </w:r>
          </w:p>
        </w:tc>
      </w:tr>
    </w:tbl>
    <w:p>
      <w:pPr>
        <w:pStyle w:val="Heading1"/>
        <w:spacing w:after="80" w:before="200" w:line="269" w:lineRule="auto"/>
      </w:pPr>
      <w:r>
        <w:rPr>
          <w:rFonts w:ascii="Malgun Gothic" w:hAnsi="Malgun Gothic" w:eastAsia="Malgun Gothic"/>
          <w:b/>
          <w:color w:val="246378"/>
          <w:sz w:val="30"/>
        </w:rPr>
        <w:t>2. 구현 범위 상세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800"/>
        <w:gridCol w:w="2700"/>
        <w:gridCol w:w="450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영역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계약 범위 포함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세부 기준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간호일지 NANDA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자료, 계획 및 중재, 평가 입력(free text)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NANDA 간호진단의 자료, 계획 및 중재, 평가 항목에 자유 형식 텍스트 직접 입력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관리자 권한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시나리오 트리거 관리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각 시나리오의 트리거를 관리자가 ON/OFF할 수 있으며, 시나리오의 “교수”는 이를 수정할 수 없음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테스팅 서버 구축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별도 정보 보관 필요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별도의 시나리오 및 데이터 저장소 확보 및 진입 URL 개발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학생기록 조회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색상 표시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학생이 기록한 항목을 색으로 구분하여 표시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학생기록 조회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PDF 다운로드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학생 개인별 다운로드 및 날짜별/조별 일괄 다운로드 가능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학생기록 조회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날짜별,조별,이름별 검색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날짜, 조, 이름 기준으로 학생기록을 검색ㆍ조회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채점하기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채점항목 생성,수정, 점수배정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채점항목을 생성ㆍ수정할 수 있으며, 항목별 점수 배정</w:t>
            </w:r>
          </w:p>
        </w:tc>
      </w:tr>
    </w:tbl>
    <w:p>
      <w:pPr>
        <w:pStyle w:val="Heading1"/>
        <w:spacing w:after="80" w:before="200" w:line="269" w:lineRule="auto"/>
      </w:pPr>
      <w:r>
        <w:rPr>
          <w:rFonts w:ascii="Malgun Gothic" w:hAnsi="Malgun Gothic" w:eastAsia="Malgun Gothic"/>
          <w:b/>
          <w:color w:val="246378"/>
          <w:sz w:val="30"/>
        </w:rPr>
        <w:t>3. 검수 시 확인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2200"/>
        <w:gridCol w:w="680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구분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3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246378"/>
                <w:sz w:val="20"/>
              </w:rPr>
              <w:t>확인 내용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NANDA 기록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자료/계획 및 중재/평가 항목에 자유 형식 텍스트를 직접 입력할 수 있는지 확인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권한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관리자는 트리거를 ON/OFF할 수 있고 교수 역할은 이를 수정할 수 없도록 분리되는지 확인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테스트 환경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별도 데이터 저장소와 진입 URL이 운영 환경과 구분되는지 확인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학생기록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색상 구분, 개인/일괄 PDF 다운로드, 날짜/조/이름 검색이 가능한지 확인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채점</w:t>
            </w:r>
          </w:p>
        </w:tc>
        <w:tc>
          <w:tcPr>
            <w:tcW w:type="dxa" w:w="6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F2937"/>
                <w:sz w:val="18"/>
              </w:rPr>
              <w:t>채점항목 생성/수정 및 항목별 점수 배정이 가능한지 확인</w:t>
            </w:r>
          </w:p>
        </w:tc>
      </w:tr>
    </w:tbl>
    <w:p>
      <w:pPr>
        <w:pStyle w:val="Heading1"/>
        <w:spacing w:after="80" w:before="200" w:line="269" w:lineRule="auto"/>
      </w:pPr>
      <w:r>
        <w:rPr>
          <w:rFonts w:ascii="Malgun Gothic" w:hAnsi="Malgun Gothic" w:eastAsia="Malgun Gothic"/>
          <w:b/>
          <w:color w:val="246378"/>
          <w:sz w:val="30"/>
        </w:rPr>
        <w:t>4. 최종 확인</w:t>
      </w:r>
    </w:p>
    <w:p>
      <w:pPr>
        <w:pStyle w:val="ListBullet"/>
        <w:spacing w:after="40" w:before="0" w:line="269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본 문서는 첨부된 제3조 구현 범위 표를 기준으로 작성한 검수용 증빙 문서입니다.</w:t>
      </w:r>
    </w:p>
    <w:p>
      <w:pPr>
        <w:pStyle w:val="ListBullet"/>
        <w:spacing w:after="40" w:before="0" w:line="269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세부 기준의 표현은 계약 표의 의미를 유지하되, 발주자 검수자가 화면과 기능에서 확인할 수 있는 문장으로 정리했습니다.</w:t>
      </w:r>
    </w:p>
    <w:p>
      <w:pPr>
        <w:pStyle w:val="ListBullet"/>
        <w:spacing w:after="40" w:before="0" w:line="269" w:lineRule="auto"/>
      </w:pPr>
      <w:r>
        <w:rPr>
          <w:rFonts w:ascii="Malgun Gothic" w:hAnsi="Malgun Gothic" w:eastAsia="Malgun Gothic"/>
          <w:b w:val="0"/>
          <w:color w:val="1F2937"/>
          <w:sz w:val="21"/>
        </w:rPr>
        <w:t>계정, URL, 임시 비밀번호 등 별도 전달이 필요한 민감 정보는 이 문서에 기재하지 않고 별도 보안 전달 문서로 분리합니다.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4B5563"/>
        <w:sz w:val="16"/>
      </w:rPr>
      <w:t>아가야 납품 완료 보고서 | 계약 범위 검수용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algun Gothic" w:hAnsi="Malgun Gothic" w:eastAsia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88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63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C89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88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463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before="0" w:after="3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4B556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88" w:lineRule="auto"/>
    </w:pPr>
    <w:rPr>
      <w:rFonts w:ascii="Malgun Gothic" w:hAnsi="Malgun Gothic" w:eastAsia="Malgun Gothic"/>
      <w:color w:val="1F2937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