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【开发】基金网页调研</w:t>
      </w:r>
    </w:p>
    <w:p>
      <w:pPr>
        <w:numPr>
          <w:numId w:val="1"/>
        </w:numPr>
        <w:spacing w:before="120" w:after="120" w:line="288" w:lineRule="auto"/>
        <w:ind w:left="0"/>
        <w:jc w:val="left"/>
      </w:pPr>
      <w:r>
        <w:rPr>
          <w:rFonts w:eastAsia="等线" w:ascii="Arial" w:cs="Arial" w:hAnsi="Arial"/>
          <w:b w:val="true"/>
          <w:sz w:val="22"/>
        </w:rPr>
        <w:t>基金网页呈现的内容</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65"/>
        <w:gridCol w:w="4215"/>
        <w:gridCol w:w="3315"/>
      </w:tblGrid>
      <w:tr>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基金介绍</w:t>
            </w:r>
          </w:p>
          <w:p>
            <w:pPr>
              <w:spacing w:before="120" w:after="120" w:line="288" w:lineRule="auto"/>
              <w:ind w:left="0"/>
              <w:jc w:val="left"/>
            </w:pPr>
          </w:p>
        </w:tc>
        <w:tc>
          <w:tcPr>
            <w:tcW w:w="4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关于我们</w:t>
            </w:r>
          </w:p>
        </w:tc>
        <w:tc>
          <w:tcPr>
            <w:tcW w:w="3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星连资本是国内最早专注投资新一代人工智能全产业链的风险投资基金，由数名清华系资深投资人共同创办。基金关注新一代人工智能大模型技术驱动的产业前沿与商业场景，建立青年科学家、企业家社区，沟通“产-学-政-投”各关键要素，致力于打造“AI时代”的投资新范式。</w:t>
            </w:r>
          </w:p>
          <w:p>
            <w:pPr>
              <w:spacing w:before="120" w:after="120" w:line="288" w:lineRule="auto"/>
              <w:ind w:left="0"/>
              <w:jc w:val="left"/>
            </w:pPr>
            <w:r>
              <w:rPr>
                <w:rFonts w:eastAsia="等线" w:ascii="Arial" w:cs="Arial" w:hAnsi="Arial"/>
                <w:sz w:val="22"/>
              </w:rPr>
              <w:t>基金累计管理规模超30亿人民币，投资了包括智谱AI、无问芯穹、生数科技、基流科技、面壁智能、沐言智语、辉羲科技、硅基流动、阿米奥机器人等多家新一代人工智能领军企业。</w:t>
            </w:r>
          </w:p>
        </w:tc>
      </w:tr>
      <w:tr>
        <w:tc>
          <w:tcPr>
            <w:tcW w:w="765" w:type="dxa"/>
            <w:tcMar>
              <w:top w:type="dxa" w:w="60"/>
              <w:left w:type="dxa" w:w="120"/>
              <w:bottom w:type="dxa" w:w="30"/>
              <w:right w:type="dxa" w:w="120"/>
            </w:tcMar>
          </w:tcPr>
          <w:p>
            <w:pPr>
              <w:spacing w:before="120" w:after="120" w:line="288" w:lineRule="auto"/>
              <w:ind w:left="0"/>
              <w:jc w:val="left"/>
            </w:pPr>
          </w:p>
        </w:tc>
        <w:tc>
          <w:tcPr>
            <w:tcW w:w="4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一句话 slogan 代表投资理念/愿景</w:t>
            </w:r>
          </w:p>
        </w:tc>
        <w:tc>
          <w:tcPr>
            <w:tcW w:w="3315" w:type="dxa"/>
            <w:tcMar>
              <w:top w:type="dxa" w:w="60"/>
              <w:left w:type="dxa" w:w="120"/>
              <w:bottom w:type="dxa" w:w="30"/>
              <w:right w:type="dxa" w:w="120"/>
            </w:tcMar>
          </w:tcPr>
          <w:p>
            <w:pPr>
              <w:spacing w:before="120" w:after="120" w:line="288" w:lineRule="auto"/>
              <w:ind w:left="0"/>
              <w:jc w:val="left"/>
            </w:pPr>
          </w:p>
        </w:tc>
      </w:tr>
      <w:tr>
        <w:tc>
          <w:tcPr>
            <w:tcW w:w="765" w:type="dxa"/>
            <w:tcMar>
              <w:top w:type="dxa" w:w="60"/>
              <w:left w:type="dxa" w:w="120"/>
              <w:bottom w:type="dxa" w:w="30"/>
              <w:right w:type="dxa" w:w="120"/>
            </w:tcMar>
          </w:tcPr>
          <w:p>
            <w:pPr>
              <w:spacing w:before="120" w:after="120" w:line="288" w:lineRule="auto"/>
              <w:ind w:left="0"/>
              <w:jc w:val="left"/>
            </w:pPr>
          </w:p>
        </w:tc>
        <w:tc>
          <w:tcPr>
            <w:tcW w:w="4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Jobs（招聘，基金+被投企业）</w:t>
            </w:r>
          </w:p>
          <w:p>
            <w:pPr>
              <w:spacing w:before="120" w:after="120" w:line="288" w:lineRule="auto"/>
              <w:ind w:left="0"/>
              <w:jc w:val="left"/>
            </w:pPr>
          </w:p>
        </w:tc>
        <w:tc>
          <w:tcPr>
            <w:tcW w:w="3315" w:type="dxa"/>
            <w:tcMar>
              <w:top w:type="dxa" w:w="60"/>
              <w:left w:type="dxa" w:w="120"/>
              <w:bottom w:type="dxa" w:w="30"/>
              <w:right w:type="dxa" w:w="120"/>
            </w:tcMar>
          </w:tcPr>
          <w:p>
            <w:pPr>
              <w:spacing w:before="120" w:after="120" w:line="288" w:lineRule="auto"/>
              <w:ind w:left="0"/>
              <w:jc w:val="left"/>
            </w:pPr>
          </w:p>
        </w:tc>
      </w:tr>
      <w:tr>
        <w:tc>
          <w:tcPr>
            <w:tcW w:w="765" w:type="dxa"/>
            <w:tcMar>
              <w:top w:type="dxa" w:w="60"/>
              <w:left w:type="dxa" w:w="120"/>
              <w:bottom w:type="dxa" w:w="30"/>
              <w:right w:type="dxa" w:w="120"/>
            </w:tcMar>
          </w:tcPr>
          <w:p>
            <w:pPr>
              <w:spacing w:before="120" w:after="120" w:line="288" w:lineRule="auto"/>
              <w:ind w:left="0"/>
              <w:jc w:val="left"/>
            </w:pPr>
          </w:p>
        </w:tc>
        <w:tc>
          <w:tcPr>
            <w:tcW w:w="4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法律（网页内容使用条款等）</w:t>
            </w:r>
          </w:p>
          <w:p>
            <w:pPr>
              <w:spacing w:before="120" w:after="120" w:line="288" w:lineRule="auto"/>
              <w:ind w:left="0"/>
              <w:jc w:val="left"/>
            </w:pPr>
          </w:p>
        </w:tc>
        <w:tc>
          <w:tcPr>
            <w:tcW w:w="3315" w:type="dxa"/>
            <w:tcMar>
              <w:top w:type="dxa" w:w="60"/>
              <w:left w:type="dxa" w:w="120"/>
              <w:bottom w:type="dxa" w:w="30"/>
              <w:right w:type="dxa" w:w="120"/>
            </w:tcMar>
          </w:tcPr>
          <w:p>
            <w:pPr>
              <w:spacing w:before="120" w:after="120" w:line="288" w:lineRule="auto"/>
              <w:ind w:left="0"/>
              <w:jc w:val="left"/>
            </w:pPr>
          </w:p>
        </w:tc>
      </w:tr>
      <w:tr>
        <w:tc>
          <w:tcPr>
            <w:tcW w:w="765" w:type="dxa"/>
            <w:tcMar>
              <w:top w:type="dxa" w:w="60"/>
              <w:left w:type="dxa" w:w="120"/>
              <w:bottom w:type="dxa" w:w="30"/>
              <w:right w:type="dxa" w:w="120"/>
            </w:tcMar>
          </w:tcPr>
          <w:p>
            <w:pPr>
              <w:spacing w:before="120" w:after="120" w:line="288" w:lineRule="auto"/>
              <w:ind w:left="0"/>
              <w:jc w:val="left"/>
            </w:pPr>
          </w:p>
        </w:tc>
        <w:tc>
          <w:tcPr>
            <w:tcW w:w="4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管理团队（统一背景/风格照片+一句话介绍）</w:t>
            </w:r>
          </w:p>
          <w:p>
            <w:pPr>
              <w:spacing w:before="120" w:after="120" w:line="288" w:lineRule="auto"/>
              <w:ind w:left="0"/>
              <w:jc w:val="left"/>
            </w:pPr>
          </w:p>
        </w:tc>
        <w:tc>
          <w:tcPr>
            <w:tcW w:w="3315" w:type="dxa"/>
            <w:tcMar>
              <w:top w:type="dxa" w:w="60"/>
              <w:left w:type="dxa" w:w="120"/>
              <w:bottom w:type="dxa" w:w="30"/>
              <w:right w:type="dxa" w:w="120"/>
            </w:tcMar>
          </w:tcPr>
          <w:p>
            <w:pPr>
              <w:spacing w:before="120" w:after="120" w:line="288" w:lineRule="auto"/>
              <w:ind w:left="0"/>
              <w:jc w:val="left"/>
            </w:pPr>
          </w:p>
        </w:tc>
      </w:tr>
      <w:tr>
        <w:tc>
          <w:tcPr>
            <w:tcW w:w="765" w:type="dxa"/>
            <w:tcMar>
              <w:top w:type="dxa" w:w="60"/>
              <w:left w:type="dxa" w:w="120"/>
              <w:bottom w:type="dxa" w:w="30"/>
              <w:right w:type="dxa" w:w="120"/>
            </w:tcMar>
          </w:tcPr>
          <w:p>
            <w:pPr>
              <w:spacing w:before="120" w:after="120" w:line="288" w:lineRule="auto"/>
              <w:ind w:left="0"/>
              <w:jc w:val="left"/>
            </w:pPr>
          </w:p>
        </w:tc>
        <w:tc>
          <w:tcPr>
            <w:tcW w:w="4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联系我们（地址、邮箱、社交媒体账号-展示方式鼠标到此展示二维码）</w:t>
            </w:r>
          </w:p>
        </w:tc>
        <w:tc>
          <w:tcPr>
            <w:tcW w:w="3315" w:type="dxa"/>
            <w:tcMar>
              <w:top w:type="dxa" w:w="60"/>
              <w:left w:type="dxa" w:w="120"/>
              <w:bottom w:type="dxa" w:w="30"/>
              <w:right w:type="dxa" w:w="120"/>
            </w:tcMar>
          </w:tcPr>
          <w:p>
            <w:pPr>
              <w:spacing w:before="120" w:after="120" w:line="288" w:lineRule="auto"/>
              <w:ind w:left="0"/>
              <w:jc w:val="left"/>
            </w:pPr>
          </w:p>
        </w:tc>
      </w:tr>
      <w:tr>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投资组合</w:t>
            </w:r>
          </w:p>
        </w:tc>
        <w:tc>
          <w:tcPr>
            <w:tcW w:w="4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首页展示</w:t>
            </w:r>
          </w:p>
          <w:p>
            <w:pPr>
              <w:spacing w:before="120" w:after="120" w:line="288" w:lineRule="auto"/>
              <w:ind w:left="0"/>
              <w:jc w:val="left"/>
            </w:pPr>
          </w:p>
        </w:tc>
        <w:tc>
          <w:tcPr>
            <w:tcW w:w="3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模型：智谱 AI、面壁智能、生数科技</w:t>
            </w:r>
          </w:p>
          <w:p>
            <w:pPr>
              <w:spacing w:before="120" w:after="120" w:line="288" w:lineRule="auto"/>
              <w:ind w:left="0"/>
              <w:jc w:val="left"/>
            </w:pPr>
            <w:r>
              <w:rPr>
                <w:rFonts w:eastAsia="等线" w:ascii="Arial" w:cs="Arial" w:hAnsi="Arial"/>
                <w:sz w:val="22"/>
              </w:rPr>
              <w:t>Infra：基流科技、AGICmicro（谦和益邦）、无问芯穹、趋境科技</w:t>
            </w:r>
          </w:p>
          <w:p>
            <w:pPr>
              <w:spacing w:before="120" w:after="120" w:line="288" w:lineRule="auto"/>
              <w:ind w:left="0"/>
              <w:jc w:val="left"/>
            </w:pPr>
            <w:r>
              <w:rPr>
                <w:rFonts w:eastAsia="等线" w:ascii="Arial" w:cs="Arial" w:hAnsi="Arial"/>
                <w:sz w:val="22"/>
              </w:rPr>
              <w:t>模型应用：珀乐科技、AIPPT</w:t>
            </w:r>
          </w:p>
          <w:p>
            <w:pPr>
              <w:spacing w:before="120" w:after="120" w:line="288" w:lineRule="auto"/>
              <w:ind w:left="0"/>
              <w:jc w:val="left"/>
            </w:pPr>
            <w:r>
              <w:rPr>
                <w:rFonts w:eastAsia="等线" w:ascii="Arial" w:cs="Arial" w:hAnsi="Arial"/>
                <w:sz w:val="22"/>
              </w:rPr>
              <w:t>AI4S：百奥几何</w:t>
            </w:r>
          </w:p>
          <w:p>
            <w:pPr>
              <w:spacing w:before="120" w:after="120" w:line="288" w:lineRule="auto"/>
              <w:ind w:left="0"/>
              <w:jc w:val="left"/>
            </w:pPr>
            <w:r>
              <w:rPr>
                <w:rFonts w:eastAsia="等线" w:ascii="Arial" w:cs="Arial" w:hAnsi="Arial"/>
                <w:sz w:val="22"/>
              </w:rPr>
              <w:t>AI 安全：瑞莱智慧</w:t>
            </w:r>
          </w:p>
          <w:p>
            <w:pPr>
              <w:spacing w:before="120" w:after="120" w:line="288" w:lineRule="auto"/>
              <w:ind w:left="0"/>
              <w:jc w:val="left"/>
            </w:pPr>
            <w:r>
              <w:rPr>
                <w:rFonts w:eastAsia="等线" w:ascii="Arial" w:cs="Arial" w:hAnsi="Arial"/>
                <w:sz w:val="22"/>
              </w:rPr>
              <w:t>具身/机器人：动易科技、阿米奥</w:t>
            </w:r>
          </w:p>
          <w:p>
            <w:pPr>
              <w:spacing w:before="120" w:after="120" w:line="288" w:lineRule="auto"/>
              <w:ind w:left="0"/>
              <w:jc w:val="left"/>
            </w:pPr>
            <w:r>
              <w:rPr>
                <w:rFonts w:eastAsia="等线" w:ascii="Arial" w:cs="Arial" w:hAnsi="Arial"/>
                <w:sz w:val="22"/>
              </w:rPr>
              <w:t>Agent：紫荆智康</w:t>
            </w:r>
          </w:p>
        </w:tc>
      </w:tr>
      <w:tr>
        <w:tc>
          <w:tcPr>
            <w:tcW w:w="765" w:type="dxa"/>
            <w:tcMar>
              <w:top w:type="dxa" w:w="60"/>
              <w:left w:type="dxa" w:w="120"/>
              <w:bottom w:type="dxa" w:w="30"/>
              <w:right w:type="dxa" w:w="120"/>
            </w:tcMar>
          </w:tcPr>
          <w:p>
            <w:pPr>
              <w:spacing w:before="120" w:after="120" w:line="288" w:lineRule="auto"/>
              <w:ind w:left="0"/>
              <w:jc w:val="left"/>
            </w:pPr>
          </w:p>
        </w:tc>
        <w:tc>
          <w:tcPr>
            <w:tcW w:w="4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详情页面（被投名字、官网链接、一段话介绍-关键信息、领域标签）</w:t>
            </w:r>
          </w:p>
          <w:p>
            <w:pPr>
              <w:spacing w:before="120" w:after="120" w:line="288" w:lineRule="auto"/>
              <w:ind w:left="0"/>
              <w:jc w:val="left"/>
            </w:pPr>
          </w:p>
        </w:tc>
        <w:tc>
          <w:tcPr>
            <w:tcW w:w="3315" w:type="dxa"/>
            <w:tcMar>
              <w:top w:type="dxa" w:w="60"/>
              <w:left w:type="dxa" w:w="120"/>
              <w:bottom w:type="dxa" w:w="30"/>
              <w:right w:type="dxa" w:w="120"/>
            </w:tcMar>
          </w:tcPr>
          <w:p>
            <w:pPr>
              <w:spacing w:before="120" w:after="120" w:line="288" w:lineRule="auto"/>
              <w:ind w:left="0"/>
              <w:jc w:val="center"/>
            </w:pPr>
            <w:r>
              <w:drawing>
                <wp:inline distT="0" distR="0" distB="0" distL="0">
                  <wp:extent cx="1952625" cy="17716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1952625" cy="1771650"/>
                          </a:xfrm>
                          <a:prstGeom prst="rect">
                            <a:avLst/>
                          </a:prstGeom>
                        </pic:spPr>
                      </pic:pic>
                    </a:graphicData>
                  </a:graphic>
                </wp:inline>
              </w:drawing>
            </w:r>
          </w:p>
          <w:p>
            <w:pPr>
              <w:spacing w:before="120" w:after="120" w:line="288" w:lineRule="auto"/>
              <w:ind w:left="0"/>
              <w:jc w:val="left"/>
            </w:pPr>
          </w:p>
        </w:tc>
      </w:tr>
      <w:tr>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最新动态</w:t>
            </w:r>
          </w:p>
        </w:tc>
        <w:tc>
          <w:tcPr>
            <w:tcW w:w="4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新闻</w:t>
            </w:r>
          </w:p>
          <w:p>
            <w:pPr>
              <w:spacing w:before="120" w:after="120" w:line="288" w:lineRule="auto"/>
              <w:ind w:left="0"/>
              <w:jc w:val="left"/>
            </w:pPr>
            <w:r>
              <w:rPr>
                <w:rFonts w:eastAsia="等线" w:ascii="Arial" w:cs="Arial" w:hAnsi="Arial"/>
                <w:sz w:val="22"/>
              </w:rPr>
              <w:t>观点（大教授观点）</w:t>
            </w:r>
          </w:p>
          <w:p>
            <w:pPr>
              <w:spacing w:before="120" w:after="120" w:line="288" w:lineRule="auto"/>
              <w:ind w:left="0"/>
              <w:jc w:val="left"/>
            </w:pPr>
            <w:r>
              <w:rPr>
                <w:rFonts w:eastAsia="等线" w:ascii="Arial" w:cs="Arial" w:hAnsi="Arial"/>
                <w:sz w:val="22"/>
              </w:rPr>
              <w:t>Join mailing list 获取 AI daily news</w:t>
            </w:r>
          </w:p>
        </w:tc>
        <w:tc>
          <w:tcPr>
            <w:tcW w:w="3315" w:type="dxa"/>
            <w:tcMar>
              <w:top w:type="dxa" w:w="60"/>
              <w:left w:type="dxa" w:w="120"/>
              <w:bottom w:type="dxa" w:w="30"/>
              <w:right w:type="dxa" w:w="120"/>
            </w:tcMar>
          </w:tcPr>
          <w:p>
            <w:pPr>
              <w:spacing w:before="120" w:after="120" w:line="288" w:lineRule="auto"/>
              <w:ind w:left="0"/>
              <w:jc w:val="left"/>
            </w:pPr>
          </w:p>
        </w:tc>
      </w:tr>
      <w:tr>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孵化器介绍</w:t>
            </w:r>
          </w:p>
        </w:tc>
        <w:tc>
          <w:tcPr>
            <w:tcW w:w="4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华清普智孵化器总体介绍、现有活动/服务</w:t>
            </w:r>
          </w:p>
        </w:tc>
        <w:tc>
          <w:tcPr>
            <w:tcW w:w="3315"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sectPr>
      <w:footerReference w:type="default" r:id="rId3"/>
      <w:headerReference w:type="default" r:id="rId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479760">
    <w:lvl>
      <w:numFmt w:val="bullet"/>
      <w:suff w:val="tab"/>
      <w:lvlText w:val="•"/>
      <w:rPr>
        <w:color w:val="3370ff"/>
      </w:rPr>
    </w:lvl>
  </w:abstractNum>
  <w:num w:numId="1">
    <w:abstractNumId w:val="479760"/>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media/image1.png" Type="http://schemas.openxmlformats.org/officeDocument/2006/relationships/image"/><Relationship Id="rId6"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2026-04-30T06:25:07Z</dcterms:created>
  <dc:creator>Apache POI</dc:creator>
</cp:coreProperties>
</file>