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Veterinary Pharmacovigilance Work Sample</w:t>
      </w:r>
    </w:p>
    <w:p>
      <w:pPr>
        <w:pStyle w:val="Subtitle"/>
      </w:pPr>
      <w:r>
        <w:t>Background and analysis brief</w:t>
      </w:r>
    </w:p>
    <w:p>
      <w:r>
        <w:t>This exercise provides a fictional safety-reporting dataset for developing an R-based work sample. The task is to identify reporting patterns that deserve further review and explain the uncertainty clearly to a pharmacovigilance team. No analysis results are supplied.</w:t>
      </w:r>
    </w:p>
    <w:p>
      <w:r>
        <w:t>All records, products, batches and distribution volumes are simulated. The dataset was generated with AI assistance and is not company data or an official hiring assignment. It is not affiliated with, endorsed by, or validated by Boehringer Ingelheim, FDA, EMA or another employer.</w:t>
      </w:r>
    </w:p>
    <w:p>
      <w:pPr>
        <w:pStyle w:val="Heading1"/>
      </w:pPr>
      <w:r>
        <w:t>Business scenario</w:t>
      </w:r>
    </w:p>
    <w:p>
      <w:r>
        <w:t>A hypothetical animal-health company monitors three fictional oral products, SYN_A, SYN_B and SYN_C, in a shared companion-animal use category. Reports concern dogs and cats in the United States, United Kingdom and Germany. Product identities do not correspond to real medicines. No actual indication, ingredient, dose regimen or benefit profile is modeled.</w:t>
      </w:r>
    </w:p>
    <w:p>
      <w:r>
        <w:t>You are preparing a surveillance review at a fixed snapshot date of 31 December 2025. The team wants to know whether recent increases in reports are explained by distribution volume, recurring seasonality, changing reporting composition, or product and event patterns that merit case review.</w:t>
      </w:r>
    </w:p>
    <w:p>
      <w:pPr>
        <w:pStyle w:val="Heading1"/>
      </w:pPr>
      <w:r>
        <w:t>Questions for the analyst</w:t>
      </w:r>
    </w:p>
    <w:p>
      <w:pPr>
        <w:pStyle w:val="ListBullet"/>
        <w:spacing w:after="100"/>
      </w:pPr>
      <w:r>
        <w:t>Clean the versioned case extract. Describe missingness, validate dates and retain the latest available version of each case without counting follow-ups as new cases.</w:t>
      </w:r>
    </w:p>
    <w:p>
      <w:pPr>
        <w:pStyle w:val="ListBullet"/>
        <w:spacing w:after="100"/>
      </w:pPr>
      <w:r>
        <w:t>Summarize unique reports by product, event, species, country and seriousness. Compare July to December 2025 with January to June 2025. Repeat the comparison against July to December 2024 to assess seasonal confounding.</w:t>
      </w:r>
    </w:p>
    <w:p>
      <w:pPr>
        <w:pStyle w:val="ListBullet"/>
        <w:spacing w:after="100"/>
      </w:pPr>
      <w:r>
        <w:t>Plot monthly reports and descriptive reports per 100,000 distributed doses. Examine whether apparent changes persist after accounting for product volume and species or country composition.</w:t>
      </w:r>
    </w:p>
    <w:p>
      <w:pPr>
        <w:pStyle w:val="ListBullet"/>
        <w:spacing w:after="100"/>
      </w:pPr>
      <w:r>
        <w:t>Explore product and event disproportionality, such as a reporting odds ratio with uncertainty intervals, using the other two products as the reference. Consider sparse cells and stratified sensitivity analyses.</w:t>
      </w:r>
    </w:p>
    <w:p>
      <w:pPr>
        <w:pStyle w:val="ListBullet"/>
        <w:spacing w:after="100"/>
      </w:pPr>
      <w:r>
        <w:t>Review batch-level report counts and event composition. Recommend targeted follow-up questions, while distinguishing a statistical reporting pattern from a confirmed causal safety issue.</w:t>
      </w:r>
    </w:p>
    <w:p>
      <w:pPr>
        <w:pStyle w:val="Heading1"/>
      </w:pPr>
      <w:r>
        <w:t>Suggested final work sample</w:t>
      </w:r>
    </w:p>
    <w:p>
      <w:r>
        <w:t>Prepare a reproducible R or Quarto analysis, a short data-quality summary, three or four focused figures, and a two- to three-page English report. Include a small case line listing for any prioritized pattern. Label every output as synthetic and describe your analytical decisions and limitations.</w:t>
      </w:r>
    </w:p>
    <w:p>
      <w:r>
        <w:br w:type="page"/>
      </w:r>
    </w:p>
    <w:p>
      <w:pPr>
        <w:pStyle w:val="Heading1"/>
      </w:pPr>
      <w:r>
        <w:t>Data package and units of observation</w:t>
      </w:r>
    </w:p>
    <w:tbl>
      <w:tblPr>
        <w:tblW w:type="auto" w:w="0"/>
        <w:tblLayout w:type="fixed"/>
        <w:tblLook w:firstColumn="1" w:firstRow="1" w:lastColumn="0" w:lastRow="0" w:noHBand="0" w:noVBand="1" w:val="04A0"/>
      </w:tblPr>
      <w:tblGrid>
        <w:gridCol w:w="2736"/>
        <w:gridCol w:w="7344"/>
      </w:tblGrid>
      <w:tr>
        <w:trPr>
          <w:tblHeader/>
        </w:trPr>
        <w:tc>
          <w:tcPr>
            <w:tcW w:type="dxa" w:w="2736"/>
            <w:shd w:fill="243F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0" w:lineRule="auto"/>
            </w:pPr>
            <w:r>
              <w:rPr>
                <w:b/>
                <w:color w:val="FFFFFF"/>
                <w:sz w:val="20"/>
              </w:rPr>
              <w:t>Worksheet</w:t>
            </w:r>
          </w:p>
        </w:tc>
        <w:tc>
          <w:tcPr>
            <w:tcW w:type="dxa" w:w="7344"/>
            <w:shd w:fill="243F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0" w:lineRule="auto"/>
            </w:pPr>
            <w:r>
              <w:rPr>
                <w:b/>
                <w:color w:val="FFFFFF"/>
                <w:sz w:val="20"/>
              </w:rPr>
              <w:t>Contents and interpretation</w:t>
            </w:r>
          </w:p>
        </w:tc>
      </w:tr>
      <w:tr>
        <w:tc>
          <w:tcPr>
            <w:tcW w:type="dxa" w:w="2736"/>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0" w:lineRule="auto"/>
            </w:pPr>
            <w:r>
              <w:rPr>
                <w:sz w:val="20"/>
              </w:rPr>
              <w:t>cases_raw</w:t>
            </w:r>
          </w:p>
        </w:tc>
        <w:tc>
          <w:tcPr>
            <w:tcW w:type="dxa" w:w="7344"/>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0" w:lineRule="auto"/>
            </w:pPr>
            <w:r>
              <w:rPr>
                <w:sz w:val="20"/>
              </w:rPr>
              <w:t>3,118 rows representing 2,998 unique cases plus 120 follow-up versions. One row is one version of a case, with one animal, one suspect product and one primary event.</w:t>
            </w:r>
          </w:p>
        </w:tc>
      </w:tr>
      <w:tr>
        <w:tc>
          <w:tcPr>
            <w:tcW w:type="dxa" w:w="27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0" w:lineRule="auto"/>
            </w:pPr>
            <w:r>
              <w:rPr>
                <w:sz w:val="20"/>
              </w:rPr>
              <w:t>monthly_distribution</w:t>
            </w:r>
          </w:p>
        </w:tc>
        <w:tc>
          <w:tcPr>
            <w:tcW w:type="dxa" w:w="73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0" w:lineRule="auto"/>
            </w:pPr>
            <w:r>
              <w:rPr>
                <w:sz w:val="20"/>
              </w:rPr>
              <w:t>648 rows: 36 months × 3 products × 2 species × 3 countries. Each row gives synthetic doses distributed for that stratum, including strata with no reports.</w:t>
            </w:r>
          </w:p>
        </w:tc>
      </w:tr>
      <w:tr>
        <w:tc>
          <w:tcPr>
            <w:tcW w:type="dxa" w:w="2736"/>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0" w:lineRule="auto"/>
            </w:pPr>
            <w:r>
              <w:rPr>
                <w:sz w:val="20"/>
              </w:rPr>
              <w:t>data_dictionary</w:t>
            </w:r>
          </w:p>
        </w:tc>
        <w:tc>
          <w:tcPr>
            <w:tcW w:type="dxa" w:w="7344"/>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0" w:lineRule="auto"/>
            </w:pPr>
            <w:r>
              <w:rPr>
                <w:sz w:val="20"/>
              </w:rPr>
              <w:t>Definitions, data types, allowed values, missing-value conventions and analysis notes for every field in the two data sheets.</w:t>
            </w:r>
          </w:p>
        </w:tc>
      </w:tr>
      <w:tr>
        <w:tc>
          <w:tcPr>
            <w:tcW w:type="dxa" w:w="27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0" w:lineRule="auto"/>
            </w:pPr>
            <w:r>
              <w:rPr>
                <w:sz w:val="20"/>
              </w:rPr>
              <w:t>readme</w:t>
            </w:r>
          </w:p>
        </w:tc>
        <w:tc>
          <w:tcPr>
            <w:tcW w:type="dxa" w:w="73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0" w:lineRule="auto"/>
            </w:pPr>
            <w:r>
              <w:rPr>
                <w:sz w:val="20"/>
              </w:rPr>
              <w:t>Provenance, snapshot date, deduplication instructions, join keys and key limitations.</w:t>
            </w:r>
          </w:p>
        </w:tc>
      </w:tr>
    </w:tbl>
    <w:p>
      <w:pPr>
        <w:pStyle w:val="Heading1"/>
      </w:pPr>
      <w:r>
        <w:t>Preparing the analysis dataset</w:t>
      </w:r>
    </w:p>
    <w:p>
      <w:r>
        <w:t>case_id identifies a case, not a repeatedly observed animal. record_id uniquely identifies each exported version. Retain the largest case_version per case_id at this snapshot. The 120 repeated case IDs are intentional follow-up history. They are not exact export duplicates. A follow-up can revise outcome or provide a previously missing age.</w:t>
      </w:r>
    </w:p>
    <w:p>
      <w:r>
        <w:t>Use initial_received_date for the reporting month and period comparisons. version_received_date is an update date. The latest-version approach describes the current snapshot retrospectively; it does not reconstruct what reviewers knew at an earlier cutoff.</w:t>
      </w:r>
    </w:p>
    <w:p>
      <w:r>
        <w:t>After deduplication, aggregate cases by reporting month, product_id, species and country before joining monthly_distribution. Start from the complete monthly distribution grid and fill unmatched report counts with zero. Do not sum a dose denominator after joining it to individual case rows, which would multiply the denominator.</w:t>
      </w:r>
    </w:p>
    <w:p>
      <w:pPr>
        <w:pStyle w:val="Heading1"/>
      </w:pPr>
      <w:r>
        <w:t>Dates and missing information</w:t>
      </w:r>
    </w:p>
    <w:p>
      <w:r>
        <w:t>Dates are typed Excel dates, displayed as yyyy-mm-dd. Empty cells represent missing values, while Unknown is an explicit categorical response. Neither should be recoded as zero or No. Administration or onset can precede 2023 for reports first received in early 2023. Known dates follow administration ≤ onset ≤ initial receipt ≤ version receipt.</w:t>
      </w:r>
    </w:p>
    <w:p>
      <w:pPr>
        <w:pStyle w:val="Heading1"/>
      </w:pPr>
      <w:r>
        <w:t>Minimal R import example</w:t>
      </w:r>
    </w:p>
    <w:p>
      <w:pPr>
        <w:keepLines/>
        <w:spacing w:line="240" w:lineRule="auto" w:after="0"/>
      </w:pPr>
      <w:r>
        <w:rPr>
          <w:rFonts w:ascii="Liberation Mono" w:hAnsi="Liberation Mono"/>
          <w:sz w:val="18"/>
        </w:rPr>
        <w:t>library(readxl)</w:t>
        <w:br/>
        <w:t>library(dplyr)</w:t>
        <w:br/>
        <w:br/>
        <w:t>path &lt;- "Synthetic_Veterinary_PV_Data.xlsx"</w:t>
        <w:br/>
        <w:t>raw &lt;- read_excel(path, sheet = "cases_raw")</w:t>
        <w:br/>
        <w:t>distribution &lt;- read_excel(path,</w:t>
        <w:br/>
        <w:t xml:space="preserve">  sheet = "monthly_distribution")</w:t>
        <w:br/>
        <w:t>cases &lt;- raw |&gt;</w:t>
        <w:br/>
        <w:t xml:space="preserve">  group_by(case_id) |&gt;</w:t>
        <w:br/>
        <w:t xml:space="preserve">  slice_max(case_version, n = 1, with_ties = FALSE) |&gt;</w:t>
        <w:br/>
        <w:t xml:space="preserve">  ungroup()</w:t>
        <w:br/>
        <w:t>stopifnot(!anyDuplicated(cases$case_id))</w:t>
      </w:r>
    </w:p>
    <w:p>
      <w:r>
        <w:br w:type="page"/>
      </w:r>
    </w:p>
    <w:p>
      <w:pPr>
        <w:pStyle w:val="Heading1"/>
      </w:pPr>
      <w:r>
        <w:t>Interpretation boundaries</w:t>
      </w:r>
    </w:p>
    <w:p>
      <w:r>
        <w:t>These are spontaneous-report-like records, not a cohort of treated and untreated animals. Doses distributed are not doses administered, unique animals exposed, or animal-time. A report-to-distribution ratio is a descriptive surveillance measure, not an incidence rate or a causal risk estimate. Month of receipt can lag month of onset or use.</w:t>
      </w:r>
    </w:p>
    <w:p>
      <w:r>
        <w:t>Disproportionality compares the composition of reports within this small fictional product set. It cannot establish causality or relative clinical safety. Reporting behavior, missing information, comparator choice, case mix and sparse counts can affect the result. Multiple exploratory comparisons also create false-positive opportunities. No official signal threshold or regulatory reporting deadline is prescribed in this exercise.</w:t>
      </w:r>
    </w:p>
    <w:p>
      <w:r>
        <w:t>There is no batch-specific exposure denominator, so batch comparisons are limited to report counts and event composition. Event names are plain-language training labels, not validated VeDDRA terms or codes. Seriousness uses a simplified flag and one of three reasons; it is not a complete regulatory classification algorithm. No complete medical narratives or causality assessments are available.</w:t>
      </w:r>
    </w:p>
    <w:p>
      <w:pPr>
        <w:pStyle w:val="Heading1"/>
      </w:pPr>
      <w:r>
        <w:t>Simulation design and deliberately introduced patterns</w:t>
      </w:r>
    </w:p>
    <w:p>
      <w:r>
        <w:t>Read this section after your first exploration if you prefer an open-ended exercise. These are deliberate simulation assumptions, not empirical findings. Recovering a planted pattern does not establish the performance of a clinical surveillance method.</w:t>
      </w:r>
    </w:p>
    <w:p>
      <w:pPr>
        <w:pStyle w:val="ListBullet"/>
        <w:spacing w:after="100"/>
      </w:pPr>
      <w:r>
        <w:t>Monthly distribution varies by product, species, country and season, with gradual growth. SYN_B receives an additional 35% distribution increase from January 2025, allowing report-count changes to be compared with volume changes.</w:t>
      </w:r>
    </w:p>
    <w:p>
      <w:pPr>
        <w:pStyle w:val="ListBullet"/>
        <w:spacing w:after="100"/>
      </w:pPr>
      <w:r>
        <w:t>Report counts are sampled from a Poisson distribution with an average intensity of 25 reports per 100,000 distributed doses before country adjustments. This is an invented simulation parameter, not a real-world reporting estimate.</w:t>
      </w:r>
    </w:p>
    <w:p>
      <w:pPr>
        <w:pStyle w:val="ListBullet"/>
        <w:spacing w:after="100"/>
      </w:pPr>
      <w:r>
        <w:t>Primary events are sampled from eight categories. The sampling weight for Pruritus is multiplied by 2.1 in May through August. The Vomiting weight for SYN_A is multiplied by 2.8 from July 2025. The Ataxia weight is multiplied by 7 for the fictional SYN_C_2025Q3_B2 batch. These weights are normalized within each case, so the multipliers are not direct risk ratios.</w:t>
      </w:r>
    </w:p>
    <w:p>
      <w:pPr>
        <w:pStyle w:val="ListBullet"/>
        <w:spacing w:after="100"/>
      </w:pPr>
      <w:r>
        <w:t>Initial missingness is independently introduced with probabilities of 6% for age, 8% for weight, 10% for administration date, 8% for onset date and 12% for batch. A selected set of 120 earlier cases receives a follow-up version. Actual missing percentages vary and age can be completed at follow-up.</w:t>
      </w:r>
    </w:p>
    <w:p>
      <w:r>
        <w:t>Generation uses seed 20260909 with a 32-bit linear congruential generator, multiplier 1664525 and increment 1013904223. Counts use Poisson product sampling and events use weighted categorical sampling. Reopening the workbook does not regenerate values. Multiple suspect products, multiple events per case and multi-animal reports are not modeled.</w:t>
      </w:r>
    </w:p>
    <w:p>
      <w:pPr>
        <w:pStyle w:val="Heading1"/>
      </w:pPr>
      <w:r>
        <w:t>Background reference and portfolio disclosure</w:t>
      </w:r>
    </w:p>
    <w:p>
      <w:r>
        <w:t>Background reference: FDA openFDA, Animal and Veterinary Adverse Events Overview. https://open.fda.gov/apis/animalandveterinary/event/ (accessed 9 September 2026). This reference provides context only. No FDA data were downloaded or included.</w:t>
      </w:r>
    </w:p>
    <w:p>
      <w:r>
        <w:t>Suggested disclosure: “This self-directed work sample uses entirely synthetic veterinary pharmacovigilance data generated with AI assistance. It demonstrates an analytical workflow and does not describe the safety of any real product.”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Synthetic exercise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Veterinary Pharmacovigilance Work Sample Background</dc:title>
  <dc:subject>Fictional data and analysis brief for a self-directed portfolio exercise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