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QE2025 Applied Practice, Kidney Transplant Graft Survival</w:t>
      </w:r>
    </w:p>
    <w:p>
      <w:pPr>
        <w:pStyle w:val="Normal"/>
      </w:pPr>
      <w:r>
        <w:t xml:space="preserve">Generated: 2026-06-09</w:t>
      </w:r>
    </w:p>
    <w:p>
      <w:pPr>
        <w:pStyle w:val="Normal"/>
      </w:pPr>
      <w:r>
        <w:t xml:space="preserve">This document contains formatted three-line tables and figures generated from the R analysis script. Replace this note with your own written interpretation before submitting any report.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 Patient characteristics by ALG use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Patient characteristics by ALG use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16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= 469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 ALG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= 282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ALG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= 187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0.206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46.0 (37.0, 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46.0 (38.0, 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45.0 (37.0, 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45.6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46.2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44.7 (12.4)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0.390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157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198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 (39.8%)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0.922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764.5 (479.0, 1,206.0)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751.0 (478.0, 1,232.0)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769.0 (482.0, 1,194.0)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906.2 (593.4)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914.2 (604.4)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894.5 (578.3)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409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247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162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0.472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0.965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 (7.5)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Donor mismatch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 (2.0,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 (2.0,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 (2.0,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body28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Wilcoxon rank sum test; Fisher's exact test</w:t>
            </w:r>
          </w:p>
        </w:tc>
      </w:tr>
    </w:tbl>
    <w:p>
      <w:pPr>
        <w:pStyle w:val="Normal"/>
      </w:pPr>
      <w:r>
        <w:t xml:space="preserve">Continuous variables are summarized as median (IQR) and mean (SD); categorical variables are summarized as n (%). P values are from Wilcoxon rank-sum tests for continuous variables and Fisher exact tests for categorical variables.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2. Graft failure and follow-up summary by ALG use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1"/>
        <w:gridCol w:w="711"/>
        <w:gridCol w:w="2071"/>
        <w:gridCol w:w="3261"/>
        <w:gridCol w:w="3230"/>
      </w:tblGrid>
      <w:tr>
        <w:trPr>
          <w:trHeight w:val="420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ALG use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Graft failures, n (%)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Censored/functioning graft, n (%)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Follow-up, median (IQR), months</w:t>
            </w:r>
          </w:p>
        </w:tc>
      </w:tr>
      <w:tr>
        <w:trPr>
          <w:trHeight w:val="42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 (55.7%)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(44.3%)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38.8 (18.2, 64.8)</w:t>
            </w:r>
          </w:p>
        </w:tc>
      </w:tr>
      <w:tr>
        <w:trPr>
          <w:trHeight w:val="420" w:hRule="auto"/>
        </w:trPr>
        body2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 (44.4%)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 (55.6%)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52.1 (26.6, 74.6)</w:t>
            </w:r>
          </w:p>
        </w:tc>
      </w:tr>
    </w:tbl>
    <w:p>
      <w:pPr>
        <w:pStyle w:val="Normal"/>
      </w:pPr>
      <w:r>
        <w:t xml:space="preserve">Events are graft failures. Patients without graft failure at last follow-up are treated as censored.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Log-rank test by ALG use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13"/>
        <w:gridCol w:w="911"/>
        <w:gridCol w:w="581"/>
        <w:gridCol w:w="1041"/>
      </w:tblGrid>
      <w:tr>
        <w:trPr>
          <w:trHeight w:val="417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Chisq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20" w:hRule="auto"/>
        </w:trPr>
        body1
        <w:tc>
          <w:tcPr>
            <w:tcBorders>
              <w:bottom w:val="single" w:sz="1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Log-rank test comparing graft survival by ALG use</w:t>
            </w:r>
          </w:p>
        </w:tc>
        <w:tc>
          <w:tcPr>
            <w:tcBorders>
              <w:bottom w:val="single" w:sz="1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8.49</w:t>
            </w:r>
          </w:p>
        </w:tc>
        <w:tc>
          <w:tcPr>
            <w:tcBorders>
              <w:bottom w:val="single" w:sz="1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</w:tr>
    </w:tbl>
    <w:p>
      <w:pPr>
        <w:pStyle w:val="Normal"/>
      </w:pPr>
      <w:r>
        <w:t xml:space="preserve">The log-rank test compares unadjusted graft survival curves by ALG use.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 1. Kaplan-Meier graft survival curve by ALG use</w:t>
      </w:r>
    </w:p>
    <w:p>
      <w:pPr>
        <w:pStyle w:val="Normal"/>
      </w:pPr>
      <w:r>
        <w:rPr/>
        <w:drawing>
          <wp:inline distT="0" distB="0" distL="0" distR="0">
            <wp:extent cx="6217920" cy="46634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6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3. Univariate Cox proportional hazards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79"/>
        <w:gridCol w:w="2083"/>
        <w:gridCol w:w="2211"/>
        <w:gridCol w:w="1041"/>
      </w:tblGrid>
      <w:tr>
        <w:trPr>
          <w:trHeight w:val="420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Model term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Hazard ratio (95% CI)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401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alg_useALG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 (0.52, 0.88)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4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(1.02,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0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0.894</w:t>
            </w:r>
          </w:p>
        </w:tc>
      </w:tr>
      <w:tr>
        <w:trPr>
          <w:trHeight w:val="40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dialysis_days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</w:tr>
      <w:tr>
        <w:trPr>
          <w:trHeight w:val="40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 (1.52, 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0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(1.04,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</w:tr>
      <w:tr>
        <w:trPr>
          <w:trHeight w:val="40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blood_units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0.296</w:t>
            </w:r>
          </w:p>
        </w:tc>
      </w:tr>
      <w:tr>
        <w:trPr>
          <w:trHeight w:val="401" w:hRule="auto"/>
        </w:trPr>
        body8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Donor mismatch score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mismatch_score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(1.05, 1.24)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</w:tbl>
    <w:p>
      <w:pPr>
        <w:pStyle w:val="Normal"/>
      </w:pPr>
      <w:r>
        <w:t xml:space="preserve">Each row comes from a separate univariate Cox proportional hazards model. Hazard ratios greater than 1 indicate higher hazard of graft failure.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4. Full multivariable Cox proportional hazards model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Full multivariable Cox proportional hazards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5" w:hRule="auto"/>
          <w:tblHeader/>
        </w:trPr>
        header 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9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0.475, 0.829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0.726, 1.24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0.702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Duration of hemodialysis prior to transplant,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0.596</w:t>
            </w:r>
          </w:p>
        </w:tc>
      </w:tr>
      <w:tr>
        <w:trPr>
          <w:trHeight w:val="36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</w:tr>
      <w:tr>
        <w:trPr>
          <w:trHeight w:val="3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Amount of blood transfusion, blood units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0.417</w:t>
            </w:r>
          </w:p>
        </w:tc>
      </w:tr>
      <w:tr>
        <w:trPr>
          <w:trHeight w:val="388" w:hRule="auto"/>
        </w:trPr>
        body14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Donor mismatch score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1.07, 1.27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>The full model includes ALG use and all prespecified covariates. Hazard ratios greater than 1 indicate higher hazard of graft failure.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5. Selected Cox proportional hazards model with ALG forced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Selected Cox proportional hazards model with ALG forced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5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9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ALG use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0.481, 0.837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9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 at transplant,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Diabetes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99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Number of prior transplants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</w:tr>
      <w:tr>
        <w:trPr>
          <w:trHeight w:val="388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Donor mismatch score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1.08, 1.27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>Model selection used AIC with ALG forced into the model because ALG is the main exposure of scientific interest.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6. Screening tests for ALG effect modification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61"/>
        <w:gridCol w:w="1721"/>
        <w:gridCol w:w="581"/>
        <w:gridCol w:w="1041"/>
      </w:tblGrid>
      <w:tr>
        <w:trPr>
          <w:trHeight w:val="415" w:hRule="auto"/>
          <w:tblHeader/>
        </w:trPr>
        header1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Potential effect modifier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LRT chi-square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97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blood_units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6.736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36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</w:t>
            </w:r>
          </w:p>
        </w:tc>
      </w:tr>
      <w:tr>
        <w:trPr>
          <w:trHeight w:val="3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0.154</w:t>
            </w:r>
          </w:p>
        </w:tc>
      </w:tr>
      <w:tr>
        <w:trPr>
          <w:trHeight w:val="39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dialysis_days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0.333</w:t>
            </w:r>
          </w:p>
        </w:tc>
      </w:tr>
      <w:tr>
        <w:trPr>
          <w:trHeight w:val="3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prior_transplants_count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0.631</w:t>
            </w:r>
          </w:p>
        </w:tc>
      </w:tr>
      <w:tr>
        <w:trPr>
          <w:trHeight w:val="39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mismatch_score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0.633</w:t>
            </w:r>
          </w:p>
        </w:tc>
      </w:tr>
      <w:tr>
        <w:trPr>
          <w:trHeight w:val="369" w:hRule="auto"/>
        </w:trPr>
        body7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age_years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0.743</w:t>
            </w:r>
          </w:p>
        </w:tc>
      </w:tr>
    </w:tbl>
    <w:p>
      <w:pPr>
        <w:pStyle w:val="Normal"/>
      </w:pPr>
      <w:r>
        <w:t xml:space="preserve">Each row compares a model with an ALG-by-modifier interaction against the corresponding model without the interaction using a likelihood ratio test. These results should be interpreted as effect modification screening.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1ed4ed3da57ebc664f349f36829ca775000f7e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2026-06-09T21:54:48Z</dcterms:modified>
  <cp:category/>
</cp:coreProperties>
</file>