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7365D"/>
          <w:sz w:val="50"/>
        </w:rPr>
        <w:t>Applied Biostatistics：三年可填空 Report 模板</w:t>
      </w:r>
    </w:p>
    <w:p>
      <w:pPr>
        <w:jc w:val="center"/>
      </w:pPr>
      <w:r>
        <w:rPr>
          <w:rFonts w:ascii="Arial" w:hAnsi="Arial"/>
          <w:b/>
          <w:color w:val="1F6D70"/>
          <w:sz w:val="26"/>
        </w:rPr>
        <w:t>2025 Survival | 2024 Binary/Count | 2022 Multi-outcome PFT</w:t>
      </w:r>
    </w:p>
    <w:p/>
    <w:p>
      <w:pPr>
        <w:jc w:val="center"/>
      </w:pPr>
      <w:r>
        <w:rPr>
          <w:rFonts w:ascii="Arial" w:hAnsi="Arial"/>
          <w:color w:val="5A5A5A"/>
          <w:sz w:val="21"/>
        </w:rPr>
        <w:t>所有方括号内容必须根据你最终 R 输出填写；不能把模板中的示例语言当作真实结果。</w:t>
      </w:r>
    </w:p>
    <w:p/>
    <w:tbl>
      <w:tblPr>
        <w:tblW w:type="auto" w:w="0"/>
        <w:jc w:val="center"/>
        <w:tblLayout w:type="fixed"/>
        <w:tblLook w:firstColumn="1" w:firstRow="1" w:lastColumn="0" w:lastRow="0" w:noHBand="0" w:noVBand="1" w:val="04A0"/>
      </w:tblPr>
      <w:tblGrid>
        <w:gridCol w:w="8352"/>
      </w:tblGrid>
      <w:tr>
        <w:tc>
          <w:tcPr>
            <w:tcW w:type="dxa" w:w="10166"/>
            <w:shd w:fill="FFF2CC"/>
            <w:tcBorders>
              <w:top w:val="single" w:sz="8" w:color="D6B656"/>
              <w:left w:val="single" w:sz="8" w:color="D6B656"/>
              <w:bottom w:val="single" w:sz="8" w:color="D6B656"/>
              <w:right w:val="single" w:sz="8" w:color="D6B656"/>
            </w:tcBorders>
          </w:tcPr>
          <w:p>
            <w:pPr>
              <w:jc w:val="center"/>
            </w:pPr>
            <w:r>
              <w:rPr>
                <w:rFonts w:ascii="Arial" w:hAnsi="Arial"/>
                <w:b/>
                <w:sz w:val="22"/>
              </w:rPr>
              <w:t>适合低基础学习者：每道 task 均拆成“题目 → 公式 → 代码 → 输出 → Report → 搜索词”。</w:t>
            </w:r>
          </w:p>
        </w:tc>
      </w:tr>
    </w:tbl>
    <w:p>
      <w:r>
        <w:br w:type="page"/>
      </w:r>
    </w:p>
    <w:p>
      <w:pPr>
        <w:pStyle w:val="Heading1"/>
      </w:pPr>
      <w:r>
        <w:t>使用说明</w:t>
      </w:r>
    </w:p>
    <w:p>
      <w:r>
        <w:t>每份模板都按 Applied report 的自然顺序组织。考试当天先完成 Tables/Figures，再填 Results。Methods 中只保留你实际执行的方法；如果没有做某项 sensitivity 或 diagnostic，应删除相应句子。</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填写规则</w:t>
              <w:br/>
            </w:r>
            <w:r>
              <w:rPr>
                <w:sz w:val="19"/>
              </w:rPr>
              <w:t>[N] 填实际分析 N；[estimate]、[95% CI]、[P] 必须来自同一个最终模型；[reference] 与 factor levels 一致；所有结果先核对 table 再写正文。</w:t>
            </w:r>
          </w:p>
        </w:tc>
      </w:tr>
    </w:tbl>
    <w:p>
      <w:pPr>
        <w:spacing w:after="0"/>
      </w:pPr>
    </w:p>
    <w:p>
      <w:r>
        <w:br w:type="page"/>
      </w:r>
    </w:p>
    <w:p>
      <w:pPr>
        <w:pStyle w:val="Heading1"/>
      </w:pPr>
      <w:r>
        <w:t>Template A　2025 Kidney Transplant Survival Report</w:t>
      </w:r>
    </w:p>
    <w:p>
      <w:pPr>
        <w:pStyle w:val="Heading2"/>
      </w:pPr>
      <w:r>
        <w:t>Title</w:t>
      </w:r>
    </w:p>
    <w:p>
      <w:r>
        <w:t>[Association of ALG Use With Graft Survival Among Kidney Transplant Recipients]</w:t>
      </w:r>
    </w:p>
    <w:p>
      <w:pPr>
        <w:pStyle w:val="Heading2"/>
      </w:pPr>
      <w:r>
        <w:t>Introduction / Objective</w:t>
      </w:r>
    </w:p>
    <w:p>
      <w:r>
        <w:t>This [retrospective/prospective] study evaluated graft survival among [N] kidney transplant recipients. The primary objective was to determine whether ALG use was associated with time to graft failure after adjustment for age, sex, dialysis duration, diabetes, prior transplantation, blood transfusion, and donor mismatch score. A secondary objective was to evaluate whether the ALG association differed across prespecified patient characteristics.</w:t>
      </w:r>
    </w:p>
    <w:p>
      <w:pPr>
        <w:pStyle w:val="Heading2"/>
      </w:pPr>
      <w:r>
        <w:t>Statistical Methods</w:t>
      </w:r>
    </w:p>
    <w:p>
      <w:r>
        <w:t>Baseline characteristics were summarized overall and by ALG use. Continuous variables were reported as [mean (SD) and/or median (IQR)] and categorical variables as n (%). [Wilcoxon rank-sum/t] tests and [chi-square/Fisher exact] tests were used for descriptive group comparisons.</w:t>
      </w:r>
    </w:p>
    <w:p>
      <w:r>
        <w:t>Graft survival was defined from transplantation to graft failure or last follow-up. Patients without graft failure were censored at last follow-up. Kaplan-Meier methods and the log-rank test were used for unadjusted comparisons. Cox proportional hazards models estimated crude and adjusted hazard ratios (HRs) with 95% confidence intervals (CIs). The primary adjusted model included [covariates]. Effect modification was assessed using ALG-by-covariate interaction terms and likelihood-ratio tests. Proportional hazards were assessed using scaled Schoenfeld residuals and plots. Analyses used complete cases for variables in each model and were performed using R version [version].</w:t>
      </w:r>
    </w:p>
    <w:p>
      <w:pPr>
        <w:pStyle w:val="Heading2"/>
      </w:pPr>
      <w:r>
        <w:t>Results</w:t>
      </w:r>
    </w:p>
    <w:p>
      <w:r>
        <w:t>The cohort included [N] patients; [n] ([%]) received ALG. During [follow-up summary], [events] graft failures occurred. Baseline characteristics were [generally similar / differed for ...].</w:t>
      </w:r>
    </w:p>
    <w:p>
      <w:r>
        <w:t>Unadjusted graft survival [differed/did not differ] by ALG use (log-rank P=[P]). In the primary adjusted Cox model (N=[N], events=[events]), ALG use was associated with [lower/higher/no detectable difference in] graft failure hazard compared with no ALG use (adjusted HR [estimate], 95% CI [low-high], P=[P]).</w:t>
      </w:r>
    </w:p>
    <w:p>
      <w:r>
        <w:t>The ALG-by-[modifier] interaction was [significant/not significant] (P for interaction=[P]). At [clinically meaningful modifier value/stratum], the estimated ALG HR was [estimate] (95% CI [low-high]).</w:t>
      </w:r>
    </w:p>
    <w:p>
      <w:r>
        <w:t>The proportional hazards test for ALG yielded P=[P], and the global test yielded P=[P]. [No major departures were observed / possible non-proportionality for ... was addressed by ...].</w:t>
      </w:r>
    </w:p>
    <w:p>
      <w:pPr>
        <w:pStyle w:val="Heading2"/>
      </w:pPr>
      <w:r>
        <w:t>Discussion / Limitations / Conclusion</w:t>
      </w:r>
    </w:p>
    <w:p>
      <w:r>
        <w:t>In this cohort, ALG use was associated with [summary], after adjustment for measured covariates. The magnitude and precision of the estimate suggest [clinical interpretation without causal overstatement]. Potential effect modification by [modifier] should be interpreted cautiously because [multiple testing/sample size]. Limitations include [observational design, residual confounding, missing data, model assumptions, sample size]. These findings support [association statement], not proof of a causal treatment effect.</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880"/>
            <w:tcBorders>
              <w:top w:val="single" w:sz="10" w:color="17365D"/>
              <w:left w:val="nil"/>
              <w:bottom w:val="single" w:sz="6" w:color="17365D"/>
              <w:right w:val="nil"/>
              <w:insideH w:val="nil"/>
              <w:insideV w:val="nil"/>
            </w:tcBorders>
            <w:shd w:fill="DCE6F1"/>
          </w:tcPr>
          <w:p>
            <w:pPr>
              <w:jc w:val="center"/>
            </w:pPr>
            <w:r>
              <w:rPr>
                <w:rFonts w:ascii="Arial" w:hAnsi="Arial"/>
                <w:b/>
                <w:sz w:val="18"/>
              </w:rPr>
              <w:t>Main output</w:t>
            </w:r>
          </w:p>
        </w:tc>
        <w:tc>
          <w:tcPr>
            <w:tcW w:type="dxa" w:w="7344"/>
            <w:tcBorders>
              <w:top w:val="single" w:sz="10" w:color="17365D"/>
              <w:left w:val="nil"/>
              <w:bottom w:val="single" w:sz="6" w:color="17365D"/>
              <w:right w:val="nil"/>
              <w:insideH w:val="nil"/>
              <w:insideV w:val="nil"/>
            </w:tcBorders>
            <w:shd w:fill="DCE6F1"/>
          </w:tcPr>
          <w:p>
            <w:pPr>
              <w:jc w:val="center"/>
            </w:pPr>
            <w:r>
              <w:rPr>
                <w:rFonts w:ascii="Arial" w:hAnsi="Arial"/>
                <w:b/>
                <w:sz w:val="18"/>
              </w:rPr>
              <w:t>Required columns</w:t>
            </w:r>
          </w:p>
        </w:tc>
      </w:tr>
      <w:tr>
        <w:tc>
          <w:tcPr>
            <w:tcW w:type="dxa" w:w="2880"/>
            <w:vAlign w:val="top"/>
          </w:tcPr>
          <w:p>
            <w:pPr>
              <w:jc w:val="left"/>
            </w:pPr>
            <w:r>
              <w:rPr>
                <w:rFonts w:ascii="Arial" w:hAnsi="Arial" w:eastAsia="Microsoft YaHei"/>
                <w:sz w:val="18"/>
              </w:rPr>
              <w:t>Table 1</w:t>
            </w:r>
          </w:p>
        </w:tc>
        <w:tc>
          <w:tcPr>
            <w:tcW w:type="dxa" w:w="7344"/>
            <w:vAlign w:val="top"/>
          </w:tcPr>
          <w:p>
            <w:pPr>
              <w:jc w:val="left"/>
            </w:pPr>
            <w:r>
              <w:rPr>
                <w:rFonts w:ascii="Arial" w:hAnsi="Arial" w:eastAsia="Microsoft YaHei"/>
                <w:sz w:val="18"/>
              </w:rPr>
              <w:t>Characteristic; Overall; No ALG; ALG; P; Missing</w:t>
            </w:r>
          </w:p>
        </w:tc>
      </w:tr>
      <w:tr>
        <w:tc>
          <w:tcPr>
            <w:tcW w:type="dxa" w:w="2880"/>
            <w:vAlign w:val="top"/>
          </w:tcPr>
          <w:p>
            <w:pPr>
              <w:jc w:val="left"/>
            </w:pPr>
            <w:r>
              <w:rPr>
                <w:rFonts w:ascii="Arial" w:hAnsi="Arial" w:eastAsia="Microsoft YaHei"/>
                <w:sz w:val="18"/>
              </w:rPr>
              <w:t>Figure 1</w:t>
            </w:r>
          </w:p>
        </w:tc>
        <w:tc>
          <w:tcPr>
            <w:tcW w:type="dxa" w:w="7344"/>
            <w:vAlign w:val="top"/>
          </w:tcPr>
          <w:p>
            <w:pPr>
              <w:jc w:val="left"/>
            </w:pPr>
            <w:r>
              <w:rPr>
                <w:rFonts w:ascii="Arial" w:hAnsi="Arial" w:eastAsia="Microsoft YaHei"/>
                <w:sz w:val="18"/>
              </w:rPr>
              <w:t>KM curves; risk table; censor marks; caption</w:t>
            </w:r>
          </w:p>
        </w:tc>
      </w:tr>
      <w:tr>
        <w:tc>
          <w:tcPr>
            <w:tcW w:type="dxa" w:w="2880"/>
            <w:vAlign w:val="top"/>
          </w:tcPr>
          <w:p>
            <w:pPr>
              <w:jc w:val="left"/>
            </w:pPr>
            <w:r>
              <w:rPr>
                <w:rFonts w:ascii="Arial" w:hAnsi="Arial" w:eastAsia="Microsoft YaHei"/>
                <w:sz w:val="18"/>
              </w:rPr>
              <w:t>Table 2</w:t>
            </w:r>
          </w:p>
        </w:tc>
        <w:tc>
          <w:tcPr>
            <w:tcW w:type="dxa" w:w="7344"/>
            <w:vAlign w:val="top"/>
          </w:tcPr>
          <w:p>
            <w:pPr>
              <w:jc w:val="left"/>
            </w:pPr>
            <w:r>
              <w:rPr>
                <w:rFonts w:ascii="Arial" w:hAnsi="Arial" w:eastAsia="Microsoft YaHei"/>
                <w:sz w:val="18"/>
              </w:rPr>
              <w:t>Crude HR; adjusted HR; 95% CI; P; N</w:t>
            </w:r>
          </w:p>
        </w:tc>
      </w:tr>
      <w:tr>
        <w:tc>
          <w:tcPr>
            <w:tcW w:type="dxa" w:w="2880"/>
            <w:vAlign w:val="top"/>
          </w:tcPr>
          <w:p>
            <w:pPr>
              <w:jc w:val="left"/>
            </w:pPr>
            <w:r>
              <w:rPr>
                <w:rFonts w:ascii="Arial" w:hAnsi="Arial" w:eastAsia="Microsoft YaHei"/>
                <w:sz w:val="18"/>
              </w:rPr>
              <w:t>Table 3</w:t>
            </w:r>
          </w:p>
        </w:tc>
        <w:tc>
          <w:tcPr>
            <w:tcW w:type="dxa" w:w="7344"/>
            <w:vAlign w:val="top"/>
          </w:tcPr>
          <w:p>
            <w:pPr>
              <w:jc w:val="left"/>
            </w:pPr>
            <w:r>
              <w:rPr>
                <w:rFonts w:ascii="Arial" w:hAnsi="Arial" w:eastAsia="Microsoft YaHei"/>
                <w:sz w:val="18"/>
              </w:rPr>
              <w:t>Interaction P and stratum-specific effects</w:t>
            </w:r>
          </w:p>
        </w:tc>
      </w:tr>
      <w:tr>
        <w:tc>
          <w:tcPr>
            <w:tcW w:type="dxa" w:w="2880"/>
            <w:vAlign w:val="top"/>
            <w:tcBorders>
              <w:bottom w:val="single" w:sz="10" w:color="17365D"/>
            </w:tcBorders>
          </w:tcPr>
          <w:p>
            <w:pPr>
              <w:jc w:val="left"/>
            </w:pPr>
            <w:r>
              <w:rPr>
                <w:rFonts w:ascii="Arial" w:hAnsi="Arial" w:eastAsia="Microsoft YaHei"/>
                <w:sz w:val="18"/>
              </w:rPr>
              <w:t>Appendix</w:t>
            </w:r>
          </w:p>
        </w:tc>
        <w:tc>
          <w:tcPr>
            <w:tcW w:type="dxa" w:w="7344"/>
            <w:vAlign w:val="top"/>
            <w:tcBorders>
              <w:bottom w:val="single" w:sz="10" w:color="17365D"/>
            </w:tcBorders>
          </w:tcPr>
          <w:p>
            <w:pPr>
              <w:jc w:val="left"/>
            </w:pPr>
            <w:r>
              <w:rPr>
                <w:rFonts w:ascii="Arial" w:hAnsi="Arial" w:eastAsia="Microsoft YaHei"/>
                <w:sz w:val="18"/>
              </w:rPr>
              <w:t>Missingness; PH tests/plots; sensitivity models</w:t>
            </w:r>
          </w:p>
        </w:tc>
      </w:tr>
    </w:tbl>
    <w:p>
      <w:pPr>
        <w:spacing w:after="0"/>
      </w:pPr>
    </w:p>
    <w:p>
      <w:r>
        <w:br w:type="page"/>
      </w:r>
    </w:p>
    <w:p>
      <w:pPr>
        <w:pStyle w:val="Heading1"/>
      </w:pPr>
      <w:r>
        <w:t>Template B　2024 NSQIP Binary/Count/LOS Report</w:t>
      </w:r>
    </w:p>
    <w:p>
      <w:pPr>
        <w:pStyle w:val="Heading2"/>
      </w:pPr>
      <w:r>
        <w:t>Title</w:t>
      </w:r>
    </w:p>
    <w:p>
      <w:r>
        <w:t>[Postoperative Outcomes After Gastric Banding Versus Gastric Bypass]</w:t>
      </w:r>
    </w:p>
    <w:p>
      <w:pPr>
        <w:pStyle w:val="Heading2"/>
      </w:pPr>
      <w:r>
        <w:t>Objective</w:t>
      </w:r>
    </w:p>
    <w:p>
      <w:r>
        <w:t>The primary objective was to compare any postoperative surgical complication between gastric banding and gastric bypass. Secondary objectives evaluated the number of complications, mortality, reoperation, length of stay, individual complications, and whether procedure associations differed by age or BMI.</w:t>
      </w:r>
    </w:p>
    <w:p>
      <w:pPr>
        <w:pStyle w:val="Heading2"/>
      </w:pPr>
      <w:r>
        <w:t>Statistical Methods</w:t>
      </w:r>
    </w:p>
    <w:p>
      <w:r>
        <w:t>Missing values coded as -99 or NULL were recoded as missing. Any complication was defined as the occurrence of at least one prespecified complication, and number of complications was defined as their sum. Baseline characteristics and outcomes were summarized by procedure type using [tests].</w:t>
      </w:r>
    </w:p>
    <w:p>
      <w:r>
        <w:t>Multivariable logistic regression estimated adjusted odds ratios for any complication. Age and BMI were [mean-centered] and procedure-by-age and procedure-by-BMI interactions were evaluated. The number of complications was analyzed using [Poisson/negative binomial] regression; overdispersion was evaluated using the Pearson statistic divided by residual degrees of freedom. Length of stay was modeled using [log-linear/Gamma] regression because of right skew. Adjusted predicted probabilities/counts were used to describe interactions. Diagnostics included [calibration, separation, overdispersion, residual plots].</w:t>
      </w:r>
    </w:p>
    <w:p>
      <w:pPr>
        <w:pStyle w:val="Heading2"/>
      </w:pPr>
      <w:r>
        <w:t>Results</w:t>
      </w:r>
    </w:p>
    <w:p>
      <w:r>
        <w:t>Among [N] patients, [n1] underwent gastric banding and [n2] underwent gastric bypass. The groups differed with respect to [baseline variables]. Any complication occurred in [x%] versus [y%], and median length of stay was [x] versus [y] days.</w:t>
      </w:r>
    </w:p>
    <w:p>
      <w:r>
        <w:t>In the adjusted logistic model, gastric bypass was associated with [higher/lower/no detectable difference in] odds of any complication at the mean age and BMI (adjusted OR [estimate], 95% CI [low-high], P=[P]). The joint procedure-by-age/BMI interaction test yielded P=[P].</w:t>
      </w:r>
    </w:p>
    <w:p>
      <w:r>
        <w:t>The Pearson dispersion ratio was [phi], and [Poisson/negative binomial] regression was selected. Gastric bypass was associated with an adjusted expected complication count ratio of [IRR] (95% CI [low-high], P=[P]).</w:t>
      </w:r>
    </w:p>
    <w:p>
      <w:r>
        <w:t>Adjusted geometric mean length of stay was [ratio] times as high after gastric bypass versus banding (95% CI [low-high], P=[P]). Mortality and reoperation results were [summary], with precision limited by [event count if applicable].</w:t>
      </w:r>
    </w:p>
    <w:p>
      <w:pPr>
        <w:pStyle w:val="Heading2"/>
      </w:pPr>
      <w:r>
        <w:t>Discussion / Limitations / Conclusion</w:t>
      </w:r>
    </w:p>
    <w:p>
      <w:r>
        <w:t>Procedure type was associated with [summary of binary/count/LOS findings]. Interaction analyses [did/did not] support heterogeneity by age or BMI. Because procedure assignment was not randomized and several outcomes were rare, residual confounding and imprecision remain important. The results describe adjusted associations rather than causal effects.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880"/>
            <w:tcBorders>
              <w:top w:val="single" w:sz="10" w:color="17365D"/>
              <w:left w:val="nil"/>
              <w:bottom w:val="single" w:sz="6" w:color="17365D"/>
              <w:right w:val="nil"/>
              <w:insideH w:val="nil"/>
              <w:insideV w:val="nil"/>
            </w:tcBorders>
            <w:shd w:fill="DCE6F1"/>
          </w:tcPr>
          <w:p>
            <w:pPr>
              <w:jc w:val="center"/>
            </w:pPr>
            <w:r>
              <w:rPr>
                <w:rFonts w:ascii="Arial" w:hAnsi="Arial"/>
                <w:b/>
                <w:sz w:val="18"/>
              </w:rPr>
              <w:t>Main output</w:t>
            </w:r>
          </w:p>
        </w:tc>
        <w:tc>
          <w:tcPr>
            <w:tcW w:type="dxa" w:w="7344"/>
            <w:tcBorders>
              <w:top w:val="single" w:sz="10" w:color="17365D"/>
              <w:left w:val="nil"/>
              <w:bottom w:val="single" w:sz="6" w:color="17365D"/>
              <w:right w:val="nil"/>
              <w:insideH w:val="nil"/>
              <w:insideV w:val="nil"/>
            </w:tcBorders>
            <w:shd w:fill="DCE6F1"/>
          </w:tcPr>
          <w:p>
            <w:pPr>
              <w:jc w:val="center"/>
            </w:pPr>
            <w:r>
              <w:rPr>
                <w:rFonts w:ascii="Arial" w:hAnsi="Arial"/>
                <w:b/>
                <w:sz w:val="18"/>
              </w:rPr>
              <w:t>Required columns</w:t>
            </w:r>
          </w:p>
        </w:tc>
      </w:tr>
      <w:tr>
        <w:tc>
          <w:tcPr>
            <w:tcW w:type="dxa" w:w="2880"/>
            <w:vAlign w:val="top"/>
          </w:tcPr>
          <w:p>
            <w:pPr>
              <w:jc w:val="left"/>
            </w:pPr>
            <w:r>
              <w:rPr>
                <w:rFonts w:ascii="Arial" w:hAnsi="Arial" w:eastAsia="Microsoft YaHei"/>
                <w:sz w:val="18"/>
              </w:rPr>
              <w:t>Table 1</w:t>
            </w:r>
          </w:p>
        </w:tc>
        <w:tc>
          <w:tcPr>
            <w:tcW w:type="dxa" w:w="7344"/>
            <w:vAlign w:val="top"/>
          </w:tcPr>
          <w:p>
            <w:pPr>
              <w:jc w:val="left"/>
            </w:pPr>
            <w:r>
              <w:rPr>
                <w:rFonts w:ascii="Arial" w:hAnsi="Arial" w:eastAsia="Microsoft YaHei"/>
                <w:sz w:val="18"/>
              </w:rPr>
              <w:t>Baseline by procedure</w:t>
            </w:r>
          </w:p>
        </w:tc>
      </w:tr>
      <w:tr>
        <w:tc>
          <w:tcPr>
            <w:tcW w:type="dxa" w:w="2880"/>
            <w:vAlign w:val="top"/>
          </w:tcPr>
          <w:p>
            <w:pPr>
              <w:jc w:val="left"/>
            </w:pPr>
            <w:r>
              <w:rPr>
                <w:rFonts w:ascii="Arial" w:hAnsi="Arial" w:eastAsia="Microsoft YaHei"/>
                <w:sz w:val="18"/>
              </w:rPr>
              <w:t>Table 2</w:t>
            </w:r>
          </w:p>
        </w:tc>
        <w:tc>
          <w:tcPr>
            <w:tcW w:type="dxa" w:w="7344"/>
            <w:vAlign w:val="top"/>
          </w:tcPr>
          <w:p>
            <w:pPr>
              <w:jc w:val="left"/>
            </w:pPr>
            <w:r>
              <w:rPr>
                <w:rFonts w:ascii="Arial" w:hAnsi="Arial" w:eastAsia="Microsoft YaHei"/>
                <w:sz w:val="18"/>
              </w:rPr>
              <w:t>Any complication, count, mortality, LOS, reoperation</w:t>
            </w:r>
          </w:p>
        </w:tc>
      </w:tr>
      <w:tr>
        <w:tc>
          <w:tcPr>
            <w:tcW w:type="dxa" w:w="2880"/>
            <w:vAlign w:val="top"/>
          </w:tcPr>
          <w:p>
            <w:pPr>
              <w:jc w:val="left"/>
            </w:pPr>
            <w:r>
              <w:rPr>
                <w:rFonts w:ascii="Arial" w:hAnsi="Arial" w:eastAsia="Microsoft YaHei"/>
                <w:sz w:val="18"/>
              </w:rPr>
              <w:t>Table 3</w:t>
            </w:r>
          </w:p>
        </w:tc>
        <w:tc>
          <w:tcPr>
            <w:tcW w:type="dxa" w:w="7344"/>
            <w:vAlign w:val="top"/>
          </w:tcPr>
          <w:p>
            <w:pPr>
              <w:jc w:val="left"/>
            </w:pPr>
            <w:r>
              <w:rPr>
                <w:rFonts w:ascii="Arial" w:hAnsi="Arial" w:eastAsia="Microsoft YaHei"/>
                <w:sz w:val="18"/>
              </w:rPr>
              <w:t>Individual complications</w:t>
            </w:r>
          </w:p>
        </w:tc>
      </w:tr>
      <w:tr>
        <w:tc>
          <w:tcPr>
            <w:tcW w:type="dxa" w:w="2880"/>
            <w:vAlign w:val="top"/>
          </w:tcPr>
          <w:p>
            <w:pPr>
              <w:jc w:val="left"/>
            </w:pPr>
            <w:r>
              <w:rPr>
                <w:rFonts w:ascii="Arial" w:hAnsi="Arial" w:eastAsia="Microsoft YaHei"/>
                <w:sz w:val="18"/>
              </w:rPr>
              <w:t>Table 4</w:t>
            </w:r>
          </w:p>
        </w:tc>
        <w:tc>
          <w:tcPr>
            <w:tcW w:type="dxa" w:w="7344"/>
            <w:vAlign w:val="top"/>
          </w:tcPr>
          <w:p>
            <w:pPr>
              <w:jc w:val="left"/>
            </w:pPr>
            <w:r>
              <w:rPr>
                <w:rFonts w:ascii="Arial" w:hAnsi="Arial" w:eastAsia="Microsoft YaHei"/>
                <w:sz w:val="18"/>
              </w:rPr>
              <w:t>Adjusted logistic ORs</w:t>
            </w:r>
          </w:p>
        </w:tc>
      </w:tr>
      <w:tr>
        <w:tc>
          <w:tcPr>
            <w:tcW w:type="dxa" w:w="2880"/>
            <w:vAlign w:val="top"/>
          </w:tcPr>
          <w:p>
            <w:pPr>
              <w:jc w:val="left"/>
            </w:pPr>
            <w:r>
              <w:rPr>
                <w:rFonts w:ascii="Arial" w:hAnsi="Arial" w:eastAsia="Microsoft YaHei"/>
                <w:sz w:val="18"/>
              </w:rPr>
              <w:t>Table 5</w:t>
            </w:r>
          </w:p>
        </w:tc>
        <w:tc>
          <w:tcPr>
            <w:tcW w:type="dxa" w:w="7344"/>
            <w:vAlign w:val="top"/>
          </w:tcPr>
          <w:p>
            <w:pPr>
              <w:jc w:val="left"/>
            </w:pPr>
            <w:r>
              <w:rPr>
                <w:rFonts w:ascii="Arial" w:hAnsi="Arial" w:eastAsia="Microsoft YaHei"/>
                <w:sz w:val="18"/>
              </w:rPr>
              <w:t>Adjusted IRRs/count ratios</w:t>
            </w:r>
          </w:p>
        </w:tc>
      </w:tr>
      <w:tr>
        <w:tc>
          <w:tcPr>
            <w:tcW w:type="dxa" w:w="2880"/>
            <w:vAlign w:val="top"/>
          </w:tcPr>
          <w:p>
            <w:pPr>
              <w:jc w:val="left"/>
            </w:pPr>
            <w:r>
              <w:rPr>
                <w:rFonts w:ascii="Arial" w:hAnsi="Arial" w:eastAsia="Microsoft YaHei"/>
                <w:sz w:val="18"/>
              </w:rPr>
              <w:t>Figures</w:t>
            </w:r>
          </w:p>
        </w:tc>
        <w:tc>
          <w:tcPr>
            <w:tcW w:type="dxa" w:w="7344"/>
            <w:vAlign w:val="top"/>
          </w:tcPr>
          <w:p>
            <w:pPr>
              <w:jc w:val="left"/>
            </w:pPr>
            <w:r>
              <w:rPr>
                <w:rFonts w:ascii="Arial" w:hAnsi="Arial" w:eastAsia="Microsoft YaHei"/>
                <w:sz w:val="18"/>
              </w:rPr>
              <w:t>Observed rates; adjusted age/BMI probability curves</w:t>
            </w:r>
          </w:p>
        </w:tc>
      </w:tr>
      <w:tr>
        <w:tc>
          <w:tcPr>
            <w:tcW w:type="dxa" w:w="2880"/>
            <w:vAlign w:val="top"/>
            <w:tcBorders>
              <w:bottom w:val="single" w:sz="10" w:color="17365D"/>
            </w:tcBorders>
          </w:tcPr>
          <w:p>
            <w:pPr>
              <w:jc w:val="left"/>
            </w:pPr>
            <w:r>
              <w:rPr>
                <w:rFonts w:ascii="Arial" w:hAnsi="Arial" w:eastAsia="Microsoft YaHei"/>
                <w:sz w:val="18"/>
              </w:rPr>
              <w:t>Appendix</w:t>
            </w:r>
          </w:p>
        </w:tc>
        <w:tc>
          <w:tcPr>
            <w:tcW w:type="dxa" w:w="7344"/>
            <w:vAlign w:val="top"/>
            <w:tcBorders>
              <w:bottom w:val="single" w:sz="10" w:color="17365D"/>
            </w:tcBorders>
          </w:tcPr>
          <w:p>
            <w:pPr>
              <w:jc w:val="left"/>
            </w:pPr>
            <w:r>
              <w:rPr>
                <w:rFonts w:ascii="Arial" w:hAnsi="Arial" w:eastAsia="Microsoft YaHei"/>
                <w:sz w:val="18"/>
              </w:rPr>
              <w:t>Overdispersion; calibration; LOS residuals; sensitivity</w:t>
            </w:r>
          </w:p>
        </w:tc>
      </w:tr>
    </w:tbl>
    <w:p>
      <w:pPr>
        <w:spacing w:after="0"/>
      </w:pPr>
    </w:p>
    <w:p>
      <w:r>
        <w:br w:type="page"/>
      </w:r>
    </w:p>
    <w:p>
      <w:pPr>
        <w:pStyle w:val="Heading1"/>
      </w:pPr>
      <w:r>
        <w:t>Template C　2022 Lung Cancer PFT Multi-outcome Report</w:t>
      </w:r>
    </w:p>
    <w:p>
      <w:pPr>
        <w:pStyle w:val="Heading2"/>
      </w:pPr>
      <w:r>
        <w:t>Title</w:t>
      </w:r>
    </w:p>
    <w:p>
      <w:r>
        <w:t>[Preoperative Pulmonary Function, Overall Survival, Postoperative Complications, and Length of Stay After Lung Cancer Resection]</w:t>
      </w:r>
    </w:p>
    <w:p>
      <w:pPr>
        <w:pStyle w:val="Heading2"/>
      </w:pPr>
      <w:r>
        <w:t>Objectives</w:t>
      </w:r>
    </w:p>
    <w:p>
      <w:r>
        <w:t>The primary objective was to evaluate associations of four preoperative pulmonary function measures with overall survival. Secondary objectives evaluated postoperative complications and length of stay. Each pulmonary function measure was analyzed in a separate model.</w:t>
      </w:r>
    </w:p>
    <w:p>
      <w:pPr>
        <w:pStyle w:val="Heading2"/>
      </w:pPr>
      <w:r>
        <w:t>Statistical Methods</w:t>
      </w:r>
    </w:p>
    <w:p>
      <w:r>
        <w:t>The cohort, pulmonary function measures, and outcomes were summarized using appropriate descriptive statistics. Overall survival was estimated using Kaplan-Meier methods. Each pulmonary function measure was evaluated in a separate Cox model adjusted for [core covariates]. HRs were scaled per [increments]. Effect modification was explored using PFT-by-covariate interactions. Proportional hazards and continuous functional forms were assessed using residual diagnostics.</w:t>
      </w:r>
    </w:p>
    <w:p>
      <w:r>
        <w:t>Pulmonary function distributions were compared by complication status. Separate logistic models for any complication were fitted when event counts permitted. Length of stay was examined graphically and analyzed using separate log-linear models for each pulmonary function measure; Gamma log-link models were used as sensitivity analyses. Model-specific complete-case N values were reported.</w:t>
      </w:r>
    </w:p>
    <w:p>
      <w:pPr>
        <w:pStyle w:val="Heading2"/>
      </w:pPr>
      <w:r>
        <w:t>Results</w:t>
      </w:r>
    </w:p>
    <w:p>
      <w:r>
        <w:t>The cohort included [N] patients, with [events] deaths and [censored] censored observations. The four PFT measures had [summary and missingness].</w:t>
      </w:r>
    </w:p>
    <w:p>
      <w:r>
        <w:t>In separate adjusted Cox models, [PFT 1] had HR [x] (95% CI [a-b], P=[p]); [PFT 2] had HR [x] ... . [Only / None of] the PFT measures showed evidence of an association with overall survival. The [PFT]-by-[modifier] interaction yielded P=[p].</w:t>
      </w:r>
    </w:p>
    <w:p>
      <w:r>
        <w:t>For any postoperative complication, adjusted ORs were [summary]. Estimates were [precise/imprecise] because [events] events were available for [parameters] parameters. For length of stay, the adjusted geometric mean ratios were [summary]; the Gamma sensitivity model [supported/did not support] the primary result.</w:t>
      </w:r>
    </w:p>
    <w:p>
      <w:pPr>
        <w:pStyle w:val="Heading2"/>
      </w:pPr>
      <w:r>
        <w:t>Discussion / Limitations / Conclusion</w:t>
      </w:r>
    </w:p>
    <w:p>
      <w:r>
        <w:t>Higher [PFT] was associated with [survival/LOS finding], whereas evidence for other PFT measures and complications was limited. Results should be interpreted in light of the small cohort, missing PFT data, sparse complication events, multiple exploratory analyses, residual confounding, and possible model-assumption departures. Associations should not be described as causal.</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880"/>
            <w:tcBorders>
              <w:top w:val="single" w:sz="10" w:color="17365D"/>
              <w:left w:val="nil"/>
              <w:bottom w:val="single" w:sz="6" w:color="17365D"/>
              <w:right w:val="nil"/>
              <w:insideH w:val="nil"/>
              <w:insideV w:val="nil"/>
            </w:tcBorders>
            <w:shd w:fill="DCE6F1"/>
          </w:tcPr>
          <w:p>
            <w:pPr>
              <w:jc w:val="center"/>
            </w:pPr>
            <w:r>
              <w:rPr>
                <w:rFonts w:ascii="Arial" w:hAnsi="Arial"/>
                <w:b/>
                <w:sz w:val="18"/>
              </w:rPr>
              <w:t>Main output</w:t>
            </w:r>
          </w:p>
        </w:tc>
        <w:tc>
          <w:tcPr>
            <w:tcW w:type="dxa" w:w="7344"/>
            <w:tcBorders>
              <w:top w:val="single" w:sz="10" w:color="17365D"/>
              <w:left w:val="nil"/>
              <w:bottom w:val="single" w:sz="6" w:color="17365D"/>
              <w:right w:val="nil"/>
              <w:insideH w:val="nil"/>
              <w:insideV w:val="nil"/>
            </w:tcBorders>
            <w:shd w:fill="DCE6F1"/>
          </w:tcPr>
          <w:p>
            <w:pPr>
              <w:jc w:val="center"/>
            </w:pPr>
            <w:r>
              <w:rPr>
                <w:rFonts w:ascii="Arial" w:hAnsi="Arial"/>
                <w:b/>
                <w:sz w:val="18"/>
              </w:rPr>
              <w:t>Required columns</w:t>
            </w:r>
          </w:p>
        </w:tc>
      </w:tr>
      <w:tr>
        <w:tc>
          <w:tcPr>
            <w:tcW w:type="dxa" w:w="2880"/>
            <w:vAlign w:val="top"/>
          </w:tcPr>
          <w:p>
            <w:pPr>
              <w:jc w:val="left"/>
            </w:pPr>
            <w:r>
              <w:rPr>
                <w:rFonts w:ascii="Arial" w:hAnsi="Arial" w:eastAsia="Microsoft YaHei"/>
                <w:sz w:val="18"/>
              </w:rPr>
              <w:t>Table 1</w:t>
            </w:r>
          </w:p>
        </w:tc>
        <w:tc>
          <w:tcPr>
            <w:tcW w:type="dxa" w:w="7344"/>
            <w:vAlign w:val="top"/>
          </w:tcPr>
          <w:p>
            <w:pPr>
              <w:jc w:val="left"/>
            </w:pPr>
            <w:r>
              <w:rPr>
                <w:rFonts w:ascii="Arial" w:hAnsi="Arial" w:eastAsia="Microsoft YaHei"/>
                <w:sz w:val="18"/>
              </w:rPr>
              <w:t>Population characteristics</w:t>
            </w:r>
          </w:p>
        </w:tc>
      </w:tr>
      <w:tr>
        <w:tc>
          <w:tcPr>
            <w:tcW w:type="dxa" w:w="2880"/>
            <w:vAlign w:val="top"/>
          </w:tcPr>
          <w:p>
            <w:pPr>
              <w:jc w:val="left"/>
            </w:pPr>
            <w:r>
              <w:rPr>
                <w:rFonts w:ascii="Arial" w:hAnsi="Arial" w:eastAsia="Microsoft YaHei"/>
                <w:sz w:val="18"/>
              </w:rPr>
              <w:t>Table 2</w:t>
            </w:r>
          </w:p>
        </w:tc>
        <w:tc>
          <w:tcPr>
            <w:tcW w:type="dxa" w:w="7344"/>
            <w:vAlign w:val="top"/>
          </w:tcPr>
          <w:p>
            <w:pPr>
              <w:jc w:val="left"/>
            </w:pPr>
            <w:r>
              <w:rPr>
                <w:rFonts w:ascii="Arial" w:hAnsi="Arial" w:eastAsia="Microsoft YaHei"/>
                <w:sz w:val="18"/>
              </w:rPr>
              <w:t>Four PFT summaries and missingness</w:t>
            </w:r>
          </w:p>
        </w:tc>
      </w:tr>
      <w:tr>
        <w:tc>
          <w:tcPr>
            <w:tcW w:type="dxa" w:w="2880"/>
            <w:vAlign w:val="top"/>
          </w:tcPr>
          <w:p>
            <w:pPr>
              <w:jc w:val="left"/>
            </w:pPr>
            <w:r>
              <w:rPr>
                <w:rFonts w:ascii="Arial" w:hAnsi="Arial" w:eastAsia="Microsoft YaHei"/>
                <w:sz w:val="18"/>
              </w:rPr>
              <w:t>Table 3</w:t>
            </w:r>
          </w:p>
        </w:tc>
        <w:tc>
          <w:tcPr>
            <w:tcW w:type="dxa" w:w="7344"/>
            <w:vAlign w:val="top"/>
          </w:tcPr>
          <w:p>
            <w:pPr>
              <w:jc w:val="left"/>
            </w:pPr>
            <w:r>
              <w:rPr>
                <w:rFonts w:ascii="Arial" w:hAnsi="Arial" w:eastAsia="Microsoft YaHei"/>
                <w:sz w:val="18"/>
              </w:rPr>
              <w:t>Outcome burden</w:t>
            </w:r>
          </w:p>
        </w:tc>
      </w:tr>
      <w:tr>
        <w:tc>
          <w:tcPr>
            <w:tcW w:type="dxa" w:w="2880"/>
            <w:vAlign w:val="top"/>
          </w:tcPr>
          <w:p>
            <w:pPr>
              <w:jc w:val="left"/>
            </w:pPr>
            <w:r>
              <w:rPr>
                <w:rFonts w:ascii="Arial" w:hAnsi="Arial" w:eastAsia="Microsoft YaHei"/>
                <w:sz w:val="18"/>
              </w:rPr>
              <w:t>Table 4</w:t>
            </w:r>
          </w:p>
        </w:tc>
        <w:tc>
          <w:tcPr>
            <w:tcW w:type="dxa" w:w="7344"/>
            <w:vAlign w:val="top"/>
          </w:tcPr>
          <w:p>
            <w:pPr>
              <w:jc w:val="left"/>
            </w:pPr>
            <w:r>
              <w:rPr>
                <w:rFonts w:ascii="Arial" w:hAnsi="Arial" w:eastAsia="Microsoft YaHei"/>
                <w:sz w:val="18"/>
              </w:rPr>
              <w:t>Univariable Cox</w:t>
            </w:r>
          </w:p>
        </w:tc>
      </w:tr>
      <w:tr>
        <w:tc>
          <w:tcPr>
            <w:tcW w:type="dxa" w:w="2880"/>
            <w:vAlign w:val="top"/>
          </w:tcPr>
          <w:p>
            <w:pPr>
              <w:jc w:val="left"/>
            </w:pPr>
            <w:r>
              <w:rPr>
                <w:rFonts w:ascii="Arial" w:hAnsi="Arial" w:eastAsia="Microsoft YaHei"/>
                <w:sz w:val="18"/>
              </w:rPr>
              <w:t>Table 5</w:t>
            </w:r>
          </w:p>
        </w:tc>
        <w:tc>
          <w:tcPr>
            <w:tcW w:type="dxa" w:w="7344"/>
            <w:vAlign w:val="top"/>
          </w:tcPr>
          <w:p>
            <w:pPr>
              <w:jc w:val="left"/>
            </w:pPr>
            <w:r>
              <w:rPr>
                <w:rFonts w:ascii="Arial" w:hAnsi="Arial" w:eastAsia="Microsoft YaHei"/>
                <w:sz w:val="18"/>
              </w:rPr>
              <w:t>Four adjusted PFT Cox results with N/events</w:t>
            </w:r>
          </w:p>
        </w:tc>
      </w:tr>
      <w:tr>
        <w:tc>
          <w:tcPr>
            <w:tcW w:type="dxa" w:w="2880"/>
            <w:vAlign w:val="top"/>
          </w:tcPr>
          <w:p>
            <w:pPr>
              <w:jc w:val="left"/>
            </w:pPr>
            <w:r>
              <w:rPr>
                <w:rFonts w:ascii="Arial" w:hAnsi="Arial" w:eastAsia="Microsoft YaHei"/>
                <w:sz w:val="18"/>
              </w:rPr>
              <w:t>Table 6</w:t>
            </w:r>
          </w:p>
        </w:tc>
        <w:tc>
          <w:tcPr>
            <w:tcW w:type="dxa" w:w="7344"/>
            <w:vAlign w:val="top"/>
          </w:tcPr>
          <w:p>
            <w:pPr>
              <w:jc w:val="left"/>
            </w:pPr>
            <w:r>
              <w:rPr>
                <w:rFonts w:ascii="Arial" w:hAnsi="Arial" w:eastAsia="Microsoft YaHei"/>
                <w:sz w:val="18"/>
              </w:rPr>
              <w:t>Interaction screening</w:t>
            </w:r>
          </w:p>
        </w:tc>
      </w:tr>
      <w:tr>
        <w:tc>
          <w:tcPr>
            <w:tcW w:type="dxa" w:w="2880"/>
            <w:vAlign w:val="top"/>
          </w:tcPr>
          <w:p>
            <w:pPr>
              <w:jc w:val="left"/>
            </w:pPr>
            <w:r>
              <w:rPr>
                <w:rFonts w:ascii="Arial" w:hAnsi="Arial" w:eastAsia="Microsoft YaHei"/>
                <w:sz w:val="18"/>
              </w:rPr>
              <w:t>Table 7/8</w:t>
            </w:r>
          </w:p>
        </w:tc>
        <w:tc>
          <w:tcPr>
            <w:tcW w:type="dxa" w:w="7344"/>
            <w:vAlign w:val="top"/>
          </w:tcPr>
          <w:p>
            <w:pPr>
              <w:jc w:val="left"/>
            </w:pPr>
            <w:r>
              <w:rPr>
                <w:rFonts w:ascii="Arial" w:hAnsi="Arial" w:eastAsia="Microsoft YaHei"/>
                <w:sz w:val="18"/>
              </w:rPr>
              <w:t>Complication comparisons and adjusted ORs</w:t>
            </w:r>
          </w:p>
        </w:tc>
      </w:tr>
      <w:tr>
        <w:tc>
          <w:tcPr>
            <w:tcW w:type="dxa" w:w="2880"/>
            <w:vAlign w:val="top"/>
          </w:tcPr>
          <w:p>
            <w:pPr>
              <w:jc w:val="left"/>
            </w:pPr>
            <w:r>
              <w:rPr>
                <w:rFonts w:ascii="Arial" w:hAnsi="Arial" w:eastAsia="Microsoft YaHei"/>
                <w:sz w:val="18"/>
              </w:rPr>
              <w:t>Table 9</w:t>
            </w:r>
          </w:p>
        </w:tc>
        <w:tc>
          <w:tcPr>
            <w:tcW w:type="dxa" w:w="7344"/>
            <w:vAlign w:val="top"/>
          </w:tcPr>
          <w:p>
            <w:pPr>
              <w:jc w:val="left"/>
            </w:pPr>
            <w:r>
              <w:rPr>
                <w:rFonts w:ascii="Arial" w:hAnsi="Arial" w:eastAsia="Microsoft YaHei"/>
                <w:sz w:val="18"/>
              </w:rPr>
              <w:t>LOS ratios</w:t>
            </w:r>
          </w:p>
        </w:tc>
      </w:tr>
      <w:tr>
        <w:tc>
          <w:tcPr>
            <w:tcW w:type="dxa" w:w="2880"/>
            <w:vAlign w:val="top"/>
            <w:tcBorders>
              <w:bottom w:val="single" w:sz="10" w:color="17365D"/>
            </w:tcBorders>
          </w:tcPr>
          <w:p>
            <w:pPr>
              <w:jc w:val="left"/>
            </w:pPr>
            <w:r>
              <w:rPr>
                <w:rFonts w:ascii="Arial" w:hAnsi="Arial" w:eastAsia="Microsoft YaHei"/>
                <w:sz w:val="18"/>
              </w:rPr>
              <w:t>Appendix</w:t>
            </w:r>
          </w:p>
        </w:tc>
        <w:tc>
          <w:tcPr>
            <w:tcW w:type="dxa" w:w="7344"/>
            <w:vAlign w:val="top"/>
            <w:tcBorders>
              <w:bottom w:val="single" w:sz="10" w:color="17365D"/>
            </w:tcBorders>
          </w:tcPr>
          <w:p>
            <w:pPr>
              <w:jc w:val="left"/>
            </w:pPr>
            <w:r>
              <w:rPr>
                <w:rFonts w:ascii="Arial" w:hAnsi="Arial" w:eastAsia="Microsoft YaHei"/>
                <w:sz w:val="18"/>
              </w:rPr>
              <w:t>PH/functional form, stability, sensitivity</w:t>
            </w:r>
          </w:p>
        </w:tc>
      </w:tr>
    </w:tbl>
    <w:p>
      <w:pPr>
        <w:spacing w:after="0"/>
      </w:pPr>
    </w:p>
    <w:p>
      <w:r>
        <w:br w:type="page"/>
      </w:r>
    </w:p>
    <w:p>
      <w:pPr>
        <w:pStyle w:val="Heading1"/>
      </w:pPr>
      <w:r>
        <w:t>Universal Final Check Before Submission</w:t>
      </w:r>
    </w:p>
    <w:p>
      <w:pPr>
        <w:pStyle w:val="ListBullet"/>
        <w:spacing w:after="40"/>
      </w:pPr>
      <w:r>
        <w:t>Every result sentence contains the correct model-specific N when relevant.</w:t>
      </w:r>
    </w:p>
    <w:p>
      <w:pPr>
        <w:pStyle w:val="ListBullet"/>
        <w:spacing w:after="40"/>
      </w:pPr>
      <w:r>
        <w:t>Every estimate has the correct effect measure label: mean difference, OR, IRR, or HR.</w:t>
      </w:r>
    </w:p>
    <w:p>
      <w:pPr>
        <w:pStyle w:val="ListBullet"/>
        <w:spacing w:after="40"/>
      </w:pPr>
      <w:r>
        <w:t>Reference categories and units are stated.</w:t>
      </w:r>
    </w:p>
    <w:p>
      <w:pPr>
        <w:pStyle w:val="ListBullet"/>
        <w:spacing w:after="40"/>
      </w:pPr>
      <w:r>
        <w:t>Interaction P values are not replaced by subgroup P values.</w:t>
      </w:r>
    </w:p>
    <w:p>
      <w:pPr>
        <w:pStyle w:val="ListBullet"/>
        <w:spacing w:after="40"/>
      </w:pPr>
      <w:r>
        <w:t>Nonsignificant findings are written as insufficient evidence, not proof of equality.</w:t>
      </w:r>
    </w:p>
    <w:p>
      <w:pPr>
        <w:pStyle w:val="ListBullet"/>
        <w:spacing w:after="40"/>
      </w:pPr>
      <w:r>
        <w:t>Crude and adjusted estimates are clearly distinguished.</w:t>
      </w:r>
    </w:p>
    <w:p>
      <w:pPr>
        <w:pStyle w:val="ListBullet"/>
        <w:spacing w:after="40"/>
      </w:pPr>
      <w:r>
        <w:t>Table and narrative numbers agree exactly.</w:t>
      </w:r>
    </w:p>
    <w:p>
      <w:pPr>
        <w:pStyle w:val="ListBullet"/>
        <w:spacing w:after="40"/>
      </w:pPr>
      <w:r>
        <w:t>Diagnostics and fallback decisions are described.</w:t>
      </w:r>
    </w:p>
    <w:p>
      <w:pPr>
        <w:pStyle w:val="ListBullet"/>
        <w:spacing w:after="40"/>
      </w:pPr>
      <w:r>
        <w:t>No raw R console output appears in the main report.</w:t>
      </w:r>
    </w:p>
    <w:p>
      <w:pPr>
        <w:pStyle w:val="ListBullet"/>
        <w:spacing w:after="40"/>
      </w:pPr>
      <w:r>
        <w:t>All tables and figures are reproducible from the submitted code.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Applied Biostatistics 可填空 Report Templates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Microsoft YaHe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Microsoft YaHei"/>
      <w:b/>
      <w:bCs/>
      <w:color w:val="1F6D70"/>
      <w:sz w:val="28"/>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eastAsia="Microsoft YaHe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80" w:after="80"/>
      <w:outlineLvl w:val="3"/>
    </w:pPr>
    <w:rPr>
      <w:rFonts w:asciiTheme="majorHAnsi" w:eastAsiaTheme="majorEastAsia" w:hAnsiTheme="majorHAnsi" w:cstheme="majorBidi" w:ascii="Arial" w:hAnsi="Arial" w:eastAsia="Microsoft YaHei"/>
      <w:b/>
      <w:bCs/>
      <w:i/>
      <w:iCs/>
      <w:color w:val="1F6D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40"/>
      <w:contextualSpacing/>
    </w:pPr>
    <w:rPr>
      <w:rFonts w:asciiTheme="majorHAnsi" w:eastAsiaTheme="majorEastAsia" w:hAnsiTheme="majorHAnsi" w:cstheme="majorBidi" w:ascii="Arial" w:hAnsi="Arial" w:eastAsia="Microsoft YaHe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eastAsia="Microsoft YaHei"/>
      <w:b/>
      <w:i/>
      <w:iCs/>
      <w:color w:val="1F6D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line="240" w:lineRule="auto"/>
      <w:ind w:left="259" w:right="115"/>
      <w:shd w:fill="F2F2F2"/>
    </w:pPr>
    <w:rPr>
      <w:rFonts w:ascii="Consolas" w:hAnsi="Consolas" w:eastAsia="Consolas"/>
      <w:sz w:val="16"/>
    </w:rPr>
  </w:style>
  <w:style w:type="paragraph" w:customStyle="1" w:styleId="Equation">
    <w:name w:val="Equation"/>
    <w:pPr>
      <w:spacing w:before="60" w:after="100"/>
      <w:ind w:left="360"/>
    </w:pPr>
    <w:rPr>
      <w:rFonts w:ascii="Cambria Math" w:hAnsi="Cambria Math" w:eastAsia="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