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4"/>
        </w:rPr>
        <w:t>QE2022 Applied：肺癌 PFT 项目中文指南</w:t>
      </w:r>
    </w:p>
    <w:p>
      <w:pPr>
        <w:jc w:val="center"/>
      </w:pPr>
      <w:r>
        <w:rPr>
          <w:rFonts w:ascii="Arial" w:hAnsi="Arial"/>
          <w:color w:val="1F6D70"/>
          <w:sz w:val="24"/>
        </w:rPr>
        <w:t>研究问题 → 数据准备 → Cox / Logistic / LOS → Diagnostics → Report</w:t>
      </w:r>
    </w:p>
    <w:p>
      <w:pPr>
        <w:pStyle w:val="Subtitle"/>
        <w:jc w:val="center"/>
      </w:pPr>
      <w:r>
        <w:t>Synthetic practice project | 中文讲解 + English report templates</w:t>
      </w:r>
    </w:p>
    <w:p>
      <w:r>
        <w:br w:type="page"/>
      </w:r>
    </w:p>
    <w:p>
      <w:pPr>
        <w:pStyle w:val="Heading1"/>
      </w:pPr>
      <w:r>
        <w:t>使用说明</w:t>
      </w:r>
    </w:p>
    <w:p>
      <w:r>
        <w:t>这份指南对应 2022 Applied 题型。目标不是背代码，而是理解为什么每个 block 存在、输出看哪里、何时需要换方法，以及如何把结果写成正式 technical report。</w:t>
      </w:r>
    </w:p>
    <w:tbl>
      <w:tblPr>
        <w:tblW w:type="auto" w:w="0"/>
        <w:jc w:val="center"/>
        <w:tblLook w:firstColumn="1" w:firstRow="1" w:lastColumn="0" w:lastRow="0" w:noHBand="0" w:noVBand="1" w:val="04A0"/>
      </w:tblPr>
      <w:tblGrid>
        <w:gridCol w:w="10224"/>
      </w:tblGrid>
      <w:tr>
        <w:trPr/>
        <w:tc>
          <w:tcPr>
            <w:tcW w:type="dxa" w:w="10224"/>
            <w:shd w:fill="E2F0D9"/>
            <w:tcBorders>
              <w:top w:val="single" w:sz="6" w:color="6B8E23"/>
              <w:left w:val="single" w:sz="6" w:color="6B8E23"/>
              <w:bottom w:val="single" w:sz="6" w:color="6B8E23"/>
              <w:right w:val="single" w:sz="6" w:color="6B8E23"/>
            </w:tcBorders>
          </w:tcPr>
          <w:p>
            <w:pPr>
              <w:spacing w:before="0" w:after="0"/>
            </w:pPr>
            <w:r>
              <w:rPr>
                <w:rFonts w:ascii="Arial" w:hAnsi="Arial"/>
                <w:b/>
                <w:sz w:val="16"/>
              </w:rPr>
              <w:t>最重要规则：</w:t>
            </w:r>
            <w:r>
              <w:rPr>
                <w:rFonts w:ascii="Arial" w:hAnsi="Arial"/>
                <w:sz w:val="16"/>
              </w:rPr>
              <w:t>FEV1、FEV1 percent predicted、DLCO、DLCO percent predicted 高度相关且代表不同尺度，题目明确要求四者不要进入同一个模型。正确做法是建立四个平行、结构相同的模型。</w:t>
            </w:r>
          </w:p>
        </w:tc>
      </w:tr>
    </w:tbl>
    <w:p>
      <w:pPr>
        <w:spacing w:after="0"/>
      </w:pPr>
    </w:p>
    <w:p>
      <w:pPr>
        <w:pStyle w:val="Heading1"/>
      </w:pPr>
      <w:r>
        <w:t>目录与项目导航</w:t>
      </w:r>
    </w:p>
    <w:tbl>
      <w:tblPr>
        <w:tblW w:type="auto" w:w="0"/>
        <w:jc w:val="center"/>
        <w:tblLayout w:type="autofit"/>
        <w:tblLook w:firstColumn="1" w:firstRow="1" w:lastColumn="0" w:lastRow="0" w:noHBand="0" w:noVBand="1" w:val="04A0"/>
      </w:tblPr>
      <w:tblGrid>
        <w:gridCol w:w="5112"/>
        <w:gridCol w:w="5112"/>
      </w:tblGrid>
      <w:tr>
        <w:trPr/>
        <w:tc>
          <w:tcPr>
            <w:tcW w:type="dxa" w:w="5112"/>
            <w:vAlign w:val="center"/>
            <w:tcBorders>
              <w:top w:val="single" w:sz="10" w:color="000000"/>
              <w:left w:val="nil"/>
              <w:bottom w:val="single" w:sz="8" w:color="000000"/>
              <w:right w:val="nil"/>
            </w:tcBorders>
            <w:shd w:fill="D9EAF7"/>
          </w:tcPr>
          <w:p>
            <w:pPr>
              <w:spacing w:after="0" w:before="0"/>
            </w:pPr>
            <w:r>
              <w:rPr>
                <w:rFonts w:ascii="Arial" w:hAnsi="Arial"/>
                <w:b/>
                <w:sz w:val="16"/>
              </w:rPr>
              <w:t>Folder</w:t>
            </w:r>
          </w:p>
        </w:tc>
        <w:tc>
          <w:tcPr>
            <w:tcW w:type="dxa" w:w="5112"/>
            <w:vAlign w:val="center"/>
            <w:tcBorders>
              <w:top w:val="single" w:sz="10" w:color="000000"/>
              <w:left w:val="nil"/>
              <w:bottom w:val="single" w:sz="8" w:color="000000"/>
              <w:right w:val="nil"/>
            </w:tcBorders>
            <w:shd w:fill="D9EAF7"/>
          </w:tcPr>
          <w:p>
            <w:pPr>
              <w:spacing w:after="0" w:before="0"/>
            </w:pPr>
            <w:r>
              <w:rPr>
                <w:rFonts w:ascii="Arial" w:hAnsi="Arial"/>
                <w:b/>
                <w:sz w:val="16"/>
              </w:rPr>
              <w:t>Purpose</w:t>
            </w:r>
          </w:p>
        </w:tc>
      </w:tr>
      <w:tr>
        <w:trPr/>
        <w:tc>
          <w:tcPr>
            <w:tcW w:type="dxa" w:w="5112"/>
            <w:vAlign w:val="center"/>
            <w:tcBorders>
              <w:top w:val="nil"/>
              <w:left w:val="nil"/>
              <w:bottom w:val="nil"/>
              <w:right w:val="nil"/>
            </w:tcBorders>
          </w:tcPr>
          <w:p>
            <w:pPr>
              <w:spacing w:after="0" w:before="0"/>
            </w:pPr>
            <w:r>
              <w:rPr>
                <w:rFonts w:ascii="Arial" w:hAnsi="Arial"/>
                <w:sz w:val="16"/>
              </w:rPr>
              <w:t>data/raw</w:t>
            </w:r>
          </w:p>
        </w:tc>
        <w:tc>
          <w:tcPr>
            <w:tcW w:type="dxa" w:w="5112"/>
            <w:vAlign w:val="center"/>
            <w:tcBorders>
              <w:top w:val="nil"/>
              <w:left w:val="nil"/>
              <w:bottom w:val="nil"/>
              <w:right w:val="nil"/>
            </w:tcBorders>
          </w:tcPr>
          <w:p>
            <w:pPr>
              <w:spacing w:after="0" w:before="0"/>
            </w:pPr>
            <w:r>
              <w:rPr>
                <w:rFonts w:ascii="Arial" w:hAnsi="Arial"/>
                <w:sz w:val="16"/>
              </w:rPr>
              <w:t>synthetic practice data</w:t>
            </w:r>
          </w:p>
        </w:tc>
      </w:tr>
      <w:tr>
        <w:trPr/>
        <w:tc>
          <w:tcPr>
            <w:tcW w:type="dxa" w:w="5112"/>
            <w:vAlign w:val="center"/>
            <w:tcBorders>
              <w:top w:val="nil"/>
              <w:left w:val="nil"/>
              <w:bottom w:val="nil"/>
              <w:right w:val="nil"/>
            </w:tcBorders>
          </w:tcPr>
          <w:p>
            <w:pPr>
              <w:spacing w:after="0" w:before="0"/>
            </w:pPr>
            <w:r>
              <w:rPr>
                <w:rFonts w:ascii="Arial" w:hAnsi="Arial"/>
                <w:sz w:val="16"/>
              </w:rPr>
              <w:t>scripts</w:t>
            </w:r>
          </w:p>
        </w:tc>
        <w:tc>
          <w:tcPr>
            <w:tcW w:type="dxa" w:w="5112"/>
            <w:vAlign w:val="center"/>
            <w:tcBorders>
              <w:top w:val="nil"/>
              <w:left w:val="nil"/>
              <w:bottom w:val="nil"/>
              <w:right w:val="nil"/>
            </w:tcBorders>
          </w:tcPr>
          <w:p>
            <w:pPr>
              <w:spacing w:after="0" w:before="0"/>
            </w:pPr>
            <w:r>
              <w:rPr>
                <w:rFonts w:ascii="Arial" w:hAnsi="Arial"/>
                <w:sz w:val="16"/>
              </w:rPr>
              <w:t>完整端到端 R script</w:t>
            </w:r>
          </w:p>
        </w:tc>
      </w:tr>
      <w:tr>
        <w:trPr/>
        <w:tc>
          <w:tcPr>
            <w:tcW w:type="dxa" w:w="5112"/>
            <w:vAlign w:val="center"/>
            <w:tcBorders>
              <w:top w:val="nil"/>
              <w:left w:val="nil"/>
              <w:bottom w:val="nil"/>
              <w:right w:val="nil"/>
            </w:tcBorders>
          </w:tcPr>
          <w:p>
            <w:pPr>
              <w:spacing w:after="0" w:before="0"/>
            </w:pPr>
            <w:r>
              <w:rPr>
                <w:rFonts w:ascii="Arial" w:hAnsi="Arial"/>
                <w:sz w:val="16"/>
              </w:rPr>
              <w:t>output/tables</w:t>
            </w:r>
          </w:p>
        </w:tc>
        <w:tc>
          <w:tcPr>
            <w:tcW w:type="dxa" w:w="5112"/>
            <w:vAlign w:val="center"/>
            <w:tcBorders>
              <w:top w:val="nil"/>
              <w:left w:val="nil"/>
              <w:bottom w:val="nil"/>
              <w:right w:val="nil"/>
            </w:tcBorders>
          </w:tcPr>
          <w:p>
            <w:pPr>
              <w:spacing w:after="0" w:before="0"/>
            </w:pPr>
            <w:r>
              <w:rPr>
                <w:rFonts w:ascii="Arial" w:hAnsi="Arial"/>
                <w:sz w:val="16"/>
              </w:rPr>
              <w:t>CSV tables</w:t>
            </w:r>
          </w:p>
        </w:tc>
      </w:tr>
      <w:tr>
        <w:trPr/>
        <w:tc>
          <w:tcPr>
            <w:tcW w:type="dxa" w:w="5112"/>
            <w:vAlign w:val="center"/>
            <w:tcBorders>
              <w:top w:val="nil"/>
              <w:left w:val="nil"/>
              <w:bottom w:val="nil"/>
              <w:right w:val="nil"/>
            </w:tcBorders>
          </w:tcPr>
          <w:p>
            <w:pPr>
              <w:spacing w:after="0" w:before="0"/>
            </w:pPr>
            <w:r>
              <w:rPr>
                <w:rFonts w:ascii="Arial" w:hAnsi="Arial"/>
                <w:sz w:val="16"/>
              </w:rPr>
              <w:t>output/figures</w:t>
            </w:r>
          </w:p>
        </w:tc>
        <w:tc>
          <w:tcPr>
            <w:tcW w:type="dxa" w:w="5112"/>
            <w:vAlign w:val="center"/>
            <w:tcBorders>
              <w:top w:val="nil"/>
              <w:left w:val="nil"/>
              <w:bottom w:val="nil"/>
              <w:right w:val="nil"/>
            </w:tcBorders>
          </w:tcPr>
          <w:p>
            <w:pPr>
              <w:spacing w:after="0" w:before="0"/>
            </w:pPr>
            <w:r>
              <w:rPr>
                <w:rFonts w:ascii="Arial" w:hAnsi="Arial"/>
                <w:sz w:val="16"/>
              </w:rPr>
              <w:t>主文图</w:t>
            </w:r>
          </w:p>
        </w:tc>
      </w:tr>
      <w:tr>
        <w:trPr/>
        <w:tc>
          <w:tcPr>
            <w:tcW w:type="dxa" w:w="5112"/>
            <w:vAlign w:val="center"/>
            <w:tcBorders>
              <w:top w:val="nil"/>
              <w:left w:val="nil"/>
              <w:bottom w:val="nil"/>
              <w:right w:val="nil"/>
            </w:tcBorders>
          </w:tcPr>
          <w:p>
            <w:pPr>
              <w:spacing w:after="0" w:before="0"/>
            </w:pPr>
            <w:r>
              <w:rPr>
                <w:rFonts w:ascii="Arial" w:hAnsi="Arial"/>
                <w:sz w:val="16"/>
              </w:rPr>
              <w:t>output/appendix</w:t>
            </w:r>
          </w:p>
        </w:tc>
        <w:tc>
          <w:tcPr>
            <w:tcW w:type="dxa" w:w="5112"/>
            <w:vAlign w:val="center"/>
            <w:tcBorders>
              <w:top w:val="nil"/>
              <w:left w:val="nil"/>
              <w:bottom w:val="nil"/>
              <w:right w:val="nil"/>
            </w:tcBorders>
          </w:tcPr>
          <w:p>
            <w:pPr>
              <w:spacing w:after="0" w:before="0"/>
            </w:pPr>
            <w:r>
              <w:rPr>
                <w:rFonts w:ascii="Arial" w:hAnsi="Arial"/>
                <w:sz w:val="16"/>
              </w:rPr>
              <w:t>diagnostic plots and sessionInfo</w:t>
            </w:r>
          </w:p>
        </w:tc>
      </w:tr>
      <w:tr>
        <w:trPr/>
        <w:tc>
          <w:tcPr>
            <w:tcW w:type="dxa" w:w="5112"/>
            <w:vAlign w:val="center"/>
            <w:tcBorders>
              <w:top w:val="nil"/>
              <w:left w:val="nil"/>
              <w:bottom w:val="nil"/>
              <w:right w:val="nil"/>
            </w:tcBorders>
          </w:tcPr>
          <w:p>
            <w:pPr>
              <w:spacing w:after="0" w:before="0"/>
            </w:pPr>
            <w:r>
              <w:rPr>
                <w:rFonts w:ascii="Arial" w:hAnsi="Arial"/>
                <w:sz w:val="16"/>
              </w:rPr>
              <w:t>output/word</w:t>
            </w:r>
          </w:p>
        </w:tc>
        <w:tc>
          <w:tcPr>
            <w:tcW w:type="dxa" w:w="5112"/>
            <w:vAlign w:val="center"/>
            <w:tcBorders>
              <w:top w:val="nil"/>
              <w:left w:val="nil"/>
              <w:bottom w:val="nil"/>
              <w:right w:val="nil"/>
            </w:tcBorders>
          </w:tcPr>
          <w:p>
            <w:pPr>
              <w:spacing w:after="0" w:before="0"/>
            </w:pPr>
            <w:r>
              <w:rPr>
                <w:rFonts w:ascii="Arial" w:hAnsi="Arial"/>
                <w:sz w:val="16"/>
              </w:rPr>
              <w:t>三线表 Word output</w:t>
            </w:r>
          </w:p>
        </w:tc>
      </w:tr>
      <w:tr>
        <w:trPr/>
        <w:tc>
          <w:tcPr>
            <w:tcW w:type="dxa" w:w="5112"/>
            <w:vAlign w:val="center"/>
            <w:tcBorders>
              <w:top w:val="nil"/>
              <w:left w:val="nil"/>
              <w:bottom w:val="single" w:sz="10" w:color="000000"/>
              <w:right w:val="nil"/>
            </w:tcBorders>
          </w:tcPr>
          <w:p>
            <w:pPr>
              <w:spacing w:after="0" w:before="0"/>
            </w:pPr>
            <w:r>
              <w:rPr>
                <w:rFonts w:ascii="Arial" w:hAnsi="Arial"/>
                <w:sz w:val="16"/>
              </w:rPr>
              <w:t>docs/general_reference</w:t>
            </w:r>
          </w:p>
        </w:tc>
        <w:tc>
          <w:tcPr>
            <w:tcW w:type="dxa" w:w="5112"/>
            <w:vAlign w:val="center"/>
            <w:tcBorders>
              <w:top w:val="nil"/>
              <w:left w:val="nil"/>
              <w:bottom w:val="single" w:sz="10" w:color="000000"/>
              <w:right w:val="nil"/>
            </w:tcBorders>
          </w:tcPr>
          <w:p>
            <w:pPr>
              <w:spacing w:after="0" w:before="0"/>
            </w:pPr>
            <w:r>
              <w:rPr>
                <w:rFonts w:ascii="Arial" w:hAnsi="Arial"/>
                <w:sz w:val="16"/>
              </w:rPr>
              <w:t>通用 Applied 手册与 Excel 导航表</w:t>
            </w:r>
          </w:p>
        </w:tc>
      </w:tr>
    </w:tbl>
    <w:p>
      <w:pPr>
        <w:pStyle w:val="Heading1"/>
      </w:pPr>
      <w:r>
        <w:t>1. 先把题目翻译成变量地图</w:t>
      </w:r>
    </w:p>
    <w:p>
      <w:pPr>
        <w:pStyle w:val="ListBullet"/>
      </w:pPr>
      <w:r>
        <w:t>Population：接受肺癌手术切除的患者。</w:t>
      </w:r>
    </w:p>
    <w:p>
      <w:pPr>
        <w:pStyle w:val="ListBullet"/>
      </w:pPr>
      <w:r>
        <w:t>Primary exposures：四个连续 PFT 指标；每个分别建模。</w:t>
      </w:r>
    </w:p>
    <w:p>
      <w:pPr>
        <w:pStyle w:val="ListBullet"/>
      </w:pPr>
      <w:r>
        <w:t>Primary outcome：overall survival，包含 follow-up time 和 death indicator，存在右删失。</w:t>
      </w:r>
    </w:p>
    <w:p>
      <w:pPr>
        <w:pStyle w:val="ListBullet"/>
      </w:pPr>
      <w:r>
        <w:t>Secondary outcomes：respiratory、cardiac、infectious、death、any postoperative complication；均为 binary。</w:t>
      </w:r>
    </w:p>
    <w:p>
      <w:pPr>
        <w:pStyle w:val="ListBullet"/>
      </w:pPr>
      <w:r>
        <w:t>Tertiary outcome：length of hospital stay，通常右偏且保持连续比随意二分类更好。</w:t>
      </w:r>
    </w:p>
    <w:p>
      <w:pPr>
        <w:pStyle w:val="ListBullet"/>
      </w:pPr>
      <w:r>
        <w:t>Covariates：age、sex、smoking、type of surgery、stage、histology、tumor size、comorbidities。</w:t>
      </w:r>
    </w:p>
    <w:p>
      <w:pPr>
        <w:pStyle w:val="ListBullet"/>
      </w:pPr>
      <w:r>
        <w:t>Effect modifiers：题目问“effect differs by”，对应 PFT × modifier interaction。</w:t>
      </w:r>
    </w:p>
    <w:p>
      <w:pPr>
        <w:pStyle w:val="Heading1"/>
      </w:pPr>
      <w:r>
        <w:t>2. Block 0：Setup、packages 与输出目录</w:t>
      </w:r>
    </w:p>
    <w:p>
      <w:r>
        <w:t>这一块负责保证脚本可以从干净 R session 运行，并把所有结果放进固定文件夹。考试时最忌讳把对象散落在 Global Environment，或依赖前一天残留对象。</w:t>
      </w:r>
    </w:p>
    <w:p>
      <w:pPr>
        <w:pStyle w:val="NoSpacing"/>
        <w:spacing w:before="60" w:after="100"/>
        <w:ind w:left="259" w:right="173"/>
        <w:shd w:fill="F3F6F8"/>
      </w:pPr>
      <w:r>
        <w:rPr>
          <w:rFonts w:ascii="Consolas" w:hAnsi="Consolas"/>
          <w:color w:val="1E1E1E"/>
          <w:sz w:val="16"/>
        </w:rPr>
        <w:t>rm(list = ls())</w:t>
        <w:br/>
        <w:t>DATA_PATH &lt;- "data/raw/FEV1_LungCa_synthetic.csv"</w:t>
        <w:br/>
        <w:t>for (d in c(OUT_TABLES, OUT_FIGURES, OUT_APPENDIX, OUT_WORD)) {</w:t>
        <w:br/>
        <w:t xml:space="preserve">  dir.create(d, recursive = TRUE, showWarnings = FALSE)</w:t>
        <w:br/>
        <w:t>}</w:t>
      </w:r>
    </w:p>
    <w:tbl>
      <w:tblPr>
        <w:tblW w:type="auto" w:w="0"/>
        <w:jc w:val="center"/>
        <w:tblLook w:firstColumn="1" w:firstRow="1" w:lastColumn="0" w:lastRow="0" w:noHBand="0" w:noVBand="1" w:val="04A0"/>
      </w:tblPr>
      <w:tblGrid>
        <w:gridCol w:w="10224"/>
      </w:tblGrid>
      <w:tr>
        <w:trPr/>
        <w:tc>
          <w:tcPr>
            <w:tcW w:type="dxa" w:w="10224"/>
            <w:shd w:fill="FFF2CC"/>
            <w:tcBorders>
              <w:top w:val="single" w:sz="6" w:color="6B8E23"/>
              <w:left w:val="single" w:sz="6" w:color="6B8E23"/>
              <w:bottom w:val="single" w:sz="6" w:color="6B8E23"/>
              <w:right w:val="single" w:sz="6" w:color="6B8E23"/>
            </w:tcBorders>
          </w:tcPr>
          <w:p>
            <w:pPr>
              <w:spacing w:before="0" w:after="0"/>
            </w:pPr>
            <w:r>
              <w:rPr>
                <w:rFonts w:ascii="Arial" w:hAnsi="Arial"/>
                <w:b/>
                <w:sz w:val="16"/>
              </w:rPr>
              <w:t>函数冲突：</w:t>
            </w:r>
            <w:r>
              <w:rPr>
                <w:rFonts w:ascii="Arial" w:hAnsi="Arial"/>
                <w:sz w:val="16"/>
              </w:rPr>
              <w:t>不要 attach MASS。MASS::select() 会遮蔽 dplyr::select()。脚本对容易冲突的函数显式写 dplyr::select()、dplyr::filter() 和 dplyr::mutate()。</w:t>
            </w:r>
          </w:p>
        </w:tc>
      </w:tr>
    </w:tbl>
    <w:p>
      <w:pPr>
        <w:spacing w:after="0"/>
      </w:pPr>
    </w:p>
    <w:p>
      <w:pPr>
        <w:pStyle w:val="Heading1"/>
      </w:pPr>
      <w:r>
        <w:t>3. Block 1-2：导入、clean_names 和变量编码</w:t>
      </w:r>
    </w:p>
    <w:p>
      <w:r>
        <w:t>导入后先用 janitor::clean_names() 统一变量名，再明确 factor level 和 reference group。reference group 决定 OR、HR 和 regression coefficient 的比较方向。</w:t>
      </w:r>
    </w:p>
    <w:p>
      <w:pPr>
        <w:pStyle w:val="NoSpacing"/>
        <w:spacing w:before="60" w:after="100"/>
        <w:ind w:left="259" w:right="173"/>
        <w:shd w:fill="F3F6F8"/>
      </w:pPr>
      <w:r>
        <w:rPr>
          <w:rFonts w:ascii="Consolas" w:hAnsi="Consolas"/>
          <w:color w:val="1E1E1E"/>
          <w:sz w:val="16"/>
        </w:rPr>
        <w:t>dat &lt;- dat_raw %&gt;%</w:t>
        <w:br/>
        <w:t xml:space="preserve">  janitor::clean_names() %&gt;%</w:t>
        <w:br/>
        <w:t xml:space="preserve">  dplyr::mutate(</w:t>
        <w:br/>
        <w:t xml:space="preserve">    sex = factor(sex, levels = c("Female", "Male")),</w:t>
        <w:br/>
        <w:t xml:space="preserve">    smoking = factor(smoking, levels = c("Never", "Former", "Current")),</w:t>
        <w:br/>
        <w:t xml:space="preserve">    pathologic_stage = factor(pathologic_stage, levels = c("I", "II", "III")),</w:t>
        <w:br/>
        <w:t xml:space="preserve">    event = dplyr::if_else(died == 1L, 1L, 0L),</w:t>
        <w:br/>
        <w:t xml:space="preserve">    followup_months = oasmons</w:t>
        <w:br/>
        <w:t xml:space="preserve">  )</w:t>
      </w:r>
    </w:p>
    <w:tbl>
      <w:tblPr>
        <w:tblW w:type="auto" w:w="0"/>
        <w:jc w:val="center"/>
        <w:tblLook w:firstColumn="1" w:firstRow="1" w:lastColumn="0" w:lastRow="0" w:noHBand="0" w:noVBand="1" w:val="04A0"/>
      </w:tblPr>
      <w:tblGrid>
        <w:gridCol w:w="10224"/>
      </w:tblGrid>
      <w:tr>
        <w:trPr/>
        <w:tc>
          <w:tcPr>
            <w:tcW w:type="dxa" w:w="10224"/>
            <w:shd w:fill="E2F0D9"/>
            <w:tcBorders>
              <w:top w:val="single" w:sz="6" w:color="6B8E23"/>
              <w:left w:val="single" w:sz="6" w:color="6B8E23"/>
              <w:bottom w:val="single" w:sz="6" w:color="6B8E23"/>
              <w:right w:val="single" w:sz="6" w:color="6B8E23"/>
            </w:tcBorders>
          </w:tcPr>
          <w:p>
            <w:pPr>
              <w:spacing w:before="0" w:after="0"/>
            </w:pPr>
            <w:r>
              <w:rPr>
                <w:rFonts w:ascii="Arial" w:hAnsi="Arial"/>
                <w:b/>
                <w:sz w:val="16"/>
              </w:rPr>
              <w:t>检查顺序：</w:t>
            </w:r>
            <w:r>
              <w:rPr>
                <w:rFonts w:ascii="Arial" w:hAnsi="Arial"/>
                <w:sz w:val="16"/>
              </w:rPr>
              <w:t>先运行 names(dat_raw)、str(dat_raw)、table(..., useNA="ifany")；确认原始编码后再 factor。不要根据想当然设置 reference。</w:t>
            </w:r>
          </w:p>
        </w:tc>
      </w:tr>
    </w:tbl>
    <w:p>
      <w:pPr>
        <w:spacing w:after="0"/>
      </w:pPr>
    </w:p>
    <w:p>
      <w:pPr>
        <w:pStyle w:val="Heading1"/>
      </w:pPr>
      <w:r>
        <w:t>4. 为什么要把 PFT 缩放</w:t>
      </w:r>
    </w:p>
    <w:p>
      <w:r>
        <w:t>如果直接报告 DLCO percent predicted 每增加 1 个百分点的 HR，效应往往接近 1，不利于解释。脚本把 FEV1 按 0.5 L、百分比指标按 10 percentage points、DLCO 按 5 units 缩放。缩放只改变解释单位，不改变拟合或 P value。</w:t>
      </w:r>
    </w:p>
    <w:p>
      <w:pPr>
        <w:pStyle w:val="NoSpacing"/>
        <w:spacing w:before="60" w:after="100"/>
        <w:ind w:left="259" w:right="173"/>
        <w:shd w:fill="F3F6F8"/>
      </w:pPr>
      <w:r>
        <w:rPr>
          <w:rFonts w:ascii="Consolas" w:hAnsi="Consolas"/>
          <w:color w:val="1E1E1E"/>
          <w:sz w:val="16"/>
        </w:rPr>
        <w:t>fev1_per_0_5l = fev1 / 0.5</w:t>
        <w:br/>
        <w:t>fev_pct_per_10 = fev_percent_of_predicted / 10</w:t>
        <w:br/>
        <w:t>dlco_per_5 = dlco / 5</w:t>
        <w:br/>
        <w:t>dlco_pct_per_10 = dlco_percent_of_predicted / 10</w:t>
      </w:r>
    </w:p>
    <w:p>
      <w:pPr>
        <w:pStyle w:val="Heading1"/>
      </w:pPr>
      <w:r>
        <w:t>5. Cohort flow、missingness 与 complete-case N</w:t>
      </w:r>
    </w:p>
    <w:p>
      <w:r>
        <w:t>每个模型可能因暴露变量缺失而使用不同 N。必须报告 model-specific N，不能只写原始样本量 130。complete-case analysis 是可执行的默认方案，但要在 limitations 中说明 missing-at-random 并未得到保证。</w:t>
      </w:r>
    </w:p>
    <w:tbl>
      <w:tblPr>
        <w:tblW w:type="auto" w:w="0"/>
        <w:jc w:val="center"/>
        <w:tblLook w:firstColumn="1" w:firstRow="1" w:lastColumn="0" w:lastRow="0" w:noHBand="0" w:noVBand="1" w:val="04A0"/>
      </w:tblPr>
      <w:tblGrid>
        <w:gridCol w:w="10224"/>
      </w:tblGrid>
      <w:tr>
        <w:trPr/>
        <w:tc>
          <w:tcPr>
            <w:tcW w:type="dxa" w:w="10224"/>
            <w:shd w:fill="D9EAF7"/>
            <w:tcBorders>
              <w:top w:val="single" w:sz="6" w:color="6B8E23"/>
              <w:left w:val="single" w:sz="6" w:color="6B8E23"/>
              <w:bottom w:val="single" w:sz="6" w:color="6B8E23"/>
              <w:right w:val="single" w:sz="6" w:color="6B8E23"/>
            </w:tcBorders>
          </w:tcPr>
          <w:p>
            <w:pPr>
              <w:spacing w:before="0" w:after="0"/>
            </w:pPr>
            <w:r>
              <w:rPr>
                <w:rFonts w:ascii="Arial" w:hAnsi="Arial"/>
                <w:b/>
                <w:sz w:val="16"/>
              </w:rPr>
              <w:t>何时考虑 multiple imputation：</w:t>
            </w:r>
            <w:r>
              <w:rPr>
                <w:rFonts w:ascii="Arial" w:hAnsi="Arial"/>
                <w:sz w:val="16"/>
              </w:rPr>
              <w:t>当关键变量缺失比例不低、complete-case 会明显损失样本，且缺失机制可由已观测变量合理预测时考虑。生存结局的 MI 还应纳入 event 和 cumulative hazard 等信息；考试时间有限时至少说明。</w:t>
            </w:r>
          </w:p>
        </w:tc>
      </w:tr>
    </w:tbl>
    <w:p>
      <w:pPr>
        <w:spacing w:after="0"/>
      </w:pPr>
    </w:p>
    <w:p>
      <w:pPr>
        <w:pStyle w:val="Heading1"/>
      </w:pPr>
      <w:r>
        <w:t>6. Descriptive tables 和 figures</w:t>
      </w:r>
    </w:p>
    <w:p>
      <w:r>
        <w:t>题目要求三类 descriptive outputs：研究人群、PFT、outcomes。连续变量同时输出 mean/SD 与 median/IQR，能让你判断分布；正式正文可根据分布选择主要 summary。</w:t>
      </w:r>
    </w:p>
    <w:tbl>
      <w:tblPr>
        <w:tblW w:type="auto" w:w="0"/>
        <w:jc w:val="center"/>
        <w:tblLayout w:type="autofit"/>
        <w:tblLook w:firstColumn="1" w:firstRow="1" w:lastColumn="0" w:lastRow="0" w:noHBand="0" w:noVBand="1" w:val="04A0"/>
      </w:tblPr>
      <w:tblGrid>
        <w:gridCol w:w="5112"/>
        <w:gridCol w:w="5112"/>
      </w:tblGrid>
      <w:tr>
        <w:trPr/>
        <w:tc>
          <w:tcPr>
            <w:tcW w:type="dxa" w:w="5112"/>
            <w:vAlign w:val="center"/>
            <w:tcBorders>
              <w:top w:val="single" w:sz="10" w:color="000000"/>
              <w:left w:val="nil"/>
              <w:bottom w:val="single" w:sz="8" w:color="000000"/>
              <w:right w:val="nil"/>
            </w:tcBorders>
            <w:shd w:fill="D9EAF7"/>
          </w:tcPr>
          <w:p>
            <w:pPr>
              <w:spacing w:after="0" w:before="0"/>
            </w:pPr>
            <w:r>
              <w:rPr>
                <w:rFonts w:ascii="Arial" w:hAnsi="Arial"/>
                <w:b/>
                <w:sz w:val="16"/>
              </w:rPr>
              <w:t>Output</w:t>
            </w:r>
          </w:p>
        </w:tc>
        <w:tc>
          <w:tcPr>
            <w:tcW w:type="dxa" w:w="5112"/>
            <w:vAlign w:val="center"/>
            <w:tcBorders>
              <w:top w:val="single" w:sz="10" w:color="000000"/>
              <w:left w:val="nil"/>
              <w:bottom w:val="single" w:sz="8" w:color="000000"/>
              <w:right w:val="nil"/>
            </w:tcBorders>
            <w:shd w:fill="D9EAF7"/>
          </w:tcPr>
          <w:p>
            <w:pPr>
              <w:spacing w:after="0" w:before="0"/>
            </w:pPr>
            <w:r>
              <w:rPr>
                <w:rFonts w:ascii="Arial" w:hAnsi="Arial"/>
                <w:b/>
                <w:sz w:val="16"/>
              </w:rPr>
              <w:t>Purpose</w:t>
            </w:r>
          </w:p>
        </w:tc>
      </w:tr>
      <w:tr>
        <w:trPr/>
        <w:tc>
          <w:tcPr>
            <w:tcW w:type="dxa" w:w="5112"/>
            <w:vAlign w:val="center"/>
            <w:tcBorders>
              <w:top w:val="nil"/>
              <w:left w:val="nil"/>
              <w:bottom w:val="nil"/>
              <w:right w:val="nil"/>
            </w:tcBorders>
          </w:tcPr>
          <w:p>
            <w:pPr>
              <w:spacing w:after="0" w:before="0"/>
            </w:pPr>
            <w:r>
              <w:rPr>
                <w:rFonts w:ascii="Arial" w:hAnsi="Arial"/>
                <w:sz w:val="16"/>
              </w:rPr>
              <w:t>Table 1</w:t>
            </w:r>
          </w:p>
        </w:tc>
        <w:tc>
          <w:tcPr>
            <w:tcW w:type="dxa" w:w="5112"/>
            <w:vAlign w:val="center"/>
            <w:tcBorders>
              <w:top w:val="nil"/>
              <w:left w:val="nil"/>
              <w:bottom w:val="nil"/>
              <w:right w:val="nil"/>
            </w:tcBorders>
          </w:tcPr>
          <w:p>
            <w:pPr>
              <w:spacing w:after="0" w:before="0"/>
            </w:pPr>
            <w:r>
              <w:rPr>
                <w:rFonts w:ascii="Arial" w:hAnsi="Arial"/>
                <w:sz w:val="16"/>
              </w:rPr>
              <w:t>Age, sex, smoking, surgery, stage, histology, tumor size, comorbidities</w:t>
            </w:r>
          </w:p>
        </w:tc>
      </w:tr>
      <w:tr>
        <w:trPr/>
        <w:tc>
          <w:tcPr>
            <w:tcW w:type="dxa" w:w="5112"/>
            <w:vAlign w:val="center"/>
            <w:tcBorders>
              <w:top w:val="nil"/>
              <w:left w:val="nil"/>
              <w:bottom w:val="nil"/>
              <w:right w:val="nil"/>
            </w:tcBorders>
          </w:tcPr>
          <w:p>
            <w:pPr>
              <w:spacing w:after="0" w:before="0"/>
            </w:pPr>
            <w:r>
              <w:rPr>
                <w:rFonts w:ascii="Arial" w:hAnsi="Arial"/>
                <w:sz w:val="16"/>
              </w:rPr>
              <w:t>Table 2</w:t>
            </w:r>
          </w:p>
        </w:tc>
        <w:tc>
          <w:tcPr>
            <w:tcW w:type="dxa" w:w="5112"/>
            <w:vAlign w:val="center"/>
            <w:tcBorders>
              <w:top w:val="nil"/>
              <w:left w:val="nil"/>
              <w:bottom w:val="nil"/>
              <w:right w:val="nil"/>
            </w:tcBorders>
          </w:tcPr>
          <w:p>
            <w:pPr>
              <w:spacing w:after="0" w:before="0"/>
            </w:pPr>
            <w:r>
              <w:rPr>
                <w:rFonts w:ascii="Arial" w:hAnsi="Arial"/>
                <w:sz w:val="16"/>
              </w:rPr>
              <w:t>Four PFT distributions and missingness</w:t>
            </w:r>
          </w:p>
        </w:tc>
      </w:tr>
      <w:tr>
        <w:trPr/>
        <w:tc>
          <w:tcPr>
            <w:tcW w:type="dxa" w:w="5112"/>
            <w:vAlign w:val="center"/>
            <w:tcBorders>
              <w:top w:val="nil"/>
              <w:left w:val="nil"/>
              <w:bottom w:val="nil"/>
              <w:right w:val="nil"/>
            </w:tcBorders>
          </w:tcPr>
          <w:p>
            <w:pPr>
              <w:spacing w:after="0" w:before="0"/>
            </w:pPr>
            <w:r>
              <w:rPr>
                <w:rFonts w:ascii="Arial" w:hAnsi="Arial"/>
                <w:sz w:val="16"/>
              </w:rPr>
              <w:t>Table 3</w:t>
            </w:r>
          </w:p>
        </w:tc>
        <w:tc>
          <w:tcPr>
            <w:tcW w:type="dxa" w:w="5112"/>
            <w:vAlign w:val="center"/>
            <w:tcBorders>
              <w:top w:val="nil"/>
              <w:left w:val="nil"/>
              <w:bottom w:val="nil"/>
              <w:right w:val="nil"/>
            </w:tcBorders>
          </w:tcPr>
          <w:p>
            <w:pPr>
              <w:spacing w:after="0" w:before="0"/>
            </w:pPr>
            <w:r>
              <w:rPr>
                <w:rFonts w:ascii="Arial" w:hAnsi="Arial"/>
                <w:sz w:val="16"/>
              </w:rPr>
              <w:t>Events/censoring, complications, LOS</w:t>
            </w:r>
          </w:p>
        </w:tc>
      </w:tr>
      <w:tr>
        <w:trPr/>
        <w:tc>
          <w:tcPr>
            <w:tcW w:type="dxa" w:w="5112"/>
            <w:vAlign w:val="center"/>
            <w:tcBorders>
              <w:top w:val="nil"/>
              <w:left w:val="nil"/>
              <w:bottom w:val="nil"/>
              <w:right w:val="nil"/>
            </w:tcBorders>
          </w:tcPr>
          <w:p>
            <w:pPr>
              <w:spacing w:after="0" w:before="0"/>
            </w:pPr>
            <w:r>
              <w:rPr>
                <w:rFonts w:ascii="Arial" w:hAnsi="Arial"/>
                <w:sz w:val="16"/>
              </w:rPr>
              <w:t>Figure 1</w:t>
            </w:r>
          </w:p>
        </w:tc>
        <w:tc>
          <w:tcPr>
            <w:tcW w:type="dxa" w:w="5112"/>
            <w:vAlign w:val="center"/>
            <w:tcBorders>
              <w:top w:val="nil"/>
              <w:left w:val="nil"/>
              <w:bottom w:val="nil"/>
              <w:right w:val="nil"/>
            </w:tcBorders>
          </w:tcPr>
          <w:p>
            <w:pPr>
              <w:spacing w:after="0" w:before="0"/>
            </w:pPr>
            <w:r>
              <w:rPr>
                <w:rFonts w:ascii="Arial" w:hAnsi="Arial"/>
                <w:sz w:val="16"/>
              </w:rPr>
              <w:t>PFT histograms</w:t>
            </w:r>
          </w:p>
        </w:tc>
      </w:tr>
      <w:tr>
        <w:trPr/>
        <w:tc>
          <w:tcPr>
            <w:tcW w:type="dxa" w:w="5112"/>
            <w:vAlign w:val="center"/>
            <w:tcBorders>
              <w:top w:val="nil"/>
              <w:left w:val="nil"/>
              <w:bottom w:val="single" w:sz="10" w:color="000000"/>
              <w:right w:val="nil"/>
            </w:tcBorders>
          </w:tcPr>
          <w:p>
            <w:pPr>
              <w:spacing w:after="0" w:before="0"/>
            </w:pPr>
            <w:r>
              <w:rPr>
                <w:rFonts w:ascii="Arial" w:hAnsi="Arial"/>
                <w:sz w:val="16"/>
              </w:rPr>
              <w:t>Figure 2</w:t>
            </w:r>
          </w:p>
        </w:tc>
        <w:tc>
          <w:tcPr>
            <w:tcW w:type="dxa" w:w="5112"/>
            <w:vAlign w:val="center"/>
            <w:tcBorders>
              <w:top w:val="nil"/>
              <w:left w:val="nil"/>
              <w:bottom w:val="single" w:sz="10" w:color="000000"/>
              <w:right w:val="nil"/>
            </w:tcBorders>
          </w:tcPr>
          <w:p>
            <w:pPr>
              <w:spacing w:after="0" w:before="0"/>
            </w:pPr>
            <w:r>
              <w:rPr>
                <w:rFonts w:ascii="Arial" w:hAnsi="Arial"/>
                <w:sz w:val="16"/>
              </w:rPr>
              <w:t>Overall Kaplan-Meier curve</w:t>
            </w:r>
          </w:p>
        </w:tc>
      </w:tr>
    </w:tbl>
    <w:p>
      <w:pPr>
        <w:pStyle w:val="Heading1"/>
      </w:pPr>
      <w:r>
        <w:t>7. Survival：KM、univariate Cox、adjusted Cox</w:t>
      </w:r>
    </w:p>
    <w:p>
      <w:pPr>
        <w:pStyle w:val="Heading2"/>
      </w:pPr>
      <w:r>
        <w:t>7.1 KM 回答什么</w:t>
      </w:r>
    </w:p>
    <w:p>
      <w:r>
        <w:t>Overall KM 描述整个队列的 survival experience；它不调整 confounding。若把连续 PFT 人为分成高低组画 KM，只能用于展示，不能替代连续 Cox 模型。</w:t>
      </w:r>
    </w:p>
    <w:p>
      <w:pPr>
        <w:pStyle w:val="Heading2"/>
      </w:pPr>
      <w:r>
        <w:t>7.2 四个 adjusted Cox 模型</w:t>
      </w:r>
    </w:p>
    <w:p>
      <w:pPr>
        <w:pStyle w:val="NoSpacing"/>
        <w:spacing w:before="60" w:after="100"/>
        <w:ind w:left="259" w:right="173"/>
        <w:shd w:fill="F3F6F8"/>
      </w:pPr>
      <w:r>
        <w:rPr>
          <w:rFonts w:ascii="Consolas" w:hAnsi="Consolas"/>
          <w:color w:val="1E1E1E"/>
          <w:sz w:val="16"/>
        </w:rPr>
        <w:t>Surv(followup_months, event) ~ PFT + age + sex + smoking +</w:t>
        <w:br/>
        <w:t xml:space="preserve">  type_of_surgery + pathologic_stage + tumor_size_cm</w:t>
      </w:r>
    </w:p>
    <w:p>
      <w:r>
        <w:t>四个模型只替换 PFT，其他 covariates 保持一致，便于比较。主结果提取 PFT 那一行的 adjusted HR、95% CI 和 P value。</w:t>
      </w:r>
    </w:p>
    <w:tbl>
      <w:tblPr>
        <w:tblW w:type="auto" w:w="0"/>
        <w:jc w:val="center"/>
        <w:tblLook w:firstColumn="1" w:firstRow="1" w:lastColumn="0" w:lastRow="0" w:noHBand="0" w:noVBand="1" w:val="04A0"/>
      </w:tblPr>
      <w:tblGrid>
        <w:gridCol w:w="10224"/>
      </w:tblGrid>
      <w:tr>
        <w:trPr/>
        <w:tc>
          <w:tcPr>
            <w:tcW w:type="dxa" w:w="10224"/>
            <w:shd w:fill="E2F0D9"/>
            <w:tcBorders>
              <w:top w:val="single" w:sz="6" w:color="6B8E23"/>
              <w:left w:val="single" w:sz="6" w:color="6B8E23"/>
              <w:bottom w:val="single" w:sz="6" w:color="6B8E23"/>
              <w:right w:val="single" w:sz="6" w:color="6B8E23"/>
            </w:tcBorders>
          </w:tcPr>
          <w:p>
            <w:pPr>
              <w:spacing w:before="0" w:after="0"/>
            </w:pPr>
            <w:r>
              <w:rPr>
                <w:rFonts w:ascii="Arial" w:hAnsi="Arial"/>
                <w:b/>
                <w:sz w:val="16"/>
              </w:rPr>
              <w:t>HR 的正确解释：</w:t>
            </w:r>
            <w:r>
              <w:rPr>
                <w:rFonts w:ascii="Arial" w:hAnsi="Arial"/>
                <w:sz w:val="16"/>
              </w:rPr>
              <w:t>HR 是任一时点瞬时 hazard 的相对值，不是 risk ratio，也不是 survival probability difference。例如 HR=0.80 表示在 PH 假设下，较高 PFT 与约 20% 较低的死亡 hazard 相关。</w:t>
            </w:r>
          </w:p>
        </w:tc>
      </w:tr>
    </w:tbl>
    <w:p>
      <w:pPr>
        <w:spacing w:after="0"/>
      </w:pPr>
    </w:p>
    <w:p>
      <w:pPr>
        <w:pStyle w:val="Heading2"/>
      </w:pPr>
      <w:r>
        <w:t>7.3 R 输出看哪里</w:t>
      </w:r>
    </w:p>
    <w:p>
      <w:pPr>
        <w:pStyle w:val="ListBullet"/>
      </w:pPr>
      <w:r>
        <w:t>term：变量或 factor level；先确认 reference。</w:t>
      </w:r>
    </w:p>
    <w:p>
      <w:pPr>
        <w:pStyle w:val="ListBullet"/>
      </w:pPr>
      <w:r>
        <w:t>estimate（exponentiated）：HR。</w:t>
      </w:r>
    </w:p>
    <w:p>
      <w:pPr>
        <w:pStyle w:val="ListBullet"/>
      </w:pPr>
      <w:r>
        <w:t>conf.low/conf.high：95% CI；若跨 1，数据与无效应相容。</w:t>
      </w:r>
    </w:p>
    <w:p>
      <w:pPr>
        <w:pStyle w:val="ListBullet"/>
      </w:pPr>
      <w:r>
        <w:t>p.value：检验 coefficient=0 或 HR=1；不能替代 estimate 和 CI。</w:t>
      </w:r>
    </w:p>
    <w:p>
      <w:pPr>
        <w:pStyle w:val="ListBullet"/>
      </w:pPr>
      <w:r>
        <w:t>n：实际进入该模型的 complete cases。</w:t>
      </w:r>
    </w:p>
    <w:p>
      <w:pPr>
        <w:pStyle w:val="Heading2"/>
      </w:pPr>
      <w:r>
        <w:t>7.4 Methods 与 Results 英文模板</w:t>
      </w:r>
    </w:p>
    <w:p>
      <w:r>
        <w:t>Methods template:</w:t>
      </w:r>
    </w:p>
    <w:p>
      <w:pPr>
        <w:pStyle w:val="NoSpacing"/>
        <w:spacing w:before="60" w:after="100"/>
        <w:ind w:left="259" w:right="173"/>
        <w:shd w:fill="F3F6F8"/>
      </w:pPr>
      <w:r>
        <w:rPr>
          <w:rFonts w:ascii="Consolas" w:hAnsi="Consolas"/>
          <w:color w:val="1E1E1E"/>
          <w:sz w:val="16"/>
        </w:rPr>
        <w:t>Overall survival was summarized using the Kaplan-Meier method. Associations between each pulmonary function measure and overall survival were evaluated in separate Cox proportional hazards models adjusted for age, sex, smoking status, type of surgery, pathologic stage, and tumor size. Hazard ratios (HRs) and 95% confidence intervals (CIs) were reported per prespecified clinically interpretable increment of each pulmonary function measure.</w:t>
      </w:r>
    </w:p>
    <w:p>
      <w:r>
        <w:t>Results template:</w:t>
      </w:r>
    </w:p>
    <w:p>
      <w:pPr>
        <w:pStyle w:val="NoSpacing"/>
        <w:spacing w:before="60" w:after="100"/>
        <w:ind w:left="259" w:right="173"/>
        <w:shd w:fill="F3F6F8"/>
      </w:pPr>
      <w:r>
        <w:rPr>
          <w:rFonts w:ascii="Consolas" w:hAnsi="Consolas"/>
          <w:color w:val="1E1E1E"/>
          <w:sz w:val="16"/>
        </w:rPr>
        <w:t>After multivariable adjustment, a 10-percentage-point increase in DLCO percent predicted was associated with [lower/higher] mortality hazard (adjusted HR, X.XX; 95% CI, X.XX-X.XX; P=X.XXX).</w:t>
      </w:r>
    </w:p>
    <w:p>
      <w:pPr>
        <w:pStyle w:val="Heading1"/>
      </w:pPr>
      <w:r>
        <w:t>8. Cox diagnostics：PH 和 functional form</w:t>
      </w:r>
    </w:p>
    <w:p>
      <w:r>
        <w:t>cox.zph() 检查 coefficient 是否随时间系统变化。先看 GLOBAL，再看 individual terms，并结合 Schoenfeld residual plots。P&lt;0.05 是提示，不应机械宣布模型失败。</w:t>
      </w:r>
    </w:p>
    <w:p>
      <w:pPr>
        <w:pStyle w:val="NoSpacing"/>
        <w:spacing w:before="60" w:after="100"/>
        <w:ind w:left="259" w:right="173"/>
        <w:shd w:fill="F3F6F8"/>
      </w:pPr>
      <w:r>
        <w:rPr>
          <w:rFonts w:ascii="Consolas" w:hAnsi="Consolas"/>
          <w:color w:val="1E1E1E"/>
          <w:sz w:val="16"/>
        </w:rPr>
        <w:t>zph &lt;- survival::cox.zph(cox_model)</w:t>
        <w:br/>
        <w:t>print(zph)</w:t>
        <w:br/>
        <w:t>plot(zph)</w:t>
      </w:r>
    </w:p>
    <w:tbl>
      <w:tblPr>
        <w:tblW w:type="auto" w:w="0"/>
        <w:jc w:val="center"/>
        <w:tblLook w:firstColumn="1" w:firstRow="1" w:lastColumn="0" w:lastRow="0" w:noHBand="0" w:noVBand="1" w:val="04A0"/>
      </w:tblPr>
      <w:tblGrid>
        <w:gridCol w:w="10224"/>
      </w:tblGrid>
      <w:tr>
        <w:trPr/>
        <w:tc>
          <w:tcPr>
            <w:tcW w:type="dxa" w:w="10224"/>
            <w:shd w:fill="FCE4D6"/>
            <w:tcBorders>
              <w:top w:val="single" w:sz="6" w:color="6B8E23"/>
              <w:left w:val="single" w:sz="6" w:color="6B8E23"/>
              <w:bottom w:val="single" w:sz="6" w:color="6B8E23"/>
              <w:right w:val="single" w:sz="6" w:color="6B8E23"/>
            </w:tcBorders>
          </w:tcPr>
          <w:p>
            <w:pPr>
              <w:spacing w:before="0" w:after="0"/>
            </w:pPr>
            <w:r>
              <w:rPr>
                <w:rFonts w:ascii="Arial" w:hAnsi="Arial"/>
                <w:b/>
                <w:sz w:val="16"/>
              </w:rPr>
              <w:t>PH 不满足怎么办：</w:t>
            </w:r>
            <w:r>
              <w:rPr>
                <w:rFonts w:ascii="Arial" w:hAnsi="Arial"/>
                <w:sz w:val="16"/>
              </w:rPr>
              <w:t>确认数据和 functional form；考虑 time-by-covariate interaction、stratified Cox 或分时段 HR。报告“evidence of non-proportionality”，不要只删除变量。</w:t>
            </w:r>
          </w:p>
        </w:tc>
      </w:tr>
    </w:tbl>
    <w:p>
      <w:pPr>
        <w:spacing w:after="0"/>
      </w:pPr>
    </w:p>
    <w:p>
      <w:pPr>
        <w:pStyle w:val="Heading1"/>
      </w:pPr>
      <w:r>
        <w:t>9. Interaction / effect modification</w:t>
      </w:r>
    </w:p>
    <w:p>
      <w:r>
        <w:t>“Does the effect differ by...” 对应 PFT × modifier。正确检验是 interaction term 或嵌套模型 LRT，不是“一个 subgroup 显著、另一个不显著”。</w:t>
      </w:r>
    </w:p>
    <w:p>
      <w:pPr>
        <w:pStyle w:val="NoSpacing"/>
        <w:spacing w:before="60" w:after="100"/>
        <w:ind w:left="259" w:right="173"/>
        <w:shd w:fill="F3F6F8"/>
      </w:pPr>
      <w:r>
        <w:rPr>
          <w:rFonts w:ascii="Consolas" w:hAnsi="Consolas"/>
          <w:color w:val="1E1E1E"/>
          <w:sz w:val="16"/>
        </w:rPr>
        <w:t>Surv(time, event) ~ PFT * modifier + covariates</w:t>
      </w:r>
    </w:p>
    <w:p>
      <w:r>
        <w:t>Interaction model 中 PFT main effect 是 modifier reference level 下的 PFT effect，不是全体平均 effect。若 interaction 有证据，应给 subgroup-specific estimates 或 adjusted predictions。</w:t>
      </w:r>
    </w:p>
    <w:p>
      <w:pPr>
        <w:pStyle w:val="Heading1"/>
      </w:pPr>
      <w:r>
        <w:t>10. Postoperative complications：PFT comparison + logistic regression</w:t>
      </w:r>
    </w:p>
    <w:p>
      <w:r>
        <w:t>第一步按 complication status 比较 PFT distribution。第二步对 any complication 建四个 separate adjusted logistic models。OR 必须解释为 odds，不应写成 risk，尤其当 complication 并不罕见时。</w:t>
      </w:r>
    </w:p>
    <w:p>
      <w:pPr>
        <w:pStyle w:val="NoSpacing"/>
        <w:spacing w:before="60" w:after="100"/>
        <w:ind w:left="259" w:right="173"/>
        <w:shd w:fill="F3F6F8"/>
      </w:pPr>
      <w:r>
        <w:rPr>
          <w:rFonts w:ascii="Consolas" w:hAnsi="Consolas"/>
          <w:color w:val="1E1E1E"/>
          <w:sz w:val="16"/>
        </w:rPr>
        <w:t>glm(anycomp_bin ~ PFT + age + sex + smoking + type_of_surgery +</w:t>
        <w:br/>
        <w:t xml:space="preserve">      pathologic_stage + tumor_size_cm, family = binomial, data = model_dat)</w:t>
      </w:r>
    </w:p>
    <w:tbl>
      <w:tblPr>
        <w:tblW w:type="auto" w:w="0"/>
        <w:jc w:val="center"/>
        <w:tblLook w:firstColumn="1" w:firstRow="1" w:lastColumn="0" w:lastRow="0" w:noHBand="0" w:noVBand="1" w:val="04A0"/>
      </w:tblPr>
      <w:tblGrid>
        <w:gridCol w:w="10224"/>
      </w:tblGrid>
      <w:tr>
        <w:trPr/>
        <w:tc>
          <w:tcPr>
            <w:tcW w:type="dxa" w:w="10224"/>
            <w:shd w:fill="FFF2CC"/>
            <w:tcBorders>
              <w:top w:val="single" w:sz="6" w:color="6B8E23"/>
              <w:left w:val="single" w:sz="6" w:color="6B8E23"/>
              <w:bottom w:val="single" w:sz="6" w:color="6B8E23"/>
              <w:right w:val="single" w:sz="6" w:color="6B8E23"/>
            </w:tcBorders>
          </w:tcPr>
          <w:p>
            <w:pPr>
              <w:spacing w:before="0" w:after="0"/>
            </w:pPr>
            <w:r>
              <w:rPr>
                <w:rFonts w:ascii="Arial" w:hAnsi="Arial"/>
                <w:b/>
                <w:sz w:val="16"/>
              </w:rPr>
              <w:t>Sparse outcome：</w:t>
            </w:r>
            <w:r>
              <w:rPr>
                <w:rFonts w:ascii="Arial" w:hAnsi="Arial"/>
                <w:sz w:val="16"/>
              </w:rPr>
              <w:t>death complication 等罕见结局可能出现 separation、极宽 CI 或不收敛。事件少于约 10 时，不要硬塞多变量模型；可保留描述性结果，并说明 precision limited。</w:t>
            </w:r>
          </w:p>
        </w:tc>
      </w:tr>
    </w:tbl>
    <w:p>
      <w:pPr>
        <w:spacing w:after="0"/>
      </w:pPr>
    </w:p>
    <w:p>
      <w:pPr>
        <w:pStyle w:val="Heading1"/>
      </w:pPr>
      <w:r>
        <w:t>11. Length of stay：不要轻易二分类</w:t>
      </w:r>
    </w:p>
    <w:p>
      <w:r>
        <w:t>LOS 通常右偏。先用 histogram、median/IQR 描述，再用 log(LOS) linear model；exp(beta) 解释为 geometric mean ratio。Gamma log-link 是 sensitivity analysis。除非有明确临床阈值，不建议仅为方便而分成 prolonged vs not prolonged。</w:t>
      </w:r>
    </w:p>
    <w:p>
      <w:pPr>
        <w:pStyle w:val="NoSpacing"/>
        <w:spacing w:before="60" w:after="100"/>
        <w:ind w:left="259" w:right="173"/>
        <w:shd w:fill="F3F6F8"/>
      </w:pPr>
      <w:r>
        <w:rPr>
          <w:rFonts w:ascii="Consolas" w:hAnsi="Consolas"/>
          <w:color w:val="1E1E1E"/>
          <w:sz w:val="16"/>
        </w:rPr>
        <w:t>lm(log(length_of_hospital_stay) ~ PFT + covariates, data = los_dat)</w:t>
        <w:br/>
        <w:t># exp(beta) = ratio of geometric mean LOS</w:t>
      </w:r>
    </w:p>
    <w:p>
      <w:pPr>
        <w:pStyle w:val="NoSpacing"/>
        <w:spacing w:before="60" w:after="100"/>
        <w:ind w:left="259" w:right="173"/>
        <w:shd w:fill="F3F6F8"/>
      </w:pPr>
      <w:r>
        <w:rPr>
          <w:rFonts w:ascii="Consolas" w:hAnsi="Consolas"/>
          <w:color w:val="1E1E1E"/>
          <w:sz w:val="16"/>
        </w:rPr>
        <w:t>glm(length_of_hospital_stay ~ PFT + covariates,</w:t>
        <w:br/>
        <w:t xml:space="preserve">    family = Gamma(link = "log"), data = los_dat)</w:t>
      </w:r>
    </w:p>
    <w:p>
      <w:pPr>
        <w:pStyle w:val="Heading1"/>
      </w:pPr>
      <w:r>
        <w:t>12. Model building 与 N=130 的过拟合风险</w:t>
      </w:r>
    </w:p>
    <w:p>
      <w:r>
        <w:t>N=130 并不意味着可以放 20 个 parameters。真正限制来自 event count 和 sparse factor levels。脚本采用较小的 clinically prespecified core set，并让四个 PFT 模型保持相同 adjustment structure。</w:t>
      </w:r>
    </w:p>
    <w:p>
      <w:pPr>
        <w:pStyle w:val="ListBullet"/>
      </w:pPr>
      <w:r>
        <w:t>不要只按 univariate P&lt;0.05 选择 confounders。</w:t>
      </w:r>
    </w:p>
    <w:p>
      <w:pPr>
        <w:pStyle w:val="ListBullet"/>
      </w:pPr>
      <w:r>
        <w:t>不要把 mediator 或 collider 当普通 confounder。</w:t>
      </w:r>
    </w:p>
    <w:p>
      <w:pPr>
        <w:pStyle w:val="ListBullet"/>
      </w:pPr>
      <w:r>
        <w:t>不要机械 stepwise 后把 selected model 当唯一真模型。</w:t>
      </w:r>
    </w:p>
    <w:p>
      <w:pPr>
        <w:pStyle w:val="ListBullet"/>
      </w:pPr>
      <w:r>
        <w:t>报告 model-specific N、事件数、CI width。</w:t>
      </w:r>
    </w:p>
    <w:p>
      <w:pPr>
        <w:pStyle w:val="ListBullet"/>
      </w:pPr>
      <w:r>
        <w:t>必要时把 full clinical model 放 sensitivity appendix。</w:t>
      </w:r>
    </w:p>
    <w:p>
      <w:pPr>
        <w:pStyle w:val="Heading1"/>
      </w:pPr>
      <w:r>
        <w:t>13. 三线表 Word 输出</w:t>
      </w:r>
    </w:p>
    <w:p>
      <w:r>
        <w:t>脚本不用 gtsummary 的复杂 label pipeline，而是先整理普通 data frame，再用 flextable::theme_booktabs() 和 flextable::body_add_flextable()。这避免了你之前遇到的 modify_caption、Fisher workspace 和 label 类型错误。</w:t>
      </w:r>
    </w:p>
    <w:p>
      <w:pPr>
        <w:pStyle w:val="NoSpacing"/>
        <w:spacing w:before="60" w:after="100"/>
        <w:ind w:left="259" w:right="173"/>
        <w:shd w:fill="F3F6F8"/>
      </w:pPr>
      <w:r>
        <w:rPr>
          <w:rFonts w:ascii="Consolas" w:hAnsi="Consolas"/>
          <w:color w:val="1E1E1E"/>
          <w:sz w:val="16"/>
        </w:rPr>
        <w:t>ft &lt;- flextable::flextable(result_df) %&gt;%</w:t>
        <w:br/>
        <w:t xml:space="preserve">  flextable::theme_booktabs() %&gt;%</w:t>
        <w:br/>
        <w:t xml:space="preserve">  flextable::font(fontname = "Arial", part = "all")</w:t>
        <w:br/>
        <w:br/>
        <w:t>doc &lt;- officer::read_docx()</w:t>
        <w:br/>
        <w:t>doc &lt;- flextable::body_add_flextable(doc, value = ft)</w:t>
        <w:br/>
        <w:t>print(doc, target = "output/word/results.docx")</w:t>
      </w:r>
    </w:p>
    <w:p>
      <w:pPr>
        <w:pStyle w:val="Heading1"/>
      </w:pPr>
      <w:r>
        <w:t>14. 每个 block 失败时怎么定位</w:t>
      </w:r>
    </w:p>
    <w:tbl>
      <w:tblPr>
        <w:tblW w:type="auto" w:w="0"/>
        <w:jc w:val="center"/>
        <w:tblLayout w:type="autofit"/>
        <w:tblLook w:firstColumn="1" w:firstRow="1" w:lastColumn="0" w:lastRow="0" w:noHBand="0" w:noVBand="1" w:val="04A0"/>
      </w:tblPr>
      <w:tblGrid>
        <w:gridCol w:w="5112"/>
        <w:gridCol w:w="5112"/>
      </w:tblGrid>
      <w:tr>
        <w:trPr/>
        <w:tc>
          <w:tcPr>
            <w:tcW w:type="dxa" w:w="5112"/>
            <w:vAlign w:val="center"/>
            <w:tcBorders>
              <w:top w:val="single" w:sz="10" w:color="000000"/>
              <w:left w:val="nil"/>
              <w:bottom w:val="single" w:sz="8" w:color="000000"/>
              <w:right w:val="nil"/>
            </w:tcBorders>
            <w:shd w:fill="D9EAF7"/>
          </w:tcPr>
          <w:p>
            <w:pPr>
              <w:spacing w:after="0" w:before="0"/>
            </w:pPr>
            <w:r>
              <w:rPr>
                <w:rFonts w:ascii="Arial" w:hAnsi="Arial"/>
                <w:b/>
                <w:sz w:val="16"/>
              </w:rPr>
              <w:t>Error / signal</w:t>
            </w:r>
          </w:p>
        </w:tc>
        <w:tc>
          <w:tcPr>
            <w:tcW w:type="dxa" w:w="5112"/>
            <w:vAlign w:val="center"/>
            <w:tcBorders>
              <w:top w:val="single" w:sz="10" w:color="000000"/>
              <w:left w:val="nil"/>
              <w:bottom w:val="single" w:sz="8" w:color="000000"/>
              <w:right w:val="nil"/>
            </w:tcBorders>
            <w:shd w:fill="D9EAF7"/>
          </w:tcPr>
          <w:p>
            <w:pPr>
              <w:spacing w:after="0" w:before="0"/>
            </w:pPr>
            <w:r>
              <w:rPr>
                <w:rFonts w:ascii="Arial" w:hAnsi="Arial"/>
                <w:b/>
                <w:sz w:val="16"/>
              </w:rPr>
              <w:t>Action</w:t>
            </w:r>
          </w:p>
        </w:tc>
      </w:tr>
      <w:tr>
        <w:trPr/>
        <w:tc>
          <w:tcPr>
            <w:tcW w:type="dxa" w:w="5112"/>
            <w:vAlign w:val="center"/>
            <w:tcBorders>
              <w:top w:val="nil"/>
              <w:left w:val="nil"/>
              <w:bottom w:val="nil"/>
              <w:right w:val="nil"/>
            </w:tcBorders>
          </w:tcPr>
          <w:p>
            <w:pPr>
              <w:spacing w:after="0" w:before="0"/>
            </w:pPr>
            <w:r>
              <w:rPr>
                <w:rFonts w:ascii="Arial" w:hAnsi="Arial"/>
                <w:sz w:val="16"/>
              </w:rPr>
              <w:t>object not found</w:t>
            </w:r>
          </w:p>
        </w:tc>
        <w:tc>
          <w:tcPr>
            <w:tcW w:type="dxa" w:w="5112"/>
            <w:vAlign w:val="center"/>
            <w:tcBorders>
              <w:top w:val="nil"/>
              <w:left w:val="nil"/>
              <w:bottom w:val="nil"/>
              <w:right w:val="nil"/>
            </w:tcBorders>
          </w:tcPr>
          <w:p>
            <w:pPr>
              <w:spacing w:after="0" w:before="0"/>
            </w:pPr>
            <w:r>
              <w:rPr>
                <w:rFonts w:ascii="Arial" w:hAnsi="Arial"/>
                <w:sz w:val="16"/>
              </w:rPr>
              <w:t>通常是前一块失败；从第一个 error 开始，不要继续往下跑。</w:t>
            </w:r>
          </w:p>
        </w:tc>
      </w:tr>
      <w:tr>
        <w:trPr/>
        <w:tc>
          <w:tcPr>
            <w:tcW w:type="dxa" w:w="5112"/>
            <w:vAlign w:val="center"/>
            <w:tcBorders>
              <w:top w:val="nil"/>
              <w:left w:val="nil"/>
              <w:bottom w:val="nil"/>
              <w:right w:val="nil"/>
            </w:tcBorders>
          </w:tcPr>
          <w:p>
            <w:pPr>
              <w:spacing w:after="0" w:before="0"/>
            </w:pPr>
            <w:r>
              <w:rPr>
                <w:rFonts w:ascii="Arial" w:hAnsi="Arial"/>
                <w:sz w:val="16"/>
              </w:rPr>
              <w:t>unused argument in select</w:t>
            </w:r>
          </w:p>
        </w:tc>
        <w:tc>
          <w:tcPr>
            <w:tcW w:type="dxa" w:w="5112"/>
            <w:vAlign w:val="center"/>
            <w:tcBorders>
              <w:top w:val="nil"/>
              <w:left w:val="nil"/>
              <w:bottom w:val="nil"/>
              <w:right w:val="nil"/>
            </w:tcBorders>
          </w:tcPr>
          <w:p>
            <w:pPr>
              <w:spacing w:after="0" w:before="0"/>
            </w:pPr>
            <w:r>
              <w:rPr>
                <w:rFonts w:ascii="Arial" w:hAnsi="Arial"/>
                <w:sz w:val="16"/>
              </w:rPr>
              <w:t>函数遮蔽；写 dplyr::select()。</w:t>
            </w:r>
          </w:p>
        </w:tc>
      </w:tr>
      <w:tr>
        <w:trPr/>
        <w:tc>
          <w:tcPr>
            <w:tcW w:type="dxa" w:w="5112"/>
            <w:vAlign w:val="center"/>
            <w:tcBorders>
              <w:top w:val="nil"/>
              <w:left w:val="nil"/>
              <w:bottom w:val="nil"/>
              <w:right w:val="nil"/>
            </w:tcBorders>
          </w:tcPr>
          <w:p>
            <w:pPr>
              <w:spacing w:after="0" w:before="0"/>
            </w:pPr>
            <w:r>
              <w:rPr>
                <w:rFonts w:ascii="Arial" w:hAnsi="Arial"/>
                <w:sz w:val="16"/>
              </w:rPr>
              <w:t>number of rows has changed</w:t>
            </w:r>
          </w:p>
        </w:tc>
        <w:tc>
          <w:tcPr>
            <w:tcW w:type="dxa" w:w="5112"/>
            <w:vAlign w:val="center"/>
            <w:tcBorders>
              <w:top w:val="nil"/>
              <w:left w:val="nil"/>
              <w:bottom w:val="nil"/>
              <w:right w:val="nil"/>
            </w:tcBorders>
          </w:tcPr>
          <w:p>
            <w:pPr>
              <w:spacing w:after="0" w:before="0"/>
            </w:pPr>
            <w:r>
              <w:rPr>
                <w:rFonts w:ascii="Arial" w:hAnsi="Arial"/>
                <w:sz w:val="16"/>
              </w:rPr>
              <w:t>不同模型 missingness 不一致；先创建共同 complete-case data。</w:t>
            </w:r>
          </w:p>
        </w:tc>
      </w:tr>
      <w:tr>
        <w:trPr/>
        <w:tc>
          <w:tcPr>
            <w:tcW w:type="dxa" w:w="5112"/>
            <w:vAlign w:val="center"/>
            <w:tcBorders>
              <w:top w:val="nil"/>
              <w:left w:val="nil"/>
              <w:bottom w:val="nil"/>
              <w:right w:val="nil"/>
            </w:tcBorders>
          </w:tcPr>
          <w:p>
            <w:pPr>
              <w:spacing w:after="0" w:before="0"/>
            </w:pPr>
            <w:r>
              <w:rPr>
                <w:rFonts w:ascii="Arial" w:hAnsi="Arial"/>
                <w:sz w:val="16"/>
              </w:rPr>
              <w:t>model did not converge</w:t>
            </w:r>
          </w:p>
        </w:tc>
        <w:tc>
          <w:tcPr>
            <w:tcW w:type="dxa" w:w="5112"/>
            <w:vAlign w:val="center"/>
            <w:tcBorders>
              <w:top w:val="nil"/>
              <w:left w:val="nil"/>
              <w:bottom w:val="nil"/>
              <w:right w:val="nil"/>
            </w:tcBorders>
          </w:tcPr>
          <w:p>
            <w:pPr>
              <w:spacing w:after="0" w:before="0"/>
            </w:pPr>
            <w:r>
              <w:rPr>
                <w:rFonts w:ascii="Arial" w:hAnsi="Arial"/>
                <w:sz w:val="16"/>
              </w:rPr>
              <w:t>检查 sparse cells、separation、空 factor level、过多 parameters。</w:t>
            </w:r>
          </w:p>
        </w:tc>
      </w:tr>
      <w:tr>
        <w:trPr/>
        <w:tc>
          <w:tcPr>
            <w:tcW w:type="dxa" w:w="5112"/>
            <w:vAlign w:val="center"/>
            <w:tcBorders>
              <w:top w:val="nil"/>
              <w:left w:val="nil"/>
              <w:bottom w:val="nil"/>
              <w:right w:val="nil"/>
            </w:tcBorders>
          </w:tcPr>
          <w:p>
            <w:pPr>
              <w:spacing w:after="0" w:before="0"/>
            </w:pPr>
            <w:r>
              <w:rPr>
                <w:rFonts w:ascii="Arial" w:hAnsi="Arial"/>
                <w:sz w:val="16"/>
              </w:rPr>
              <w:t>cox.zph significant</w:t>
            </w:r>
          </w:p>
        </w:tc>
        <w:tc>
          <w:tcPr>
            <w:tcW w:type="dxa" w:w="5112"/>
            <w:vAlign w:val="center"/>
            <w:tcBorders>
              <w:top w:val="nil"/>
              <w:left w:val="nil"/>
              <w:bottom w:val="nil"/>
              <w:right w:val="nil"/>
            </w:tcBorders>
          </w:tcPr>
          <w:p>
            <w:pPr>
              <w:spacing w:after="0" w:before="0"/>
            </w:pPr>
            <w:r>
              <w:rPr>
                <w:rFonts w:ascii="Arial" w:hAnsi="Arial"/>
                <w:sz w:val="16"/>
              </w:rPr>
              <w:t>检查 PH plot；考虑 time-varying effect 或 stratification。</w:t>
            </w:r>
          </w:p>
        </w:tc>
      </w:tr>
      <w:tr>
        <w:trPr/>
        <w:tc>
          <w:tcPr>
            <w:tcW w:type="dxa" w:w="5112"/>
            <w:vAlign w:val="center"/>
            <w:tcBorders>
              <w:top w:val="nil"/>
              <w:left w:val="nil"/>
              <w:bottom w:val="nil"/>
              <w:right w:val="nil"/>
            </w:tcBorders>
          </w:tcPr>
          <w:p>
            <w:pPr>
              <w:spacing w:after="0" w:before="0"/>
            </w:pPr>
            <w:r>
              <w:rPr>
                <w:rFonts w:ascii="Arial" w:hAnsi="Arial"/>
                <w:sz w:val="16"/>
              </w:rPr>
              <w:t>very wide CI</w:t>
            </w:r>
          </w:p>
        </w:tc>
        <w:tc>
          <w:tcPr>
            <w:tcW w:type="dxa" w:w="5112"/>
            <w:vAlign w:val="center"/>
            <w:tcBorders>
              <w:top w:val="nil"/>
              <w:left w:val="nil"/>
              <w:bottom w:val="nil"/>
              <w:right w:val="nil"/>
            </w:tcBorders>
          </w:tcPr>
          <w:p>
            <w:pPr>
              <w:spacing w:after="0" w:before="0"/>
            </w:pPr>
            <w:r>
              <w:rPr>
                <w:rFonts w:ascii="Arial" w:hAnsi="Arial"/>
                <w:sz w:val="16"/>
              </w:rPr>
              <w:t>事件少、collinearity 或 separation；减少复杂度并诚实报告 precision。</w:t>
            </w:r>
          </w:p>
        </w:tc>
      </w:tr>
      <w:tr>
        <w:trPr/>
        <w:tc>
          <w:tcPr>
            <w:tcW w:type="dxa" w:w="5112"/>
            <w:vAlign w:val="center"/>
            <w:tcBorders>
              <w:top w:val="nil"/>
              <w:left w:val="nil"/>
              <w:bottom w:val="single" w:sz="10" w:color="000000"/>
              <w:right w:val="nil"/>
            </w:tcBorders>
          </w:tcPr>
          <w:p>
            <w:pPr>
              <w:spacing w:after="0" w:before="0"/>
            </w:pPr>
            <w:r>
              <w:rPr>
                <w:rFonts w:ascii="Arial" w:hAnsi="Arial"/>
                <w:sz w:val="16"/>
              </w:rPr>
              <w:t>body_add_flextable not exported</w:t>
            </w:r>
          </w:p>
        </w:tc>
        <w:tc>
          <w:tcPr>
            <w:tcW w:type="dxa" w:w="5112"/>
            <w:vAlign w:val="center"/>
            <w:tcBorders>
              <w:top w:val="nil"/>
              <w:left w:val="nil"/>
              <w:bottom w:val="single" w:sz="10" w:color="000000"/>
              <w:right w:val="nil"/>
            </w:tcBorders>
          </w:tcPr>
          <w:p>
            <w:pPr>
              <w:spacing w:after="0" w:before="0"/>
            </w:pPr>
            <w:r>
              <w:rPr>
                <w:rFonts w:ascii="Arial" w:hAnsi="Arial"/>
                <w:sz w:val="16"/>
              </w:rPr>
              <w:t>使用 flextable::body_add_flextable()，不是 officer::body_add_flextable()。</w:t>
            </w:r>
          </w:p>
        </w:tc>
      </w:tr>
    </w:tbl>
    <w:p>
      <w:pPr>
        <w:pStyle w:val="Heading1"/>
      </w:pPr>
      <w:r>
        <w:t>15. Report 写作顺序</w:t>
      </w:r>
    </w:p>
    <w:p>
      <w:r>
        <w:t>1. Introduction：研究背景 + 三个 objectives。</w:t>
      </w:r>
    </w:p>
    <w:p>
      <w:r>
        <w:t>2. Methods：population/variables → descriptive → survival → complications → LOS → interactions → diagnostics → missing data/software。</w:t>
      </w:r>
    </w:p>
    <w:p>
      <w:r>
        <w:t>3. Results：先 cohort/missingness，再 descriptive，再 primary survival，再 secondary outcomes，再 diagnostics/sensitivity。</w:t>
      </w:r>
    </w:p>
    <w:p>
      <w:r>
        <w:t>4. Discussion：总结 magnitude 与 uncertainty；不因 retrospective association 写因果；说明 N、小事件数、missing、residual confounding。</w:t>
      </w:r>
    </w:p>
    <w:p>
      <w:r>
        <w:t>5. Tables/Figures：正文只保留回答 objectives 的 outputs；diagnostics 放 appendix。</w:t>
      </w:r>
    </w:p>
    <w:p>
      <w:pPr>
        <w:pStyle w:val="Heading1"/>
      </w:pPr>
      <w:r>
        <w:t>16. Oral defense 高频问题</w:t>
      </w:r>
    </w:p>
    <w:tbl>
      <w:tblPr>
        <w:tblW w:type="auto" w:w="0"/>
        <w:jc w:val="center"/>
        <w:tblLayout w:type="autofit"/>
        <w:tblLook w:firstColumn="1" w:firstRow="1" w:lastColumn="0" w:lastRow="0" w:noHBand="0" w:noVBand="1" w:val="04A0"/>
      </w:tblPr>
      <w:tblGrid>
        <w:gridCol w:w="5112"/>
        <w:gridCol w:w="5112"/>
      </w:tblGrid>
      <w:tr>
        <w:trPr/>
        <w:tc>
          <w:tcPr>
            <w:tcW w:type="dxa" w:w="5112"/>
            <w:vAlign w:val="center"/>
            <w:tcBorders>
              <w:top w:val="single" w:sz="10" w:color="000000"/>
              <w:left w:val="nil"/>
              <w:bottom w:val="single" w:sz="8" w:color="000000"/>
              <w:right w:val="nil"/>
            </w:tcBorders>
            <w:shd w:fill="D9EAF7"/>
          </w:tcPr>
          <w:p>
            <w:pPr>
              <w:spacing w:after="0" w:before="0"/>
            </w:pPr>
            <w:r>
              <w:rPr>
                <w:rFonts w:ascii="Arial" w:hAnsi="Arial"/>
                <w:b/>
                <w:sz w:val="16"/>
              </w:rPr>
              <w:t>Question</w:t>
            </w:r>
          </w:p>
        </w:tc>
        <w:tc>
          <w:tcPr>
            <w:tcW w:type="dxa" w:w="5112"/>
            <w:vAlign w:val="center"/>
            <w:tcBorders>
              <w:top w:val="single" w:sz="10" w:color="000000"/>
              <w:left w:val="nil"/>
              <w:bottom w:val="single" w:sz="8" w:color="000000"/>
              <w:right w:val="nil"/>
            </w:tcBorders>
            <w:shd w:fill="D9EAF7"/>
          </w:tcPr>
          <w:p>
            <w:pPr>
              <w:spacing w:after="0" w:before="0"/>
            </w:pPr>
            <w:r>
              <w:rPr>
                <w:rFonts w:ascii="Arial" w:hAnsi="Arial"/>
                <w:b/>
                <w:sz w:val="16"/>
              </w:rPr>
              <w:t>Strong answer</w:t>
            </w:r>
          </w:p>
        </w:tc>
      </w:tr>
      <w:tr>
        <w:trPr/>
        <w:tc>
          <w:tcPr>
            <w:tcW w:type="dxa" w:w="5112"/>
            <w:vAlign w:val="center"/>
            <w:tcBorders>
              <w:top w:val="nil"/>
              <w:left w:val="nil"/>
              <w:bottom w:val="nil"/>
              <w:right w:val="nil"/>
            </w:tcBorders>
          </w:tcPr>
          <w:p>
            <w:pPr>
              <w:spacing w:after="0" w:before="0"/>
            </w:pPr>
            <w:r>
              <w:rPr>
                <w:rFonts w:ascii="Arial" w:hAnsi="Arial"/>
                <w:sz w:val="16"/>
              </w:rPr>
              <w:t>为什么四个 PFT 不放一个模型？</w:t>
            </w:r>
          </w:p>
        </w:tc>
        <w:tc>
          <w:tcPr>
            <w:tcW w:type="dxa" w:w="5112"/>
            <w:vAlign w:val="center"/>
            <w:tcBorders>
              <w:top w:val="nil"/>
              <w:left w:val="nil"/>
              <w:bottom w:val="nil"/>
              <w:right w:val="nil"/>
            </w:tcBorders>
          </w:tcPr>
          <w:p>
            <w:pPr>
              <w:spacing w:after="0" w:before="0"/>
            </w:pPr>
            <w:r>
              <w:rPr>
                <w:rFonts w:ascii="Arial" w:hAnsi="Arial"/>
                <w:sz w:val="16"/>
              </w:rPr>
              <w:t>高度相关、不同尺度且题目明确要求 separate models；同时放入会造成 multicollinearity 并改变 estimand。</w:t>
            </w:r>
          </w:p>
        </w:tc>
      </w:tr>
      <w:tr>
        <w:trPr/>
        <w:tc>
          <w:tcPr>
            <w:tcW w:type="dxa" w:w="5112"/>
            <w:vAlign w:val="center"/>
            <w:tcBorders>
              <w:top w:val="nil"/>
              <w:left w:val="nil"/>
              <w:bottom w:val="nil"/>
              <w:right w:val="nil"/>
            </w:tcBorders>
          </w:tcPr>
          <w:p>
            <w:pPr>
              <w:spacing w:after="0" w:before="0"/>
            </w:pPr>
            <w:r>
              <w:rPr>
                <w:rFonts w:ascii="Arial" w:hAnsi="Arial"/>
                <w:sz w:val="16"/>
              </w:rPr>
              <w:t>为什么 LOS 不直接 logistic？</w:t>
            </w:r>
          </w:p>
        </w:tc>
        <w:tc>
          <w:tcPr>
            <w:tcW w:type="dxa" w:w="5112"/>
            <w:vAlign w:val="center"/>
            <w:tcBorders>
              <w:top w:val="nil"/>
              <w:left w:val="nil"/>
              <w:bottom w:val="nil"/>
              <w:right w:val="nil"/>
            </w:tcBorders>
          </w:tcPr>
          <w:p>
            <w:pPr>
              <w:spacing w:after="0" w:before="0"/>
            </w:pPr>
            <w:r>
              <w:rPr>
                <w:rFonts w:ascii="Arial" w:hAnsi="Arial"/>
                <w:sz w:val="16"/>
              </w:rPr>
              <w:t>二分类会损失信息且阈值可能任意；保持连续并处理 skewness 更符合 estimand。</w:t>
            </w:r>
          </w:p>
        </w:tc>
      </w:tr>
      <w:tr>
        <w:trPr/>
        <w:tc>
          <w:tcPr>
            <w:tcW w:type="dxa" w:w="5112"/>
            <w:vAlign w:val="center"/>
            <w:tcBorders>
              <w:top w:val="nil"/>
              <w:left w:val="nil"/>
              <w:bottom w:val="nil"/>
              <w:right w:val="nil"/>
            </w:tcBorders>
          </w:tcPr>
          <w:p>
            <w:pPr>
              <w:spacing w:after="0" w:before="0"/>
            </w:pPr>
            <w:r>
              <w:rPr>
                <w:rFonts w:ascii="Arial" w:hAnsi="Arial"/>
                <w:sz w:val="16"/>
              </w:rPr>
              <w:t>为什么 HR 不是 RR？</w:t>
            </w:r>
          </w:p>
        </w:tc>
        <w:tc>
          <w:tcPr>
            <w:tcW w:type="dxa" w:w="5112"/>
            <w:vAlign w:val="center"/>
            <w:tcBorders>
              <w:top w:val="nil"/>
              <w:left w:val="nil"/>
              <w:bottom w:val="nil"/>
              <w:right w:val="nil"/>
            </w:tcBorders>
          </w:tcPr>
          <w:p>
            <w:pPr>
              <w:spacing w:after="0" w:before="0"/>
            </w:pPr>
            <w:r>
              <w:rPr>
                <w:rFonts w:ascii="Arial" w:hAnsi="Arial"/>
                <w:sz w:val="16"/>
              </w:rPr>
              <w:t>HR 比较瞬时 hazard，依赖 survival process 和 PH interpretation。</w:t>
            </w:r>
          </w:p>
        </w:tc>
      </w:tr>
      <w:tr>
        <w:trPr/>
        <w:tc>
          <w:tcPr>
            <w:tcW w:type="dxa" w:w="5112"/>
            <w:vAlign w:val="center"/>
            <w:tcBorders>
              <w:top w:val="nil"/>
              <w:left w:val="nil"/>
              <w:bottom w:val="nil"/>
              <w:right w:val="nil"/>
            </w:tcBorders>
          </w:tcPr>
          <w:p>
            <w:pPr>
              <w:spacing w:after="0" w:before="0"/>
            </w:pPr>
            <w:r>
              <w:rPr>
                <w:rFonts w:ascii="Arial" w:hAnsi="Arial"/>
                <w:sz w:val="16"/>
              </w:rPr>
              <w:t>为什么不按 univariate P 选 covariate？</w:t>
            </w:r>
          </w:p>
        </w:tc>
        <w:tc>
          <w:tcPr>
            <w:tcW w:type="dxa" w:w="5112"/>
            <w:vAlign w:val="center"/>
            <w:tcBorders>
              <w:top w:val="nil"/>
              <w:left w:val="nil"/>
              <w:bottom w:val="nil"/>
              <w:right w:val="nil"/>
            </w:tcBorders>
          </w:tcPr>
          <w:p>
            <w:pPr>
              <w:spacing w:after="0" w:before="0"/>
            </w:pPr>
            <w:r>
              <w:rPr>
                <w:rFonts w:ascii="Arial" w:hAnsi="Arial"/>
                <w:sz w:val="16"/>
              </w:rPr>
              <w:t>confounding 是因果/设计概念，不等同于单变量显著性。</w:t>
            </w:r>
          </w:p>
        </w:tc>
      </w:tr>
      <w:tr>
        <w:trPr/>
        <w:tc>
          <w:tcPr>
            <w:tcW w:type="dxa" w:w="5112"/>
            <w:vAlign w:val="center"/>
            <w:tcBorders>
              <w:top w:val="nil"/>
              <w:left w:val="nil"/>
              <w:bottom w:val="nil"/>
              <w:right w:val="nil"/>
            </w:tcBorders>
          </w:tcPr>
          <w:p>
            <w:pPr>
              <w:spacing w:after="0" w:before="0"/>
            </w:pPr>
            <w:r>
              <w:rPr>
                <w:rFonts w:ascii="Arial" w:hAnsi="Arial"/>
                <w:sz w:val="16"/>
              </w:rPr>
              <w:t>如果 PH 不满足？</w:t>
            </w:r>
          </w:p>
        </w:tc>
        <w:tc>
          <w:tcPr>
            <w:tcW w:type="dxa" w:w="5112"/>
            <w:vAlign w:val="center"/>
            <w:tcBorders>
              <w:top w:val="nil"/>
              <w:left w:val="nil"/>
              <w:bottom w:val="nil"/>
              <w:right w:val="nil"/>
            </w:tcBorders>
          </w:tcPr>
          <w:p>
            <w:pPr>
              <w:spacing w:after="0" w:before="0"/>
            </w:pPr>
            <w:r>
              <w:rPr>
                <w:rFonts w:ascii="Arial" w:hAnsi="Arial"/>
                <w:sz w:val="16"/>
              </w:rPr>
              <w:t>time-varying coefficient、stratified Cox、分时段 effect 或替代 survival model。</w:t>
            </w:r>
          </w:p>
        </w:tc>
      </w:tr>
      <w:tr>
        <w:trPr/>
        <w:tc>
          <w:tcPr>
            <w:tcW w:type="dxa" w:w="5112"/>
            <w:vAlign w:val="center"/>
            <w:tcBorders>
              <w:top w:val="nil"/>
              <w:left w:val="nil"/>
              <w:bottom w:val="single" w:sz="10" w:color="000000"/>
              <w:right w:val="nil"/>
            </w:tcBorders>
          </w:tcPr>
          <w:p>
            <w:pPr>
              <w:spacing w:after="0" w:before="0"/>
            </w:pPr>
            <w:r>
              <w:rPr>
                <w:rFonts w:ascii="Arial" w:hAnsi="Arial"/>
                <w:sz w:val="16"/>
              </w:rPr>
              <w:t>为什么每个模型 N 不一样？</w:t>
            </w:r>
          </w:p>
        </w:tc>
        <w:tc>
          <w:tcPr>
            <w:tcW w:type="dxa" w:w="5112"/>
            <w:vAlign w:val="center"/>
            <w:tcBorders>
              <w:top w:val="nil"/>
              <w:left w:val="nil"/>
              <w:bottom w:val="single" w:sz="10" w:color="000000"/>
              <w:right w:val="nil"/>
            </w:tcBorders>
          </w:tcPr>
          <w:p>
            <w:pPr>
              <w:spacing w:after="0" w:before="0"/>
            </w:pPr>
            <w:r>
              <w:rPr>
                <w:rFonts w:ascii="Arial" w:hAnsi="Arial"/>
                <w:sz w:val="16"/>
              </w:rPr>
              <w:t>不同 PFT 与 covariate missingness；complete-case set 是 model-specific。</w:t>
            </w:r>
          </w:p>
        </w:tc>
      </w:tr>
    </w:tbl>
    <w:p>
      <w:pPr>
        <w:pStyle w:val="Heading1"/>
      </w:pPr>
      <w:r>
        <w:t>17. 考试当天 15 分钟导航</w:t>
      </w:r>
    </w:p>
    <w:p>
      <w:r>
        <w:t>1. 抄写 3 个 aims；圈出 survival、binary complications、LOS。</w:t>
      </w:r>
    </w:p>
    <w:p>
      <w:r>
        <w:t>2. 建立 variable map；确认 event=1 的含义。</w:t>
      </w:r>
    </w:p>
    <w:p>
      <w:r>
        <w:t>3. 清理 factor/reference/missing；输出 cohort flow。</w:t>
      </w:r>
    </w:p>
    <w:p>
      <w:r>
        <w:t>4. 先做 Table 1/2/3 与 distribution plots。</w:t>
      </w:r>
    </w:p>
    <w:p>
      <w:r>
        <w:t>5. 跑 overall KM + univariate Cox。</w:t>
      </w:r>
    </w:p>
    <w:p>
      <w:r>
        <w:t>6. 跑四个 separate adjusted Cox；保存 HR/CI/P/N。</w:t>
      </w:r>
    </w:p>
    <w:p>
      <w:r>
        <w:t>7. 检查 PH；再做 interaction screening。</w:t>
      </w:r>
    </w:p>
    <w:p>
      <w:r>
        <w:t>8. 做 complication screening + anycomp logistic。</w:t>
      </w:r>
    </w:p>
    <w:p>
      <w:r>
        <w:t>9. 检查 LOS distribution；跑 log-linear + sensitivity。</w:t>
      </w:r>
    </w:p>
    <w:p>
      <w:r>
        <w:t>10. 停止探索，整理 Word outputs 并写 report。</w:t>
      </w:r>
    </w:p>
    <w:tbl>
      <w:tblPr>
        <w:tblW w:type="auto" w:w="0"/>
        <w:jc w:val="center"/>
        <w:tblLook w:firstColumn="1" w:firstRow="1" w:lastColumn="0" w:lastRow="0" w:noHBand="0" w:noVBand="1" w:val="04A0"/>
      </w:tblPr>
      <w:tblGrid>
        <w:gridCol w:w="10224"/>
      </w:tblGrid>
      <w:tr>
        <w:trPr/>
        <w:tc>
          <w:tcPr>
            <w:tcW w:type="dxa" w:w="10224"/>
            <w:shd w:fill="E2F0D9"/>
            <w:tcBorders>
              <w:top w:val="single" w:sz="6" w:color="6B8E23"/>
              <w:left w:val="single" w:sz="6" w:color="6B8E23"/>
              <w:bottom w:val="single" w:sz="6" w:color="6B8E23"/>
              <w:right w:val="single" w:sz="6" w:color="6B8E23"/>
            </w:tcBorders>
          </w:tcPr>
          <w:p>
            <w:pPr>
              <w:spacing w:before="0" w:after="0"/>
            </w:pPr>
            <w:r>
              <w:rPr>
                <w:rFonts w:ascii="Arial" w:hAnsi="Arial"/>
                <w:b/>
                <w:sz w:val="16"/>
              </w:rPr>
              <w:t>最终原则：</w:t>
            </w:r>
            <w:r>
              <w:rPr>
                <w:rFonts w:ascii="Arial" w:hAnsi="Arial"/>
                <w:sz w:val="16"/>
              </w:rPr>
              <w:t>代码能跑只是最低标准。真正的合格答案必须让研究问题、estimand、模型、effect measure、diagnostics、table 和文字解释完全一致。</w:t>
            </w:r>
          </w:p>
        </w:tc>
      </w:tr>
    </w:tbl>
    <w:p>
      <w:pPr>
        <w:spacing w:after="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6D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D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