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E605F" w:rsidRDefault="00000000">
      <w:pPr>
        <w:spacing w:line="360" w:lineRule="auto"/>
        <w:jc w:val="center"/>
      </w:pPr>
      <w:r>
        <w:t>Министерство науки и высшего образования Российской Федерации</w:t>
      </w:r>
    </w:p>
    <w:p w:rsidR="00EE605F" w:rsidRDefault="00000000">
      <w:pPr>
        <w:spacing w:line="360" w:lineRule="auto"/>
        <w:jc w:val="center"/>
      </w:pPr>
      <w:r>
        <w:t>Санкт-Петербургский политехнический университет Петра Великого</w:t>
      </w:r>
    </w:p>
    <w:p w:rsidR="00EE605F" w:rsidRDefault="00000000">
      <w:pPr>
        <w:spacing w:line="360" w:lineRule="auto"/>
        <w:jc w:val="center"/>
      </w:pPr>
      <w:r>
        <w:t>Институт компьютерных наук и кибербезопасности</w:t>
      </w:r>
    </w:p>
    <w:p w:rsidR="00EE605F" w:rsidRDefault="00000000">
      <w:pPr>
        <w:spacing w:line="360" w:lineRule="auto"/>
        <w:jc w:val="center"/>
      </w:pPr>
      <w:r>
        <w:t>Высшая школа технологий искусственного интеллекта</w:t>
      </w:r>
    </w:p>
    <w:p w:rsidR="00EE605F" w:rsidRDefault="00EE605F">
      <w:pPr>
        <w:spacing w:line="360" w:lineRule="auto"/>
      </w:pPr>
    </w:p>
    <w:p w:rsidR="00EE605F" w:rsidRDefault="00EE605F">
      <w:pPr>
        <w:spacing w:line="360" w:lineRule="auto"/>
      </w:pPr>
    </w:p>
    <w:p w:rsidR="00EE605F" w:rsidRDefault="00EE605F">
      <w:pPr>
        <w:spacing w:line="360" w:lineRule="auto"/>
      </w:pPr>
    </w:p>
    <w:p w:rsidR="00EE605F" w:rsidRDefault="00000000" w:rsidP="00B25115">
      <w:pPr>
        <w:spacing w:before="240" w:line="360" w:lineRule="auto"/>
        <w:ind w:left="3540" w:firstLine="708"/>
      </w:pPr>
      <w:r>
        <w:rPr>
          <w:b/>
          <w:bCs/>
        </w:rPr>
        <w:t>ОТЧЁТ</w:t>
      </w:r>
    </w:p>
    <w:p w:rsidR="00EE605F" w:rsidRDefault="00000000">
      <w:pPr>
        <w:spacing w:line="360" w:lineRule="auto"/>
        <w:jc w:val="center"/>
      </w:pPr>
      <w:r>
        <w:rPr>
          <w:b/>
          <w:bCs/>
        </w:rPr>
        <w:t>о научно-исследовательской работе</w:t>
      </w:r>
    </w:p>
    <w:p w:rsidR="00EE605F" w:rsidRDefault="00EE605F">
      <w:pPr>
        <w:spacing w:line="360" w:lineRule="auto"/>
      </w:pPr>
    </w:p>
    <w:p w:rsidR="00EE605F" w:rsidRDefault="00000000">
      <w:pPr>
        <w:spacing w:line="360" w:lineRule="auto"/>
        <w:jc w:val="center"/>
      </w:pPr>
      <w:r>
        <w:rPr>
          <w:b/>
          <w:bCs/>
        </w:rPr>
        <w:t>ИНТЕРПРЕТИРУЕМЫЕ МЕТОДЫ МАШИННОГО ОБУЧЕНИЯ</w:t>
      </w:r>
    </w:p>
    <w:p w:rsidR="00EE605F" w:rsidRDefault="00000000">
      <w:pPr>
        <w:spacing w:line="360" w:lineRule="auto"/>
        <w:jc w:val="center"/>
      </w:pPr>
      <w:r>
        <w:rPr>
          <w:b/>
          <w:bCs/>
        </w:rPr>
        <w:t>И ГЛУБОКОГО ОБУЧЕНИЯ ДЛЯ ПОДДЕРЖКИ</w:t>
      </w:r>
    </w:p>
    <w:p w:rsidR="00EE605F" w:rsidRDefault="00000000">
      <w:pPr>
        <w:spacing w:line="360" w:lineRule="auto"/>
        <w:jc w:val="center"/>
      </w:pPr>
      <w:r>
        <w:rPr>
          <w:b/>
          <w:bCs/>
        </w:rPr>
        <w:t>РИСК-ОРИЕНТИРОВАННЫХ РЕШЕНИЙ В ФИНАНСОВЫХ СИСТЕМАХ</w:t>
      </w:r>
    </w:p>
    <w:p w:rsidR="00EE605F" w:rsidRDefault="00EE605F">
      <w:pPr>
        <w:spacing w:line="360" w:lineRule="auto"/>
      </w:pPr>
    </w:p>
    <w:p w:rsidR="00EE605F" w:rsidRDefault="00000000">
      <w:pPr>
        <w:spacing w:line="360" w:lineRule="auto"/>
        <w:jc w:val="center"/>
      </w:pPr>
      <w:r>
        <w:t xml:space="preserve">по направлению подготовки </w:t>
      </w:r>
      <w:r w:rsidR="00DF7F2B">
        <w:t>02.03.03</w:t>
      </w:r>
      <w:r>
        <w:t xml:space="preserve"> </w:t>
      </w:r>
      <w:r w:rsidR="00DF7F2B">
        <w:t>«Математическое обеспечение и администрирование информационных систем»</w:t>
      </w:r>
    </w:p>
    <w:p w:rsidR="00EE605F" w:rsidRDefault="00000000">
      <w:pPr>
        <w:spacing w:line="360" w:lineRule="auto"/>
        <w:jc w:val="center"/>
      </w:pPr>
      <w:r>
        <w:t xml:space="preserve">Направленность (профиль) </w:t>
      </w:r>
      <w:r w:rsidR="00DF7F2B">
        <w:t>02 «Интеллектуальный анализ данных»</w:t>
      </w:r>
    </w:p>
    <w:p w:rsidR="00EE605F" w:rsidRDefault="00EE605F">
      <w:pPr>
        <w:spacing w:line="360" w:lineRule="auto"/>
      </w:pPr>
    </w:p>
    <w:p w:rsidR="00EE605F" w:rsidRDefault="00EE605F">
      <w:pPr>
        <w:spacing w:line="360" w:lineRule="auto"/>
      </w:pPr>
    </w:p>
    <w:p w:rsidR="00EE605F" w:rsidRDefault="00EE605F">
      <w:pPr>
        <w:spacing w:line="360" w:lineRule="auto"/>
      </w:pPr>
    </w:p>
    <w:p w:rsidR="00EE605F" w:rsidRDefault="00EE605F">
      <w:pPr>
        <w:spacing w:line="360" w:lineRule="auto"/>
      </w:pPr>
    </w:p>
    <w:tbl>
      <w:tblPr>
        <w:tblW w:w="96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2410"/>
        <w:gridCol w:w="2410"/>
      </w:tblGrid>
      <w:tr w:rsidR="00EE605F">
        <w:tblPrEx>
          <w:tblCellMar>
            <w:top w:w="0" w:type="dxa"/>
            <w:bottom w:w="0" w:type="dxa"/>
          </w:tblCellMar>
        </w:tblPrEx>
        <w:tc>
          <w:tcPr>
            <w:tcW w:w="48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r>
              <w:rPr>
                <w:sz w:val="24"/>
                <w:szCs w:val="24"/>
              </w:rPr>
              <w:t>Выполнил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r>
              <w:rPr>
                <w:sz w:val="24"/>
                <w:szCs w:val="24"/>
              </w:rPr>
              <w:t xml:space="preserve">студент гр. </w:t>
            </w:r>
            <w:r w:rsidR="00DF7F2B">
              <w:rPr>
                <w:sz w:val="24"/>
                <w:szCs w:val="24"/>
              </w:rPr>
              <w:t>5130203/50201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Pr="00DF7F2B" w:rsidRDefault="00DF7F2B">
            <w:pPr>
              <w:jc w:val="right"/>
              <w:rPr>
                <w:sz w:val="24"/>
                <w:szCs w:val="24"/>
              </w:rPr>
            </w:pPr>
            <w:r w:rsidRPr="00DF7F2B">
              <w:rPr>
                <w:sz w:val="24"/>
                <w:szCs w:val="24"/>
              </w:rPr>
              <w:t xml:space="preserve">Д. К. </w:t>
            </w:r>
            <w:proofErr w:type="spellStart"/>
            <w:r w:rsidRPr="00DF7F2B">
              <w:rPr>
                <w:sz w:val="24"/>
                <w:szCs w:val="24"/>
              </w:rPr>
              <w:t>Ялда</w:t>
            </w:r>
            <w:proofErr w:type="spellEnd"/>
          </w:p>
        </w:tc>
      </w:tr>
      <w:tr w:rsidR="00EE605F">
        <w:tblPrEx>
          <w:tblCellMar>
            <w:top w:w="0" w:type="dxa"/>
            <w:bottom w:w="0" w:type="dxa"/>
          </w:tblCellMar>
        </w:tblPrEx>
        <w:tc>
          <w:tcPr>
            <w:tcW w:w="48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r>
              <w:rPr>
                <w:sz w:val="24"/>
                <w:szCs w:val="24"/>
              </w:rPr>
              <w:t>Руководитель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r>
              <w:rPr>
                <w:sz w:val="24"/>
                <w:szCs w:val="24"/>
              </w:rPr>
              <w:t>[должность, степень]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right"/>
            </w:pPr>
            <w:r>
              <w:rPr>
                <w:sz w:val="24"/>
                <w:szCs w:val="24"/>
              </w:rPr>
              <w:t>В.Г. Пак</w:t>
            </w:r>
          </w:p>
        </w:tc>
      </w:tr>
      <w:tr w:rsidR="00EE605F">
        <w:tblPrEx>
          <w:tblCellMar>
            <w:top w:w="0" w:type="dxa"/>
            <w:bottom w:w="0" w:type="dxa"/>
          </w:tblCellMar>
        </w:tblPrEx>
        <w:tc>
          <w:tcPr>
            <w:tcW w:w="48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r>
              <w:rPr>
                <w:sz w:val="24"/>
                <w:szCs w:val="24"/>
              </w:rPr>
              <w:t>Консультант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EE605F"/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right"/>
            </w:pPr>
            <w:r>
              <w:rPr>
                <w:sz w:val="24"/>
                <w:szCs w:val="24"/>
              </w:rPr>
              <w:t>Ци Дунфан</w:t>
            </w:r>
          </w:p>
        </w:tc>
      </w:tr>
    </w:tbl>
    <w:p w:rsidR="00EE605F" w:rsidRDefault="00EE605F">
      <w:pPr>
        <w:spacing w:line="360" w:lineRule="auto"/>
      </w:pPr>
    </w:p>
    <w:p w:rsidR="00EE605F" w:rsidRDefault="00000000" w:rsidP="00DF7F2B">
      <w:pPr>
        <w:spacing w:line="360" w:lineRule="auto"/>
        <w:ind w:left="3540"/>
      </w:pPr>
      <w:r>
        <w:t>Санкт-Петербург</w:t>
      </w:r>
    </w:p>
    <w:p w:rsidR="00EE605F" w:rsidRDefault="00000000">
      <w:pPr>
        <w:spacing w:line="360" w:lineRule="auto"/>
        <w:jc w:val="center"/>
      </w:pPr>
      <w:r>
        <w:t>2026</w:t>
      </w:r>
    </w:p>
    <w:p w:rsidR="00EE605F" w:rsidRDefault="00EE605F"/>
    <w:p w:rsidR="00EE605F" w:rsidRDefault="00000000">
      <w:pPr>
        <w:pStyle w:val="1"/>
        <w:spacing w:after="240" w:line="360" w:lineRule="auto"/>
        <w:jc w:val="center"/>
      </w:pPr>
      <w:bookmarkStart w:id="0" w:name="_Toc234261803"/>
      <w:r>
        <w:t>РЕФЕРАТ</w:t>
      </w:r>
      <w:bookmarkEnd w:id="0"/>
    </w:p>
    <w:p w:rsidR="00EE605F" w:rsidRDefault="00000000">
      <w:pPr>
        <w:spacing w:line="360" w:lineRule="auto"/>
        <w:ind w:firstLine="709"/>
        <w:jc w:val="both"/>
      </w:pPr>
      <w:r>
        <w:lastRenderedPageBreak/>
        <w:t>На [XX] с., 9 рисунков, 2 таблицы.</w:t>
      </w:r>
    </w:p>
    <w:p w:rsidR="00EE605F" w:rsidRDefault="00000000">
      <w:pPr>
        <w:spacing w:line="360" w:lineRule="auto"/>
        <w:ind w:firstLine="709"/>
        <w:jc w:val="both"/>
      </w:pPr>
      <w:r>
        <w:t>КЛЮЧЕВЫЕ СЛОВА: МАШИННОЕ ОБУЧЕНИЕ, ИНТЕРПРЕТИРУЕМОСТЬ, КРЕДИТНЫЙ СКОРИНГ, ОДОБРЕНИЕ КРЕДИТОВ, ГРАДИЕНТНЫЙ БУСТИНГ, SHAP, ВАЖНОСТЬ ПРИЗНАКОВ, БИНАРНАЯ КЛАССИФИКАЦИЯ, ДИСБАЛАНС КЛАССОВ.</w:t>
      </w:r>
    </w:p>
    <w:p w:rsidR="00EE605F" w:rsidRDefault="00000000">
      <w:pPr>
        <w:spacing w:line="360" w:lineRule="auto"/>
        <w:ind w:firstLine="709"/>
        <w:jc w:val="both"/>
      </w:pPr>
      <w:r>
        <w:t>Тема научно-исследовательской работы: «Интерпретируемые методы машинного обучения и глубокого обучения для поддержки риск-ориентированных решений в финансовых системах».</w:t>
      </w:r>
    </w:p>
    <w:p w:rsidR="00EE605F" w:rsidRDefault="00000000">
      <w:pPr>
        <w:spacing w:line="360" w:lineRule="auto"/>
        <w:ind w:firstLine="709"/>
        <w:jc w:val="both"/>
      </w:pPr>
      <w:r>
        <w:t xml:space="preserve">В работе исследована задача прогнозирования решения об одобрении кредитной заявки на основе информации о заёмщике с применением интерпретируемых методов машинного обучения. Проведён разведочный анализ набора данных </w:t>
      </w:r>
      <w:proofErr w:type="spellStart"/>
      <w:r>
        <w:t>Loan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 xml:space="preserve"> (58 645 наблюдений, 12 признаков), выполнена предобработка данных, включающая кодирование категориальных признаков, стандартизацию числовых признаков и учёт дисбаланса классов (86 % отказов и 14 % одобрений).</w:t>
      </w:r>
    </w:p>
    <w:p w:rsidR="00EE605F" w:rsidRDefault="00000000">
      <w:pPr>
        <w:spacing w:line="360" w:lineRule="auto"/>
        <w:ind w:firstLine="709"/>
        <w:jc w:val="both"/>
      </w:pPr>
      <w:r>
        <w:t xml:space="preserve">Построены и сравнены пять моделей классификации: логистическая регрессия, случайный лес, градиентный </w:t>
      </w:r>
      <w:proofErr w:type="spellStart"/>
      <w:r>
        <w:t>бустинг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 и многослойный персептрон. Качество моделей оценено по метрикам ROC-AUC, Precision, </w:t>
      </w:r>
      <w:proofErr w:type="spellStart"/>
      <w:r>
        <w:t>Recall</w:t>
      </w:r>
      <w:proofErr w:type="spellEnd"/>
      <w:r>
        <w:t xml:space="preserve">, F1-score и </w:t>
      </w:r>
      <w:proofErr w:type="spellStart"/>
      <w:r>
        <w:t>Accuracy</w:t>
      </w:r>
      <w:proofErr w:type="spellEnd"/>
      <w:r>
        <w:t xml:space="preserve">. Наилучшей моделью по совокупности метрик признан градиентный </w:t>
      </w:r>
      <w:proofErr w:type="spellStart"/>
      <w:r>
        <w:t>бустинг</w:t>
      </w:r>
      <w:proofErr w:type="spellEnd"/>
      <w:r>
        <w:t xml:space="preserve"> (ROC-AUC = 0,942; Precision для класса одобрения = 0,92).</w:t>
      </w:r>
    </w:p>
    <w:p w:rsidR="00EE605F" w:rsidRDefault="00000000">
      <w:pPr>
        <w:spacing w:line="360" w:lineRule="auto"/>
        <w:ind w:firstLine="709"/>
        <w:jc w:val="both"/>
      </w:pPr>
      <w:r>
        <w:t>Для интерпретации результатов применены встроенная важность признаков (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>) и метод SHAP. Установлено, что наибольшее влияние на решение об одобрении оказывают доля кредита от дохода заёмщика, кредитный рейтинг и годовой доход заёмщика. Продемонстрирована ценность интерпретируемых методов для поддержки риск-ориентированных решений в финансовых системах.</w:t>
      </w:r>
    </w:p>
    <w:p w:rsidR="00EE605F" w:rsidRDefault="00000000">
      <w:pPr>
        <w:pStyle w:val="1"/>
        <w:pageBreakBefore/>
        <w:spacing w:after="240" w:line="360" w:lineRule="auto"/>
        <w:jc w:val="center"/>
      </w:pPr>
      <w:bookmarkStart w:id="1" w:name="_Toc234261804"/>
      <w:r>
        <w:lastRenderedPageBreak/>
        <w:t>СОДЕРЖАНИЕ</w:t>
      </w:r>
      <w:bookmarkEnd w:id="1"/>
    </w:p>
    <w:sdt>
      <w:sdtPr>
        <w:alias w:val="Содержание"/>
        <w:id w:val="2075928735"/>
      </w:sdtPr>
      <w:sdtContent>
        <w:p w:rsidR="00DF7F2B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261803" w:history="1">
            <w:r w:rsidR="00DF7F2B" w:rsidRPr="005E7317">
              <w:rPr>
                <w:rStyle w:val="a5"/>
                <w:noProof/>
              </w:rPr>
              <w:t>РЕФЕРАТ</w:t>
            </w:r>
            <w:r w:rsidR="00DF7F2B">
              <w:rPr>
                <w:noProof/>
              </w:rPr>
              <w:tab/>
            </w:r>
            <w:r w:rsidR="00DF7F2B">
              <w:rPr>
                <w:noProof/>
              </w:rPr>
              <w:fldChar w:fldCharType="begin"/>
            </w:r>
            <w:r w:rsidR="00DF7F2B">
              <w:rPr>
                <w:noProof/>
              </w:rPr>
              <w:instrText xml:space="preserve"> PAGEREF _Toc234261803 \h </w:instrText>
            </w:r>
            <w:r w:rsidR="00DF7F2B">
              <w:rPr>
                <w:noProof/>
              </w:rPr>
            </w:r>
            <w:r w:rsidR="00DF7F2B">
              <w:rPr>
                <w:noProof/>
              </w:rPr>
              <w:fldChar w:fldCharType="separate"/>
            </w:r>
            <w:r w:rsidR="00DF7F2B">
              <w:rPr>
                <w:noProof/>
              </w:rPr>
              <w:t>3</w:t>
            </w:r>
            <w:r w:rsidR="00DF7F2B">
              <w:rPr>
                <w:noProof/>
              </w:rPr>
              <w:fldChar w:fldCharType="end"/>
            </w:r>
          </w:hyperlink>
        </w:p>
        <w:p w:rsidR="00DF7F2B" w:rsidRDefault="00DF7F2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4261804" w:history="1">
            <w:r w:rsidRPr="005E7317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_Toc234261804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DF7F2B" w:rsidRDefault="00DF7F2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4261805" w:history="1">
            <w:r w:rsidRPr="005E7317">
              <w:rPr>
                <w:rStyle w:val="a5"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_Toc234261805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DF7F2B" w:rsidRDefault="00DF7F2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4261806" w:history="1">
            <w:r w:rsidRPr="005E7317">
              <w:rPr>
                <w:rStyle w:val="a5"/>
                <w:noProof/>
              </w:rPr>
              <w:t>ГЛАВА 1. АНАЛИЗ ПРЕДМЕТНОЙ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_Toc234261806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DF7F2B" w:rsidRDefault="00DF7F2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4261807" w:history="1">
            <w:r w:rsidRPr="005E7317">
              <w:rPr>
                <w:rStyle w:val="a5"/>
                <w:noProof/>
              </w:rPr>
              <w:t>1.1. Машинное обучение в задачах кредитного скоринга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_Toc234261807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DF7F2B" w:rsidRDefault="00DF7F2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4261808" w:history="1">
            <w:r w:rsidRPr="005E7317">
              <w:rPr>
                <w:rStyle w:val="a5"/>
                <w:noProof/>
              </w:rPr>
              <w:t>1.2. Проблема интерпретируемости моделей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_Toc234261808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F7F2B" w:rsidRDefault="00DF7F2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4261809" w:history="1">
            <w:r w:rsidRPr="005E7317">
              <w:rPr>
                <w:rStyle w:val="a5"/>
                <w:noProof/>
              </w:rPr>
              <w:t>1.3. Метод SHAP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_Toc234261809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F7F2B" w:rsidRDefault="00DF7F2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4261810" w:history="1">
            <w:r w:rsidRPr="005E7317">
              <w:rPr>
                <w:rStyle w:val="a5"/>
                <w:noProof/>
              </w:rPr>
              <w:t>1.4. Выводы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_Toc234261810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F7F2B" w:rsidRDefault="00DF7F2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4261811" w:history="1">
            <w:r w:rsidRPr="005E7317">
              <w:rPr>
                <w:rStyle w:val="a5"/>
                <w:noProof/>
              </w:rPr>
              <w:t>ГЛАВА 2. ДАННЫЕ И РАЗВЕДОЧНЫЙ АНАЛИЗ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_Toc234261811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DF7F2B" w:rsidRDefault="00DF7F2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4261812" w:history="1">
            <w:r w:rsidRPr="005E7317">
              <w:rPr>
                <w:rStyle w:val="a5"/>
                <w:noProof/>
              </w:rPr>
              <w:t>2.1. Описание набора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_Toc234261812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DF7F2B" w:rsidRDefault="00DF7F2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4261813" w:history="1">
            <w:r w:rsidRPr="005E7317">
              <w:rPr>
                <w:rStyle w:val="a5"/>
                <w:noProof/>
              </w:rPr>
              <w:t>2.2. Разведочный анализ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_Toc234261813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DF7F2B" w:rsidRDefault="00DF7F2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4261814" w:history="1">
            <w:r w:rsidRPr="005E7317">
              <w:rPr>
                <w:rStyle w:val="a5"/>
                <w:noProof/>
              </w:rPr>
              <w:t>2.3. Предобработка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_Toc234261814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DF7F2B" w:rsidRDefault="00DF7F2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4261815" w:history="1">
            <w:r w:rsidRPr="005E7317">
              <w:rPr>
                <w:rStyle w:val="a5"/>
                <w:noProof/>
              </w:rPr>
              <w:t>2.4. Выводы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_Toc234261815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DF7F2B" w:rsidRDefault="00DF7F2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4261816" w:history="1">
            <w:r w:rsidRPr="005E7317">
              <w:rPr>
                <w:rStyle w:val="a5"/>
                <w:noProof/>
              </w:rPr>
              <w:t>ГЛАВА 3. ПОСТРОЕНИЕ И СРАВНЕНИЕ МОДЕЛЕЙ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_Toc234261816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DF7F2B" w:rsidRDefault="00DF7F2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4261817" w:history="1">
            <w:r w:rsidRPr="005E7317">
              <w:rPr>
                <w:rStyle w:val="a5"/>
                <w:noProof/>
              </w:rPr>
              <w:t>3.1. Методология и метрики качества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_Toc234261817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DF7F2B" w:rsidRDefault="00DF7F2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4261818" w:history="1">
            <w:r w:rsidRPr="005E7317">
              <w:rPr>
                <w:rStyle w:val="a5"/>
                <w:noProof/>
              </w:rPr>
              <w:t>3.2. Обучение моделей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_Toc234261818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DF7F2B" w:rsidRDefault="00DF7F2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4261819" w:history="1">
            <w:r w:rsidRPr="005E7317">
              <w:rPr>
                <w:rStyle w:val="a5"/>
                <w:noProof/>
              </w:rPr>
              <w:t>3.3. Сравнение моделей и выбор лучшей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_Toc234261819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DF7F2B" w:rsidRDefault="00DF7F2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4261820" w:history="1">
            <w:r w:rsidRPr="005E7317">
              <w:rPr>
                <w:rStyle w:val="a5"/>
                <w:noProof/>
              </w:rPr>
              <w:t>3.4. Анализ ошибок лучшей модели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_Toc234261820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DF7F2B" w:rsidRDefault="00DF7F2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4261821" w:history="1">
            <w:r w:rsidRPr="005E7317">
              <w:rPr>
                <w:rStyle w:val="a5"/>
                <w:noProof/>
              </w:rPr>
              <w:t>3.5. Выводы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_Toc234261821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DF7F2B" w:rsidRDefault="00DF7F2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4261822" w:history="1">
            <w:r w:rsidRPr="005E7317">
              <w:rPr>
                <w:rStyle w:val="a5"/>
                <w:noProof/>
              </w:rPr>
              <w:t>ГЛАВА 4. ИНТЕРПРЕТАЦИЯ МОДЕЛЕЙ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_Toc234261822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DF7F2B" w:rsidRDefault="00DF7F2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4261823" w:history="1">
            <w:r w:rsidRPr="005E7317">
              <w:rPr>
                <w:rStyle w:val="a5"/>
                <w:noProof/>
              </w:rPr>
              <w:t>4.1. Важность признаков (Feature Importance)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_Toc234261823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DF7F2B" w:rsidRDefault="00DF7F2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4261824" w:history="1">
            <w:r w:rsidRPr="005E7317">
              <w:rPr>
                <w:rStyle w:val="a5"/>
                <w:noProof/>
              </w:rPr>
              <w:t>4.2. Глобальный SHAP-анализ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_Toc234261824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DF7F2B" w:rsidRDefault="00DF7F2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4261825" w:history="1">
            <w:r w:rsidRPr="005E7317">
              <w:rPr>
                <w:rStyle w:val="a5"/>
                <w:noProof/>
              </w:rPr>
              <w:t>4.3. Локальное объяснение отдельного предсказания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_Toc234261825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DF7F2B" w:rsidRDefault="00DF7F2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4261826" w:history="1">
            <w:r w:rsidRPr="005E7317">
              <w:rPr>
                <w:rStyle w:val="a5"/>
                <w:noProof/>
              </w:rPr>
              <w:t>4.4. Выводы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_Toc234261826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DF7F2B" w:rsidRDefault="00DF7F2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4261827" w:history="1">
            <w:r w:rsidRPr="005E7317">
              <w:rPr>
                <w:rStyle w:val="a5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_Toc234261827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DF7F2B" w:rsidRDefault="00DF7F2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4261828" w:history="1">
            <w:r w:rsidRPr="005E7317">
              <w:rPr>
                <w:rStyle w:val="a5"/>
                <w:noProof/>
              </w:rPr>
              <w:t>СПИСОК СОКРАЩЕНИЙ И УСЛОВНЫХ ОБОЗНАЧЕНИЙ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_Toc234261828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DF7F2B" w:rsidRDefault="00DF7F2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4261829" w:history="1">
            <w:r w:rsidRPr="005E7317">
              <w:rPr>
                <w:rStyle w:val="a5"/>
                <w:noProof/>
              </w:rPr>
              <w:t>СЛОВАРЬ ТЕРМИНОВ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_Toc234261829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DF7F2B" w:rsidRDefault="00DF7F2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4261830" w:history="1">
            <w:r w:rsidRPr="005E7317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_Toc234261830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EE605F" w:rsidRDefault="00000000">
          <w:r>
            <w:fldChar w:fldCharType="end"/>
          </w:r>
        </w:p>
      </w:sdtContent>
    </w:sdt>
    <w:p w:rsidR="00EE605F" w:rsidRDefault="00000000">
      <w:pPr>
        <w:pStyle w:val="1"/>
        <w:pageBreakBefore/>
        <w:spacing w:after="240" w:line="360" w:lineRule="auto"/>
        <w:jc w:val="center"/>
      </w:pPr>
      <w:bookmarkStart w:id="2" w:name="_Toc234261805"/>
      <w:r>
        <w:lastRenderedPageBreak/>
        <w:t>ВВЕДЕНИЕ</w:t>
      </w:r>
      <w:bookmarkEnd w:id="2"/>
    </w:p>
    <w:p w:rsidR="00EE605F" w:rsidRDefault="00000000">
      <w:pPr>
        <w:spacing w:line="360" w:lineRule="auto"/>
        <w:ind w:firstLine="709"/>
        <w:jc w:val="both"/>
      </w:pPr>
      <w:r>
        <w:t xml:space="preserve">Кредитование является одним из ключевых направлений деятельности финансовых организаций, а решение об одобрении или отклонении кредитной заявки — типовой задачей риск-менеджмента. Традиционно такие решения принимаются на основе </w:t>
      </w:r>
      <w:proofErr w:type="spellStart"/>
      <w:r>
        <w:t>скоринговых</w:t>
      </w:r>
      <w:proofErr w:type="spellEnd"/>
      <w:r>
        <w:t xml:space="preserve"> карт и экспертных правил, однако рост объёмов данных о заёмщиках делает всё более востребованным применение методов машинного обучения (Machine Learning, ML), способных выявлять сложные нелинейные зависимости между характеристиками заёмщика и исходом рассмотрения заявки [1, 2].</w:t>
      </w:r>
    </w:p>
    <w:p w:rsidR="00EE605F" w:rsidRDefault="00000000">
      <w:pPr>
        <w:spacing w:line="360" w:lineRule="auto"/>
        <w:ind w:firstLine="709"/>
        <w:jc w:val="both"/>
      </w:pPr>
      <w:r>
        <w:t>Вместе с тем современные высокоточные модели — ансамбли деревьев решений и нейронные сети — являются моделями типа «чёрный ящик»: их предсказания сложно объяснить в терминах, понятных кредитному аналитику или заёмщику. Для финансовой сферы это критическое ограничение: регуляторные требования и практика ответственного кредитования предполагают возможность обоснования каждого решения. Данное противоречие между точностью и объяснимостью моделей определяет актуальность применения методов интерпретируемого машинного обучения (</w:t>
      </w:r>
      <w:proofErr w:type="spellStart"/>
      <w:r>
        <w:t>Interpretable</w:t>
      </w:r>
      <w:proofErr w:type="spellEnd"/>
      <w:r>
        <w:t xml:space="preserve"> ML) [8], в частности метода SHAP (</w:t>
      </w:r>
      <w:proofErr w:type="spellStart"/>
      <w:r>
        <w:t>SHapley</w:t>
      </w:r>
      <w:proofErr w:type="spellEnd"/>
      <w:r>
        <w:t xml:space="preserve"> </w:t>
      </w:r>
      <w:proofErr w:type="spellStart"/>
      <w:r>
        <w:t>Additive</w:t>
      </w:r>
      <w:proofErr w:type="spellEnd"/>
      <w:r>
        <w:t xml:space="preserve"> </w:t>
      </w:r>
      <w:proofErr w:type="spellStart"/>
      <w:r>
        <w:t>exPlanations</w:t>
      </w:r>
      <w:proofErr w:type="spellEnd"/>
      <w:r>
        <w:t>), основанного на аппарате теории кооперативных игр [7, 10].</w:t>
      </w:r>
    </w:p>
    <w:p w:rsidR="00EE605F" w:rsidRDefault="00000000">
      <w:pPr>
        <w:spacing w:line="360" w:lineRule="auto"/>
        <w:ind w:firstLine="709"/>
        <w:jc w:val="both"/>
      </w:pPr>
      <w:r>
        <w:t>Объектом исследования является процесс принятия решения об одобрении кредитной заявки на основе данных о заёмщике.</w:t>
      </w:r>
    </w:p>
    <w:p w:rsidR="00EE605F" w:rsidRDefault="00000000">
      <w:pPr>
        <w:spacing w:line="360" w:lineRule="auto"/>
        <w:ind w:firstLine="709"/>
        <w:jc w:val="both"/>
      </w:pPr>
      <w:r>
        <w:t>Предметом исследования являются методы машинного обучения и глубокого обучения для бинарной классификации кредитных заявок и методы интерпретации полученных моделей.</w:t>
      </w:r>
    </w:p>
    <w:p w:rsidR="00EE605F" w:rsidRDefault="00000000">
      <w:pPr>
        <w:spacing w:line="360" w:lineRule="auto"/>
        <w:ind w:firstLine="709"/>
        <w:jc w:val="both"/>
      </w:pPr>
      <w:r>
        <w:t>Целью научно-исследовательской работы является построение и сравнение моделей машинного обучения для прогнозирования одобрения кредитной заявки с последующей интерпретацией результатов методами объяснимого искусственного интеллекта.</w:t>
      </w:r>
    </w:p>
    <w:p w:rsidR="00EE605F" w:rsidRDefault="00000000">
      <w:pPr>
        <w:spacing w:line="360" w:lineRule="auto"/>
        <w:ind w:firstLine="709"/>
        <w:jc w:val="both"/>
      </w:pPr>
      <w:r>
        <w:t>Для достижения поставленной цели в работе решаются следующие задачи:</w:t>
      </w:r>
    </w:p>
    <w:p w:rsidR="00EE605F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lastRenderedPageBreak/>
        <w:t>провести обзор методов машинного обучения и подходов к интерпретации моделей в задачах кредитного скоринга;</w:t>
      </w:r>
    </w:p>
    <w:p w:rsidR="00EE605F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описать набор данных и целевую переменную, выполнить разведочный анализ данных (EDA);</w:t>
      </w:r>
    </w:p>
    <w:p w:rsidR="00EE605F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выполнить предобработку данных: кодирование категориальных признаков, стандартизацию числовых признаков, учёт дисбаланса классов;</w:t>
      </w:r>
    </w:p>
    <w:p w:rsidR="00EE605F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построить и сравнить пять моделей классификации: логистическую регрессию, случайный лес, градиентный </w:t>
      </w:r>
      <w:proofErr w:type="spellStart"/>
      <w:r>
        <w:t>бустинг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 и нейронную сеть;</w:t>
      </w:r>
    </w:p>
    <w:p w:rsidR="00EE605F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оценить качество моделей по метрикам классификации и выбрать лучшую модель;</w:t>
      </w:r>
    </w:p>
    <w:p w:rsidR="00EE605F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интерпретировать результаты с помощью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и SHAP-анализа;</w:t>
      </w:r>
    </w:p>
    <w:p w:rsidR="00EE605F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сформулировать выводы о ключевых факторах одобрения кредита и о практической ценности интерпретируемых методов.</w:t>
      </w:r>
    </w:p>
    <w:p w:rsidR="00EE605F" w:rsidRDefault="00000000">
      <w:pPr>
        <w:spacing w:line="360" w:lineRule="auto"/>
        <w:ind w:firstLine="709"/>
        <w:jc w:val="both"/>
      </w:pPr>
      <w:r>
        <w:t>Практическая значимость работы состоит в демонстрации полного цикла построения интерпретируемой системы поддержки принятия решений: от анализа данных до объяснения отдельных предсказаний модели, что соответствует требованиям к прозрачности алгоритмических решений в финансовой сфере.</w:t>
      </w:r>
    </w:p>
    <w:p w:rsidR="00EE605F" w:rsidRDefault="00000000">
      <w:pPr>
        <w:pStyle w:val="1"/>
        <w:pageBreakBefore/>
        <w:spacing w:after="240" w:line="360" w:lineRule="auto"/>
        <w:jc w:val="center"/>
      </w:pPr>
      <w:bookmarkStart w:id="3" w:name="_Toc234261806"/>
      <w:r>
        <w:lastRenderedPageBreak/>
        <w:t>ГЛАВА 1. АНАЛИЗ ПРЕДМЕТНОЙ ОБЛАСТИ</w:t>
      </w:r>
      <w:bookmarkEnd w:id="3"/>
    </w:p>
    <w:p w:rsidR="00EE605F" w:rsidRDefault="00000000">
      <w:pPr>
        <w:spacing w:line="360" w:lineRule="auto"/>
        <w:ind w:firstLine="709"/>
        <w:jc w:val="both"/>
      </w:pPr>
      <w:r>
        <w:t>В настоящей главе рассматриваются постановка задачи кредитного скоринга, применяемые методы машинного обучения и проблема интерпретируемости моделей, а также обосновывается выбор методов интерпретации, используемых в работе.</w:t>
      </w:r>
    </w:p>
    <w:p w:rsidR="00EE605F" w:rsidRDefault="00000000">
      <w:pPr>
        <w:pStyle w:val="2"/>
        <w:spacing w:before="240" w:after="240" w:line="360" w:lineRule="auto"/>
        <w:jc w:val="center"/>
      </w:pPr>
      <w:bookmarkStart w:id="4" w:name="_Toc234261807"/>
      <w:r>
        <w:t>1.1. Машинное обучение в задачах кредитного скоринга</w:t>
      </w:r>
      <w:bookmarkEnd w:id="4"/>
    </w:p>
    <w:p w:rsidR="00EE605F" w:rsidRDefault="00000000">
      <w:pPr>
        <w:spacing w:line="360" w:lineRule="auto"/>
        <w:ind w:firstLine="709"/>
        <w:jc w:val="both"/>
      </w:pPr>
      <w:r>
        <w:t>Задача прогнозирования решения по кредитной заявке формализуется как задача бинарной классификации: по вектору признаков заёмщика необходимо предсказать значение целевой переменной, принимающей два значения — заявка одобрена или отклонена. Классическим методом решения данной задачи является логистическая регрессия — линейная модель, оценивающая вероятность положительного класса через логистическую функцию от взвешенной суммы признаков [1]:</w:t>
      </w:r>
    </w:p>
    <w:p w:rsidR="00EE605F" w:rsidRDefault="00000000">
      <w:pPr>
        <w:spacing w:before="120" w:after="120" w:line="360" w:lineRule="auto"/>
        <w:jc w:val="both"/>
      </w:pPr>
      <w:r>
        <w:ptab w:relativeTo="margin" w:alignment="center" w:leader="none"/>
      </w:r>
      <w:r>
        <w:rPr>
          <w:i/>
          <w:iCs/>
        </w:rPr>
        <w:t>P(y = 1 | x) = 1 / (1 + e^(−(</w:t>
      </w:r>
      <w:proofErr w:type="spellStart"/>
      <w:r>
        <w:rPr>
          <w:i/>
          <w:iCs/>
        </w:rPr>
        <w:t>w·x</w:t>
      </w:r>
      <w:proofErr w:type="spellEnd"/>
      <w:r>
        <w:rPr>
          <w:i/>
          <w:iCs/>
        </w:rPr>
        <w:t xml:space="preserve"> + b)))</w:t>
      </w:r>
      <w:r>
        <w:ptab w:relativeTo="margin" w:alignment="right" w:leader="none"/>
      </w:r>
      <w:r>
        <w:t>(1.1)</w:t>
      </w:r>
    </w:p>
    <w:p w:rsidR="00EE605F" w:rsidRDefault="00000000">
      <w:pPr>
        <w:spacing w:line="360" w:lineRule="auto"/>
        <w:ind w:firstLine="709"/>
        <w:jc w:val="both"/>
      </w:pPr>
      <w:r>
        <w:t>где x — вектор признаков заёмщика; w — вектор весов модели; b — свободный член.</w:t>
      </w:r>
    </w:p>
    <w:p w:rsidR="00EE605F" w:rsidRDefault="00000000">
      <w:pPr>
        <w:spacing w:line="360" w:lineRule="auto"/>
        <w:ind w:firstLine="709"/>
        <w:jc w:val="both"/>
      </w:pPr>
      <w:r>
        <w:t>Достоинствами логистической регрессии являются простота, скорость обучения и естественная интерпретируемость коэффициентов. Однако линейная структура модели ограничивает её способность улавливать сложные нелинейные зависимости и взаимодействия признаков, характерные для реальных кредитных данных.</w:t>
      </w:r>
    </w:p>
    <w:p w:rsidR="00EE605F" w:rsidRDefault="00000000">
      <w:pPr>
        <w:spacing w:line="360" w:lineRule="auto"/>
        <w:ind w:firstLine="709"/>
        <w:jc w:val="both"/>
      </w:pPr>
      <w:r>
        <w:t xml:space="preserve">Более высокое качество в задачах табличных данных демонстрируют ансамблевые методы на основе деревьев решений. Случайный лес строит множество независимых деревьев на </w:t>
      </w:r>
      <w:proofErr w:type="spellStart"/>
      <w:r>
        <w:t>бутстрэп-подвыборках</w:t>
      </w:r>
      <w:proofErr w:type="spellEnd"/>
      <w:r>
        <w:t xml:space="preserve"> и усредняет их предсказания, снижая дисперсию [3]. Градиентный </w:t>
      </w:r>
      <w:proofErr w:type="spellStart"/>
      <w:r>
        <w:t>бустинг</w:t>
      </w:r>
      <w:proofErr w:type="spellEnd"/>
      <w:r>
        <w:t xml:space="preserve"> строит деревья последовательно, где каждое следующее дерево корректирует ошибки предыдущих [5]; его эффективная реализация </w:t>
      </w:r>
      <w:proofErr w:type="spellStart"/>
      <w:r>
        <w:t>XGBoost</w:t>
      </w:r>
      <w:proofErr w:type="spellEnd"/>
      <w:r>
        <w:t xml:space="preserve"> получила широкое распространение в промышленных и соревновательных задачах [4]. </w:t>
      </w:r>
      <w:r>
        <w:lastRenderedPageBreak/>
        <w:t>Нейронные сети, в частности многослойный персептрон (MLP), способны аппроксимировать сложные нелинейные зависимости, однако требуют тщательной настройки и большего объёма данных.</w:t>
      </w:r>
    </w:p>
    <w:p w:rsidR="00EE605F" w:rsidRDefault="00000000">
      <w:pPr>
        <w:pStyle w:val="2"/>
        <w:spacing w:before="240" w:after="240" w:line="360" w:lineRule="auto"/>
        <w:jc w:val="center"/>
      </w:pPr>
      <w:bookmarkStart w:id="5" w:name="_Toc234261808"/>
      <w:r>
        <w:t>1.2. Проблема интерпретируемости моделей</w:t>
      </w:r>
      <w:bookmarkEnd w:id="5"/>
    </w:p>
    <w:p w:rsidR="00EE605F" w:rsidRDefault="00000000">
      <w:pPr>
        <w:spacing w:line="360" w:lineRule="auto"/>
        <w:ind w:firstLine="709"/>
        <w:jc w:val="both"/>
      </w:pPr>
      <w:r>
        <w:t xml:space="preserve">Высокоточные ансамблевые модели и нейронные сети относятся к классу моделей «чёрного ящика»: их внутренняя логика недоступна для непосредственного анализа человеком. В кредитном скоринге это порождает существенные практические ограничения. Во-первых, финансовая организация обязана обосновать заёмщику причину отказа. Во-вторых, регуляторные требования и практика ответственного кредитования предполагают контролируемость и </w:t>
      </w:r>
      <w:proofErr w:type="spellStart"/>
      <w:r>
        <w:t>аудируемость</w:t>
      </w:r>
      <w:proofErr w:type="spellEnd"/>
      <w:r>
        <w:t xml:space="preserve"> алгоритмических решений. В-третьих, непрозрачная модель затрудняет выявление ошибок и скрытых смещений в данных [8].</w:t>
      </w:r>
    </w:p>
    <w:p w:rsidR="00EE605F" w:rsidRDefault="00000000">
      <w:pPr>
        <w:spacing w:line="360" w:lineRule="auto"/>
        <w:ind w:firstLine="709"/>
        <w:jc w:val="both"/>
      </w:pPr>
      <w:r>
        <w:t>Методы интерпретируемого машинного обучения принято разделять на две группы. Внутренне интерпретируемые модели (логистическая регрессия, неглубокие деревья решений) объяснимы по построению, однако, как правило, уступают в точности. Методы пост-</w:t>
      </w:r>
      <w:proofErr w:type="spellStart"/>
      <w:r>
        <w:t>хок</w:t>
      </w:r>
      <w:proofErr w:type="spellEnd"/>
      <w:r>
        <w:t xml:space="preserve"> интерпретации (</w:t>
      </w:r>
      <w:proofErr w:type="spellStart"/>
      <w:r>
        <w:t>post-hoc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>) применяются к уже обученной модели произвольной сложности и позволяют объяснить её поведение без потери качества предсказаний. К последним относятся встроенная важность признаков ансамблевых моделей (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>) и метод SHAP.</w:t>
      </w:r>
    </w:p>
    <w:p w:rsidR="00EE605F" w:rsidRDefault="00000000">
      <w:pPr>
        <w:pStyle w:val="2"/>
        <w:spacing w:before="240" w:after="240" w:line="360" w:lineRule="auto"/>
        <w:jc w:val="center"/>
      </w:pPr>
      <w:bookmarkStart w:id="6" w:name="_Toc234261809"/>
      <w:r>
        <w:t>1.3. Метод SHAP</w:t>
      </w:r>
      <w:bookmarkEnd w:id="6"/>
    </w:p>
    <w:p w:rsidR="00EE605F" w:rsidRDefault="00000000">
      <w:pPr>
        <w:spacing w:line="360" w:lineRule="auto"/>
        <w:ind w:firstLine="709"/>
        <w:jc w:val="both"/>
      </w:pPr>
      <w:r>
        <w:t>Метод SHAP (</w:t>
      </w:r>
      <w:proofErr w:type="spellStart"/>
      <w:r>
        <w:t>SHapley</w:t>
      </w:r>
      <w:proofErr w:type="spellEnd"/>
      <w:r>
        <w:t xml:space="preserve"> </w:t>
      </w:r>
      <w:proofErr w:type="spellStart"/>
      <w:r>
        <w:t>Additive</w:t>
      </w:r>
      <w:proofErr w:type="spellEnd"/>
      <w:r>
        <w:t xml:space="preserve"> </w:t>
      </w:r>
      <w:proofErr w:type="spellStart"/>
      <w:r>
        <w:t>exPlanations</w:t>
      </w:r>
      <w:proofErr w:type="spellEnd"/>
      <w:r>
        <w:t xml:space="preserve">) [7] основан на понятии вектора Шепли из теории кооперативных игр [10]. Признаки модели рассматриваются как игроки коалиционной игры, а предсказание — как выигрыш, который необходимо справедливо распределить между игроками. SHAP-значение признака отражает его средний вклад в отклонение </w:t>
      </w:r>
      <w:r>
        <w:lastRenderedPageBreak/>
        <w:t>предсказания от базового уровня по всем возможным подмножествам признаков.</w:t>
      </w:r>
    </w:p>
    <w:p w:rsidR="00EE605F" w:rsidRDefault="00000000">
      <w:pPr>
        <w:spacing w:line="360" w:lineRule="auto"/>
        <w:ind w:firstLine="709"/>
        <w:jc w:val="both"/>
      </w:pPr>
      <w:r>
        <w:t xml:space="preserve">Метод обеспечивает объяснения на двух уровнях. Глобальный уровень характеризует важность признаков для модели в целом (усреднение абсолютных SHAP-значений по выборке), локальный уровень — вклад каждого признака в конкретное предсказание для отдельного заёмщика. Для моделей на основе деревьев существует эффективный точный алгоритм </w:t>
      </w:r>
      <w:proofErr w:type="spellStart"/>
      <w:r>
        <w:t>TreeSHAP</w:t>
      </w:r>
      <w:proofErr w:type="spellEnd"/>
      <w:r>
        <w:t>, что делает метод практически применимым к ансамблям из сотен деревьев [7]. Наглядными инструментами визуализации являются столбчатая диаграмма важности (</w:t>
      </w:r>
      <w:proofErr w:type="spellStart"/>
      <w:r>
        <w:t>bar</w:t>
      </w:r>
      <w:proofErr w:type="spellEnd"/>
      <w:r>
        <w:t xml:space="preserve"> </w:t>
      </w:r>
      <w:proofErr w:type="spellStart"/>
      <w:r>
        <w:t>plot</w:t>
      </w:r>
      <w:proofErr w:type="spellEnd"/>
      <w:r>
        <w:t>), диаграмма рассеяния значений (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plot</w:t>
      </w:r>
      <w:proofErr w:type="spellEnd"/>
      <w:r>
        <w:t>) и каскадная диаграмма объяснения отдельного предсказания (</w:t>
      </w:r>
      <w:proofErr w:type="spellStart"/>
      <w:r>
        <w:t>waterfall</w:t>
      </w:r>
      <w:proofErr w:type="spellEnd"/>
      <w:r>
        <w:t xml:space="preserve"> </w:t>
      </w:r>
      <w:proofErr w:type="spellStart"/>
      <w:r>
        <w:t>plot</w:t>
      </w:r>
      <w:proofErr w:type="spellEnd"/>
      <w:r>
        <w:t>) [8].</w:t>
      </w:r>
    </w:p>
    <w:p w:rsidR="00EE605F" w:rsidRDefault="00000000">
      <w:pPr>
        <w:pStyle w:val="2"/>
        <w:spacing w:before="240" w:after="240" w:line="360" w:lineRule="auto"/>
        <w:jc w:val="center"/>
      </w:pPr>
      <w:bookmarkStart w:id="7" w:name="_Toc234261810"/>
      <w:r>
        <w:t>1.4. Выводы</w:t>
      </w:r>
      <w:bookmarkEnd w:id="7"/>
    </w:p>
    <w:p w:rsidR="00EE605F" w:rsidRDefault="00000000">
      <w:pPr>
        <w:spacing w:line="360" w:lineRule="auto"/>
        <w:ind w:firstLine="709"/>
        <w:jc w:val="both"/>
      </w:pPr>
      <w:r>
        <w:t>В результате анализа предметной области установлено, что задача прогнозирования одобрения кредитной заявки формализуется как задача бинарной классификации, для решения которой применимы как линейные модели, так и ансамбли деревьев и нейронные сети. Выявлено противоречие между точностью и объяснимостью моделей, критичное для финансовой сферы. В качестве методов интерпретации в работе выбраны встроенная важность признаков и метод SHAP, обеспечивающий теоретически обоснованные глобальные и локальные объяснения для моделей произвольной сложности. Данные выводы определяют методологию исследования, описываемую в последующих главах.</w:t>
      </w:r>
    </w:p>
    <w:p w:rsidR="00EE605F" w:rsidRDefault="00000000">
      <w:pPr>
        <w:pStyle w:val="1"/>
        <w:pageBreakBefore/>
        <w:spacing w:after="240" w:line="360" w:lineRule="auto"/>
        <w:jc w:val="center"/>
      </w:pPr>
      <w:bookmarkStart w:id="8" w:name="_Toc234261811"/>
      <w:r>
        <w:lastRenderedPageBreak/>
        <w:t>ГЛАВА 2. ДАННЫЕ И РАЗВЕДОЧНЫЙ АНАЛИЗ</w:t>
      </w:r>
      <w:bookmarkEnd w:id="8"/>
    </w:p>
    <w:p w:rsidR="00EE605F" w:rsidRDefault="00000000">
      <w:pPr>
        <w:spacing w:line="360" w:lineRule="auto"/>
        <w:ind w:firstLine="709"/>
        <w:jc w:val="both"/>
      </w:pPr>
      <w:r>
        <w:t>В настоящей главе описываются используемый набор данных и целевая переменная, приводятся результаты разведочного анализа данных и описывается выполненная предобработка.</w:t>
      </w:r>
    </w:p>
    <w:p w:rsidR="00EE605F" w:rsidRDefault="00000000">
      <w:pPr>
        <w:pStyle w:val="2"/>
        <w:spacing w:before="240" w:after="240" w:line="360" w:lineRule="auto"/>
        <w:jc w:val="center"/>
      </w:pPr>
      <w:bookmarkStart w:id="9" w:name="_Toc234261812"/>
      <w:r>
        <w:t>2.1. Описание набора данных</w:t>
      </w:r>
      <w:bookmarkEnd w:id="9"/>
    </w:p>
    <w:p w:rsidR="00EE605F" w:rsidRDefault="00000000">
      <w:pPr>
        <w:spacing w:line="360" w:lineRule="auto"/>
        <w:ind w:firstLine="709"/>
        <w:jc w:val="both"/>
      </w:pPr>
      <w:r>
        <w:t xml:space="preserve">В работе используется набор данных </w:t>
      </w:r>
      <w:proofErr w:type="spellStart"/>
      <w:r>
        <w:t>Loan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[6], содержащий обезличенные сведения о кредитных заявках. Обучающая выборка включает 58 645 наблюдений и 12 признаков, характеризующих заёмщика и параметры запрашиваемого кредита. Перечень признаков приведён в таблице 2.1.</w:t>
      </w:r>
    </w:p>
    <w:p w:rsidR="00EE605F" w:rsidRDefault="00000000">
      <w:pPr>
        <w:spacing w:before="240" w:line="360" w:lineRule="auto"/>
        <w:jc w:val="right"/>
      </w:pPr>
      <w:r>
        <w:t>Таблица 2.1</w:t>
      </w:r>
    </w:p>
    <w:p w:rsidR="00EE605F" w:rsidRDefault="00000000">
      <w:pPr>
        <w:spacing w:after="120" w:line="360" w:lineRule="auto"/>
        <w:jc w:val="center"/>
      </w:pPr>
      <w:r>
        <w:t>Описание признаков набора данных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6"/>
        <w:gridCol w:w="2000"/>
        <w:gridCol w:w="4734"/>
      </w:tblGrid>
      <w:tr w:rsidR="00EE60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Признак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4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EE605F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roofErr w:type="spellStart"/>
            <w:r>
              <w:rPr>
                <w:sz w:val="24"/>
                <w:szCs w:val="24"/>
              </w:rPr>
              <w:t>person_age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числовой</w:t>
            </w:r>
          </w:p>
        </w:tc>
        <w:tc>
          <w:tcPr>
            <w:tcW w:w="4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r>
              <w:rPr>
                <w:sz w:val="24"/>
                <w:szCs w:val="24"/>
              </w:rPr>
              <w:t>Возраст заёмщика, лет</w:t>
            </w:r>
          </w:p>
        </w:tc>
      </w:tr>
      <w:tr w:rsidR="00EE605F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roofErr w:type="spellStart"/>
            <w:r>
              <w:rPr>
                <w:sz w:val="24"/>
                <w:szCs w:val="24"/>
              </w:rPr>
              <w:t>person_income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числовой</w:t>
            </w:r>
          </w:p>
        </w:tc>
        <w:tc>
          <w:tcPr>
            <w:tcW w:w="4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r>
              <w:rPr>
                <w:sz w:val="24"/>
                <w:szCs w:val="24"/>
              </w:rPr>
              <w:t>Годовой доход заёмщика</w:t>
            </w:r>
          </w:p>
        </w:tc>
      </w:tr>
      <w:tr w:rsidR="00EE605F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roofErr w:type="spellStart"/>
            <w:r>
              <w:rPr>
                <w:sz w:val="24"/>
                <w:szCs w:val="24"/>
              </w:rPr>
              <w:t>person_home_ownership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категориальный</w:t>
            </w:r>
          </w:p>
        </w:tc>
        <w:tc>
          <w:tcPr>
            <w:tcW w:w="4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r>
              <w:rPr>
                <w:sz w:val="24"/>
                <w:szCs w:val="24"/>
              </w:rPr>
              <w:t>Форма владения жильём (аренда, ипотека, собственность и др.)</w:t>
            </w:r>
          </w:p>
        </w:tc>
      </w:tr>
      <w:tr w:rsidR="00EE605F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roofErr w:type="spellStart"/>
            <w:r>
              <w:rPr>
                <w:sz w:val="24"/>
                <w:szCs w:val="24"/>
              </w:rPr>
              <w:t>person_emp_length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числовой</w:t>
            </w:r>
          </w:p>
        </w:tc>
        <w:tc>
          <w:tcPr>
            <w:tcW w:w="4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r>
              <w:rPr>
                <w:sz w:val="24"/>
                <w:szCs w:val="24"/>
              </w:rPr>
              <w:t>Стаж работы, лет</w:t>
            </w:r>
          </w:p>
        </w:tc>
      </w:tr>
      <w:tr w:rsidR="00EE605F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roofErr w:type="spellStart"/>
            <w:r>
              <w:rPr>
                <w:sz w:val="24"/>
                <w:szCs w:val="24"/>
              </w:rPr>
              <w:t>loan_intent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категориальный</w:t>
            </w:r>
          </w:p>
        </w:tc>
        <w:tc>
          <w:tcPr>
            <w:tcW w:w="4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r>
              <w:rPr>
                <w:sz w:val="24"/>
                <w:szCs w:val="24"/>
              </w:rPr>
              <w:t>Цель кредита (образование, бизнес, личные нужды и др.)</w:t>
            </w:r>
          </w:p>
        </w:tc>
      </w:tr>
      <w:tr w:rsidR="00EE605F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roofErr w:type="spellStart"/>
            <w:r>
              <w:rPr>
                <w:sz w:val="24"/>
                <w:szCs w:val="24"/>
              </w:rPr>
              <w:t>loan_grade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категориальный</w:t>
            </w:r>
          </w:p>
        </w:tc>
        <w:tc>
          <w:tcPr>
            <w:tcW w:w="4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r>
              <w:rPr>
                <w:sz w:val="24"/>
                <w:szCs w:val="24"/>
              </w:rPr>
              <w:t>Кредитный рейтинг заявки (A–G)</w:t>
            </w:r>
          </w:p>
        </w:tc>
      </w:tr>
      <w:tr w:rsidR="00EE605F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roofErr w:type="spellStart"/>
            <w:r>
              <w:rPr>
                <w:sz w:val="24"/>
                <w:szCs w:val="24"/>
              </w:rPr>
              <w:t>loan_amnt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числовой</w:t>
            </w:r>
          </w:p>
        </w:tc>
        <w:tc>
          <w:tcPr>
            <w:tcW w:w="4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r>
              <w:rPr>
                <w:sz w:val="24"/>
                <w:szCs w:val="24"/>
              </w:rPr>
              <w:t>Сумма кредита</w:t>
            </w:r>
          </w:p>
        </w:tc>
      </w:tr>
      <w:tr w:rsidR="00EE605F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roofErr w:type="spellStart"/>
            <w:r>
              <w:rPr>
                <w:sz w:val="24"/>
                <w:szCs w:val="24"/>
              </w:rPr>
              <w:t>loan_int_rate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числовой</w:t>
            </w:r>
          </w:p>
        </w:tc>
        <w:tc>
          <w:tcPr>
            <w:tcW w:w="4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r>
              <w:rPr>
                <w:sz w:val="24"/>
                <w:szCs w:val="24"/>
              </w:rPr>
              <w:t>Процентная ставка, %</w:t>
            </w:r>
          </w:p>
        </w:tc>
      </w:tr>
      <w:tr w:rsidR="00EE605F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roofErr w:type="spellStart"/>
            <w:r>
              <w:rPr>
                <w:sz w:val="24"/>
                <w:szCs w:val="24"/>
              </w:rPr>
              <w:t>loan_percent_income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числовой</w:t>
            </w:r>
          </w:p>
        </w:tc>
        <w:tc>
          <w:tcPr>
            <w:tcW w:w="4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r>
              <w:rPr>
                <w:sz w:val="24"/>
                <w:szCs w:val="24"/>
              </w:rPr>
              <w:t>Доля кредита от годового дохода</w:t>
            </w:r>
          </w:p>
        </w:tc>
      </w:tr>
      <w:tr w:rsidR="00EE605F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Pr="00DF7F2B" w:rsidRDefault="00000000">
            <w:pPr>
              <w:rPr>
                <w:lang w:val="en-US"/>
              </w:rPr>
            </w:pPr>
            <w:proofErr w:type="spellStart"/>
            <w:r w:rsidRPr="00DF7F2B">
              <w:rPr>
                <w:sz w:val="24"/>
                <w:szCs w:val="24"/>
                <w:lang w:val="en-US"/>
              </w:rPr>
              <w:t>cb_person_default_on_file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категориальный</w:t>
            </w:r>
          </w:p>
        </w:tc>
        <w:tc>
          <w:tcPr>
            <w:tcW w:w="4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r>
              <w:rPr>
                <w:sz w:val="24"/>
                <w:szCs w:val="24"/>
              </w:rPr>
              <w:t>Наличие дефолта в кредитной истории</w:t>
            </w:r>
          </w:p>
        </w:tc>
      </w:tr>
      <w:tr w:rsidR="00EE605F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Pr="00DF7F2B" w:rsidRDefault="00000000">
            <w:pPr>
              <w:rPr>
                <w:lang w:val="en-US"/>
              </w:rPr>
            </w:pPr>
            <w:proofErr w:type="spellStart"/>
            <w:r w:rsidRPr="00DF7F2B">
              <w:rPr>
                <w:sz w:val="24"/>
                <w:szCs w:val="24"/>
                <w:lang w:val="en-US"/>
              </w:rPr>
              <w:t>cb_person_cred_hist_length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числовой</w:t>
            </w:r>
          </w:p>
        </w:tc>
        <w:tc>
          <w:tcPr>
            <w:tcW w:w="4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r>
              <w:rPr>
                <w:sz w:val="24"/>
                <w:szCs w:val="24"/>
              </w:rPr>
              <w:t>Длина кредитной истории, лет</w:t>
            </w:r>
          </w:p>
        </w:tc>
      </w:tr>
      <w:tr w:rsidR="00EE605F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roofErr w:type="spellStart"/>
            <w:r>
              <w:rPr>
                <w:sz w:val="24"/>
                <w:szCs w:val="24"/>
              </w:rPr>
              <w:t>loan_status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бинарный</w:t>
            </w:r>
          </w:p>
        </w:tc>
        <w:tc>
          <w:tcPr>
            <w:tcW w:w="4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r>
              <w:rPr>
                <w:sz w:val="24"/>
                <w:szCs w:val="24"/>
              </w:rPr>
              <w:t>Целевая переменная: 1 — заявка одобрена, 0 — отклонена</w:t>
            </w:r>
          </w:p>
        </w:tc>
      </w:tr>
    </w:tbl>
    <w:p w:rsidR="00EE605F" w:rsidRDefault="00EE605F">
      <w:pPr>
        <w:spacing w:line="360" w:lineRule="auto"/>
      </w:pPr>
    </w:p>
    <w:p w:rsidR="00EE605F" w:rsidRDefault="00000000">
      <w:pPr>
        <w:spacing w:line="360" w:lineRule="auto"/>
        <w:ind w:firstLine="709"/>
        <w:jc w:val="both"/>
      </w:pPr>
      <w:r>
        <w:t xml:space="preserve">Целевой переменной является </w:t>
      </w:r>
      <w:proofErr w:type="spellStart"/>
      <w:r>
        <w:t>loan_status</w:t>
      </w:r>
      <w:proofErr w:type="spellEnd"/>
      <w:r>
        <w:t xml:space="preserve"> — решение по кредитной заявке. Следует отметить особенность интерпретации целевой переменной в </w:t>
      </w:r>
      <w:r>
        <w:lastRenderedPageBreak/>
        <w:t>данном наборе данных: значение 1 соответствует одобрению заявки, что отражает итоговое решение кредитной организации с учётом её внутренней политики, а не факт последующего дефолта заёмщика. Все содержательные выводы работы сформулированы с учётом данной интерпретации.</w:t>
      </w:r>
    </w:p>
    <w:p w:rsidR="00EE605F" w:rsidRDefault="00000000">
      <w:pPr>
        <w:pStyle w:val="2"/>
        <w:spacing w:before="240" w:after="240" w:line="360" w:lineRule="auto"/>
        <w:jc w:val="center"/>
      </w:pPr>
      <w:bookmarkStart w:id="10" w:name="_Toc234261813"/>
      <w:r>
        <w:t>2.2. Разведочный анализ данных</w:t>
      </w:r>
      <w:bookmarkEnd w:id="10"/>
    </w:p>
    <w:p w:rsidR="00EE605F" w:rsidRDefault="00000000" w:rsidP="00DF7F2B">
      <w:pPr>
        <w:spacing w:line="360" w:lineRule="auto"/>
        <w:ind w:firstLine="709"/>
        <w:jc w:val="both"/>
      </w:pPr>
      <w:r>
        <w:t>Распределение целевой переменной представлено на рисунке 2.1. Выборка характеризуется выраженным дисбалансом классов: около 86 % заявок отклонены и лишь 14 % одобрены. Дисбаланс учитывается как на этапе обучения моделей (весовые коэффициенты классов), так и при выборе метрик качества</w:t>
      </w:r>
      <w:r w:rsidR="00DF7F2B">
        <w:t>.</w:t>
      </w:r>
    </w:p>
    <w:p w:rsidR="00DF7F2B" w:rsidRPr="00DF7F2B" w:rsidRDefault="00DF7F2B" w:rsidP="00DF7F2B">
      <w:pPr>
        <w:spacing w:line="360" w:lineRule="auto"/>
        <w:ind w:firstLine="709"/>
        <w:jc w:val="both"/>
      </w:pPr>
      <w:r>
        <w:rPr>
          <w:noProof/>
        </w:rPr>
        <w:drawing>
          <wp:inline distT="0" distB="0" distL="0" distR="0">
            <wp:extent cx="4693285" cy="3295082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6177" cy="333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05F" w:rsidRDefault="00000000">
      <w:pPr>
        <w:spacing w:before="120" w:after="240" w:line="360" w:lineRule="auto"/>
        <w:jc w:val="center"/>
      </w:pPr>
      <w:r>
        <w:t>Рис. 2.1. Распределение целевой переменной</w:t>
      </w:r>
    </w:p>
    <w:p w:rsidR="00EE605F" w:rsidRDefault="00000000" w:rsidP="00DF7F2B">
      <w:pPr>
        <w:spacing w:line="360" w:lineRule="auto"/>
        <w:ind w:firstLine="709"/>
        <w:jc w:val="both"/>
      </w:pPr>
      <w:r>
        <w:t xml:space="preserve">Распределения числовых признаков приведены на рисунке 2.2. Признаки </w:t>
      </w:r>
      <w:proofErr w:type="spellStart"/>
      <w:r>
        <w:t>person_income</w:t>
      </w:r>
      <w:proofErr w:type="spellEnd"/>
      <w:r>
        <w:t xml:space="preserve"> и </w:t>
      </w:r>
      <w:proofErr w:type="spellStart"/>
      <w:r>
        <w:t>loan_amnt</w:t>
      </w:r>
      <w:proofErr w:type="spellEnd"/>
      <w:r>
        <w:t xml:space="preserve"> имеют выраженную правостороннюю асимметрию, характерную для финансовых величин; в данных присутствуют единичные аномальные значения возраста и стажа, не оказывающие существенного влияния на модели на основе деревьев.</w:t>
      </w:r>
    </w:p>
    <w:p w:rsidR="00DF7F2B" w:rsidRDefault="00DF7F2B" w:rsidP="00DF7F2B">
      <w:pPr>
        <w:spacing w:line="360" w:lineRule="auto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401F8800" wp14:editId="14B1321B">
            <wp:extent cx="4705815" cy="2577442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" t="1079" b="1"/>
                    <a:stretch/>
                  </pic:blipFill>
                  <pic:spPr bwMode="auto">
                    <a:xfrm>
                      <a:off x="0" y="0"/>
                      <a:ext cx="4763200" cy="2608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7F2B" w:rsidRPr="00DF7F2B" w:rsidRDefault="00DF7F2B" w:rsidP="00DF7F2B">
      <w:pPr>
        <w:spacing w:line="360" w:lineRule="auto"/>
        <w:ind w:firstLine="709"/>
        <w:jc w:val="both"/>
      </w:pPr>
    </w:p>
    <w:p w:rsidR="00DF7F2B" w:rsidRDefault="00000000" w:rsidP="00DF7F2B">
      <w:pPr>
        <w:spacing w:before="120" w:after="240" w:line="360" w:lineRule="auto"/>
        <w:jc w:val="center"/>
      </w:pPr>
      <w:r>
        <w:t>Рис. 2.2. Распределения числовых признаков</w:t>
      </w:r>
    </w:p>
    <w:p w:rsidR="00EE605F" w:rsidRDefault="00000000" w:rsidP="0082313A">
      <w:pPr>
        <w:spacing w:line="360" w:lineRule="auto"/>
        <w:ind w:firstLine="709"/>
        <w:jc w:val="both"/>
      </w:pPr>
      <w:r>
        <w:t xml:space="preserve">Корреляционная матрица числовых признаков представлена на рисунке 2.3. Наиболее сильная взаимосвязь </w:t>
      </w:r>
      <w:r w:rsidR="0082313A">
        <w:t xml:space="preserve">с целевой переменной </w:t>
      </w:r>
      <w:r>
        <w:t xml:space="preserve">наблюдается </w:t>
      </w:r>
      <w:r w:rsidR="0082313A">
        <w:t>у доли дохода от суммы кредита и ставки кредита</w:t>
      </w:r>
      <w:r>
        <w:t xml:space="preserve">, что согласуется с содержательным смыслом признаков. </w:t>
      </w:r>
      <w:proofErr w:type="spellStart"/>
      <w:r>
        <w:t>Мультиколлинеарность</w:t>
      </w:r>
      <w:proofErr w:type="spellEnd"/>
      <w:r>
        <w:t xml:space="preserve"> критического уровня, требующая исключения признаков, не выявлена.</w:t>
      </w:r>
    </w:p>
    <w:p w:rsidR="0082313A" w:rsidRDefault="00110D0C" w:rsidP="0082313A">
      <w:pPr>
        <w:spacing w:line="360" w:lineRule="auto"/>
        <w:ind w:firstLine="709"/>
        <w:jc w:val="both"/>
      </w:pPr>
      <w:r>
        <w:rPr>
          <w:noProof/>
        </w:rPr>
        <w:drawing>
          <wp:inline distT="0" distB="0" distL="0" distR="0">
            <wp:extent cx="4705350" cy="3412699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107" cy="345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13A" w:rsidRPr="0082313A" w:rsidRDefault="0082313A" w:rsidP="0082313A">
      <w:pPr>
        <w:spacing w:line="360" w:lineRule="auto"/>
        <w:ind w:firstLine="709"/>
        <w:jc w:val="both"/>
      </w:pPr>
    </w:p>
    <w:p w:rsidR="00EE605F" w:rsidRDefault="00000000">
      <w:pPr>
        <w:spacing w:before="120" w:after="240" w:line="360" w:lineRule="auto"/>
        <w:jc w:val="center"/>
      </w:pPr>
      <w:r>
        <w:t>Рис. 2.3. Корреляционная матрица числовых признаков</w:t>
      </w:r>
    </w:p>
    <w:p w:rsidR="00EE605F" w:rsidRDefault="00000000">
      <w:pPr>
        <w:pStyle w:val="2"/>
        <w:spacing w:before="240" w:after="240" w:line="360" w:lineRule="auto"/>
        <w:jc w:val="center"/>
      </w:pPr>
      <w:bookmarkStart w:id="11" w:name="_Toc234261814"/>
      <w:r>
        <w:lastRenderedPageBreak/>
        <w:t>2.3. Предобработка данных</w:t>
      </w:r>
      <w:bookmarkEnd w:id="11"/>
    </w:p>
    <w:p w:rsidR="00EE605F" w:rsidRDefault="00000000">
      <w:pPr>
        <w:spacing w:line="360" w:lineRule="auto"/>
        <w:ind w:firstLine="709"/>
        <w:jc w:val="both"/>
      </w:pPr>
      <w:r>
        <w:t xml:space="preserve">Предобработка данных включала следующие этапы. Категориальные признаки </w:t>
      </w:r>
      <w:proofErr w:type="spellStart"/>
      <w:r>
        <w:t>person_home_ownership</w:t>
      </w:r>
      <w:proofErr w:type="spellEnd"/>
      <w:r>
        <w:t xml:space="preserve">, </w:t>
      </w:r>
      <w:proofErr w:type="spellStart"/>
      <w:r>
        <w:t>loan_intent</w:t>
      </w:r>
      <w:proofErr w:type="spellEnd"/>
      <w:r>
        <w:t xml:space="preserve"> и </w:t>
      </w:r>
      <w:proofErr w:type="spellStart"/>
      <w:r>
        <w:t>cb_person_default_on_file</w:t>
      </w:r>
      <w:proofErr w:type="spellEnd"/>
      <w:r>
        <w:t xml:space="preserve"> закодированы методом прямого кодирования (</w:t>
      </w:r>
      <w:proofErr w:type="spellStart"/>
      <w:r>
        <w:t>one-hot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); порядковый признак </w:t>
      </w:r>
      <w:proofErr w:type="spellStart"/>
      <w:r>
        <w:t>loan_grade</w:t>
      </w:r>
      <w:proofErr w:type="spellEnd"/>
      <w:r>
        <w:t xml:space="preserve"> преобразован в числовую шкалу с сохранением естественного порядка градаций A–G. Числовые признаки стандартизованы (приведены к нулевому среднему и единичной дисперсии), что необходимо для корректной работы логистической регрессии и нейронной сети. После кодирования размерность пространства признаков составила 19.</w:t>
      </w:r>
    </w:p>
    <w:p w:rsidR="00EE605F" w:rsidRDefault="00000000">
      <w:pPr>
        <w:spacing w:line="360" w:lineRule="auto"/>
        <w:ind w:firstLine="709"/>
        <w:jc w:val="both"/>
      </w:pPr>
      <w:r>
        <w:t xml:space="preserve">Данные разделены на обучающую и </w:t>
      </w:r>
      <w:proofErr w:type="spellStart"/>
      <w:r>
        <w:t>валидационную</w:t>
      </w:r>
      <w:proofErr w:type="spellEnd"/>
      <w:r>
        <w:t xml:space="preserve"> выборки в соотношении 80/20 со стратификацией по целевой переменной (параметр </w:t>
      </w:r>
      <w:proofErr w:type="spellStart"/>
      <w:r>
        <w:t>stratify</w:t>
      </w:r>
      <w:proofErr w:type="spellEnd"/>
      <w:r>
        <w:t xml:space="preserve">), что гарантирует одинаковую долю одобрений в обеих выборках. </w:t>
      </w:r>
      <w:proofErr w:type="spellStart"/>
      <w:r>
        <w:t>Валидационная</w:t>
      </w:r>
      <w:proofErr w:type="spellEnd"/>
      <w:r>
        <w:t xml:space="preserve"> выборка содержит 11 </w:t>
      </w:r>
      <w:r w:rsidR="00110D0C">
        <w:t>148</w:t>
      </w:r>
      <w:r>
        <w:t xml:space="preserve"> наблюдений и используется для сравнения моделей; тестовая выборка без меток используется для формирования итоговых предсказаний.</w:t>
      </w:r>
    </w:p>
    <w:p w:rsidR="00EE605F" w:rsidRDefault="00000000">
      <w:pPr>
        <w:pStyle w:val="2"/>
        <w:spacing w:before="240" w:after="240" w:line="360" w:lineRule="auto"/>
        <w:jc w:val="center"/>
      </w:pPr>
      <w:bookmarkStart w:id="12" w:name="_Toc234261815"/>
      <w:r>
        <w:t>2.4. Выводы</w:t>
      </w:r>
      <w:bookmarkEnd w:id="12"/>
    </w:p>
    <w:p w:rsidR="00EE605F" w:rsidRDefault="00000000">
      <w:pPr>
        <w:spacing w:line="360" w:lineRule="auto"/>
        <w:ind w:firstLine="709"/>
        <w:jc w:val="both"/>
      </w:pPr>
      <w:r>
        <w:t xml:space="preserve">Проведён разведочный анализ набора данных </w:t>
      </w:r>
      <w:proofErr w:type="spellStart"/>
      <w:r>
        <w:t>Loan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 xml:space="preserve"> (58 645 наблюдений, 12 признаков). Установлен выраженный дисбаланс классов (86/14), определивший выбор метрик качества и использование весовых коэффициентов классов при обучении. Выполнена предобработка данных: кодирование категориальных признаков, стандартизация числовых признаков и стратифицированное разделение на обучающую и </w:t>
      </w:r>
      <w:proofErr w:type="spellStart"/>
      <w:r>
        <w:t>валидационную</w:t>
      </w:r>
      <w:proofErr w:type="spellEnd"/>
      <w:r>
        <w:t xml:space="preserve"> выборки. Подготовленные данные используются для построения моделей в главе 3.</w:t>
      </w:r>
    </w:p>
    <w:p w:rsidR="00EE605F" w:rsidRDefault="00000000">
      <w:pPr>
        <w:pStyle w:val="1"/>
        <w:pageBreakBefore/>
        <w:spacing w:after="240" w:line="360" w:lineRule="auto"/>
        <w:jc w:val="center"/>
      </w:pPr>
      <w:bookmarkStart w:id="13" w:name="_Toc234261816"/>
      <w:r>
        <w:lastRenderedPageBreak/>
        <w:t>ГЛАВА 3. ПОСТРОЕНИЕ И СРАВНЕНИЕ МОДЕЛЕЙ</w:t>
      </w:r>
      <w:bookmarkEnd w:id="13"/>
    </w:p>
    <w:p w:rsidR="00EE605F" w:rsidRDefault="00000000">
      <w:pPr>
        <w:spacing w:line="360" w:lineRule="auto"/>
        <w:ind w:firstLine="709"/>
        <w:jc w:val="both"/>
      </w:pPr>
      <w:r>
        <w:t>В настоящей главе описывается методология обучения моделей, приводятся результаты обучения пяти классификаторов и их сравнение по метрикам качества, а также выполняется анализ ошибок лучшей модели.</w:t>
      </w:r>
    </w:p>
    <w:p w:rsidR="00EE605F" w:rsidRDefault="00000000">
      <w:pPr>
        <w:pStyle w:val="2"/>
        <w:spacing w:before="240" w:after="240" w:line="360" w:lineRule="auto"/>
        <w:jc w:val="center"/>
      </w:pPr>
      <w:bookmarkStart w:id="14" w:name="_Toc234261817"/>
      <w:r>
        <w:t>3.1. Методология и метрики качества</w:t>
      </w:r>
      <w:bookmarkEnd w:id="14"/>
    </w:p>
    <w:p w:rsidR="00EE605F" w:rsidRDefault="00000000">
      <w:pPr>
        <w:spacing w:line="360" w:lineRule="auto"/>
        <w:ind w:firstLine="709"/>
        <w:jc w:val="both"/>
      </w:pPr>
      <w:r>
        <w:t xml:space="preserve">Все модели обучались на единой тренировочной выборке и оценивались на единой </w:t>
      </w:r>
      <w:proofErr w:type="spellStart"/>
      <w:r>
        <w:t>валидационной</w:t>
      </w:r>
      <w:proofErr w:type="spellEnd"/>
      <w:r>
        <w:t xml:space="preserve"> выборке, что обеспечивает корректность сравнения. Реализация выполнена на языке Python с использованием библиотек </w:t>
      </w:r>
      <w:proofErr w:type="spellStart"/>
      <w:r>
        <w:t>scikit-learn</w:t>
      </w:r>
      <w:proofErr w:type="spellEnd"/>
      <w:r>
        <w:t xml:space="preserve"> [9] и </w:t>
      </w:r>
      <w:proofErr w:type="spellStart"/>
      <w:r>
        <w:t>XGBoost</w:t>
      </w:r>
      <w:proofErr w:type="spellEnd"/>
      <w:r>
        <w:t xml:space="preserve"> [4].</w:t>
      </w:r>
    </w:p>
    <w:p w:rsidR="00EE605F" w:rsidRDefault="00000000">
      <w:pPr>
        <w:spacing w:line="360" w:lineRule="auto"/>
        <w:ind w:firstLine="709"/>
        <w:jc w:val="both"/>
      </w:pPr>
      <w:r>
        <w:t>В условиях дисбаланса классов доля правильных ответов (</w:t>
      </w:r>
      <w:proofErr w:type="spellStart"/>
      <w:r>
        <w:t>Accuracy</w:t>
      </w:r>
      <w:proofErr w:type="spellEnd"/>
      <w:r>
        <w:t xml:space="preserve">) не является достаточной метрикой: модель, всегда предсказывающая отказ, достигла бы </w:t>
      </w:r>
      <w:proofErr w:type="spellStart"/>
      <w:r>
        <w:t>Accuracy</w:t>
      </w:r>
      <w:proofErr w:type="spellEnd"/>
      <w:r>
        <w:t xml:space="preserve"> = 0,86, не имея практической ценности. Поэтому основными метриками выбраны ROC-AUC — площадь под ROC-кривой, характеризующая качество ранжирования вне зависимости от порога классификации, а также Precision, </w:t>
      </w:r>
      <w:proofErr w:type="spellStart"/>
      <w:r>
        <w:t>Recall</w:t>
      </w:r>
      <w:proofErr w:type="spellEnd"/>
      <w:r>
        <w:t xml:space="preserve"> и F1-score для класса одобрения. F1-score вычисляется как гармоническое среднее точности и полноты по формуле (3.1):</w:t>
      </w:r>
    </w:p>
    <w:p w:rsidR="00EE605F" w:rsidRPr="00DF7F2B" w:rsidRDefault="00000000">
      <w:pPr>
        <w:spacing w:before="120" w:after="120" w:line="360" w:lineRule="auto"/>
        <w:jc w:val="both"/>
        <w:rPr>
          <w:lang w:val="en-US"/>
        </w:rPr>
      </w:pPr>
      <w:r>
        <w:ptab w:relativeTo="margin" w:alignment="center" w:leader="none"/>
      </w:r>
      <w:r w:rsidRPr="00DF7F2B">
        <w:rPr>
          <w:i/>
          <w:iCs/>
          <w:lang w:val="en-US"/>
        </w:rPr>
        <w:t>F1 = 2 · Precision · Recall / (Precision + Recall)</w:t>
      </w:r>
      <w:r>
        <w:ptab w:relativeTo="margin" w:alignment="right" w:leader="none"/>
      </w:r>
      <w:r w:rsidRPr="00DF7F2B">
        <w:rPr>
          <w:lang w:val="en-US"/>
        </w:rPr>
        <w:t>(3.1)</w:t>
      </w:r>
    </w:p>
    <w:p w:rsidR="00EE605F" w:rsidRDefault="00000000">
      <w:pPr>
        <w:spacing w:line="360" w:lineRule="auto"/>
        <w:ind w:firstLine="709"/>
        <w:jc w:val="both"/>
      </w:pPr>
      <w:r>
        <w:t xml:space="preserve">где Precision — точность (доля верных одобрений среди всех одобрений модели); </w:t>
      </w:r>
      <w:proofErr w:type="spellStart"/>
      <w:r>
        <w:t>Recall</w:t>
      </w:r>
      <w:proofErr w:type="spellEnd"/>
      <w:r>
        <w:t xml:space="preserve"> — полнота (доля найденных моделью одобрений среди всех фактических одобрений).</w:t>
      </w:r>
    </w:p>
    <w:p w:rsidR="00EE605F" w:rsidRDefault="00000000">
      <w:pPr>
        <w:spacing w:line="360" w:lineRule="auto"/>
        <w:ind w:firstLine="709"/>
        <w:jc w:val="both"/>
      </w:pPr>
      <w:r>
        <w:t xml:space="preserve">Значения Precision и </w:t>
      </w:r>
      <w:proofErr w:type="spellStart"/>
      <w:r>
        <w:t>Recall</w:t>
      </w:r>
      <w:proofErr w:type="spellEnd"/>
      <w:r>
        <w:t xml:space="preserve"> зависят от порога классификации; все приведённые ниже значения соответствуют порогу по умолчанию, равному 0,5. При изменении порога соотношение точности и полноты изменяется, что позволяет настраивать модель под требования конкретного бизнес-процесса.</w:t>
      </w:r>
    </w:p>
    <w:p w:rsidR="00EE605F" w:rsidRDefault="00000000">
      <w:pPr>
        <w:pStyle w:val="2"/>
        <w:spacing w:before="240" w:after="240" w:line="360" w:lineRule="auto"/>
        <w:jc w:val="center"/>
      </w:pPr>
      <w:bookmarkStart w:id="15" w:name="_Toc234261818"/>
      <w:r>
        <w:t>3.2. Обучение моделей</w:t>
      </w:r>
      <w:bookmarkEnd w:id="15"/>
    </w:p>
    <w:p w:rsidR="00EE605F" w:rsidRDefault="00000000">
      <w:pPr>
        <w:spacing w:line="360" w:lineRule="auto"/>
        <w:ind w:firstLine="709"/>
        <w:jc w:val="both"/>
      </w:pPr>
      <w:r>
        <w:t>В работе обучены пять моделей классификации:</w:t>
      </w:r>
    </w:p>
    <w:p w:rsidR="00EE605F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lastRenderedPageBreak/>
        <w:t>логистическая регрессия (</w:t>
      </w:r>
      <w:proofErr w:type="spellStart"/>
      <w:r>
        <w:t>class_weight</w:t>
      </w:r>
      <w:proofErr w:type="spellEnd"/>
      <w:r>
        <w:t xml:space="preserve"> = '</w:t>
      </w:r>
      <w:proofErr w:type="spellStart"/>
      <w:r>
        <w:t>balanced</w:t>
      </w:r>
      <w:proofErr w:type="spellEnd"/>
      <w:r>
        <w:t xml:space="preserve">', </w:t>
      </w:r>
      <w:proofErr w:type="spellStart"/>
      <w:r>
        <w:t>max_iter</w:t>
      </w:r>
      <w:proofErr w:type="spellEnd"/>
      <w:r>
        <w:t xml:space="preserve"> = 1000) — базовая линейная модель, используемая как эталон сравнения;</w:t>
      </w:r>
    </w:p>
    <w:p w:rsidR="00EE605F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случайный лес (100 деревьев, </w:t>
      </w:r>
      <w:proofErr w:type="spellStart"/>
      <w:r>
        <w:t>class_weight</w:t>
      </w:r>
      <w:proofErr w:type="spellEnd"/>
      <w:r>
        <w:t xml:space="preserve"> = '</w:t>
      </w:r>
      <w:proofErr w:type="spellStart"/>
      <w:r>
        <w:t>balanced</w:t>
      </w:r>
      <w:proofErr w:type="spellEnd"/>
      <w:r>
        <w:t>');</w:t>
      </w:r>
    </w:p>
    <w:p w:rsidR="00EE605F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градиентный </w:t>
      </w:r>
      <w:proofErr w:type="spellStart"/>
      <w:r>
        <w:t>бустинг</w:t>
      </w:r>
      <w:proofErr w:type="spellEnd"/>
      <w:r>
        <w:t xml:space="preserve"> (100 деревьев, </w:t>
      </w:r>
      <w:proofErr w:type="spellStart"/>
      <w:r>
        <w:t>learning_rate</w:t>
      </w:r>
      <w:proofErr w:type="spellEnd"/>
      <w:r>
        <w:t xml:space="preserve"> = 0,1, </w:t>
      </w:r>
      <w:proofErr w:type="spellStart"/>
      <w:r>
        <w:t>max_depth</w:t>
      </w:r>
      <w:proofErr w:type="spellEnd"/>
      <w:r>
        <w:t xml:space="preserve"> = 3);</w:t>
      </w:r>
    </w:p>
    <w:p w:rsidR="00EE605F" w:rsidRPr="00DF7F2B" w:rsidRDefault="00000000">
      <w:pPr>
        <w:pStyle w:val="a4"/>
        <w:numPr>
          <w:ilvl w:val="0"/>
          <w:numId w:val="2"/>
        </w:numPr>
        <w:spacing w:line="360" w:lineRule="auto"/>
        <w:jc w:val="both"/>
        <w:rPr>
          <w:lang w:val="en-US"/>
        </w:rPr>
      </w:pPr>
      <w:proofErr w:type="spellStart"/>
      <w:r w:rsidRPr="00DF7F2B">
        <w:rPr>
          <w:lang w:val="en-US"/>
        </w:rPr>
        <w:t>XGBoost</w:t>
      </w:r>
      <w:proofErr w:type="spellEnd"/>
      <w:r w:rsidRPr="00DF7F2B">
        <w:rPr>
          <w:lang w:val="en-US"/>
        </w:rPr>
        <w:t xml:space="preserve"> (100 </w:t>
      </w:r>
      <w:r>
        <w:t>деревьев</w:t>
      </w:r>
      <w:r w:rsidRPr="00DF7F2B">
        <w:rPr>
          <w:lang w:val="en-US"/>
        </w:rPr>
        <w:t xml:space="preserve">, </w:t>
      </w:r>
      <w:proofErr w:type="spellStart"/>
      <w:r w:rsidRPr="00DF7F2B">
        <w:rPr>
          <w:lang w:val="en-US"/>
        </w:rPr>
        <w:t>learning_rate</w:t>
      </w:r>
      <w:proofErr w:type="spellEnd"/>
      <w:r w:rsidRPr="00DF7F2B">
        <w:rPr>
          <w:lang w:val="en-US"/>
        </w:rPr>
        <w:t xml:space="preserve"> = 0,1, </w:t>
      </w:r>
      <w:proofErr w:type="spellStart"/>
      <w:r w:rsidRPr="00DF7F2B">
        <w:rPr>
          <w:lang w:val="en-US"/>
        </w:rPr>
        <w:t>max_depth</w:t>
      </w:r>
      <w:proofErr w:type="spellEnd"/>
      <w:r w:rsidRPr="00DF7F2B">
        <w:rPr>
          <w:lang w:val="en-US"/>
        </w:rPr>
        <w:t xml:space="preserve"> = 3, </w:t>
      </w:r>
      <w:proofErr w:type="spellStart"/>
      <w:r w:rsidRPr="00DF7F2B">
        <w:rPr>
          <w:lang w:val="en-US"/>
        </w:rPr>
        <w:t>scale_pos_weight</w:t>
      </w:r>
      <w:proofErr w:type="spellEnd"/>
      <w:r w:rsidRPr="00DF7F2B">
        <w:rPr>
          <w:lang w:val="en-US"/>
        </w:rPr>
        <w:t xml:space="preserve"> = 6);</w:t>
      </w:r>
    </w:p>
    <w:p w:rsidR="00EE605F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многослойный персептрон (два скрытых слоя размерностей 64 и 32, функция активации </w:t>
      </w:r>
      <w:proofErr w:type="spellStart"/>
      <w:r>
        <w:t>ReLU</w:t>
      </w:r>
      <w:proofErr w:type="spellEnd"/>
      <w:r>
        <w:t>, ранняя остановка).</w:t>
      </w:r>
    </w:p>
    <w:p w:rsidR="00EE605F" w:rsidRDefault="00000000">
      <w:pPr>
        <w:spacing w:line="360" w:lineRule="auto"/>
        <w:ind w:firstLine="709"/>
        <w:jc w:val="both"/>
      </w:pPr>
      <w:r>
        <w:t xml:space="preserve">Для каждой модели на </w:t>
      </w:r>
      <w:proofErr w:type="spellStart"/>
      <w:r>
        <w:t>валидационной</w:t>
      </w:r>
      <w:proofErr w:type="spellEnd"/>
      <w:r>
        <w:t xml:space="preserve"> выборке рассчитаны отчёт классификации и значение ROC-AUC.</w:t>
      </w:r>
    </w:p>
    <w:p w:rsidR="00EE605F" w:rsidRDefault="00000000">
      <w:pPr>
        <w:pStyle w:val="2"/>
        <w:spacing w:before="240" w:after="240" w:line="360" w:lineRule="auto"/>
        <w:jc w:val="center"/>
      </w:pPr>
      <w:bookmarkStart w:id="16" w:name="_Toc234261819"/>
      <w:r>
        <w:t>3.3. Сравнение моделей и выбор лучшей</w:t>
      </w:r>
      <w:bookmarkEnd w:id="16"/>
    </w:p>
    <w:p w:rsidR="00EE605F" w:rsidRDefault="00000000">
      <w:pPr>
        <w:spacing w:line="360" w:lineRule="auto"/>
        <w:ind w:firstLine="709"/>
        <w:jc w:val="both"/>
      </w:pPr>
      <w:r>
        <w:t>Сводные результаты сравнения моделей приведены в таблице 3.1 и на рисунке 3.1.</w:t>
      </w:r>
    </w:p>
    <w:p w:rsidR="00EE605F" w:rsidRDefault="00000000">
      <w:pPr>
        <w:spacing w:before="240" w:line="360" w:lineRule="auto"/>
        <w:jc w:val="right"/>
      </w:pPr>
      <w:r>
        <w:t>Таблица 3.1</w:t>
      </w:r>
    </w:p>
    <w:p w:rsidR="00EE605F" w:rsidRDefault="00000000">
      <w:pPr>
        <w:spacing w:after="120" w:line="360" w:lineRule="auto"/>
        <w:jc w:val="center"/>
      </w:pPr>
      <w:r>
        <w:t xml:space="preserve">Результаты сравнения моделей на </w:t>
      </w:r>
      <w:proofErr w:type="spellStart"/>
      <w:r>
        <w:t>валидационной</w:t>
      </w:r>
      <w:proofErr w:type="spellEnd"/>
      <w:r>
        <w:t xml:space="preserve"> выборке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0"/>
        <w:gridCol w:w="1380"/>
        <w:gridCol w:w="1380"/>
        <w:gridCol w:w="1380"/>
        <w:gridCol w:w="1380"/>
        <w:gridCol w:w="1380"/>
      </w:tblGrid>
      <w:tr w:rsidR="00EE605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ROC-AUC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Precision (класс 1)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Recall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(класс 1)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F1-score (класс 1)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Accuracy</w:t>
            </w:r>
            <w:proofErr w:type="spellEnd"/>
          </w:p>
        </w:tc>
      </w:tr>
      <w:tr w:rsidR="00EE605F">
        <w:tblPrEx>
          <w:tblCellMar>
            <w:top w:w="0" w:type="dxa"/>
            <w:bottom w:w="0" w:type="dxa"/>
          </w:tblCellMar>
        </w:tblPrEx>
        <w:tc>
          <w:tcPr>
            <w:tcW w:w="2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r>
              <w:rPr>
                <w:sz w:val="24"/>
                <w:szCs w:val="24"/>
              </w:rPr>
              <w:t>Логистическая регрессия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0,898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0,43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0,83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0,56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0,82</w:t>
            </w:r>
          </w:p>
        </w:tc>
      </w:tr>
      <w:tr w:rsidR="00EE605F">
        <w:tblPrEx>
          <w:tblCellMar>
            <w:top w:w="0" w:type="dxa"/>
            <w:bottom w:w="0" w:type="dxa"/>
          </w:tblCellMar>
        </w:tblPrEx>
        <w:tc>
          <w:tcPr>
            <w:tcW w:w="2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r>
              <w:rPr>
                <w:sz w:val="24"/>
                <w:szCs w:val="24"/>
              </w:rPr>
              <w:t>Случайный лес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0,934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0,94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0,70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0,80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0,95</w:t>
            </w:r>
          </w:p>
        </w:tc>
      </w:tr>
      <w:tr w:rsidR="00EE605F">
        <w:tblPrEx>
          <w:tblCellMar>
            <w:top w:w="0" w:type="dxa"/>
            <w:bottom w:w="0" w:type="dxa"/>
          </w:tblCellMar>
        </w:tblPrEx>
        <w:tc>
          <w:tcPr>
            <w:tcW w:w="2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r>
              <w:rPr>
                <w:sz w:val="24"/>
                <w:szCs w:val="24"/>
              </w:rPr>
              <w:t xml:space="preserve">Градиентный </w:t>
            </w:r>
            <w:proofErr w:type="spellStart"/>
            <w:r>
              <w:rPr>
                <w:sz w:val="24"/>
                <w:szCs w:val="24"/>
              </w:rPr>
              <w:t>бустинг</w:t>
            </w:r>
            <w:proofErr w:type="spellEnd"/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0,942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0,92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0,72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0,80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0,95</w:t>
            </w:r>
          </w:p>
        </w:tc>
      </w:tr>
      <w:tr w:rsidR="00EE605F">
        <w:tblPrEx>
          <w:tblCellMar>
            <w:top w:w="0" w:type="dxa"/>
            <w:bottom w:w="0" w:type="dxa"/>
          </w:tblCellMar>
        </w:tblPrEx>
        <w:tc>
          <w:tcPr>
            <w:tcW w:w="2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roofErr w:type="spellStart"/>
            <w:r>
              <w:rPr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0,943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0,68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0,81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0,74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0,92</w:t>
            </w:r>
          </w:p>
        </w:tc>
      </w:tr>
      <w:tr w:rsidR="00EE605F">
        <w:tblPrEx>
          <w:tblCellMar>
            <w:top w:w="0" w:type="dxa"/>
            <w:bottom w:w="0" w:type="dxa"/>
          </w:tblCellMar>
        </w:tblPrEx>
        <w:tc>
          <w:tcPr>
            <w:tcW w:w="2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r>
              <w:rPr>
                <w:sz w:val="24"/>
                <w:szCs w:val="24"/>
              </w:rPr>
              <w:t>Нейронная сеть (MLP)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0,925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0,91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0,68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0,78</w:t>
            </w:r>
          </w:p>
        </w:tc>
        <w:tc>
          <w:tcPr>
            <w:tcW w:w="13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Pr>
              <w:jc w:val="center"/>
            </w:pPr>
            <w:r>
              <w:rPr>
                <w:sz w:val="24"/>
                <w:szCs w:val="24"/>
              </w:rPr>
              <w:t>0,94</w:t>
            </w:r>
          </w:p>
        </w:tc>
      </w:tr>
    </w:tbl>
    <w:p w:rsidR="00B25115" w:rsidRDefault="00B25115">
      <w:pPr>
        <w:spacing w:line="360" w:lineRule="auto"/>
      </w:pPr>
    </w:p>
    <w:p w:rsidR="00B25115" w:rsidRDefault="00B25115">
      <w:pPr>
        <w:spacing w:line="360" w:lineRule="auto"/>
      </w:pPr>
      <w:r>
        <w:rPr>
          <w:noProof/>
        </w:rPr>
        <w:lastRenderedPageBreak/>
        <w:drawing>
          <wp:inline distT="0" distB="0" distL="0" distR="0">
            <wp:extent cx="5111916" cy="2501467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0"/>
                    <a:stretch/>
                  </pic:blipFill>
                  <pic:spPr bwMode="auto">
                    <a:xfrm>
                      <a:off x="0" y="0"/>
                      <a:ext cx="5155963" cy="2523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605F" w:rsidRDefault="00000000">
      <w:pPr>
        <w:spacing w:before="120" w:after="240" w:line="360" w:lineRule="auto"/>
        <w:jc w:val="center"/>
      </w:pPr>
      <w:r>
        <w:t>Рис. 3.1. Сравнение моделей по ROC-AUC</w:t>
      </w:r>
    </w:p>
    <w:p w:rsidR="00EE605F" w:rsidRDefault="00000000">
      <w:pPr>
        <w:spacing w:line="360" w:lineRule="auto"/>
        <w:ind w:firstLine="709"/>
        <w:jc w:val="both"/>
      </w:pPr>
      <w:r>
        <w:t>По результатам сравнения можно сделать следующие выводы. Логистическая регрессия заметно уступает остальным моделям (ROC-AUC = 0,898; Precision класса 1 всего 0,43): линейная модель не улавливает сложные нелинейные зависимости в данных. Ансамблевые модели и нейронная сеть демонстрируют близкие высокие результаты по ROC-AUC (0,925–0,943).</w:t>
      </w:r>
    </w:p>
    <w:p w:rsidR="00EE605F" w:rsidRDefault="00000000">
      <w:pPr>
        <w:spacing w:line="360" w:lineRule="auto"/>
        <w:ind w:firstLine="709"/>
        <w:jc w:val="both"/>
      </w:pPr>
      <w:proofErr w:type="spellStart"/>
      <w:r>
        <w:t>XGBoost</w:t>
      </w:r>
      <w:proofErr w:type="spellEnd"/>
      <w:r>
        <w:t xml:space="preserve"> имеет наивысший ROC-AUC (0,943), однако его Precision для класса одобрения составляет лишь 0,68 — модель одобряет слишком много ненадёжных заявок, что неприемлемо для финансовой задачи, в которой ошибочное одобрение сопряжено с прямыми потерями. В качестве лучшей модели выбран градиентный </w:t>
      </w:r>
      <w:proofErr w:type="spellStart"/>
      <w:r>
        <w:t>бустинг</w:t>
      </w:r>
      <w:proofErr w:type="spellEnd"/>
      <w:r>
        <w:t>, обеспечивающий оптимальный баланс качества ранжирования (ROC-AUC = 0,942) и точности одобрений (Precision = 0,92). Данная модель используется для итоговых предсказаний на тестовой выборке и для детального SHAP-анализа в главе 4.</w:t>
      </w:r>
    </w:p>
    <w:p w:rsidR="00EE605F" w:rsidRDefault="00000000">
      <w:pPr>
        <w:pStyle w:val="2"/>
        <w:spacing w:before="240" w:after="240" w:line="360" w:lineRule="auto"/>
        <w:jc w:val="center"/>
      </w:pPr>
      <w:bookmarkStart w:id="17" w:name="_Toc234261820"/>
      <w:r>
        <w:t>3.4. Анализ ошибок лучшей модели</w:t>
      </w:r>
      <w:bookmarkEnd w:id="17"/>
    </w:p>
    <w:p w:rsidR="00B25115" w:rsidRDefault="00000000">
      <w:pPr>
        <w:spacing w:line="360" w:lineRule="auto"/>
        <w:ind w:firstLine="709"/>
        <w:jc w:val="both"/>
      </w:pPr>
      <w:r>
        <w:t xml:space="preserve">Матрица ошибок градиентного </w:t>
      </w:r>
      <w:proofErr w:type="spellStart"/>
      <w:r>
        <w:t>бустинга</w:t>
      </w:r>
      <w:proofErr w:type="spellEnd"/>
      <w:r>
        <w:t xml:space="preserve"> на </w:t>
      </w:r>
      <w:proofErr w:type="spellStart"/>
      <w:r>
        <w:t>валидационной</w:t>
      </w:r>
      <w:proofErr w:type="spellEnd"/>
      <w:r>
        <w:t xml:space="preserve"> выборке представлена на рисунке 3.2. Модель ошиблась в 581 случае из 11 </w:t>
      </w:r>
      <w:r w:rsidR="00B25115">
        <w:t>148</w:t>
      </w:r>
      <w:r>
        <w:t xml:space="preserve">, что соответствует уровню ошибок около 5 %. Из них критические ошибки — ошибочные одобрения ненадёжных заявок (ложноположительные) — </w:t>
      </w:r>
      <w:r>
        <w:lastRenderedPageBreak/>
        <w:t>составили 106 случаев, а пропущенные одобрения надёжных заявок (ложноотрицательные) — 475 случаев.</w:t>
      </w:r>
    </w:p>
    <w:p w:rsidR="00EE605F" w:rsidRDefault="00B25115">
      <w:pPr>
        <w:spacing w:line="360" w:lineRule="auto"/>
        <w:ind w:firstLine="709"/>
        <w:jc w:val="both"/>
      </w:pPr>
      <w:r>
        <w:rPr>
          <w:noProof/>
        </w:rPr>
        <w:drawing>
          <wp:inline distT="0" distB="0" distL="0" distR="0">
            <wp:extent cx="5067284" cy="3843655"/>
            <wp:effectExtent l="0" t="0" r="63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8" t="2544"/>
                    <a:stretch/>
                  </pic:blipFill>
                  <pic:spPr bwMode="auto">
                    <a:xfrm>
                      <a:off x="0" y="0"/>
                      <a:ext cx="5144943" cy="3902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5115" w:rsidRDefault="00B25115">
      <w:pPr>
        <w:spacing w:line="360" w:lineRule="auto"/>
        <w:ind w:firstLine="709"/>
        <w:jc w:val="both"/>
      </w:pPr>
    </w:p>
    <w:p w:rsidR="00EE605F" w:rsidRDefault="00000000">
      <w:pPr>
        <w:spacing w:before="120" w:after="240" w:line="360" w:lineRule="auto"/>
        <w:jc w:val="center"/>
      </w:pPr>
      <w:r>
        <w:t xml:space="preserve">Рис. 3.2. Матрица ошибок модели градиентного </w:t>
      </w:r>
      <w:proofErr w:type="spellStart"/>
      <w:r>
        <w:t>бустинга</w:t>
      </w:r>
      <w:proofErr w:type="spellEnd"/>
    </w:p>
    <w:p w:rsidR="00EE605F" w:rsidRDefault="00000000">
      <w:pPr>
        <w:spacing w:line="360" w:lineRule="auto"/>
        <w:ind w:firstLine="709"/>
        <w:jc w:val="both"/>
      </w:pPr>
      <w:r>
        <w:t>Преобладание ошибок второго типа над критическими ошибками согласуется с консервативной логикой кредитования: модель чаще отказывает надёжному заёмщику, чем одобряет ненадёжного. При необходимости соотношение типов ошибок может регулироваться изменением порога классификации.</w:t>
      </w:r>
    </w:p>
    <w:p w:rsidR="00EE605F" w:rsidRDefault="00000000">
      <w:pPr>
        <w:pStyle w:val="2"/>
        <w:spacing w:before="240" w:after="240" w:line="360" w:lineRule="auto"/>
        <w:jc w:val="center"/>
      </w:pPr>
      <w:bookmarkStart w:id="18" w:name="_Toc234261821"/>
      <w:r>
        <w:t>3.5. Выводы</w:t>
      </w:r>
      <w:bookmarkEnd w:id="18"/>
    </w:p>
    <w:p w:rsidR="00EE605F" w:rsidRDefault="00000000">
      <w:pPr>
        <w:spacing w:line="360" w:lineRule="auto"/>
        <w:ind w:firstLine="709"/>
        <w:jc w:val="both"/>
      </w:pPr>
      <w:r>
        <w:t xml:space="preserve">Построены и сравнены пять моделей классификации кредитных заявок. Показано, что ансамблевые методы существенно превосходят линейную модель. Лучшей моделью по совокупности метрик признан градиентный </w:t>
      </w:r>
      <w:proofErr w:type="spellStart"/>
      <w:r>
        <w:t>бустинг</w:t>
      </w:r>
      <w:proofErr w:type="spellEnd"/>
      <w:r>
        <w:t xml:space="preserve"> (ROC-AUC = 0,942, Precision класса одобрения = 0,92, доля ошибок </w:t>
      </w:r>
      <w:r>
        <w:lastRenderedPageBreak/>
        <w:t>около 5 %). Итоговые вероятностные предсказания для тестовой выборки сформированы данной моделью.</w:t>
      </w:r>
    </w:p>
    <w:p w:rsidR="00EE605F" w:rsidRDefault="00000000">
      <w:pPr>
        <w:pStyle w:val="1"/>
        <w:pageBreakBefore/>
        <w:spacing w:after="240" w:line="360" w:lineRule="auto"/>
        <w:jc w:val="center"/>
      </w:pPr>
      <w:bookmarkStart w:id="19" w:name="_Toc234261822"/>
      <w:r>
        <w:lastRenderedPageBreak/>
        <w:t>ГЛАВА 4. ИНТЕРПРЕТАЦИЯ МОДЕЛЕЙ</w:t>
      </w:r>
      <w:bookmarkEnd w:id="19"/>
    </w:p>
    <w:p w:rsidR="00EE605F" w:rsidRDefault="00000000">
      <w:pPr>
        <w:spacing w:line="360" w:lineRule="auto"/>
        <w:ind w:firstLine="709"/>
        <w:jc w:val="both"/>
      </w:pPr>
      <w:r>
        <w:t xml:space="preserve">В настоящей главе результаты лучшей модели интерпретируются методами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и SHAP: определяются глобально важные признаки, анализируется характер их влияния и приводится пример объяснения отдельного решения модели.</w:t>
      </w:r>
    </w:p>
    <w:p w:rsidR="00EE605F" w:rsidRDefault="00000000">
      <w:pPr>
        <w:pStyle w:val="2"/>
        <w:spacing w:before="240" w:after="240" w:line="360" w:lineRule="auto"/>
        <w:jc w:val="center"/>
      </w:pPr>
      <w:bookmarkStart w:id="20" w:name="_Toc234261823"/>
      <w:r>
        <w:t>4.1. Важность признаков (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>)</w:t>
      </w:r>
      <w:bookmarkEnd w:id="20"/>
    </w:p>
    <w:p w:rsidR="00EE605F" w:rsidRDefault="00000000">
      <w:pPr>
        <w:spacing w:line="360" w:lineRule="auto"/>
        <w:ind w:firstLine="709"/>
        <w:jc w:val="both"/>
      </w:pPr>
      <w:r>
        <w:t xml:space="preserve">Встроенная важность признаков рассчитана для трёх моделей на основе деревьев: случайного леса, градиентного </w:t>
      </w:r>
      <w:proofErr w:type="spellStart"/>
      <w:r>
        <w:t>бустинга</w:t>
      </w:r>
      <w:proofErr w:type="spellEnd"/>
      <w:r>
        <w:t xml:space="preserve"> и </w:t>
      </w:r>
      <w:proofErr w:type="spellStart"/>
      <w:r>
        <w:t>XGBoost</w:t>
      </w:r>
      <w:proofErr w:type="spellEnd"/>
      <w:r>
        <w:t xml:space="preserve"> (рисунок 4.1). Все три модели согласованно выделяют в качестве ведущих признаков долю кредита от дохода (</w:t>
      </w:r>
      <w:proofErr w:type="spellStart"/>
      <w:r>
        <w:t>loan_percent_income</w:t>
      </w:r>
      <w:proofErr w:type="spellEnd"/>
      <w:r>
        <w:t>), кредитный рейтинг (</w:t>
      </w:r>
      <w:proofErr w:type="spellStart"/>
      <w:r>
        <w:t>loan_grade</w:t>
      </w:r>
      <w:proofErr w:type="spellEnd"/>
      <w:r>
        <w:t>) и процентную ставку (</w:t>
      </w:r>
      <w:proofErr w:type="spellStart"/>
      <w:r>
        <w:t>loan_int_rate</w:t>
      </w:r>
      <w:proofErr w:type="spellEnd"/>
      <w:r>
        <w:t>), что повышает достоверность полученной картины важности.</w:t>
      </w:r>
    </w:p>
    <w:p w:rsidR="00B25115" w:rsidRDefault="00B25115">
      <w:pPr>
        <w:spacing w:line="360" w:lineRule="auto"/>
        <w:ind w:firstLine="709"/>
        <w:jc w:val="both"/>
      </w:pPr>
      <w:r>
        <w:rPr>
          <w:noProof/>
        </w:rPr>
        <w:drawing>
          <wp:inline distT="0" distB="0" distL="0" distR="0">
            <wp:extent cx="4661210" cy="184206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143" cy="188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05F" w:rsidRDefault="00000000">
      <w:pPr>
        <w:spacing w:before="120" w:after="240" w:line="360" w:lineRule="auto"/>
        <w:jc w:val="center"/>
      </w:pPr>
      <w:r>
        <w:t>Рис. 4.1. Важность признаков моделей на основе деревьев</w:t>
      </w:r>
    </w:p>
    <w:p w:rsidR="00EE605F" w:rsidRDefault="00000000">
      <w:pPr>
        <w:pStyle w:val="2"/>
        <w:spacing w:before="240" w:after="240" w:line="360" w:lineRule="auto"/>
        <w:jc w:val="center"/>
      </w:pPr>
      <w:bookmarkStart w:id="21" w:name="_Toc234261824"/>
      <w:r>
        <w:t>4.2. Глобальный SHAP-анализ</w:t>
      </w:r>
      <w:bookmarkEnd w:id="21"/>
    </w:p>
    <w:p w:rsidR="00EE605F" w:rsidRDefault="00000000">
      <w:pPr>
        <w:spacing w:line="360" w:lineRule="auto"/>
        <w:ind w:firstLine="709"/>
        <w:jc w:val="both"/>
      </w:pPr>
      <w:r>
        <w:t xml:space="preserve">SHAP-анализ выполнен для лучшей модели — градиентного </w:t>
      </w:r>
      <w:proofErr w:type="spellStart"/>
      <w:r>
        <w:t>бустинга</w:t>
      </w:r>
      <w:proofErr w:type="spellEnd"/>
      <w:r>
        <w:t xml:space="preserve"> — с использованием точного алгоритма </w:t>
      </w:r>
      <w:proofErr w:type="spellStart"/>
      <w:r>
        <w:t>TreeExplainer</w:t>
      </w:r>
      <w:proofErr w:type="spellEnd"/>
      <w:r>
        <w:t xml:space="preserve"> [7]. Глобальная важность признаков по средним абсолютным SHAP-значениям представлена на рисунке 4.2, распределение SHAP-значений с учётом направления влияния — на рисунке 4.3.</w:t>
      </w:r>
    </w:p>
    <w:p w:rsidR="003826B7" w:rsidRDefault="003826B7">
      <w:pPr>
        <w:spacing w:line="360" w:lineRule="auto"/>
        <w:ind w:firstLine="709"/>
        <w:jc w:val="both"/>
      </w:pPr>
      <w:r>
        <w:rPr>
          <w:noProof/>
        </w:rPr>
        <w:lastRenderedPageBreak/>
        <w:drawing>
          <wp:inline distT="0" distB="0" distL="0" distR="0">
            <wp:extent cx="4047304" cy="4630918"/>
            <wp:effectExtent l="0" t="0" r="444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9" t="827" r="-1"/>
                    <a:stretch/>
                  </pic:blipFill>
                  <pic:spPr bwMode="auto">
                    <a:xfrm>
                      <a:off x="0" y="0"/>
                      <a:ext cx="4135414" cy="4731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605F" w:rsidRDefault="00000000">
      <w:pPr>
        <w:spacing w:before="120" w:after="240" w:line="360" w:lineRule="auto"/>
        <w:jc w:val="center"/>
      </w:pPr>
      <w:r>
        <w:t>Рис. 4.2. Глобальная важность признаков по SHAP</w:t>
      </w:r>
    </w:p>
    <w:p w:rsidR="003826B7" w:rsidRDefault="003826B7" w:rsidP="003826B7">
      <w:pPr>
        <w:spacing w:before="120" w:after="240" w:line="360" w:lineRule="auto"/>
        <w:jc w:val="center"/>
      </w:pPr>
      <w:r>
        <w:rPr>
          <w:noProof/>
        </w:rPr>
        <w:drawing>
          <wp:inline distT="0" distB="0" distL="0" distR="0">
            <wp:extent cx="3456878" cy="3970632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5" t="835" r="1088"/>
                    <a:stretch/>
                  </pic:blipFill>
                  <pic:spPr bwMode="auto">
                    <a:xfrm>
                      <a:off x="0" y="0"/>
                      <a:ext cx="3456878" cy="3970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605F" w:rsidRDefault="00000000" w:rsidP="003826B7">
      <w:pPr>
        <w:spacing w:before="120" w:after="240" w:line="360" w:lineRule="auto"/>
        <w:jc w:val="center"/>
      </w:pPr>
      <w:r>
        <w:lastRenderedPageBreak/>
        <w:t>Рис. 4.3. Распределение SHAP-значений признаков (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plot</w:t>
      </w:r>
      <w:proofErr w:type="spellEnd"/>
      <w:r>
        <w:t>)</w:t>
      </w:r>
    </w:p>
    <w:p w:rsidR="00EE605F" w:rsidRDefault="00000000">
      <w:pPr>
        <w:spacing w:line="360" w:lineRule="auto"/>
        <w:ind w:firstLine="709"/>
        <w:jc w:val="both"/>
      </w:pPr>
      <w:r>
        <w:t>Анализ диаграммы рассеяния SHAP-значений позволяет установить не только важность, но и направление влияния признаков. Высокая доля кредита от дохода (</w:t>
      </w:r>
      <w:proofErr w:type="spellStart"/>
      <w:r>
        <w:t>loan_percent_income</w:t>
      </w:r>
      <w:proofErr w:type="spellEnd"/>
      <w:r>
        <w:t>) смещает предсказание в сторону одобрения. Низкий доход заёмщика (</w:t>
      </w:r>
      <w:proofErr w:type="spellStart"/>
      <w:r>
        <w:t>person_income</w:t>
      </w:r>
      <w:proofErr w:type="spellEnd"/>
      <w:r>
        <w:t>) устойчиво связан с отказом, высокий — с одобрением. Аренда жилья (</w:t>
      </w:r>
      <w:proofErr w:type="spellStart"/>
      <w:r>
        <w:t>person_home_ownership_RENT</w:t>
      </w:r>
      <w:proofErr w:type="spellEnd"/>
      <w:r>
        <w:t>) повышает вероятность одобрения по сравнению с другими формами владения жильём. Повышенная процентная ставка (</w:t>
      </w:r>
      <w:proofErr w:type="spellStart"/>
      <w:r>
        <w:t>loan_int_rate</w:t>
      </w:r>
      <w:proofErr w:type="spellEnd"/>
      <w:r>
        <w:t>) незначительно смещает решение в сторону одобрения.</w:t>
      </w:r>
    </w:p>
    <w:p w:rsidR="00EE605F" w:rsidRDefault="00000000">
      <w:pPr>
        <w:spacing w:line="360" w:lineRule="auto"/>
        <w:ind w:firstLine="709"/>
        <w:jc w:val="both"/>
      </w:pPr>
      <w:r>
        <w:t xml:space="preserve">Отдельного внимания заслуживает признак </w:t>
      </w:r>
      <w:proofErr w:type="spellStart"/>
      <w:r>
        <w:t>loan_grade</w:t>
      </w:r>
      <w:proofErr w:type="spellEnd"/>
      <w:r>
        <w:t>: заявки с низким кредитным рейтингом (градации D–G) одобряются моделью чаще, чем заявки с высоким рейтингом. Проверка по исходным данным подтвердила, что данная закономерность присутствует в самой выборке и не является артефактом модели: доля одобрений для низких градаций рейтинга действительно выше. Вероятным объяснением является политика кредитной организации, компенсирующей повышенный риск таких заявок повышенной процентной ставкой. Данное наблюдение иллюстрирует важность интерпретации: модель воспроизводит закономерности исторических решений, а не абстрактную «надёжность» заёмщика, что необходимо учитывать при практическом применении.</w:t>
      </w:r>
    </w:p>
    <w:p w:rsidR="00EE605F" w:rsidRDefault="00000000">
      <w:pPr>
        <w:pStyle w:val="2"/>
        <w:spacing w:before="240" w:after="240" w:line="360" w:lineRule="auto"/>
        <w:jc w:val="center"/>
      </w:pPr>
      <w:bookmarkStart w:id="22" w:name="_Toc234261825"/>
      <w:r>
        <w:t>4.3. Локальное объяснение отдельного предсказания</w:t>
      </w:r>
      <w:bookmarkEnd w:id="22"/>
    </w:p>
    <w:p w:rsidR="00EE605F" w:rsidRDefault="00000000">
      <w:pPr>
        <w:spacing w:line="360" w:lineRule="auto"/>
        <w:ind w:firstLine="709"/>
        <w:jc w:val="both"/>
      </w:pPr>
      <w:r>
        <w:t>Локальная интерпретация продемонстрирована на каскадной диаграмме (</w:t>
      </w:r>
      <w:proofErr w:type="spellStart"/>
      <w:r>
        <w:t>waterfall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) для отдельной заявки из </w:t>
      </w:r>
      <w:proofErr w:type="spellStart"/>
      <w:r>
        <w:t>валидационной</w:t>
      </w:r>
      <w:proofErr w:type="spellEnd"/>
      <w:r>
        <w:t xml:space="preserve"> выборки (рисунок 4.4). Диаграмма показывает, как вклады отдельных признаков последовательно смещают предсказание от базового уровня (среднего по выборке) к итоговому значению для конкретного заёмщика. Подобное объяснение может быть предоставлено кредитному аналитику или заёмщику в качестве обоснования решения, что отвечает требованиям прозрачности алгоритмических решений в финансовой сфере.</w:t>
      </w:r>
    </w:p>
    <w:p w:rsidR="003826B7" w:rsidRDefault="003826B7">
      <w:pPr>
        <w:spacing w:line="360" w:lineRule="auto"/>
        <w:ind w:firstLine="709"/>
        <w:jc w:val="both"/>
      </w:pPr>
      <w:r>
        <w:rPr>
          <w:noProof/>
        </w:rPr>
        <w:lastRenderedPageBreak/>
        <w:drawing>
          <wp:inline distT="0" distB="0" distL="0" distR="0">
            <wp:extent cx="4512007" cy="263532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5"/>
                    <a:stretch/>
                  </pic:blipFill>
                  <pic:spPr bwMode="auto">
                    <a:xfrm>
                      <a:off x="0" y="0"/>
                      <a:ext cx="4609301" cy="2692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605F" w:rsidRDefault="00000000">
      <w:pPr>
        <w:spacing w:before="120" w:after="240" w:line="360" w:lineRule="auto"/>
        <w:jc w:val="center"/>
      </w:pPr>
      <w:r>
        <w:t>Рис. 4.4. Объяснение отдельного предсказания (</w:t>
      </w:r>
      <w:proofErr w:type="spellStart"/>
      <w:r>
        <w:t>waterfall</w:t>
      </w:r>
      <w:proofErr w:type="spellEnd"/>
      <w:r>
        <w:t xml:space="preserve"> </w:t>
      </w:r>
      <w:proofErr w:type="spellStart"/>
      <w:r>
        <w:t>plot</w:t>
      </w:r>
      <w:proofErr w:type="spellEnd"/>
      <w:r>
        <w:t>)</w:t>
      </w:r>
    </w:p>
    <w:p w:rsidR="00EE605F" w:rsidRDefault="00000000">
      <w:pPr>
        <w:pStyle w:val="2"/>
        <w:spacing w:before="240" w:after="240" w:line="360" w:lineRule="auto"/>
        <w:jc w:val="center"/>
      </w:pPr>
      <w:bookmarkStart w:id="23" w:name="_Toc234261826"/>
      <w:r>
        <w:t>4.4. Выводы</w:t>
      </w:r>
      <w:bookmarkEnd w:id="23"/>
    </w:p>
    <w:p w:rsidR="00EE605F" w:rsidRDefault="00000000">
      <w:pPr>
        <w:spacing w:line="360" w:lineRule="auto"/>
        <w:ind w:firstLine="709"/>
        <w:jc w:val="both"/>
      </w:pPr>
      <w:r>
        <w:t xml:space="preserve">Выполнена интерпретация лучшей модели методами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и SHAP. Установлено, что ключевыми факторами одобрения кредитной заявки являются доля кредита от дохода, кредитный рейтинг и годовой доход заёмщика. Выявлена и содержательно объяснена неочевидная закономерность: заявки с низким кредитным рейтингом одобряются чаще, что отражает политику компенсации риска процентной ставкой. Продемонстрирована возможность локального объяснения отдельных решений модели, обеспечивающая практическую применимость построенной системы в риск-ориентированных процессах.</w:t>
      </w:r>
    </w:p>
    <w:p w:rsidR="00EE605F" w:rsidRDefault="00000000">
      <w:pPr>
        <w:pStyle w:val="1"/>
        <w:pageBreakBefore/>
        <w:spacing w:after="240" w:line="360" w:lineRule="auto"/>
        <w:jc w:val="center"/>
      </w:pPr>
      <w:bookmarkStart w:id="24" w:name="_Toc234261827"/>
      <w:r>
        <w:lastRenderedPageBreak/>
        <w:t>ЗАКЛЮЧЕНИЕ</w:t>
      </w:r>
      <w:bookmarkEnd w:id="24"/>
    </w:p>
    <w:p w:rsidR="00EE605F" w:rsidRDefault="00000000">
      <w:pPr>
        <w:spacing w:line="360" w:lineRule="auto"/>
        <w:ind w:firstLine="709"/>
        <w:jc w:val="both"/>
      </w:pPr>
      <w:r>
        <w:t>В рамках настоящей научно-исследовательской работы решена задача построения и интерпретации моделей машинного обучения для прогнозирования одобрения кредитной заявки. Все поставленные задачи выполнены в полном объёме, цель исследования достигнута.</w:t>
      </w:r>
    </w:p>
    <w:p w:rsidR="00EE605F" w:rsidRDefault="00000000">
      <w:pPr>
        <w:spacing w:line="360" w:lineRule="auto"/>
        <w:ind w:firstLine="709"/>
        <w:jc w:val="both"/>
      </w:pPr>
      <w:r>
        <w:t>В ходе выполнения работы получены следующие основные результаты.</w:t>
      </w:r>
    </w:p>
    <w:p w:rsidR="00EE605F" w:rsidRDefault="00000000">
      <w:pPr>
        <w:spacing w:line="360" w:lineRule="auto"/>
        <w:ind w:firstLine="709"/>
        <w:jc w:val="both"/>
      </w:pPr>
      <w:r>
        <w:t>Проведён обзор методов машинного обучения и подходов к интерпретации моделей в задачах кредитного скоринга. Обосновано применение пост-</w:t>
      </w:r>
      <w:proofErr w:type="spellStart"/>
      <w:r>
        <w:t>хок</w:t>
      </w:r>
      <w:proofErr w:type="spellEnd"/>
      <w:r>
        <w:t xml:space="preserve"> методов интерпретации —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и SHAP — как позволяющих сочетать высокую точность ансамблевых моделей с объяснимостью их решений.</w:t>
      </w:r>
    </w:p>
    <w:p w:rsidR="00EE605F" w:rsidRDefault="00000000">
      <w:pPr>
        <w:spacing w:line="360" w:lineRule="auto"/>
        <w:ind w:firstLine="709"/>
        <w:jc w:val="both"/>
      </w:pPr>
      <w:r>
        <w:t xml:space="preserve">Выполнен разведочный анализ набора данных </w:t>
      </w:r>
      <w:proofErr w:type="spellStart"/>
      <w:r>
        <w:t>Loan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 xml:space="preserve"> (58 645 наблюдений, 12 признаков) и предобработка данных: кодирование категориальных признаков, стандартизация числовых признаков, стратифицированное разделение выборки. Установлен и учтён выраженный дисбаланс классов (86 % отказов, 14 % одобрений).</w:t>
      </w:r>
    </w:p>
    <w:p w:rsidR="00EE605F" w:rsidRDefault="00000000">
      <w:pPr>
        <w:spacing w:line="360" w:lineRule="auto"/>
        <w:ind w:firstLine="709"/>
        <w:jc w:val="both"/>
      </w:pPr>
      <w:r>
        <w:t xml:space="preserve">Построены и сравнены пять моделей классификации: логистическая регрессия, случайный лес, градиентный </w:t>
      </w:r>
      <w:proofErr w:type="spellStart"/>
      <w:r>
        <w:t>бустинг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 и многослойный персептрон. Наилучшей моделью по совокупности метрик признан градиентный </w:t>
      </w:r>
      <w:proofErr w:type="spellStart"/>
      <w:r>
        <w:t>бустинг</w:t>
      </w:r>
      <w:proofErr w:type="spellEnd"/>
      <w:r>
        <w:t xml:space="preserve"> (ROC-AUC = 0,942; Precision класса одобрения = 0,92; доля ошибок около 5 %). Показано, что максимальный ROC-AUC (</w:t>
      </w:r>
      <w:proofErr w:type="spellStart"/>
      <w:r>
        <w:t>XGBoost</w:t>
      </w:r>
      <w:proofErr w:type="spellEnd"/>
      <w:r>
        <w:t>, 0,943) не гарантирует пригодности модели для финансовой задачи при низкой точности одобрений.</w:t>
      </w:r>
    </w:p>
    <w:p w:rsidR="00EE605F" w:rsidRDefault="00000000">
      <w:pPr>
        <w:spacing w:line="360" w:lineRule="auto"/>
        <w:ind w:firstLine="709"/>
        <w:jc w:val="both"/>
      </w:pPr>
      <w:r>
        <w:t>Выполнена интерпретация лучшей модели. Установлено, что наибольшее влияние на решение оказывают доля кредита от дохода заёмщика, кредитный рейтинг и годовой доход. Выявлена и содержательно объяснена закономерность более частого одобрения заявок с низким кредитным рейтингом, отражающая политику компенсации риска процентной ставкой. Продемонстрировано локальное объяснение отдельного предсказания, применимое для обоснования решений перед заёмщиком.</w:t>
      </w:r>
    </w:p>
    <w:p w:rsidR="00EE605F" w:rsidRDefault="00000000">
      <w:pPr>
        <w:spacing w:line="360" w:lineRule="auto"/>
        <w:ind w:firstLine="709"/>
        <w:jc w:val="both"/>
      </w:pPr>
      <w:r>
        <w:lastRenderedPageBreak/>
        <w:t xml:space="preserve">Перспективными направлениями дальнейшего развития работы являются: подбор </w:t>
      </w:r>
      <w:proofErr w:type="spellStart"/>
      <w:r>
        <w:t>гиперпараметров</w:t>
      </w:r>
      <w:proofErr w:type="spellEnd"/>
      <w:r>
        <w:t xml:space="preserve"> моделей и калибровка порога классификации под заданное соотношение ошибок первого и второго рода; применение современных градиентных </w:t>
      </w:r>
      <w:proofErr w:type="spellStart"/>
      <w:r>
        <w:t>бустингов</w:t>
      </w:r>
      <w:proofErr w:type="spellEnd"/>
      <w:r>
        <w:t xml:space="preserve"> (</w:t>
      </w:r>
      <w:proofErr w:type="spellStart"/>
      <w:r>
        <w:t>LightGBM</w:t>
      </w:r>
      <w:proofErr w:type="spellEnd"/>
      <w:r>
        <w:t xml:space="preserve">, </w:t>
      </w:r>
      <w:proofErr w:type="spellStart"/>
      <w:r>
        <w:t>CatBoost</w:t>
      </w:r>
      <w:proofErr w:type="spellEnd"/>
      <w:r>
        <w:t xml:space="preserve">) с встроенной поддержкой категориальных признаков; расширение интерпретационного анализа методами частичной зависимости и </w:t>
      </w:r>
      <w:proofErr w:type="spellStart"/>
      <w:r>
        <w:t>контрфактических</w:t>
      </w:r>
      <w:proofErr w:type="spellEnd"/>
      <w:r>
        <w:t xml:space="preserve"> объяснений.</w:t>
      </w:r>
    </w:p>
    <w:p w:rsidR="00EE605F" w:rsidRDefault="00000000">
      <w:pPr>
        <w:pStyle w:val="1"/>
        <w:pageBreakBefore/>
        <w:spacing w:after="240" w:line="360" w:lineRule="auto"/>
        <w:jc w:val="center"/>
      </w:pPr>
      <w:bookmarkStart w:id="25" w:name="_Toc234261828"/>
      <w:r>
        <w:lastRenderedPageBreak/>
        <w:t>СПИСОК СОКРАЩЕНИЙ И УСЛОВНЫХ ОБОЗНАЧЕНИЙ</w:t>
      </w:r>
      <w:bookmarkEnd w:id="25"/>
    </w:p>
    <w:tbl>
      <w:tblPr>
        <w:tblW w:w="96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40"/>
      </w:tblGrid>
      <w:tr w:rsidR="00EE605F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r>
              <w:rPr>
                <w:sz w:val="24"/>
                <w:szCs w:val="24"/>
              </w:rPr>
              <w:t>ML</w:t>
            </w:r>
          </w:p>
        </w:tc>
        <w:tc>
          <w:tcPr>
            <w:tcW w:w="72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r>
              <w:rPr>
                <w:sz w:val="24"/>
                <w:szCs w:val="24"/>
              </w:rPr>
              <w:t>Machine Learning (машинное обучение).</w:t>
            </w:r>
          </w:p>
        </w:tc>
      </w:tr>
      <w:tr w:rsidR="00EE605F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r>
              <w:rPr>
                <w:sz w:val="24"/>
                <w:szCs w:val="24"/>
              </w:rPr>
              <w:t>DL</w:t>
            </w:r>
          </w:p>
        </w:tc>
        <w:tc>
          <w:tcPr>
            <w:tcW w:w="72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r>
              <w:rPr>
                <w:sz w:val="24"/>
                <w:szCs w:val="24"/>
              </w:rPr>
              <w:t>Deep Learning (глубокое обучение).</w:t>
            </w:r>
          </w:p>
        </w:tc>
      </w:tr>
      <w:tr w:rsidR="00EE605F" w:rsidRPr="00DF7F2B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r>
              <w:rPr>
                <w:sz w:val="24"/>
                <w:szCs w:val="24"/>
              </w:rPr>
              <w:t>EDA</w:t>
            </w:r>
          </w:p>
        </w:tc>
        <w:tc>
          <w:tcPr>
            <w:tcW w:w="72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Pr="00DF7F2B" w:rsidRDefault="00000000">
            <w:pPr>
              <w:rPr>
                <w:lang w:val="en-US"/>
              </w:rPr>
            </w:pPr>
            <w:r w:rsidRPr="00DF7F2B">
              <w:rPr>
                <w:sz w:val="24"/>
                <w:szCs w:val="24"/>
                <w:lang w:val="en-US"/>
              </w:rPr>
              <w:t>Exploratory Data Analysis (</w:t>
            </w:r>
            <w:r>
              <w:rPr>
                <w:sz w:val="24"/>
                <w:szCs w:val="24"/>
              </w:rPr>
              <w:t>разведочный</w:t>
            </w:r>
            <w:r w:rsidRPr="00DF7F2B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анализ</w:t>
            </w:r>
            <w:r w:rsidRPr="00DF7F2B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данных</w:t>
            </w:r>
            <w:r w:rsidRPr="00DF7F2B">
              <w:rPr>
                <w:sz w:val="24"/>
                <w:szCs w:val="24"/>
                <w:lang w:val="en-US"/>
              </w:rPr>
              <w:t>).</w:t>
            </w:r>
          </w:p>
        </w:tc>
      </w:tr>
      <w:tr w:rsidR="00EE605F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r>
              <w:rPr>
                <w:sz w:val="24"/>
                <w:szCs w:val="24"/>
              </w:rPr>
              <w:t>MLP</w:t>
            </w:r>
          </w:p>
        </w:tc>
        <w:tc>
          <w:tcPr>
            <w:tcW w:w="72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roofErr w:type="spellStart"/>
            <w:r>
              <w:rPr>
                <w:sz w:val="24"/>
                <w:szCs w:val="24"/>
              </w:rPr>
              <w:t>Multilayer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Perceptron</w:t>
            </w:r>
            <w:proofErr w:type="spellEnd"/>
            <w:r>
              <w:rPr>
                <w:sz w:val="24"/>
                <w:szCs w:val="24"/>
              </w:rPr>
              <w:t xml:space="preserve"> (многослойный персептрон).</w:t>
            </w:r>
          </w:p>
        </w:tc>
      </w:tr>
      <w:tr w:rsidR="00EE605F" w:rsidRPr="00DF7F2B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r>
              <w:rPr>
                <w:sz w:val="24"/>
                <w:szCs w:val="24"/>
              </w:rPr>
              <w:t>ROC-AUC</w:t>
            </w:r>
          </w:p>
        </w:tc>
        <w:tc>
          <w:tcPr>
            <w:tcW w:w="72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Pr="00DF7F2B" w:rsidRDefault="00000000">
            <w:pPr>
              <w:rPr>
                <w:lang w:val="en-US"/>
              </w:rPr>
            </w:pPr>
            <w:r w:rsidRPr="00DF7F2B">
              <w:rPr>
                <w:sz w:val="24"/>
                <w:szCs w:val="24"/>
                <w:lang w:val="en-US"/>
              </w:rPr>
              <w:t>Area Under the ROC Curve (</w:t>
            </w:r>
            <w:r>
              <w:rPr>
                <w:sz w:val="24"/>
                <w:szCs w:val="24"/>
              </w:rPr>
              <w:t>площадь</w:t>
            </w:r>
            <w:r w:rsidRPr="00DF7F2B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под</w:t>
            </w:r>
            <w:r w:rsidRPr="00DF7F2B">
              <w:rPr>
                <w:sz w:val="24"/>
                <w:szCs w:val="24"/>
                <w:lang w:val="en-US"/>
              </w:rPr>
              <w:t xml:space="preserve"> ROC-</w:t>
            </w:r>
            <w:r>
              <w:rPr>
                <w:sz w:val="24"/>
                <w:szCs w:val="24"/>
              </w:rPr>
              <w:t>кривой</w:t>
            </w:r>
            <w:r w:rsidRPr="00DF7F2B">
              <w:rPr>
                <w:sz w:val="24"/>
                <w:szCs w:val="24"/>
                <w:lang w:val="en-US"/>
              </w:rPr>
              <w:t>).</w:t>
            </w:r>
          </w:p>
        </w:tc>
      </w:tr>
      <w:tr w:rsidR="00EE605F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r>
              <w:rPr>
                <w:sz w:val="24"/>
                <w:szCs w:val="24"/>
              </w:rPr>
              <w:t>SHAP</w:t>
            </w:r>
          </w:p>
        </w:tc>
        <w:tc>
          <w:tcPr>
            <w:tcW w:w="72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proofErr w:type="spellStart"/>
            <w:r>
              <w:rPr>
                <w:sz w:val="24"/>
                <w:szCs w:val="24"/>
              </w:rPr>
              <w:t>SHapley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Additive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exPlanations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EE605F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r>
              <w:rPr>
                <w:sz w:val="24"/>
                <w:szCs w:val="24"/>
              </w:rPr>
              <w:t>НИР</w:t>
            </w:r>
          </w:p>
        </w:tc>
        <w:tc>
          <w:tcPr>
            <w:tcW w:w="72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605F" w:rsidRDefault="00000000">
            <w:r>
              <w:rPr>
                <w:sz w:val="24"/>
                <w:szCs w:val="24"/>
              </w:rPr>
              <w:t>Научно-исследовательская работа.</w:t>
            </w:r>
          </w:p>
        </w:tc>
      </w:tr>
    </w:tbl>
    <w:p w:rsidR="00EE605F" w:rsidRDefault="00000000">
      <w:pPr>
        <w:pStyle w:val="1"/>
        <w:pageBreakBefore/>
        <w:spacing w:after="240" w:line="360" w:lineRule="auto"/>
        <w:jc w:val="center"/>
      </w:pPr>
      <w:bookmarkStart w:id="26" w:name="_Toc234261829"/>
      <w:r>
        <w:lastRenderedPageBreak/>
        <w:t>СЛОВАРЬ ТЕРМИНОВ</w:t>
      </w:r>
      <w:bookmarkEnd w:id="26"/>
    </w:p>
    <w:p w:rsidR="00EE605F" w:rsidRDefault="00000000">
      <w:pPr>
        <w:spacing w:line="360" w:lineRule="auto"/>
        <w:ind w:firstLine="709"/>
        <w:jc w:val="both"/>
      </w:pPr>
      <w:r>
        <w:t>Бинарная классификация — задача машинного обучения, состоящая в отнесении объекта к одному из двух классов.</w:t>
      </w:r>
    </w:p>
    <w:p w:rsidR="00EE605F" w:rsidRDefault="00000000">
      <w:pPr>
        <w:spacing w:line="360" w:lineRule="auto"/>
        <w:ind w:firstLine="709"/>
        <w:jc w:val="both"/>
      </w:pPr>
      <w:proofErr w:type="spellStart"/>
      <w:r>
        <w:t>Валидационная</w:t>
      </w:r>
      <w:proofErr w:type="spellEnd"/>
      <w:r>
        <w:t xml:space="preserve"> выборка — часть данных, не участвующая в обучении и используемая для сравнения качества моделей.</w:t>
      </w:r>
    </w:p>
    <w:p w:rsidR="00EE605F" w:rsidRDefault="00000000">
      <w:pPr>
        <w:spacing w:line="360" w:lineRule="auto"/>
        <w:ind w:firstLine="709"/>
        <w:jc w:val="both"/>
      </w:pPr>
      <w:r>
        <w:t xml:space="preserve">Градиентный </w:t>
      </w:r>
      <w:proofErr w:type="spellStart"/>
      <w:r>
        <w:t>бустинг</w:t>
      </w:r>
      <w:proofErr w:type="spellEnd"/>
      <w:r>
        <w:t xml:space="preserve"> — ансамблевый метод, последовательно строящий деревья решений, каждое из которых корректирует ошибки предыдущих.</w:t>
      </w:r>
    </w:p>
    <w:p w:rsidR="00EE605F" w:rsidRDefault="00000000">
      <w:pPr>
        <w:spacing w:line="360" w:lineRule="auto"/>
        <w:ind w:firstLine="709"/>
        <w:jc w:val="both"/>
      </w:pPr>
      <w:r>
        <w:t>Дисбаланс классов — существенное неравенство долей классов в выборке, требующее специальных мер при обучении и оценке моделей.</w:t>
      </w:r>
    </w:p>
    <w:p w:rsidR="00EE605F" w:rsidRDefault="00000000">
      <w:pPr>
        <w:spacing w:line="360" w:lineRule="auto"/>
        <w:ind w:firstLine="709"/>
        <w:jc w:val="both"/>
      </w:pPr>
      <w:r>
        <w:t>Кредитный скоринг — оценка кредитоспособности заёмщика на основе статистических моделей.</w:t>
      </w:r>
    </w:p>
    <w:p w:rsidR="00EE605F" w:rsidRDefault="00000000">
      <w:pPr>
        <w:spacing w:line="360" w:lineRule="auto"/>
        <w:ind w:firstLine="709"/>
        <w:jc w:val="both"/>
      </w:pPr>
      <w:r>
        <w:t>Признак — измеримая характеристика объекта, используемая моделью в качестве входной переменной.</w:t>
      </w:r>
    </w:p>
    <w:p w:rsidR="00EE605F" w:rsidRDefault="00000000">
      <w:pPr>
        <w:spacing w:line="360" w:lineRule="auto"/>
        <w:ind w:firstLine="709"/>
        <w:jc w:val="both"/>
      </w:pPr>
      <w:r>
        <w:t>Стандартизация — приведение числового признака к нулевому среднему и единичной дисперсии.</w:t>
      </w:r>
    </w:p>
    <w:p w:rsidR="00EE605F" w:rsidRDefault="00000000">
      <w:pPr>
        <w:spacing w:line="360" w:lineRule="auto"/>
        <w:ind w:firstLine="709"/>
        <w:jc w:val="both"/>
      </w:pPr>
      <w:r>
        <w:t>Целевая переменная — переменная, значение которой предсказывает модель.</w:t>
      </w:r>
    </w:p>
    <w:p w:rsidR="00EE605F" w:rsidRDefault="00000000">
      <w:pPr>
        <w:spacing w:line="360" w:lineRule="auto"/>
        <w:ind w:firstLine="709"/>
        <w:jc w:val="both"/>
      </w:pPr>
      <w:r>
        <w:t>SHAP-значение — вклад признака в отклонение предсказания модели от базового уровня, вычисленный на основе вектора Шепли.</w:t>
      </w:r>
    </w:p>
    <w:p w:rsidR="00EE605F" w:rsidRDefault="00000000">
      <w:pPr>
        <w:pStyle w:val="1"/>
        <w:pageBreakBefore/>
        <w:spacing w:after="240" w:line="360" w:lineRule="auto"/>
        <w:jc w:val="center"/>
      </w:pPr>
      <w:bookmarkStart w:id="27" w:name="_Toc234261830"/>
      <w:r>
        <w:lastRenderedPageBreak/>
        <w:t>СПИСОК ИСПОЛЬЗОВАННЫХ ИСТОЧНИКОВ</w:t>
      </w:r>
      <w:bookmarkEnd w:id="27"/>
    </w:p>
    <w:p w:rsidR="00EE605F" w:rsidRDefault="00000000">
      <w:pPr>
        <w:spacing w:line="360" w:lineRule="auto"/>
        <w:ind w:firstLine="709"/>
        <w:jc w:val="both"/>
      </w:pPr>
      <w:r>
        <w:t>1. Вьюгин В. В. Математические основы теории машинного обучения и прогнозирования. — М.: МЦНМО, 2013. — 387 с.</w:t>
      </w:r>
    </w:p>
    <w:p w:rsidR="00EE605F" w:rsidRDefault="00000000">
      <w:pPr>
        <w:spacing w:line="360" w:lineRule="auto"/>
        <w:ind w:firstLine="709"/>
        <w:jc w:val="both"/>
      </w:pPr>
      <w:r>
        <w:t xml:space="preserve">2. </w:t>
      </w:r>
      <w:proofErr w:type="spellStart"/>
      <w:r>
        <w:t>Флах</w:t>
      </w:r>
      <w:proofErr w:type="spellEnd"/>
      <w:r>
        <w:t xml:space="preserve"> П. Машинное обучение. Наука и искусство построения алгоритмов, которые извлекают знания из данных. — М.: ДМК Пресс, 2015. — 400 с.</w:t>
      </w:r>
    </w:p>
    <w:p w:rsidR="00EE605F" w:rsidRPr="00DF7F2B" w:rsidRDefault="00000000">
      <w:pPr>
        <w:spacing w:line="360" w:lineRule="auto"/>
        <w:ind w:firstLine="709"/>
        <w:jc w:val="both"/>
        <w:rPr>
          <w:lang w:val="en-US"/>
        </w:rPr>
      </w:pPr>
      <w:r w:rsidRPr="00DF7F2B">
        <w:rPr>
          <w:lang w:val="en-US"/>
        </w:rPr>
        <w:t xml:space="preserve">3. </w:t>
      </w:r>
      <w:proofErr w:type="spellStart"/>
      <w:r w:rsidRPr="00DF7F2B">
        <w:rPr>
          <w:lang w:val="en-US"/>
        </w:rPr>
        <w:t>Breiman</w:t>
      </w:r>
      <w:proofErr w:type="spellEnd"/>
      <w:r w:rsidRPr="00DF7F2B">
        <w:rPr>
          <w:lang w:val="en-US"/>
        </w:rPr>
        <w:t xml:space="preserve"> L. Random Forests // Machine Learning. — 2001. — Vol. 45, No. 1. — P. 5–32.</w:t>
      </w:r>
    </w:p>
    <w:p w:rsidR="00EE605F" w:rsidRPr="00DF7F2B" w:rsidRDefault="00000000">
      <w:pPr>
        <w:spacing w:line="360" w:lineRule="auto"/>
        <w:ind w:firstLine="709"/>
        <w:jc w:val="both"/>
        <w:rPr>
          <w:lang w:val="en-US"/>
        </w:rPr>
      </w:pPr>
      <w:r w:rsidRPr="00DF7F2B">
        <w:rPr>
          <w:lang w:val="en-US"/>
        </w:rPr>
        <w:t xml:space="preserve">4. Chen T., </w:t>
      </w:r>
      <w:proofErr w:type="spellStart"/>
      <w:r w:rsidRPr="00DF7F2B">
        <w:rPr>
          <w:lang w:val="en-US"/>
        </w:rPr>
        <w:t>Guestrin</w:t>
      </w:r>
      <w:proofErr w:type="spellEnd"/>
      <w:r w:rsidRPr="00DF7F2B">
        <w:rPr>
          <w:lang w:val="en-US"/>
        </w:rPr>
        <w:t xml:space="preserve"> C. </w:t>
      </w:r>
      <w:proofErr w:type="spellStart"/>
      <w:r w:rsidRPr="00DF7F2B">
        <w:rPr>
          <w:lang w:val="en-US"/>
        </w:rPr>
        <w:t>XGBoost</w:t>
      </w:r>
      <w:proofErr w:type="spellEnd"/>
      <w:r w:rsidRPr="00DF7F2B">
        <w:rPr>
          <w:lang w:val="en-US"/>
        </w:rPr>
        <w:t>: A Scalable Tree Boosting System // Proceedings of the 22nd ACM SIGKDD International Conference on Knowledge Discovery and Data Mining. — 2016. — P. 785–794.</w:t>
      </w:r>
    </w:p>
    <w:p w:rsidR="00EE605F" w:rsidRPr="00DF7F2B" w:rsidRDefault="00000000">
      <w:pPr>
        <w:spacing w:line="360" w:lineRule="auto"/>
        <w:ind w:firstLine="709"/>
        <w:jc w:val="both"/>
        <w:rPr>
          <w:lang w:val="en-US"/>
        </w:rPr>
      </w:pPr>
      <w:r w:rsidRPr="00DF7F2B">
        <w:rPr>
          <w:lang w:val="en-US"/>
        </w:rPr>
        <w:t>5. Friedman J. H. Greedy Function Approximation: A Gradient Boosting Machine // The Annals of Statistics. — 2001. — Vol. 29, No. 5. — P. 1189–1232.</w:t>
      </w:r>
    </w:p>
    <w:p w:rsidR="00EE605F" w:rsidRPr="00DF7F2B" w:rsidRDefault="00000000">
      <w:pPr>
        <w:spacing w:line="360" w:lineRule="auto"/>
        <w:ind w:firstLine="709"/>
        <w:jc w:val="both"/>
        <w:rPr>
          <w:lang w:val="en-US"/>
        </w:rPr>
      </w:pPr>
      <w:r w:rsidRPr="00DF7F2B">
        <w:rPr>
          <w:lang w:val="en-US"/>
        </w:rPr>
        <w:t>6. Loan Approval Prediction [</w:t>
      </w:r>
      <w:r>
        <w:t>Электронный</w:t>
      </w:r>
      <w:r w:rsidRPr="00DF7F2B">
        <w:rPr>
          <w:lang w:val="en-US"/>
        </w:rPr>
        <w:t xml:space="preserve"> </w:t>
      </w:r>
      <w:r>
        <w:t>ресурс</w:t>
      </w:r>
      <w:r w:rsidRPr="00DF7F2B">
        <w:rPr>
          <w:lang w:val="en-US"/>
        </w:rPr>
        <w:t>] // Kaggle. — URL: https://www.kaggle.com/competitions/playground-series-s4e10 (</w:t>
      </w:r>
      <w:r>
        <w:t>дата</w:t>
      </w:r>
      <w:r w:rsidRPr="00DF7F2B">
        <w:rPr>
          <w:lang w:val="en-US"/>
        </w:rPr>
        <w:t xml:space="preserve"> </w:t>
      </w:r>
      <w:r>
        <w:t>обращения</w:t>
      </w:r>
      <w:r w:rsidRPr="00DF7F2B">
        <w:rPr>
          <w:lang w:val="en-US"/>
        </w:rPr>
        <w:t>: [</w:t>
      </w:r>
      <w:r>
        <w:t>дата</w:t>
      </w:r>
      <w:r w:rsidRPr="00DF7F2B">
        <w:rPr>
          <w:lang w:val="en-US"/>
        </w:rPr>
        <w:t>]).</w:t>
      </w:r>
    </w:p>
    <w:p w:rsidR="00EE605F" w:rsidRPr="00DF7F2B" w:rsidRDefault="00000000">
      <w:pPr>
        <w:spacing w:line="360" w:lineRule="auto"/>
        <w:ind w:firstLine="709"/>
        <w:jc w:val="both"/>
        <w:rPr>
          <w:lang w:val="en-US"/>
        </w:rPr>
      </w:pPr>
      <w:r w:rsidRPr="00DF7F2B">
        <w:rPr>
          <w:lang w:val="en-US"/>
        </w:rPr>
        <w:t>7. Lundberg S. M., Lee S.-I. A Unified Approach to Interpreting Model Predictions // Advances in Neural Information Processing Systems (</w:t>
      </w:r>
      <w:proofErr w:type="spellStart"/>
      <w:r w:rsidRPr="00DF7F2B">
        <w:rPr>
          <w:lang w:val="en-US"/>
        </w:rPr>
        <w:t>NeurIPS</w:t>
      </w:r>
      <w:proofErr w:type="spellEnd"/>
      <w:r w:rsidRPr="00DF7F2B">
        <w:rPr>
          <w:lang w:val="en-US"/>
        </w:rPr>
        <w:t>). — 2017. — Vol. 30. — P. 4765–4774.</w:t>
      </w:r>
    </w:p>
    <w:p w:rsidR="00EE605F" w:rsidRPr="00DF7F2B" w:rsidRDefault="00000000">
      <w:pPr>
        <w:spacing w:line="360" w:lineRule="auto"/>
        <w:ind w:firstLine="709"/>
        <w:jc w:val="both"/>
        <w:rPr>
          <w:lang w:val="en-US"/>
        </w:rPr>
      </w:pPr>
      <w:r w:rsidRPr="00DF7F2B">
        <w:rPr>
          <w:lang w:val="en-US"/>
        </w:rPr>
        <w:t>8. Molnar C. Interpretable Machine Learning: A Guide for Making Black Box Models Explainable [</w:t>
      </w:r>
      <w:r>
        <w:t>Электронный</w:t>
      </w:r>
      <w:r w:rsidRPr="00DF7F2B">
        <w:rPr>
          <w:lang w:val="en-US"/>
        </w:rPr>
        <w:t xml:space="preserve"> </w:t>
      </w:r>
      <w:r>
        <w:t>ресурс</w:t>
      </w:r>
      <w:r w:rsidRPr="00DF7F2B">
        <w:rPr>
          <w:lang w:val="en-US"/>
        </w:rPr>
        <w:t>]. — 2022. — URL: https://christophm.github.io/interpretable-ml-book/ (</w:t>
      </w:r>
      <w:r>
        <w:t>дата</w:t>
      </w:r>
      <w:r w:rsidRPr="00DF7F2B">
        <w:rPr>
          <w:lang w:val="en-US"/>
        </w:rPr>
        <w:t xml:space="preserve"> </w:t>
      </w:r>
      <w:r>
        <w:t>обращения</w:t>
      </w:r>
      <w:r w:rsidRPr="00DF7F2B">
        <w:rPr>
          <w:lang w:val="en-US"/>
        </w:rPr>
        <w:t>: [</w:t>
      </w:r>
      <w:r>
        <w:t>дата</w:t>
      </w:r>
      <w:r w:rsidRPr="00DF7F2B">
        <w:rPr>
          <w:lang w:val="en-US"/>
        </w:rPr>
        <w:t>]).</w:t>
      </w:r>
    </w:p>
    <w:p w:rsidR="00EE605F" w:rsidRPr="00DF7F2B" w:rsidRDefault="00000000">
      <w:pPr>
        <w:spacing w:line="360" w:lineRule="auto"/>
        <w:ind w:firstLine="709"/>
        <w:jc w:val="both"/>
        <w:rPr>
          <w:lang w:val="en-US"/>
        </w:rPr>
      </w:pPr>
      <w:r w:rsidRPr="00DF7F2B">
        <w:rPr>
          <w:lang w:val="en-US"/>
        </w:rPr>
        <w:t xml:space="preserve">9. </w:t>
      </w:r>
      <w:proofErr w:type="spellStart"/>
      <w:r w:rsidRPr="00DF7F2B">
        <w:rPr>
          <w:lang w:val="en-US"/>
        </w:rPr>
        <w:t>Pedregosa</w:t>
      </w:r>
      <w:proofErr w:type="spellEnd"/>
      <w:r w:rsidRPr="00DF7F2B">
        <w:rPr>
          <w:lang w:val="en-US"/>
        </w:rPr>
        <w:t xml:space="preserve"> F., </w:t>
      </w:r>
      <w:proofErr w:type="spellStart"/>
      <w:r w:rsidRPr="00DF7F2B">
        <w:rPr>
          <w:lang w:val="en-US"/>
        </w:rPr>
        <w:t>Varoquaux</w:t>
      </w:r>
      <w:proofErr w:type="spellEnd"/>
      <w:r w:rsidRPr="00DF7F2B">
        <w:rPr>
          <w:lang w:val="en-US"/>
        </w:rPr>
        <w:t xml:space="preserve"> G., </w:t>
      </w:r>
      <w:proofErr w:type="spellStart"/>
      <w:r w:rsidRPr="00DF7F2B">
        <w:rPr>
          <w:lang w:val="en-US"/>
        </w:rPr>
        <w:t>Gramfort</w:t>
      </w:r>
      <w:proofErr w:type="spellEnd"/>
      <w:r w:rsidRPr="00DF7F2B">
        <w:rPr>
          <w:lang w:val="en-US"/>
        </w:rPr>
        <w:t xml:space="preserve"> A. Scikit-learn: Machine Learning in Python // Journal of Machine Learning Research. — 2011. — Vol. 12. — P. 2825–2830.</w:t>
      </w:r>
    </w:p>
    <w:p w:rsidR="00EE605F" w:rsidRPr="00DF7F2B" w:rsidRDefault="00000000">
      <w:pPr>
        <w:spacing w:line="360" w:lineRule="auto"/>
        <w:ind w:firstLine="709"/>
        <w:jc w:val="both"/>
        <w:rPr>
          <w:lang w:val="en-US"/>
        </w:rPr>
      </w:pPr>
      <w:r w:rsidRPr="00DF7F2B">
        <w:rPr>
          <w:lang w:val="en-US"/>
        </w:rPr>
        <w:t>10. Shapley L. S. A Value for n-Person Games // Contributions to the Theory of Games. — 1953. — Vol. 2. — P. 307–317.</w:t>
      </w:r>
    </w:p>
    <w:sectPr w:rsidR="00EE605F" w:rsidRPr="00DF7F2B">
      <w:headerReference w:type="default" r:id="rId16"/>
      <w:headerReference w:type="first" r:id="rId17"/>
      <w:pgSz w:w="11906" w:h="16838"/>
      <w:pgMar w:top="1134" w:right="850" w:bottom="1134" w:left="1701" w:header="708" w:footer="70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A3E2E" w:rsidRDefault="00FA3E2E">
      <w:r>
        <w:separator/>
      </w:r>
    </w:p>
  </w:endnote>
  <w:endnote w:type="continuationSeparator" w:id="0">
    <w:p w:rsidR="00FA3E2E" w:rsidRDefault="00FA3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A3E2E" w:rsidRDefault="00FA3E2E">
      <w:r>
        <w:separator/>
      </w:r>
    </w:p>
  </w:footnote>
  <w:footnote w:type="continuationSeparator" w:id="0">
    <w:p w:rsidR="00FA3E2E" w:rsidRDefault="00FA3E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605F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DF7F2B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605F" w:rsidRDefault="00EE605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0C6A12"/>
    <w:multiLevelType w:val="hybridMultilevel"/>
    <w:tmpl w:val="F384B640"/>
    <w:lvl w:ilvl="0" w:tplc="3D962B74">
      <w:start w:val="1"/>
      <w:numFmt w:val="bullet"/>
      <w:lvlText w:val="−"/>
      <w:lvlJc w:val="left"/>
      <w:pPr>
        <w:ind w:left="1069" w:hanging="360"/>
      </w:pPr>
    </w:lvl>
    <w:lvl w:ilvl="1" w:tplc="6C8811A8">
      <w:numFmt w:val="decimal"/>
      <w:lvlText w:val=""/>
      <w:lvlJc w:val="left"/>
    </w:lvl>
    <w:lvl w:ilvl="2" w:tplc="C5E20404">
      <w:numFmt w:val="decimal"/>
      <w:lvlText w:val=""/>
      <w:lvlJc w:val="left"/>
    </w:lvl>
    <w:lvl w:ilvl="3" w:tplc="873A54DA">
      <w:numFmt w:val="decimal"/>
      <w:lvlText w:val=""/>
      <w:lvlJc w:val="left"/>
    </w:lvl>
    <w:lvl w:ilvl="4" w:tplc="A452561A">
      <w:numFmt w:val="decimal"/>
      <w:lvlText w:val=""/>
      <w:lvlJc w:val="left"/>
    </w:lvl>
    <w:lvl w:ilvl="5" w:tplc="9E243B70">
      <w:numFmt w:val="decimal"/>
      <w:lvlText w:val=""/>
      <w:lvlJc w:val="left"/>
    </w:lvl>
    <w:lvl w:ilvl="6" w:tplc="C8F4C070">
      <w:numFmt w:val="decimal"/>
      <w:lvlText w:val=""/>
      <w:lvlJc w:val="left"/>
    </w:lvl>
    <w:lvl w:ilvl="7" w:tplc="0C543304">
      <w:numFmt w:val="decimal"/>
      <w:lvlText w:val=""/>
      <w:lvlJc w:val="left"/>
    </w:lvl>
    <w:lvl w:ilvl="8" w:tplc="7CF09550">
      <w:numFmt w:val="decimal"/>
      <w:lvlText w:val=""/>
      <w:lvlJc w:val="left"/>
    </w:lvl>
  </w:abstractNum>
  <w:abstractNum w:abstractNumId="1" w15:restartNumberingAfterBreak="0">
    <w:nsid w:val="33FA4AC0"/>
    <w:multiLevelType w:val="hybridMultilevel"/>
    <w:tmpl w:val="F2B499EE"/>
    <w:lvl w:ilvl="0" w:tplc="EE4EABC0">
      <w:start w:val="1"/>
      <w:numFmt w:val="bullet"/>
      <w:lvlText w:val="●"/>
      <w:lvlJc w:val="left"/>
      <w:pPr>
        <w:ind w:left="720" w:hanging="360"/>
      </w:pPr>
    </w:lvl>
    <w:lvl w:ilvl="1" w:tplc="935E1110">
      <w:start w:val="1"/>
      <w:numFmt w:val="bullet"/>
      <w:lvlText w:val="○"/>
      <w:lvlJc w:val="left"/>
      <w:pPr>
        <w:ind w:left="1440" w:hanging="360"/>
      </w:pPr>
    </w:lvl>
    <w:lvl w:ilvl="2" w:tplc="0630C428">
      <w:start w:val="1"/>
      <w:numFmt w:val="bullet"/>
      <w:lvlText w:val="■"/>
      <w:lvlJc w:val="left"/>
      <w:pPr>
        <w:ind w:left="2160" w:hanging="360"/>
      </w:pPr>
    </w:lvl>
    <w:lvl w:ilvl="3" w:tplc="A886A24C">
      <w:start w:val="1"/>
      <w:numFmt w:val="bullet"/>
      <w:lvlText w:val="●"/>
      <w:lvlJc w:val="left"/>
      <w:pPr>
        <w:ind w:left="2880" w:hanging="360"/>
      </w:pPr>
    </w:lvl>
    <w:lvl w:ilvl="4" w:tplc="AB44F3B6">
      <w:start w:val="1"/>
      <w:numFmt w:val="bullet"/>
      <w:lvlText w:val="○"/>
      <w:lvlJc w:val="left"/>
      <w:pPr>
        <w:ind w:left="3600" w:hanging="360"/>
      </w:pPr>
    </w:lvl>
    <w:lvl w:ilvl="5" w:tplc="336E7564">
      <w:start w:val="1"/>
      <w:numFmt w:val="bullet"/>
      <w:lvlText w:val="■"/>
      <w:lvlJc w:val="left"/>
      <w:pPr>
        <w:ind w:left="4320" w:hanging="360"/>
      </w:pPr>
    </w:lvl>
    <w:lvl w:ilvl="6" w:tplc="1FA43650">
      <w:start w:val="1"/>
      <w:numFmt w:val="bullet"/>
      <w:lvlText w:val="●"/>
      <w:lvlJc w:val="left"/>
      <w:pPr>
        <w:ind w:left="5040" w:hanging="360"/>
      </w:pPr>
    </w:lvl>
    <w:lvl w:ilvl="7" w:tplc="20F6C5C6">
      <w:start w:val="1"/>
      <w:numFmt w:val="bullet"/>
      <w:lvlText w:val="●"/>
      <w:lvlJc w:val="left"/>
      <w:pPr>
        <w:ind w:left="5760" w:hanging="360"/>
      </w:pPr>
    </w:lvl>
    <w:lvl w:ilvl="8" w:tplc="FA08B35C">
      <w:start w:val="1"/>
      <w:numFmt w:val="bullet"/>
      <w:lvlText w:val="●"/>
      <w:lvlJc w:val="left"/>
      <w:pPr>
        <w:ind w:left="6480" w:hanging="360"/>
      </w:pPr>
    </w:lvl>
  </w:abstractNum>
  <w:num w:numId="1" w16cid:durableId="385757590">
    <w:abstractNumId w:val="1"/>
    <w:lvlOverride w:ilvl="0">
      <w:startOverride w:val="1"/>
    </w:lvlOverride>
  </w:num>
  <w:num w:numId="2" w16cid:durableId="15085915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05F"/>
    <w:rsid w:val="00110D0C"/>
    <w:rsid w:val="003826B7"/>
    <w:rsid w:val="0082313A"/>
    <w:rsid w:val="00B25115"/>
    <w:rsid w:val="00DF7F2B"/>
    <w:rsid w:val="00EE605F"/>
    <w:rsid w:val="00FA3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F48720"/>
  <w15:docId w15:val="{F2C89E95-FA42-AF47-8EDE-B1803EE00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DF7F2B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F7F2B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4459</Words>
  <Characters>25422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Dar.yalda@yandex.ru</cp:lastModifiedBy>
  <cp:revision>3</cp:revision>
  <dcterms:created xsi:type="dcterms:W3CDTF">2026-07-06T16:59:00Z</dcterms:created>
  <dcterms:modified xsi:type="dcterms:W3CDTF">2026-07-07T10:15:00Z</dcterms:modified>
</cp:coreProperties>
</file>