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4EDFC" w14:textId="3D1F2B8B" w:rsidR="001535E6" w:rsidRPr="00D90F17" w:rsidRDefault="00D90F17">
      <w:pPr>
        <w:rPr>
          <w:b/>
          <w:bCs/>
          <w:lang w:val="es-ES"/>
        </w:rPr>
      </w:pPr>
      <w:r w:rsidRPr="00D90F17">
        <w:rPr>
          <w:b/>
          <w:bCs/>
          <w:lang w:val="es-ES"/>
        </w:rPr>
        <w:t>Borrador de Bitácora de Depuración:</w:t>
      </w:r>
    </w:p>
    <w:p w14:paraId="580B6BAB" w14:textId="77777777" w:rsidR="00D90F17" w:rsidRPr="00D90F17" w:rsidRDefault="00D90F17" w:rsidP="00D90F17">
      <w:pPr>
        <w:rPr>
          <w:b/>
          <w:bCs/>
        </w:rPr>
      </w:pPr>
      <w:r w:rsidRPr="00D90F17">
        <w:rPr>
          <w:b/>
          <w:bCs/>
        </w:rPr>
        <w:t>Error 1: Interpretación incorrecta de las transiciones válidas del semáforo</w:t>
      </w:r>
    </w:p>
    <w:p w14:paraId="492E6519" w14:textId="77777777" w:rsidR="00D90F17" w:rsidRPr="00D90F17" w:rsidRDefault="00D90F17" w:rsidP="00D90F17">
      <w:r w:rsidRPr="00D90F17">
        <w:rPr>
          <w:b/>
          <w:bCs/>
        </w:rPr>
        <w:t>Problema encontrado</w:t>
      </w:r>
    </w:p>
    <w:p w14:paraId="38E8F3E3" w14:textId="77777777" w:rsidR="001F2353" w:rsidRPr="001F2353" w:rsidRDefault="001F2353" w:rsidP="001F2353">
      <w:r w:rsidRPr="001F2353">
        <w:t xml:space="preserve">Al implementar la función </w:t>
      </w:r>
      <w:proofErr w:type="spellStart"/>
      <w:r w:rsidRPr="001F2353">
        <w:rPr>
          <w:b/>
          <w:bCs/>
          <w:i/>
          <w:iCs/>
        </w:rPr>
        <w:t>transicion</w:t>
      </w:r>
      <w:proofErr w:type="spellEnd"/>
      <w:r w:rsidRPr="001F2353">
        <w:t xml:space="preserve">, la consigna indicaba que debía devolverse </w:t>
      </w:r>
      <w:r w:rsidRPr="001F2353">
        <w:rPr>
          <w:b/>
          <w:bCs/>
          <w:i/>
          <w:iCs/>
        </w:rPr>
        <w:t>'</w:t>
      </w:r>
      <w:proofErr w:type="spellStart"/>
      <w:r w:rsidRPr="001F2353">
        <w:rPr>
          <w:b/>
          <w:bCs/>
          <w:i/>
          <w:iCs/>
        </w:rPr>
        <w:t>accion</w:t>
      </w:r>
      <w:proofErr w:type="spellEnd"/>
      <w:r w:rsidRPr="001F2353">
        <w:rPr>
          <w:b/>
          <w:bCs/>
          <w:i/>
          <w:iCs/>
        </w:rPr>
        <w:t>-por-defecto</w:t>
      </w:r>
      <w:r w:rsidRPr="001F2353">
        <w:t xml:space="preserve"> cuando la transición no fuera válida. Sin embargo, la especificación no definía explícitamente qué transiciones debían considerarse válidas o inválidas.</w:t>
      </w:r>
    </w:p>
    <w:p w14:paraId="5BE12527" w14:textId="77777777" w:rsidR="001F2353" w:rsidRPr="001F2353" w:rsidRDefault="001F2353" w:rsidP="001F2353">
      <w:r w:rsidRPr="001F2353">
        <w:t>Inicialmente se asumió que cualquier cambio entre los colores rojo, amarillo y verde era válido, por lo que no existía un criterio claro para determinar cuándo retornar '</w:t>
      </w:r>
      <w:proofErr w:type="spellStart"/>
      <w:r w:rsidRPr="001F2353">
        <w:t>accion</w:t>
      </w:r>
      <w:proofErr w:type="spellEnd"/>
      <w:r w:rsidRPr="001F2353">
        <w:t>-por-defecto. Esto dejó la función sin lógica condicional real: el cuerpo quedó incompleto, con comentarios en lugar de código funcional, ya que no era posible avanzar sin conocer las reglas de validez.</w:t>
      </w:r>
    </w:p>
    <w:p w14:paraId="607E3376" w14:textId="77777777" w:rsidR="00D90F17" w:rsidRPr="00D90F17" w:rsidRDefault="00D90F17" w:rsidP="00D90F17">
      <w:r w:rsidRPr="00D90F17">
        <w:rPr>
          <w:b/>
          <w:bCs/>
        </w:rPr>
        <w:t>Causa</w:t>
      </w:r>
    </w:p>
    <w:p w14:paraId="1B9B8E91" w14:textId="77777777" w:rsidR="001F2353" w:rsidRDefault="001F2353" w:rsidP="00D90F17">
      <w:r w:rsidRPr="001F2353">
        <w:t>La ambigüedad provenía de una interpretación incompleta de los requisitos funcionales. La especificación mencionaba transiciones inválidas pero no describía la secuencia permitida de estados. En términos técnicos, sin una estructura condicional (</w:t>
      </w:r>
      <w:proofErr w:type="spellStart"/>
      <w:r w:rsidRPr="001F2353">
        <w:t>cond</w:t>
      </w:r>
      <w:proofErr w:type="spellEnd"/>
      <w:r w:rsidRPr="001F2353">
        <w:t xml:space="preserve"> o </w:t>
      </w:r>
      <w:proofErr w:type="spellStart"/>
      <w:r w:rsidRPr="001F2353">
        <w:t>if</w:t>
      </w:r>
      <w:proofErr w:type="spellEnd"/>
      <w:r w:rsidRPr="001F2353">
        <w:t>) que validara el par (color-actual, cambiar-a), la función era incapaz de discriminar entre una transición válida e inválida, haciendo imposible implementar el retorno correcto.</w:t>
      </w:r>
    </w:p>
    <w:p w14:paraId="791E0512" w14:textId="2978D54C" w:rsidR="00D90F17" w:rsidRPr="00D90F17" w:rsidRDefault="00D90F17" w:rsidP="00D90F17">
      <w:r w:rsidRPr="00D90F17">
        <w:rPr>
          <w:b/>
          <w:bCs/>
        </w:rPr>
        <w:t>Proceso de depuración</w:t>
      </w:r>
    </w:p>
    <w:p w14:paraId="4D0E3929" w14:textId="1A395BD0" w:rsidR="00021A46" w:rsidRDefault="00D90F17" w:rsidP="00D90F17">
      <w:r w:rsidRPr="00D90F17">
        <w:t xml:space="preserve">Se consultó al profesor mediante </w:t>
      </w:r>
      <w:r>
        <w:t xml:space="preserve">el aula </w:t>
      </w:r>
      <w:r w:rsidR="001F2353">
        <w:t>virtual</w:t>
      </w:r>
      <w:r w:rsidRPr="00D90F17">
        <w:t xml:space="preserve"> para aclarar el comportamiento esperado.</w:t>
      </w:r>
      <w:r w:rsidR="00021A46">
        <w:t xml:space="preserve"> </w:t>
      </w:r>
      <w:r w:rsidR="00021A46" w:rsidRPr="00021A46">
        <w:t>Paralelamente, en el grupo de comunicación entre equipos surgió un debate adicional: se planteó la posibilidad de que las entradas de la función no se limitaran a rojo, amarillo y verde, sino que pudieran recibirse otros valores de color no contemplados. Bajo esa hipótesis, una transición inválida podría referirse simplemente a un color de entrada desconocido, independientemente de la secuencia. Sin embargo, esta interpretación no pudo confirmarse sin consultar al docente.</w:t>
      </w:r>
    </w:p>
    <w:p w14:paraId="0FB57189" w14:textId="3BD3F296" w:rsidR="00D90F17" w:rsidRPr="00D90F17" w:rsidRDefault="00D90F17" w:rsidP="00D90F17">
      <w:r w:rsidRPr="00D90F17">
        <w:t xml:space="preserve"> La respuesta fue:</w:t>
      </w:r>
    </w:p>
    <w:p w14:paraId="3ED1611F" w14:textId="77777777" w:rsidR="00D90F17" w:rsidRPr="00D90F17" w:rsidRDefault="00D90F17" w:rsidP="00D90F17">
      <w:r w:rsidRPr="00D90F17">
        <w:t>"Al ser un semáforo vial, hay solo una secuencia cíclica válida."</w:t>
      </w:r>
    </w:p>
    <w:p w14:paraId="77F4F7BC" w14:textId="77777777" w:rsidR="00021A46" w:rsidRDefault="00021A46" w:rsidP="00D90F17">
      <w:r w:rsidRPr="00021A46">
        <w:t>A partir de esta aclaración, y asumiendo en rigor que los únicos colores posibles como entrada son rojo, amarillo y verde, se descartó la hipótesis de entradas arbitrarias y se establecieron las siguientes como las únicas transiciones permitidas:</w:t>
      </w:r>
    </w:p>
    <w:p w14:paraId="4FCF1D0A" w14:textId="4C3DBFD4" w:rsidR="00D90F17" w:rsidRPr="00D90F17" w:rsidRDefault="00D90F17" w:rsidP="00D90F17">
      <w:pPr>
        <w:rPr>
          <w:b/>
          <w:bCs/>
        </w:rPr>
      </w:pPr>
      <w:r w:rsidRPr="00D90F17">
        <w:rPr>
          <w:b/>
          <w:bCs/>
        </w:rPr>
        <w:t>rojo -&gt; verde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verde</w:t>
      </w:r>
      <w:proofErr w:type="spellEnd"/>
      <w:r w:rsidRPr="00D90F17">
        <w:rPr>
          <w:b/>
          <w:bCs/>
        </w:rPr>
        <w:t xml:space="preserve"> -&gt; amarillo</w:t>
      </w:r>
      <w:r w:rsidRPr="00D90F17">
        <w:rPr>
          <w:b/>
          <w:bCs/>
        </w:rPr>
        <w:br/>
      </w:r>
      <w:proofErr w:type="spellStart"/>
      <w:r w:rsidRPr="00D90F17">
        <w:rPr>
          <w:b/>
          <w:bCs/>
        </w:rPr>
        <w:t>amarillo</w:t>
      </w:r>
      <w:proofErr w:type="spellEnd"/>
      <w:r w:rsidRPr="00D90F17">
        <w:rPr>
          <w:b/>
          <w:bCs/>
        </w:rPr>
        <w:t xml:space="preserve"> -&gt; rojo</w:t>
      </w:r>
    </w:p>
    <w:p w14:paraId="7C275887" w14:textId="77777777" w:rsidR="001F2353" w:rsidRDefault="001F2353" w:rsidP="00D90F17">
      <w:r w:rsidRPr="001F2353">
        <w:lastRenderedPageBreak/>
        <w:t>Cualquier otra combinación debía considerarse inválida y disparar el retorno de '</w:t>
      </w:r>
      <w:proofErr w:type="spellStart"/>
      <w:r w:rsidRPr="001F2353">
        <w:t>accion</w:t>
      </w:r>
      <w:proofErr w:type="spellEnd"/>
      <w:r w:rsidRPr="001F2353">
        <w:t>-por-defecto.</w:t>
      </w:r>
    </w:p>
    <w:p w14:paraId="4538FD1A" w14:textId="6A543722" w:rsidR="00D90F17" w:rsidRPr="00D90F17" w:rsidRDefault="00D90F17" w:rsidP="00D90F17">
      <w:r w:rsidRPr="00D90F17">
        <w:rPr>
          <w:b/>
          <w:bCs/>
        </w:rPr>
        <w:t>Solución</w:t>
      </w:r>
    </w:p>
    <w:p w14:paraId="3652AC7B" w14:textId="77777777" w:rsidR="00D90F17" w:rsidRPr="00D90F17" w:rsidRDefault="00D90F17" w:rsidP="00D90F17">
      <w:r w:rsidRPr="00D90F17">
        <w:t>Se redefinió la función para verificar explícitamente la secuencia cíclica del semáforo y devolver '</w:t>
      </w:r>
      <w:proofErr w:type="spellStart"/>
      <w:r w:rsidRPr="00D90F17">
        <w:t>accion</w:t>
      </w:r>
      <w:proofErr w:type="spellEnd"/>
      <w:r w:rsidRPr="00D90F17">
        <w:t>-por-defecto cuando la transición no respetara el ciclo establecido.</w:t>
      </w:r>
    </w:p>
    <w:p w14:paraId="1CAFC2F4" w14:textId="2DA636F3" w:rsidR="00D90F17" w:rsidRDefault="00D90F17" w:rsidP="00D90F17">
      <w:pPr>
        <w:rPr>
          <w:b/>
          <w:bCs/>
        </w:rPr>
      </w:pPr>
      <w:r w:rsidRPr="00D90F17">
        <w:rPr>
          <w:b/>
          <w:bCs/>
        </w:rPr>
        <w:t>Evidencia</w:t>
      </w:r>
    </w:p>
    <w:p w14:paraId="6A21B794" w14:textId="77777777" w:rsidR="001535E6" w:rsidRDefault="001535E6" w:rsidP="00D90F17">
      <w:pPr>
        <w:rPr>
          <w:b/>
          <w:bCs/>
        </w:rPr>
      </w:pPr>
    </w:p>
    <w:p w14:paraId="5009B9FD" w14:textId="77777777" w:rsidR="00ED65D1" w:rsidRPr="00D90F17" w:rsidRDefault="00ED65D1" w:rsidP="00ED65D1">
      <w:pPr>
        <w:rPr>
          <w:b/>
          <w:bCs/>
        </w:rPr>
      </w:pPr>
      <w:r w:rsidRPr="00D90F17">
        <w:rPr>
          <w:b/>
          <w:bCs/>
        </w:rPr>
        <w:t xml:space="preserve">Captura de la consigna original. </w:t>
      </w:r>
    </w:p>
    <w:p w14:paraId="1581EEA2" w14:textId="5C96E33D" w:rsidR="00D90F17" w:rsidRPr="00D90F17" w:rsidRDefault="00D90F17" w:rsidP="00D90F17">
      <w:pPr>
        <w:rPr>
          <w:b/>
          <w:bCs/>
        </w:rPr>
      </w:pPr>
      <w:r w:rsidRPr="00D90F17">
        <w:rPr>
          <w:noProof/>
        </w:rPr>
        <w:drawing>
          <wp:anchor distT="0" distB="0" distL="114300" distR="114300" simplePos="0" relativeHeight="251658240" behindDoc="1" locked="0" layoutInCell="1" allowOverlap="1" wp14:anchorId="29573EB2" wp14:editId="7DF9C939">
            <wp:simplePos x="0" y="0"/>
            <wp:positionH relativeFrom="column">
              <wp:posOffset>161925</wp:posOffset>
            </wp:positionH>
            <wp:positionV relativeFrom="paragraph">
              <wp:posOffset>144145</wp:posOffset>
            </wp:positionV>
            <wp:extent cx="5400040" cy="2820670"/>
            <wp:effectExtent l="0" t="0" r="0" b="0"/>
            <wp:wrapTopAndBottom/>
            <wp:docPr id="601116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116526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0F17">
        <w:rPr>
          <w:b/>
          <w:bCs/>
        </w:rPr>
        <w:t>Captura de la consulta enviada al profesor</w:t>
      </w:r>
      <w:r>
        <w:rPr>
          <w:b/>
          <w:bCs/>
        </w:rPr>
        <w:t xml:space="preserve"> y la respuesta.</w:t>
      </w:r>
    </w:p>
    <w:p w14:paraId="5252ABCD" w14:textId="077DDDFC" w:rsidR="00D90F17" w:rsidRDefault="001535E6" w:rsidP="00D90F17">
      <w:r w:rsidRPr="001535E6">
        <w:rPr>
          <w:noProof/>
        </w:rPr>
        <w:lastRenderedPageBreak/>
        <w:drawing>
          <wp:inline distT="0" distB="0" distL="0" distR="0" wp14:anchorId="200CB47A" wp14:editId="254C9F09">
            <wp:extent cx="2418270" cy="4076700"/>
            <wp:effectExtent l="0" t="0" r="1270" b="0"/>
            <wp:docPr id="1530201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019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21356" cy="408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1535E6">
        <w:rPr>
          <w:noProof/>
        </w:rPr>
        <w:drawing>
          <wp:inline distT="0" distB="0" distL="0" distR="0" wp14:anchorId="7369E68B" wp14:editId="374D8618">
            <wp:extent cx="1920240" cy="1617044"/>
            <wp:effectExtent l="0" t="0" r="3810" b="2540"/>
            <wp:docPr id="2110014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41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23322" cy="161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E9E4" w14:textId="247BD9D9" w:rsidR="00ED65D1" w:rsidRPr="00ED65D1" w:rsidRDefault="00ED65D1" w:rsidP="00D90F17">
      <w:pPr>
        <w:rPr>
          <w:b/>
          <w:bCs/>
        </w:rPr>
      </w:pPr>
      <w:r w:rsidRPr="00D90F17">
        <w:rPr>
          <w:b/>
          <w:bCs/>
        </w:rPr>
        <w:t>Captura d</w:t>
      </w:r>
      <w:r>
        <w:rPr>
          <w:b/>
          <w:bCs/>
        </w:rPr>
        <w:t>el c</w:t>
      </w:r>
      <w:r w:rsidRPr="00ED65D1">
        <w:rPr>
          <w:b/>
          <w:bCs/>
        </w:rPr>
        <w:t>ódigo con lógica incompleta</w:t>
      </w:r>
      <w:r>
        <w:rPr>
          <w:b/>
          <w:bCs/>
        </w:rPr>
        <w:t xml:space="preserve"> y comentarios</w:t>
      </w:r>
      <w:r w:rsidRPr="00ED65D1">
        <w:rPr>
          <w:b/>
          <w:bCs/>
        </w:rPr>
        <w:t xml:space="preserve"> previo a la aclaración</w:t>
      </w:r>
    </w:p>
    <w:p w14:paraId="07507850" w14:textId="711A6C27" w:rsidR="00D90F17" w:rsidRDefault="00ED65D1">
      <w:pPr>
        <w:rPr>
          <w:lang w:val="es-ES"/>
        </w:rPr>
      </w:pPr>
      <w:r w:rsidRPr="00ED65D1">
        <w:rPr>
          <w:lang w:val="es-ES"/>
        </w:rPr>
        <w:drawing>
          <wp:inline distT="0" distB="0" distL="0" distR="0" wp14:anchorId="1DB4084F" wp14:editId="188C2FC2">
            <wp:extent cx="5400040" cy="972185"/>
            <wp:effectExtent l="0" t="0" r="0" b="0"/>
            <wp:docPr id="689158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584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8625F" w14:textId="77777777" w:rsidR="00D90F17" w:rsidRDefault="00D90F17">
      <w:pPr>
        <w:rPr>
          <w:lang w:val="es-ES"/>
        </w:rPr>
      </w:pPr>
    </w:p>
    <w:p w14:paraId="04D19ED1" w14:textId="77777777" w:rsidR="00D90F17" w:rsidRPr="00D90F17" w:rsidRDefault="00D90F17">
      <w:pPr>
        <w:rPr>
          <w:lang w:val="es-ES"/>
        </w:rPr>
      </w:pPr>
    </w:p>
    <w:sectPr w:rsidR="00D90F17" w:rsidRPr="00D90F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F17"/>
    <w:rsid w:val="00021A46"/>
    <w:rsid w:val="00032DAF"/>
    <w:rsid w:val="001535E6"/>
    <w:rsid w:val="0018690B"/>
    <w:rsid w:val="001F2353"/>
    <w:rsid w:val="0082138F"/>
    <w:rsid w:val="00941058"/>
    <w:rsid w:val="009B4408"/>
    <w:rsid w:val="00B37AF0"/>
    <w:rsid w:val="00C81C9E"/>
    <w:rsid w:val="00D90F17"/>
    <w:rsid w:val="00ED6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ED702"/>
  <w15:chartTrackingRefBased/>
  <w15:docId w15:val="{7A914359-D571-4AD7-ADBB-D88F7BAA5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0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0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0F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0F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0F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0F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0F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0F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0F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0F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0F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0F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0F1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0F1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0F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0F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0F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0F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0F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0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0F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0F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0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0F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0F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0F1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0F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0F1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0F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408</Words>
  <Characters>2244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Yle</dc:creator>
  <cp:keywords/>
  <dc:description/>
  <cp:lastModifiedBy>Yle</cp:lastModifiedBy>
  <cp:revision>5</cp:revision>
  <dcterms:created xsi:type="dcterms:W3CDTF">2026-06-05T23:05:00Z</dcterms:created>
  <dcterms:modified xsi:type="dcterms:W3CDTF">2026-06-05T23:32:00Z</dcterms:modified>
</cp:coreProperties>
</file>