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3954162597656"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Student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1904296875" w:line="240" w:lineRule="auto"/>
        <w:ind w:left="2178.2228088378906"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“Searching for viruses in sequencing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2159.209442138672" w:right="0" w:firstLine="0"/>
        <w:jc w:val="left"/>
        <w:rPr>
          <w:rFonts w:ascii="Palatino Linotype" w:cs="Palatino Linotype" w:eastAsia="Palatino Linotype" w:hAnsi="Palatino Linotype"/>
          <w:b w:val="0"/>
          <w:i w:val="0"/>
          <w:smallCaps w:val="0"/>
          <w:strike w:val="0"/>
          <w:color w:val="000000"/>
          <w:sz w:val="13.920000076293945"/>
          <w:szCs w:val="13.92000007629394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Authors: Anton Filev</w:t>
      </w:r>
      <w:r w:rsidDel="00000000" w:rsidR="00000000" w:rsidRPr="00000000">
        <w:rPr>
          <w:rFonts w:ascii="Palatino Linotype" w:cs="Palatino Linotype" w:eastAsia="Palatino Linotype" w:hAnsi="Palatino Linotype"/>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Julia Solomennikova</w:t>
      </w:r>
      <w:r w:rsidDel="00000000" w:rsidR="00000000" w:rsidRPr="00000000">
        <w:rPr>
          <w:rFonts w:ascii="Palatino Linotype" w:cs="Palatino Linotype" w:eastAsia="Palatino Linotype" w:hAnsi="Palatino Linotype"/>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1690.8473205566406"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ITMO University, St. Petersburg, Russian Federation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5.0399780273437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9.8919677734375" w:lineRule="auto"/>
        <w:ind w:left="4.07989501953125" w:right="422.615966796875" w:firstLine="1.200103759765625"/>
        <w:jc w:val="both"/>
        <w:rPr>
          <w:rFonts w:ascii="Palatino Linotype" w:cs="Palatino Linotype" w:eastAsia="Palatino Linotype" w:hAnsi="Palatino Linotype"/>
          <w:b w:val="0"/>
          <w:i w:val="0"/>
          <w:smallCaps w:val="0"/>
          <w:strike w:val="0"/>
          <w:color w:val="333333"/>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In this report, we demonstrate metagenomic approach, examining matches to the</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severe acute respiratory syndrome coronavirus 2 (SARS-CoV-2) in all high throughput sequencing data sets in the NCBI Sequence Read Archive. The results</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show that a viral genome under accession number PRJNA603194 is mostly related to</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a group of SARS-like coronaviruses. While analysis of these reads indicates the</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presence of a similar viral sequence in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Enterobacteria phage phiX174</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 In addition to</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the implications for SARS-CoV-2 emergence, this report illustrates the utility and</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limitations of metagenomic search tools in effective and rapid characterization of</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333333"/>
          <w:sz w:val="24"/>
          <w:szCs w:val="24"/>
          <w:highlight w:val="white"/>
          <w:u w:val="none"/>
          <w:vertAlign w:val="baseline"/>
          <w:rtl w:val="0"/>
        </w:rPr>
        <w:t xml:space="preserve">significant nucleic acid sequences. </w:t>
      </w:r>
      <w:r w:rsidDel="00000000" w:rsidR="00000000" w:rsidRPr="00000000">
        <w:rPr>
          <w:rFonts w:ascii="Palatino Linotype" w:cs="Palatino Linotype" w:eastAsia="Palatino Linotype" w:hAnsi="Palatino Linotype"/>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564453125" w:line="240" w:lineRule="auto"/>
        <w:ind w:left="8.88000488281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9.66992378234863" w:lineRule="auto"/>
        <w:ind w:left="2.639923095703125" w:right="422.576904296875" w:firstLine="1.1999511718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Many of the major human infectious diseases, including presented in humans and  absent from animals, are still unexplored, because identifying and measuring the  community dynamics of viruses is technically and computationally complicated process (Edwards &amp; Rohwer, 2005). There an example of severe respiratory disease  which have been reported in Wuhan, Hubei province, China. (Wu et al., 2020). The  origins of this disease is still a source for further research. However, metagenomics </w:t>
      </w:r>
      <w:r w:rsidDel="00000000" w:rsidR="00000000" w:rsidRPr="00000000">
        <w:rPr>
          <w:rFonts w:ascii="Palatino Linotype" w:cs="Palatino Linotype" w:eastAsia="Palatino Linotype" w:hAnsi="Palatino Linotype"/>
          <w:b w:val="0"/>
          <w:i w:val="0"/>
          <w:smallCaps w:val="0"/>
          <w:strike w:val="0"/>
          <w:color w:val="212529"/>
          <w:sz w:val="24"/>
          <w:szCs w:val="24"/>
          <w:highlight w:val="white"/>
          <w:u w:val="none"/>
          <w:vertAlign w:val="baseline"/>
          <w:rtl w:val="0"/>
        </w:rPr>
        <w:t xml:space="preserve">offers the promise of unbiased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detection </w:t>
      </w:r>
      <w:r w:rsidDel="00000000" w:rsidR="00000000" w:rsidRPr="00000000">
        <w:rPr>
          <w:rFonts w:ascii="Palatino Linotype" w:cs="Palatino Linotype" w:eastAsia="Palatino Linotype" w:hAnsi="Palatino Linotype"/>
          <w:b w:val="0"/>
          <w:i w:val="0"/>
          <w:smallCaps w:val="0"/>
          <w:strike w:val="0"/>
          <w:color w:val="212529"/>
          <w:sz w:val="24"/>
          <w:szCs w:val="24"/>
          <w:highlight w:val="white"/>
          <w:u w:val="none"/>
          <w:vertAlign w:val="baseline"/>
          <w:rtl w:val="0"/>
        </w:rPr>
        <w:t xml:space="preserve">of emerging pathogens, without requiring</w:t>
      </w:r>
      <w:r w:rsidDel="00000000" w:rsidR="00000000" w:rsidRPr="00000000">
        <w:rPr>
          <w:rFonts w:ascii="Palatino Linotype" w:cs="Palatino Linotype" w:eastAsia="Palatino Linotype" w:hAnsi="Palatino Linotype"/>
          <w:b w:val="0"/>
          <w:i w:val="0"/>
          <w:smallCaps w:val="0"/>
          <w:strike w:val="0"/>
          <w:color w:val="212529"/>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12529"/>
          <w:sz w:val="24"/>
          <w:szCs w:val="24"/>
          <w:highlight w:val="white"/>
          <w:u w:val="none"/>
          <w:vertAlign w:val="baseline"/>
          <w:rtl w:val="0"/>
        </w:rPr>
        <w:t xml:space="preserve">prior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knowledge </w:t>
      </w:r>
      <w:r w:rsidDel="00000000" w:rsidR="00000000" w:rsidRPr="00000000">
        <w:rPr>
          <w:rFonts w:ascii="Palatino Linotype" w:cs="Palatino Linotype" w:eastAsia="Palatino Linotype" w:hAnsi="Palatino Linotype"/>
          <w:b w:val="0"/>
          <w:i w:val="0"/>
          <w:smallCaps w:val="0"/>
          <w:strike w:val="0"/>
          <w:color w:val="212529"/>
          <w:sz w:val="24"/>
          <w:szCs w:val="24"/>
          <w:highlight w:val="white"/>
          <w:u w:val="none"/>
          <w:vertAlign w:val="baseline"/>
          <w:rtl w:val="0"/>
        </w:rPr>
        <w:t xml:space="preserve">of the identity of the responsible agent or its genomic sequence.</w:t>
      </w:r>
      <w:r w:rsidDel="00000000" w:rsidR="00000000" w:rsidRPr="00000000">
        <w:rPr>
          <w:rFonts w:ascii="Palatino Linotype" w:cs="Palatino Linotype" w:eastAsia="Palatino Linotype" w:hAnsi="Palatino Linotype"/>
          <w:b w:val="0"/>
          <w:i w:val="0"/>
          <w:smallCaps w:val="0"/>
          <w:strike w:val="0"/>
          <w:color w:val="212529"/>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12529"/>
          <w:sz w:val="24"/>
          <w:szCs w:val="24"/>
          <w:highlight w:val="white"/>
          <w:u w:val="none"/>
          <w:vertAlign w:val="baseline"/>
          <w:rtl w:val="0"/>
        </w:rPr>
        <w:t xml:space="preserve">Therefore,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objective of this paper is to provide insights into the development stages  and to search for similarities between groups, annotate and compare the viral genome.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502685546875" w:line="240" w:lineRule="auto"/>
        <w:ind w:left="8.399963378906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Methods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9.89208221435547" w:lineRule="auto"/>
        <w:ind w:left="3.839874267578125" w:right="422.591552734375" w:hanging="0.720062255859375"/>
        <w:jc w:val="both"/>
        <w:rPr>
          <w:rFonts w:ascii="Palatino Linotype" w:cs="Palatino Linotype" w:eastAsia="Palatino Linotype" w:hAnsi="Palatino Linotype"/>
          <w:b w:val="0"/>
          <w:i w:val="0"/>
          <w:smallCaps w:val="0"/>
          <w:strike w:val="0"/>
          <w:color w:val="24292f"/>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data containing the sequences of the target virus was used from the NCBI  Sequence Read Archive (SRA) database under BioProject accession number  PRJNA603194 published by Wu F. et al (2020). For downloading raw reads a special  tool called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fastq-dump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used from SRA-ToolKit.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The </w:t>
      </w:r>
      <w:r w:rsidDel="00000000" w:rsidR="00000000" w:rsidRPr="00000000">
        <w:rPr>
          <w:rFonts w:ascii="Palatino Linotype" w:cs="Palatino Linotype" w:eastAsia="Palatino Linotype" w:hAnsi="Palatino Linotype"/>
          <w:b w:val="0"/>
          <w:i w:val="1"/>
          <w:smallCaps w:val="0"/>
          <w:strike w:val="0"/>
          <w:color w:val="24292f"/>
          <w:sz w:val="24"/>
          <w:szCs w:val="24"/>
          <w:highlight w:val="white"/>
          <w:u w:val="none"/>
          <w:vertAlign w:val="baseline"/>
          <w:rtl w:val="0"/>
        </w:rPr>
        <w:t xml:space="preserve">fastq-dump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tool extracts data in</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FASTQ- or FASTA-format from SRA-accessions (Leinonen et al., 2011). </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79541015625" w:line="269.89219665527344" w:lineRule="auto"/>
        <w:ind w:left="4.07989501953125" w:right="422.625732421875" w:hanging="0.71990966796875"/>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Assembling of metatranscriptome was performed by SPADes assembler (Bankevich  et al., 2012). There are many launch parameters, but we used the standard Illumina  paired libraries. At the end Illumina produces paired-end reads in two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0555114746" w:lineRule="auto"/>
        <w:ind w:left="4.5599365234375" w:right="422.63671875" w:firstLine="0.4800415039062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files: R1.fastq and R2.fastq. with gaps between them. The adapter and/or quality  trimming software has been used prior to assembly (Bolger et al., 2014).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8076171875" w:line="270.55824279785156" w:lineRule="auto"/>
        <w:ind w:left="3.3599853515625" w:right="422.5" w:firstLine="0.479888916015625"/>
        <w:jc w:val="both"/>
        <w:rPr>
          <w:rFonts w:ascii="Palatino Linotype" w:cs="Palatino Linotype" w:eastAsia="Palatino Linotype" w:hAnsi="Palatino Linotype"/>
          <w:b w:val="0"/>
          <w:i w:val="0"/>
          <w:smallCaps w:val="0"/>
          <w:strike w:val="0"/>
          <w:color w:val="292929"/>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evaluate </w:t>
      </w:r>
      <w:r w:rsidDel="00000000" w:rsidR="00000000" w:rsidRPr="00000000">
        <w:rPr>
          <w:rFonts w:ascii="Palatino Linotype" w:cs="Palatino Linotype" w:eastAsia="Palatino Linotype" w:hAnsi="Palatino Linotype"/>
          <w:b w:val="0"/>
          <w:i w:val="0"/>
          <w:smallCaps w:val="0"/>
          <w:strike w:val="0"/>
          <w:color w:val="292929"/>
          <w:sz w:val="24"/>
          <w:szCs w:val="24"/>
          <w:highlight w:val="white"/>
          <w:u w:val="none"/>
          <w:vertAlign w:val="baseline"/>
          <w:rtl w:val="0"/>
        </w:rPr>
        <w:t xml:space="preserve">he quality of assemblies, the special tool </w:t>
      </w:r>
      <w:r w:rsidDel="00000000" w:rsidR="00000000" w:rsidRPr="00000000">
        <w:rPr>
          <w:rFonts w:ascii="Palatino Linotype" w:cs="Palatino Linotype" w:eastAsia="Palatino Linotype" w:hAnsi="Palatino Linotype"/>
          <w:b w:val="0"/>
          <w:i w:val="0"/>
          <w:smallCaps w:val="0"/>
          <w:strike w:val="0"/>
          <w:color w:val="1155cc"/>
          <w:sz w:val="24"/>
          <w:szCs w:val="24"/>
          <w:u w:val="single"/>
          <w:shd w:fill="auto" w:val="clear"/>
          <w:vertAlign w:val="baseline"/>
          <w:rtl w:val="0"/>
        </w:rPr>
        <w:t xml:space="preserve">QUAST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were used, </w:t>
      </w:r>
      <w:r w:rsidDel="00000000" w:rsidR="00000000" w:rsidRPr="00000000">
        <w:rPr>
          <w:rFonts w:ascii="Palatino Linotype" w:cs="Palatino Linotype" w:eastAsia="Palatino Linotype" w:hAnsi="Palatino Linotype"/>
          <w:b w:val="0"/>
          <w:i w:val="0"/>
          <w:smallCaps w:val="0"/>
          <w:strike w:val="0"/>
          <w:color w:val="292929"/>
          <w:sz w:val="24"/>
          <w:szCs w:val="24"/>
          <w:highlight w:val="white"/>
          <w:u w:val="none"/>
          <w:vertAlign w:val="baseline"/>
          <w:rtl w:val="0"/>
        </w:rPr>
        <w:t xml:space="preserve">which is one</w:t>
      </w:r>
      <w:r w:rsidDel="00000000" w:rsidR="00000000" w:rsidRPr="00000000">
        <w:rPr>
          <w:rFonts w:ascii="Palatino Linotype" w:cs="Palatino Linotype" w:eastAsia="Palatino Linotype" w:hAnsi="Palatino Linotype"/>
          <w:b w:val="0"/>
          <w:i w:val="0"/>
          <w:smallCaps w:val="0"/>
          <w:strike w:val="0"/>
          <w:color w:val="292929"/>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92929"/>
          <w:sz w:val="24"/>
          <w:szCs w:val="24"/>
          <w:highlight w:val="white"/>
          <w:u w:val="none"/>
          <w:vertAlign w:val="baseline"/>
          <w:rtl w:val="0"/>
        </w:rPr>
        <w:t xml:space="preserve">of the most famous assessment tools available for genome assemblies (Gurevich et al.,</w:t>
      </w:r>
      <w:r w:rsidDel="00000000" w:rsidR="00000000" w:rsidRPr="00000000">
        <w:rPr>
          <w:rFonts w:ascii="Palatino Linotype" w:cs="Palatino Linotype" w:eastAsia="Palatino Linotype" w:hAnsi="Palatino Linotype"/>
          <w:b w:val="0"/>
          <w:i w:val="0"/>
          <w:smallCaps w:val="0"/>
          <w:strike w:val="0"/>
          <w:color w:val="292929"/>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92929"/>
          <w:sz w:val="24"/>
          <w:szCs w:val="24"/>
          <w:highlight w:val="white"/>
          <w:u w:val="none"/>
          <w:vertAlign w:val="baseline"/>
          <w:rtl w:val="0"/>
        </w:rPr>
        <w:t xml:space="preserve">2013). QUAST can evaluate assemblies using reference genomes, as well as without</w:t>
      </w:r>
      <w:r w:rsidDel="00000000" w:rsidR="00000000" w:rsidRPr="00000000">
        <w:rPr>
          <w:rFonts w:ascii="Palatino Linotype" w:cs="Palatino Linotype" w:eastAsia="Palatino Linotype" w:hAnsi="Palatino Linotype"/>
          <w:b w:val="0"/>
          <w:i w:val="0"/>
          <w:smallCaps w:val="0"/>
          <w:strike w:val="0"/>
          <w:color w:val="292929"/>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92929"/>
          <w:sz w:val="24"/>
          <w:szCs w:val="24"/>
          <w:highlight w:val="white"/>
          <w:u w:val="none"/>
          <w:vertAlign w:val="baseline"/>
          <w:rtl w:val="0"/>
        </w:rPr>
        <w:t xml:space="preserve">reference genomes. The final quality assessment reports in the </w:t>
      </w:r>
      <w:r w:rsidDel="00000000" w:rsidR="00000000" w:rsidRPr="00000000">
        <w:rPr>
          <w:rFonts w:ascii="Palatino Linotype" w:cs="Palatino Linotype" w:eastAsia="Palatino Linotype" w:hAnsi="Palatino Linotype"/>
          <w:b w:val="0"/>
          <w:i w:val="0"/>
          <w:smallCaps w:val="0"/>
          <w:strike w:val="0"/>
          <w:color w:val="292929"/>
          <w:sz w:val="24"/>
          <w:szCs w:val="24"/>
          <w:u w:val="none"/>
          <w:shd w:fill="f2f2f2" w:val="clear"/>
          <w:vertAlign w:val="baseline"/>
          <w:rtl w:val="0"/>
        </w:rPr>
        <w:t xml:space="preserve">html file. </w:t>
      </w:r>
      <w:r w:rsidDel="00000000" w:rsidR="00000000" w:rsidRPr="00000000">
        <w:rPr>
          <w:rFonts w:ascii="Palatino Linotype" w:cs="Palatino Linotype" w:eastAsia="Palatino Linotype" w:hAnsi="Palatino Linotype"/>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62060546875" w:line="268.89238357543945" w:lineRule="auto"/>
        <w:ind w:left="1.199951171875" w:right="422.606201171875" w:firstLine="3.3599853515625"/>
        <w:jc w:val="both"/>
        <w:rPr>
          <w:rFonts w:ascii="Palatino Linotype" w:cs="Palatino Linotype" w:eastAsia="Palatino Linotype" w:hAnsi="Palatino Linotype"/>
          <w:b w:val="0"/>
          <w:i w:val="0"/>
          <w:smallCaps w:val="0"/>
          <w:strike w:val="0"/>
          <w:color w:val="24292f"/>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For classification of contigs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as viral, non-viral or uncertain, based on gene content was</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used </w:t>
      </w:r>
      <w:r w:rsidDel="00000000" w:rsidR="00000000" w:rsidRPr="00000000">
        <w:rPr>
          <w:rFonts w:ascii="Palatino Linotype" w:cs="Palatino Linotype" w:eastAsia="Palatino Linotype" w:hAnsi="Palatino Linotype"/>
          <w:b w:val="0"/>
          <w:i w:val="0"/>
          <w:smallCaps w:val="0"/>
          <w:strike w:val="0"/>
          <w:color w:val="1155cc"/>
          <w:sz w:val="24"/>
          <w:szCs w:val="24"/>
          <w:u w:val="single"/>
          <w:shd w:fill="auto" w:val="clear"/>
          <w:vertAlign w:val="baseline"/>
          <w:rtl w:val="0"/>
        </w:rPr>
        <w:t xml:space="preserve">ViralVerify</w:t>
      </w:r>
      <w:r w:rsidDel="00000000" w:rsidR="00000000" w:rsidRPr="00000000">
        <w:rPr>
          <w:rFonts w:ascii="Palatino Linotype" w:cs="Palatino Linotype" w:eastAsia="Palatino Linotype" w:hAnsi="Palatino Linotype"/>
          <w:b w:val="0"/>
          <w:i w:val="0"/>
          <w:smallCaps w:val="0"/>
          <w:strike w:val="0"/>
          <w:color w:val="000000"/>
          <w:sz w:val="24"/>
          <w:szCs w:val="24"/>
          <w:u w:val="singl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which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predicts genes in the contigs using Prodigal in the</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metagenomic mode, runs hmmsearch on the predicted proteins and classifies the</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contig as vrial or non-viral by applying the Naive Bayes classifier (NBC) (Pu &amp; Shamir,</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2022).</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283203125" w:line="269.8919677734375" w:lineRule="auto"/>
        <w:ind w:left="2.639923095703125" w:right="422.581787109375" w:firstLine="2.640075683593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Indexing of multi-fasta file was performed by Samtools (Danecek et al., 2021).</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In order to add an options to specify index location or the name of contig, </w:t>
      </w:r>
      <w:r w:rsidDel="00000000" w:rsidR="00000000" w:rsidRPr="00000000">
        <w:rPr>
          <w:rFonts w:ascii="Palatino Linotype" w:cs="Palatino Linotype" w:eastAsia="Palatino Linotype" w:hAnsi="Palatino Linotype"/>
          <w:b w:val="0"/>
          <w:i w:val="1"/>
          <w:smallCaps w:val="0"/>
          <w:strike w:val="0"/>
          <w:color w:val="24292f"/>
          <w:sz w:val="24"/>
          <w:szCs w:val="24"/>
          <w:highlight w:val="white"/>
          <w:u w:val="none"/>
          <w:vertAlign w:val="baseline"/>
          <w:rtl w:val="0"/>
        </w:rPr>
        <w:t xml:space="preserve">faidx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option</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was used for scaffolds.fa files.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Xargs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option were used for selecting a certain length.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79541015625" w:line="269.8919677734375" w:lineRule="auto"/>
        <w:ind w:left="2.639923095703125" w:right="422.664794921875" w:firstLine="1.1999511718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match chosen unknown viral contigs with known viral sequences BLAST was used with the following limitations: viruses (taxid:10239), and entrez query:  1900/01/01:2020/01/01[PDAT].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79541015625" w:line="269.89219665527344" w:lineRule="auto"/>
        <w:ind w:left="3.3599853515625" w:right="422.67333984375" w:hanging="0.71990966796875"/>
        <w:jc w:val="both"/>
        <w:rPr>
          <w:rFonts w:ascii="Palatino Linotype" w:cs="Palatino Linotype" w:eastAsia="Palatino Linotype" w:hAnsi="Palatino Linotype"/>
          <w:b w:val="0"/>
          <w:i w:val="0"/>
          <w:smallCaps w:val="0"/>
          <w:strike w:val="0"/>
          <w:color w:val="24292f"/>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Annotation features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of interest in a set of genomic DNA sequences might be</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performed by differnet software, but inder the ceration conditions the data from</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24292f"/>
          <w:sz w:val="24"/>
          <w:szCs w:val="24"/>
          <w:highlight w:val="white"/>
          <w:u w:val="none"/>
          <w:vertAlign w:val="baseline"/>
          <w:rtl w:val="0"/>
        </w:rPr>
        <w:t xml:space="preserve">GenBank by checking “Graphics” options (GenBank accession number NC_045512). </w:t>
      </w:r>
      <w:r w:rsidDel="00000000" w:rsidR="00000000" w:rsidRPr="00000000">
        <w:rPr>
          <w:rFonts w:ascii="Palatino Linotype" w:cs="Palatino Linotype" w:eastAsia="Palatino Linotype" w:hAnsi="Palatino Linotype"/>
          <w:b w:val="0"/>
          <w:i w:val="0"/>
          <w:smallCaps w:val="0"/>
          <w:strike w:val="0"/>
          <w:color w:val="24292f"/>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27685546875" w:line="240" w:lineRule="auto"/>
        <w:ind w:left="6.7199707031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Results </w:t>
      </w:r>
      <w:r w:rsidDel="00000000" w:rsidR="00000000" w:rsidRPr="00000000">
        <w:drawing>
          <wp:anchor allowOverlap="1" behindDoc="0" distB="19050" distT="19050" distL="19050" distR="19050" hidden="0" layoutInCell="1" locked="0" relativeHeight="0" simplePos="0">
            <wp:simplePos x="0" y="0"/>
            <wp:positionH relativeFrom="column">
              <wp:posOffset>1570740</wp:posOffset>
            </wp:positionH>
            <wp:positionV relativeFrom="paragraph">
              <wp:posOffset>-60422</wp:posOffset>
            </wp:positionV>
            <wp:extent cx="4481536" cy="291060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1536" cy="2910606"/>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13.91998291015625"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Quality assessment of genome assemble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71.8908214569092" w:lineRule="auto"/>
        <w:ind w:left="4.319915771484375" w:right="422.576904296875" w:hanging="2.399902343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found 3667 different contigs (fig. 1). Among them only one was &gt;= 1000 bp; its  length was 29907 bp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292724609375" w:line="267.8930854797363" w:lineRule="auto"/>
        <w:ind w:left="3.839874267578125" w:right="1302.86376953125" w:firstLine="0.7200622558593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Figure 1. The relation between contig length (kbp) and the number of contigs. More information about the assembled date evaluation - see in Supp.1.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240" w:lineRule="auto"/>
        <w:ind w:left="3.3599853515625"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 Viral detection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0555114746" w:lineRule="auto"/>
        <w:ind w:left="13.43994140625" w:right="422.615966796875" w:hanging="5.76004028320312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Contig analysis showed that 194 of sequences could have viral origin. Other contigs  (111076) had chromosomal or undetected origins (supp.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8076171875" w:line="240" w:lineRule="auto"/>
        <w:ind w:left="3.600006103515625"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 Similarity search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7.8930854797363" w:lineRule="auto"/>
        <w:ind w:left="2.639923095703125" w:right="1172.493896484375" w:hanging="0.719909667968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compare chosen unknown viral contigs with known viral sequences using  BLAST (See whole report here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529296875" w:line="269.89219665527344" w:lineRule="auto"/>
        <w:ind w:left="3.839874267578125" w:right="422.581787109375" w:hanging="3.359985351562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4"/>
          <w:szCs w:val="24"/>
          <w:u w:val="single"/>
          <w:shd w:fill="auto" w:val="clear"/>
          <w:vertAlign w:val="baseline"/>
          <w:rtl w:val="0"/>
        </w:rPr>
        <w:t xml:space="preserve">https://blast.ncbi.nlm.nih.gov/Blast.cgi?CMD=Get&amp;RID=HZ4SK6ET01R</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The longest contig (29997 bp) had the highest identity (89,12%) with Bat SARS-like  coronavirus (Taxonomy ID: 1508227) (supp.3)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564453125" w:line="240" w:lineRule="auto"/>
        <w:ind w:left="0.71990966796875"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Annotation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7.8930854797363" w:lineRule="auto"/>
        <w:ind w:left="5.279998779296875" w:right="489.302978515625" w:hanging="1.4401245117187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annotation of Severe acute respiratory syndrome coronavirus 2 isolate Wuhan Hu-1 (complete genome) is presented in the Supplementary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240" w:lineRule="auto"/>
        <w:ind w:left="6.7199707031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Discussion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9.4920825958252" w:lineRule="auto"/>
        <w:ind w:left="1.199951171875" w:right="422.606201171875" w:firstLine="1.67999267578125"/>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Due to human population which is constantly increasing new lethal microorganisms  will appear. Therefore, it is crucial to obtain the data rapidly as much information  about new pathogens as we can. In this project we provided the algorithm that could  cope with this problem. However, it is necessary to create a universal set of tools  which will speed up this process and last but not least, attach detailed instructions for  using this set. According to the BLAST report, there is Enterobacteria-hosted phage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67.89257049560547" w:lineRule="auto"/>
        <w:ind w:left="8.639984130859375" w:right="422.662353515625" w:hanging="1.43997192382812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on the sequence. Therefore, it is critical to prepare library carefully to exclude  contaminations and others interruptions or consider different evolution scenarios.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8076171875" w:line="240" w:lineRule="auto"/>
        <w:ind w:left="6.7199707031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70.2918243408203" w:lineRule="auto"/>
        <w:ind w:left="351.5998840332031" w:right="422.581787109375" w:hanging="337.6799011230469"/>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Bankevich, A., Nurk, S., Antipov, D., Gurevich, A. A., Dvorkin, M., Kulikov, A. S.,  Lesin, V. M., Nikolenko, S. I., Pham, S., Prjibelski, A. D., Pyshkin, A. V., Sirotkin,  A. V., Vyahhi, N., Tesler, G., Alekseyev, M. A., &amp; Pevzner, P. A. (2012). SPAdes: A  new genome assembly algorithm and its applications to single-cell sequencing.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Journal of Computational Biology</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19</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 455–477.  https://doi.org/10.1089/cmb.2012.0021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86376953125" w:line="269.8919677734375" w:lineRule="auto"/>
        <w:ind w:left="360.4798889160156" w:right="422.581787109375" w:hanging="357.1199035644531"/>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 Bolger, A. M., Lohse, M., &amp; Usadel, B. (2014). Trimmomatic: A flexible trimmer for  Illumina sequence data.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Bioinformatics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30</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(15), 2114–2120.  https://doi.org/10.1093/bioinformatics/btu170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22265625" w:line="269.22566413879395" w:lineRule="auto"/>
        <w:ind w:left="360.4798889160156" w:right="422.547607421875" w:hanging="356.8798828125"/>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 Danecek, P., Bonfield, J. K., Liddle, J., Marshall, J., Ohan, V., Pollard, M. O.,  Whitwham, A., Keane, T., McCarthy, S. A., Davies, R. M., &amp; Li, H. (2021). Twelve  years of SAMtools and BCFtools.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GigaScience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 1–4.  https://doi.org/10.1093/gigascience/giab008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00634765625" w:line="271.89133644104004" w:lineRule="auto"/>
        <w:ind w:left="355.679931640625" w:right="422.5439453125" w:hanging="354.9600219726562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Edwards, R. A., &amp; Rohwer, F. (2005). Viral metagenomics.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Nature Reviews  Microbiology</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(6), 504–510. https://doi.org/10.1038/nrmicro1163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058837890625" w:line="271.89133644104004" w:lineRule="auto"/>
        <w:ind w:left="368.8800048828125" w:right="422.581787109375" w:hanging="365.760040283203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 Gurevich, A., Saveliev, V., Vyahhi, N., &amp; Tesler, G. (2013). QUAST: Quality  assessment tool for genome assemblies.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Bioinformatics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29</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(8), 1072–1075.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https://doi.org/10.1093/bioinformatics/btt086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9.89219665527344" w:lineRule="auto"/>
        <w:ind w:left="360.4798889160156" w:right="422.581787109375" w:hanging="353.0400085449219"/>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6. Leinonen, R., Sugawara, H., &amp; Shumway, M. (2011). The sequence read archive.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Nucleic Acids Research</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39</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(SUPPL. 1), 2010–2012.  https://doi.org/10.1093/nar/gkq1019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22265625" w:line="269.89171028137207" w:lineRule="auto"/>
        <w:ind w:left="363.3599853515625" w:right="422.581787109375" w:hanging="353.0400085449219"/>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7. Pu, L., &amp; Shamir, R. (2022). 3CAC: improving the classification of phages and  plasmids in metagenomic assemblies using assembly graphs.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BioRxiv</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30</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2021.11.05.467408.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41796875" w:line="271.89133644104004" w:lineRule="auto"/>
        <w:ind w:left="367.20001220703125" w:right="518.975830078125" w:hanging="6.720123291015625"/>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https://www.biorxiv.org/content/10.1101/2021.11.05.467408v2%0Ahttps://www.bi orxiv.org/content/10.1101/2021.11.05.467408v2.abstract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90625" w:line="269.8919677734375" w:lineRule="auto"/>
        <w:ind w:left="360.4798889160156" w:right="422.581787109375" w:hanging="353.7599182128906"/>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8. Wu, F., Zhao, S., Yu, B., Chen, Y. M., Wang, W., Song, Z. G., Hu, Y., Tao, Z. W.,  Tian, J. H., Pei, Y. Y., Yuan, M. L., Zhang, Y. L., Dai, F. H., Liu, Y., Wang, Q. M.,  Zheng, J. J., Xu, L., Holmes, E. C., &amp; Zhang, Y. Z. (2020). A new coronavirus  associated with human respiratory disease in China.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Nature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579</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(7798), 265–269.  https://doi.org/10.1038/s41586-020-2008-3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27685546875" w:line="240" w:lineRule="auto"/>
        <w:ind w:left="13.439941406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Supplements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7.8930854797363" w:lineRule="auto"/>
        <w:ind w:left="0" w:right="973.741455078125" w:firstLine="13.43994140625"/>
        <w:jc w:val="left"/>
        <w:rPr>
          <w:rFonts w:ascii="Palatino Linotype" w:cs="Palatino Linotype" w:eastAsia="Palatino Linotype" w:hAnsi="Palatino Linotype"/>
          <w:b w:val="0"/>
          <w:i w:val="0"/>
          <w:smallCaps w:val="0"/>
          <w:strike w:val="0"/>
          <w:color w:val="0000ff"/>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Supplement 1: </w:t>
      </w:r>
      <w:r w:rsidDel="00000000" w:rsidR="00000000" w:rsidRPr="00000000">
        <w:rPr>
          <w:rFonts w:ascii="Palatino Linotype" w:cs="Palatino Linotype" w:eastAsia="Palatino Linotype" w:hAnsi="Palatino Linotype"/>
          <w:b w:val="0"/>
          <w:i w:val="0"/>
          <w:smallCaps w:val="0"/>
          <w:strike w:val="0"/>
          <w:color w:val="0000ff"/>
          <w:sz w:val="24"/>
          <w:szCs w:val="24"/>
          <w:u w:val="single"/>
          <w:shd w:fill="auto" w:val="clear"/>
          <w:vertAlign w:val="baseline"/>
          <w:rtl w:val="0"/>
        </w:rPr>
        <w:t xml:space="preserve">https://drive.google.com/file/d/1COZNL7mp-VJGAPltCweZ0zX YT6uzHBo/view?usp=sharing</w:t>
      </w:r>
      <w:r w:rsidDel="00000000" w:rsidR="00000000" w:rsidRPr="00000000">
        <w:rPr>
          <w:rFonts w:ascii="Palatino Linotype" w:cs="Palatino Linotype" w:eastAsia="Palatino Linotype" w:hAnsi="Palatino Linotype"/>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71240234375" w:line="269.225492477417" w:lineRule="auto"/>
        <w:ind w:left="1.67999267578125" w:right="1649.6826171875" w:firstLine="11.75994873046875"/>
        <w:jc w:val="left"/>
        <w:rPr>
          <w:rFonts w:ascii="Palatino Linotype" w:cs="Palatino Linotype" w:eastAsia="Palatino Linotype" w:hAnsi="Palatino Linotype"/>
          <w:b w:val="0"/>
          <w:i w:val="0"/>
          <w:smallCaps w:val="0"/>
          <w:strike w:val="0"/>
          <w:color w:val="0000ff"/>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Supplement 2: </w:t>
      </w:r>
      <w:r w:rsidDel="00000000" w:rsidR="00000000" w:rsidRPr="00000000">
        <w:rPr>
          <w:rFonts w:ascii="Palatino Linotype" w:cs="Palatino Linotype" w:eastAsia="Palatino Linotype" w:hAnsi="Palatino Linotype"/>
          <w:b w:val="0"/>
          <w:i w:val="0"/>
          <w:smallCaps w:val="0"/>
          <w:strike w:val="0"/>
          <w:color w:val="0000ff"/>
          <w:sz w:val="24"/>
          <w:szCs w:val="24"/>
          <w:u w:val="single"/>
          <w:shd w:fill="auto" w:val="clear"/>
          <w:vertAlign w:val="baseline"/>
          <w:rtl w:val="0"/>
        </w:rPr>
        <w:t xml:space="preserve">https://docs.google.com/spreadsheets/d/1HL7IUDxPefe dsEVWO5UqLX7Wa0Pyu0qmhY2rdenNEE/edit#gid=2141147666</w:t>
      </w:r>
      <w:r w:rsidDel="00000000" w:rsidR="00000000" w:rsidRPr="00000000">
        <w:rPr>
          <w:rFonts w:ascii="Palatino Linotype" w:cs="Palatino Linotype" w:eastAsia="Palatino Linotype" w:hAnsi="Palatino Linotype"/>
          <w:b w:val="0"/>
          <w:i w:val="0"/>
          <w:smallCaps w:val="0"/>
          <w:strike w:val="0"/>
          <w:color w:val="0000f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Supplement 3: </w:t>
      </w:r>
      <w:r w:rsidDel="00000000" w:rsidR="00000000" w:rsidRPr="00000000">
        <w:rPr>
          <w:rFonts w:ascii="Palatino Linotype" w:cs="Palatino Linotype" w:eastAsia="Palatino Linotype" w:hAnsi="Palatino Linotype"/>
          <w:b w:val="0"/>
          <w:i w:val="0"/>
          <w:smallCaps w:val="0"/>
          <w:strike w:val="0"/>
          <w:color w:val="0000ff"/>
          <w:sz w:val="24"/>
          <w:szCs w:val="24"/>
          <w:u w:val="single"/>
          <w:shd w:fill="auto" w:val="clear"/>
          <w:vertAlign w:val="baseline"/>
          <w:rtl w:val="0"/>
        </w:rPr>
        <w:t xml:space="preserve">https://drive.google.com/file/d/1POwiOu-cZlrUKnZCILw Vym6S1T4_VA4/view?usp=sharing</w:t>
      </w:r>
      <w:r w:rsidDel="00000000" w:rsidR="00000000" w:rsidRPr="00000000">
        <w:rPr>
          <w:rFonts w:ascii="Palatino Linotype" w:cs="Palatino Linotype" w:eastAsia="Palatino Linotype" w:hAnsi="Palatino Linotype"/>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921875" w:line="240" w:lineRule="auto"/>
        <w:ind w:left="13.43994140625"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Supplement 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7.89257049560547" w:lineRule="auto"/>
        <w:ind w:left="0.479888916015625" w:right="626.6162109375" w:firstLine="0"/>
        <w:jc w:val="left"/>
        <w:rPr>
          <w:rFonts w:ascii="Palatino Linotype" w:cs="Palatino Linotype" w:eastAsia="Palatino Linotype" w:hAnsi="Palatino Linotype"/>
          <w:b w:val="0"/>
          <w:i w:val="0"/>
          <w:smallCaps w:val="0"/>
          <w:strike w:val="0"/>
          <w:color w:val="0000ff"/>
          <w:sz w:val="24"/>
          <w:szCs w:val="24"/>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ff"/>
          <w:sz w:val="24"/>
          <w:szCs w:val="24"/>
          <w:u w:val="single"/>
          <w:shd w:fill="auto" w:val="clear"/>
          <w:vertAlign w:val="baseline"/>
          <w:rtl w:val="0"/>
        </w:rPr>
        <w:t xml:space="preserve">https://drive.google.com/file/d/164dHMrss3p8fQ9fqQCj5roUy07DIloF0/view?usp=s</w:t>
      </w:r>
      <w:r w:rsidDel="00000000" w:rsidR="00000000" w:rsidRPr="00000000">
        <w:rPr>
          <w:rFonts w:ascii="Palatino Linotype" w:cs="Palatino Linotype" w:eastAsia="Palatino Linotype" w:hAnsi="Palatino Linotype"/>
          <w:b w:val="0"/>
          <w:i w:val="0"/>
          <w:smallCaps w:val="0"/>
          <w:strike w:val="0"/>
          <w:color w:val="0000ff"/>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ff"/>
          <w:sz w:val="24"/>
          <w:szCs w:val="24"/>
          <w:u w:val="single"/>
          <w:shd w:fill="auto" w:val="clear"/>
          <w:vertAlign w:val="baseline"/>
          <w:rtl w:val="0"/>
        </w:rPr>
        <w:t xml:space="preserve">haring</w:t>
      </w:r>
    </w:p>
    <w:sectPr>
      <w:pgSz w:h="16840" w:w="11900" w:orient="portrait"/>
      <w:pgMar w:bottom="1633.599853515625" w:top="1449.599609375" w:left="1440.7200622558594" w:right="951.41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