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041_IBRD_Financial_Statements_June_2025.pdf</w:t>
      </w:r>
    </w:p>
    <w:p>
      <w:r>
        <w:rPr>
          <w:rFonts w:ascii="Arial" w:hAnsi="Arial"/>
          <w:i/>
          <w:sz w:val="16"/>
        </w:rPr>
        <w:t>Converted to DOCX from PDF text-layout extraction. Source path: 03_tai_chinh_ke_toan/041_IBRD_Financial_Statements_June_2025.pdf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</w:t>
        <w:br/>
        <w:t xml:space="preserve">               Development</w:t>
        <w:br/>
        <w:br/>
        <w:br/>
        <w:t xml:space="preserve"> Management’s Discussion &amp; Analysis</w:t>
        <w:br/>
        <w:t xml:space="preserve">               and</w:t>
        <w:br/>
        <w:t xml:space="preserve">       Financial Statements</w:t>
        <w:br/>
        <w:t xml:space="preserve">          June 30, 2025</w:t>
      </w:r>
    </w:p>
    <w:p>
      <w:r>
        <w:br w:type="page"/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</w:t>
        <w:br/>
        <w:br/>
        <w:br/>
        <w:t>Contents</w:t>
        <w:br/>
        <w:t>Section I: Overview                                 Introduction                                                        4</w:t>
        <w:br/>
        <w:t xml:space="preserve">                                                    Financial Business Model                                            4</w:t>
        <w:br/>
        <w:t xml:space="preserve">                                                    Basis of Reporting                                                  6</w:t>
        <w:br/>
        <w:br/>
        <w:t>Section II: Executive Summary                       Summary Financial Results                                           9</w:t>
        <w:br/>
        <w:t>Section III: Financial Results                      Portfolio Performance and Financial Results                         11</w:t>
        <w:br/>
        <w:t xml:space="preserve">                                                    Net Income                                                          12</w:t>
        <w:br/>
        <w:t xml:space="preserve">                                                    Income Allocation                                                   18</w:t>
        <w:br/>
        <w:br/>
        <w:t>Section IV: Lending Activities                      Net Lending Commitments and Gross Disbursements                     22</w:t>
        <w:br/>
        <w:t xml:space="preserve">                                                    Lending Categories                                                  23</w:t>
        <w:br/>
        <w:t xml:space="preserve">                                                    Currently Available Lending Products                                24</w:t>
        <w:br/>
        <w:t xml:space="preserve">                                                    Loans Outstanding                                                   27</w:t>
        <w:br/>
        <w:br/>
        <w:t>Section V: Other Development Activities             Guarantees                                                          28</w:t>
        <w:br/>
        <w:t xml:space="preserve">                                                    Grant Making Facilities                                             30</w:t>
        <w:br/>
        <w:t xml:space="preserve">                                                    Externally-Funded Activities                                        30</w:t>
        <w:br/>
        <w:br/>
        <w:t>Section VI: Investment Activities                   Liquid Asset Portfolio                                              34</w:t>
        <w:br/>
        <w:t xml:space="preserve">                                                    Other Investments                                                   35</w:t>
        <w:br/>
        <w:br/>
        <w:t>Section VII: Borrowing Activities                   Borrowings                                                          36</w:t>
        <w:br/>
        <w:t xml:space="preserve">                                                    Short-Term Borrowings                                               37</w:t>
        <w:br/>
        <w:t xml:space="preserve">                                                    Medium- and Long-Term Borrowings                                    38</w:t>
        <w:br/>
        <w:br/>
        <w:t>Section VIII: Capital Activities                    Capital Structure                                                   39</w:t>
        <w:br/>
        <w:t xml:space="preserve">                                                    Usable Equity                                                       41</w:t>
        <w:br/>
        <w:br/>
        <w:t>Section IX: Risk Management                         Risk Governance                                                     42</w:t>
        <w:br/>
        <w:t xml:space="preserve">                                                    Risk Oversight and Coverage                                         42</w:t>
        <w:br/>
        <w:t xml:space="preserve">                                                    Management of IBRD’s Risks                                          45</w:t>
        <w:br/>
        <w:t xml:space="preserve">                                                    Capital Adequacy                                                    45</w:t>
        <w:br/>
        <w:t xml:space="preserve">                                                    Credit Risk                                                         47</w:t>
        <w:br/>
        <w:t xml:space="preserve">                                                    Market Risk                                                         55</w:t>
        <w:br/>
        <w:t xml:space="preserve">                                                    Operational Risk                                                    59</w:t>
        <w:br/>
        <w:br/>
        <w:t>Section X: Contractual Obligations                  Contractual Obligations                                             60</w:t>
        <w:br/>
        <w:br/>
        <w:t>Section XI: Pension and Other Post-Retirement       Governance                                                          61</w:t>
        <w:br/>
        <w:t>Benefits                                            Funding and Investment Policies                                     61</w:t>
        <w:br/>
        <w:t xml:space="preserve">                                                    Projected Benefit Obligations                                       62</w:t>
        <w:br/>
        <w:br/>
        <w:t>Section XII: Critical Accounting Policies and the   Fair Value of Financial Instruments                                 63</w:t>
        <w:br/>
        <w:t>Use of Estimates                                    Provision for Losses on Loans and Other Exposures                   64</w:t>
        <w:br/>
        <w:t xml:space="preserve">                                                    Pension and Other Post-Retirement Benefits                          64</w:t>
        <w:br/>
        <w:br/>
        <w:t>Section XIII: Governance and Controls               Business Conduct                                                    65</w:t>
        <w:br/>
        <w:t xml:space="preserve">                                                    General Governance                                                  65</w:t>
        <w:br/>
        <w:t xml:space="preserve">                                                    Executive Directors                                                 65</w:t>
        <w:br/>
        <w:t xml:space="preserve">                                                    Audit Committee                                                     66</w:t>
        <w:br/>
        <w:t xml:space="preserve">                                                    Auditor Independence                                                67</w:t>
        <w:br/>
        <w:t xml:space="preserve">                                                    External Auditors                                                   67</w:t>
        <w:br/>
        <w:t xml:space="preserve">                                                    Senior Management Changes                                           67</w:t>
        <w:br/>
        <w:t xml:space="preserve">                                                    Internal Control                                                    67</w:t>
        <w:br/>
        <w:br/>
        <w:t>Section XIV: Reconciliations of Components of       Statements of Income                                                69</w:t>
        <w:br/>
        <w:t>Allocable Income</w:t>
        <w:br/>
        <w:br/>
        <w:t>Appendix                                            Glossary of Terms                                                   70</w:t>
        <w:br/>
        <w:t xml:space="preserve">                                                    Abbreviations and Acronyms                                          71</w:t>
        <w:br/>
        <w:t xml:space="preserve">                                                    Eligible Borrowing Member Countries by Region as of June 30, 2025   72</w:t>
        <w:br/>
        <w:br/>
        <w:br/>
        <w:t xml:space="preserve">                                               IBRD Management's Discussion and Analysis: June 30, 2025                  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</w:t>
        <w:br/>
        <w:br/>
        <w:br/>
        <w:t>List of Tables, Figures and Boxes</w:t>
        <w:br/>
        <w:t>Tables</w:t>
        <w:br/>
        <w:t>Table 1: Selected Financial Data                                                                       8</w:t>
        <w:br/>
        <w:t>Table 2: Condensed Balance Sheets                                                                     11</w:t>
        <w:br/>
        <w:t>Table 3: Condensed Statements of Income                                                               12</w:t>
        <w:br/>
        <w:t>Table 4: Rate and Volume Analysis of Changes in Interest Revenue and Borrowing Expenses               12</w:t>
        <w:br/>
        <w:t>Table 5: Statement of Allocable Income (non-GAAP Measures)                                            13</w:t>
        <w:br/>
        <w:t>Table 6: Net Non-Interest Expenses                                                                    16</w:t>
        <w:br/>
        <w:t>Table 7: Budget Anchor Ratio                                                                          17</w:t>
        <w:br/>
        <w:t>Table 8: Unrealized Mark-to-Market Gains (Losses) on Non-trading Portfolios, Net                      17</w:t>
        <w:br/>
        <w:t>Table 9: Allocable Income and Recommended Allocations                                                 18</w:t>
        <w:br/>
        <w:t>Table 10: Board of Governors-approved Transfers and Allocations                                       19</w:t>
        <w:br/>
        <w:t>Table 11: Retained Earnings Composition                                                               21</w:t>
        <w:br/>
        <w:t>Table 12: Net Commitments by Region                                                                   22</w:t>
        <w:br/>
        <w:t>Table 13: Gross Disbursements by Region                                                               23</w:t>
        <w:br/>
        <w:t>Table 14: Net Commitments by Maturity                                                                 25</w:t>
        <w:br/>
        <w:t>Table 15: Country Pricing Group and Maturity Premium (in Basis Points)                                26</w:t>
        <w:br/>
        <w:t>Table 16: Loan Terms Available During Financial Year Ended June 30, 2025                              26</w:t>
        <w:br/>
        <w:t>Table 17: Loans Outstanding by Interest Rate Structure, Excluding Derivatives                         27</w:t>
        <w:br/>
        <w:t>Table 18: Undisbursed Balances by Loan Terms                                                          27</w:t>
        <w:br/>
        <w:t>Table 19: Exposure Exchange Agreements                                                                29</w:t>
        <w:br/>
        <w:t>Table 20: Guarantees Exposure                                                                         29</w:t>
        <w:br/>
        <w:t>Table 21: Credit Enhancements Received                                                                30</w:t>
        <w:br/>
        <w:t>Table 22: RAMP - Assets and Revenues                                                                  32</w:t>
        <w:br/>
        <w:t>Table 23: Funds Held in Trust by IBRD                                                                 33</w:t>
        <w:br/>
        <w:t>Table 24: Liquid Asset Portfolio by Asset Class                                                       34</w:t>
        <w:br/>
        <w:t>Table 25: Net Carrying Value of Other Investments                                                     35</w:t>
        <w:br/>
        <w:t>Table 26: Effect of Derivatives on Currency Composition of the Borrowing Portfolio – June 30, 2025    36</w:t>
        <w:br/>
        <w:t>Table 27: Short-Term Borrowings                                                                       37</w:t>
        <w:br/>
        <w:t>Table 28: Funding Operations Indicators                                                               38</w:t>
        <w:br/>
        <w:t>Table 29: Maturity Profile of Medium Long-Term Debt                                                   38</w:t>
        <w:br/>
        <w:t>Table 30: Medium and Long-Term Borrowings Raised by Currency during the year, Excluding Derivatives   38</w:t>
        <w:br/>
        <w:t>Table 31: Breakdown of IBRD Subscribed Capital                                                        39</w:t>
        <w:br/>
        <w:t>Table 32: Usable Paid-in Capital                                                                      40</w:t>
        <w:br/>
        <w:t>Table 33: Equity-to-Loans Ratio                                                                       46</w:t>
        <w:br/>
        <w:t>Table 34: Usable Equity                                                                               47</w:t>
        <w:br/>
        <w:t>Table 35: Commercial Credit Exposure, Net of Collateral Held, by Counterparty Rating                  53</w:t>
        <w:br/>
        <w:t>Table 36: Non-Commercial Counterparty Credit Risk                                                     53</w:t>
        <w:br/>
        <w:t>Table 37: Effect of Credit on IBRD Portfolios                                                         55</w:t>
        <w:br/>
        <w:t>Table 38: Effect of Interest Rates on IBRD's Portfolios                                               55</w:t>
        <w:br/>
        <w:t>Table 39: Liquidity Levels                                                                            59</w:t>
        <w:br/>
        <w:t>Table 40: Contractual Obligations                                                                     60</w:t>
        <w:br/>
        <w:t>Table 41: Funded Status of the Plans                                                                  62</w:t>
        <w:br/>
        <w:t>Table 42: Fair Value Level 3 Summary                                                                  63</w:t>
        <w:br/>
        <w:t>Table 43: Interest Revenue, Net of Borrowings Expenses                                                69</w:t>
        <w:br/>
        <w:t>Table 44: Total Revenue on Interest Earning Assets, Net                                               69</w:t>
        <w:br/>
        <w:br/>
        <w:br/>
        <w:t>2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</w:t>
        <w:br/>
        <w:br/>
        <w:br/>
        <w:t>Figures</w:t>
        <w:br/>
        <w:t>Figure 1: Sources and Uses of Revenue                                                                   6</w:t>
        <w:br/>
        <w:t>Figure 2: Loan Interest Revenue and Funding Cost (Including Related Derivatives)                       13</w:t>
        <w:br/>
        <w:t>Figure 3: Loan Interest Revenue, Net of Funding Costs                                                  13</w:t>
        <w:br/>
        <w:t>Figure 4: Change in Net Loans Outstanding                                                              14</w:t>
        <w:br/>
        <w:t>Figure 5: Net Loans Outstanding                                                                        14</w:t>
        <w:br/>
        <w:t>Figure 6: Investments - Trading                                                                        15</w:t>
        <w:br/>
        <w:t>Figure 7: Investment Revenue, Net                                                                      15</w:t>
        <w:br/>
        <w:t>Figure 8: Borrowings (Original Maturities)                                                             15</w:t>
        <w:br/>
        <w:t>Figure 9: Net Non-Interest Expenses (Reported Basis)                                                   16</w:t>
        <w:br/>
        <w:t>Figure 10: Percentage Share of Lending Categories for Annual Net Commitments                           23</w:t>
        <w:br/>
        <w:t>Figure 11: Voting Power of Top Six Members as of June 30, 2025                                         39</w:t>
        <w:br/>
        <w:t>Figure 12: Management Risk Committee Structure for Financial and Operational Risks                     43</w:t>
        <w:br/>
        <w:t>Figure 13: Equity-to-Loans Ratio                                                                       46</w:t>
        <w:br/>
        <w:t>Figure 14: Country Exposures as of June 30, 2025                                                       49</w:t>
        <w:br/>
        <w:t>Figure 15: Sensitivity to Interest Rates                                                               56</w:t>
        <w:br/>
        <w:t>Figure 16: Use of Derivatives for Loans and Borrowings                                                 56</w:t>
        <w:br/>
        <w:t>Figure 17: Use of Derivatives for Investments                                                          57</w:t>
        <w:br/>
        <w:t>Figure 18: Use of Derivatives for Other ALM                                                            57</w:t>
        <w:br/>
        <w:t>Figure 19: Governance Structure                                                                        65</w:t>
        <w:br/>
        <w:br/>
        <w:t>Boxes</w:t>
        <w:br/>
        <w:t>Box 1: Components of Loan spread                                                                       24</w:t>
        <w:br/>
        <w:t>Box 2: Loans with Other Financial Terms as of June 30, 2025                                            25</w:t>
        <w:br/>
        <w:t>Box 3: Types of Guarantees Provided by IBRD                                                            28</w:t>
        <w:br/>
        <w:t>Box 4: Financing Instruments                                                                           32</w:t>
        <w:br/>
        <w:t>Box 5: Summary of IBRD's Specific Risk Categories                                                      44</w:t>
        <w:br/>
        <w:t>Box 6: Treatment of Overdue Payments                                                                   50</w:t>
        <w:br/>
        <w:t>Box 7: Eligibility Criteria for IBRD's Investments                                                     52</w:t>
        <w:br/>
        <w:br/>
        <w:br/>
        <w:t xml:space="preserve">                                            IBRD Management's Discussion and Analysis: June 30, 2025   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Management’s Discussion and Analysis                     Section I: Overview</w:t>
        <w:br/>
        <w:br/>
        <w:br/>
        <w:t xml:space="preserve">    Section I: Overview</w:t>
        <w:br/>
        <w:t>Introduction</w:t>
        <w:br/>
        <w:t>International Bank for Reconstruction and Development (IBRD), an international organization owned by</w:t>
        <w:br/>
        <w:t>its 189 member countries, is one of the five institutions of the World Bank Group (WBG1). Each institution</w:t>
        <w:br/>
        <w:t>is legally and financially independent, with separate assets and liabilities. IBRD is not liable for the</w:t>
        <w:br/>
        <w:t>obligations of the other institutions.</w:t>
        <w:br/>
        <w:t>IBRD is a Multilateral Development Bank (MDB) that combines knowledge services and financing with a</w:t>
        <w:br/>
        <w:t>global reach. IBRD’s value is derived from its ability to help eligible borrowing members address their</w:t>
        <w:br/>
        <w:t>development challenges and meet their rising demand for innovative products. IBRD provides loans,</w:t>
        <w:br/>
        <w:t>guarantees, and other financial products for development-focused projects and programs primarily to</w:t>
        <w:br/>
        <w:t>middle-income and creditworthy lower-income countries to support sustainable development. By</w:t>
        <w:br/>
        <w:t>operating across a full range of country clients, IBRD maintains a depth of development knowledge, uses</w:t>
        <w:br/>
        <w:t>its convening power to promote development, and coordinates responses to regional and global</w:t>
        <w:br/>
        <w:t>challenges.</w:t>
        <w:br/>
        <w:t>Member countries use IBRD’s technical advice and analysis and convening power to develop or</w:t>
        <w:br/>
        <w:t>implement better policies, programs, and reforms that help sustain development over the long term. The</w:t>
        <w:br/>
        <w:t>products delivered range from development data, to reports on key social economic and social issues at</w:t>
        <w:br/>
        <w:t>the local, country, regional and global levels. The products also include knowledge-sharing workshops</w:t>
        <w:br/>
        <w:t>focused on local issues, flagship events and fora to address the most pressing global development</w:t>
        <w:br/>
        <w:t>challenges.</w:t>
        <w:br/>
        <w:t>IBRD's mission is to end extreme poverty and boost shared prosperity on a livable planet by providing</w:t>
        <w:br/>
        <w:t>countries with loans, guarantees, advisory services, analytical support and other products.</w:t>
        <w:br/>
        <w:t>IBRD and its affiliated institutions seek to help countries in reducing poverty and inequality, and achieve</w:t>
        <w:br/>
        <w:t>progress toward development objectives, including economic growth, job creation, governance, human</w:t>
        <w:br/>
        <w:t>capital, infrastructure, and debt transparency. To meet its development goals, the WBG supports client</w:t>
        <w:br/>
        <w:t>countries' efforts to implement programs to improve growth and development outcomes with a vision to</w:t>
        <w:br/>
        <w:t>create a world free of poverty on a livable planet. Further, new and ongoing factors continue to influence</w:t>
        <w:br/>
        <w:t>the global outlook, including: global market uncertainties, migration surges, youth unemployment, energy</w:t>
        <w:br/>
        <w:t>access, climate adaptation and mitigation, and growing fragility. IBRD continues to work with partners at</w:t>
        <w:br/>
        <w:t>global and country levels and its borrowing countries to maximize the impact for development by</w:t>
        <w:br/>
        <w:t>efficiently channeling resources into projects that create jobs, drive growth, reduce poverty, and improve</w:t>
        <w:br/>
        <w:t>living standards. To further support these efforts, the Boards of Directors and management have been</w:t>
        <w:br/>
        <w:t>reforming the WBG and are working to better address the scale of development needs. This process</w:t>
        <w:br/>
        <w:t>includes initiatives to increase impact, expand financing capacity, support projects that address global</w:t>
        <w:br/>
        <w:t>challenges with cross-border externalities, and modernize the approach to delivery.</w:t>
        <w:br/>
        <w:br/>
        <w:t>Financial Business Model</w:t>
        <w:br/>
        <w:t>IBRD’s objective is not to maximize profits, but to earn adequate income to ensure that it has the long-</w:t>
        <w:br/>
        <w:t>term financial capacity necessary to support its development activities. IBRD seeks to generate sufficient</w:t>
        <w:br/>
        <w:t>revenue to finance its operations as well as to be able to grow reserves to strengthen its financial position.</w:t>
        <w:br/>
        <w:t>It also seeks to provide support to IDA and certain trust funds through income transfers for other</w:t>
        <w:br/>
        <w:t>developmental purposes.</w:t>
        <w:br/>
        <w:t>IBRD’s financial strength rests on the support it receives from its shareholders, and on its array of</w:t>
        <w:br/>
        <w:t>financial policies and practices. Shareholder support for IBRD is reflected in the capital backing it</w:t>
        <w:br/>
        <w:t>continues to receive from its members and in the record of its borrowing member countries in meeting</w:t>
        <w:br/>
        <w:t>their debt service obligations to IBRD. Sound financial and risk management policies and practices have</w:t>
        <w:br/>
        <w:t>enabled IBRD to maintain adequate capital, diversify its funding sources, hold a portfolio of liquid</w:t>
        <w:br/>
        <w:t>investments to meet its financial commitments, and limit its risks, including credit and market risks.</w:t>
        <w:br/>
        <w:t>1</w:t>
        <w:br/>
        <w:t xml:space="preserve">  The other WBG institutions are the International Development Association (IDA), the International Finance Corporation (IFC), the Multilateral</w:t>
        <w:br/>
        <w:t>Investment Guarantee Agency (MIGA), and the International Centre for Settlement of Investment Disputes (ICSID). The World Bank consists of IBRD</w:t>
        <w:br/>
        <w:t>and IDA.</w:t>
        <w:br/>
        <w:br/>
        <w:br/>
        <w:t xml:space="preserve">    4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I: Overview</w:t>
        <w:br/>
        <w:br/>
        <w:br/>
        <w:t>IBRD offers its borrowers, in middle-income and creditworthy low-income countries, loans with maturities</w:t>
        <w:br/>
        <w:t>up to 35 years. For some projects, the maximum loan maturity can be extended to up to 50 years (Table</w:t>
        <w:br/>
        <w:t>16). Borrowers may customize their repayment terms to meet their debt management or project needs, in</w:t>
        <w:br/>
        <w:t>multiple currencies. Borrowers have generally preferred loans denominated in U.S dollars and euros.</w:t>
        <w:br/>
        <w:t>IBRD also supports its borrowers by providing access to risk management products such as derivative</w:t>
        <w:br/>
        <w:t>instruments, including currency and interest rate swaps, catastrophe derivatives, and interest rate caps</w:t>
        <w:br/>
        <w:t>and collars.</w:t>
        <w:br/>
        <w:t>To meet its development goals, IBRD intermediates funds for lending from the international capital</w:t>
        <w:br/>
        <w:t>markets. IBRD’s loans are largely financed through its equity and from borrowings raised in the capital</w:t>
        <w:br/>
        <w:t>markets and from shareholders. IBRD is rated triple-A by the major rating agencies and its bonds are</w:t>
        <w:br/>
        <w:t>viewed as high-quality securities by investors. IBRD’s funding strategy is aimed at achieving the best</w:t>
        <w:br/>
        <w:t>long-term value on a sustainable basis for its borrowing members. This strategy has enabled IBRD to</w:t>
        <w:br/>
        <w:t>borrow at favorable market terms and pass the savings on to its borrowing members. IBRD’s annual</w:t>
        <w:br/>
        <w:t>funding volumes vary from year to year, and funds raised are used to finance development projects and</w:t>
        <w:br/>
        <w:t>programs in member countries. Funds not deployed for lending are maintained in IBRD’s investment</w:t>
        <w:br/>
        <w:t>portfolio to supply liquidity for its operations.</w:t>
        <w:br/>
        <w:t>IBRD uses derivatives to manage its exposure to various market risks from the above activities. These</w:t>
        <w:br/>
        <w:t>are used to align the interest and currency composition of its assets (loan and investment portfolios) with</w:t>
        <w:br/>
        <w:t>that of its liabilities (borrowing portfolio), and to stabilize earnings on the portion of the loan portfolio</w:t>
        <w:br/>
        <w:t>funded by equity. See Section IX: Risk Management for additional details on how IBRD uses derivatives.</w:t>
        <w:br/>
        <w:t>Management believes that these risk management strategies, taken together, effectively manage market</w:t>
        <w:br/>
        <w:t>risk in IBRD’s operations from an economic perspective. However, these strategies entail the use of</w:t>
        <w:br/>
        <w:t>derivatives, which introduce volatility in net income through unrealized mark-to-market gains and losses</w:t>
        <w:br/>
        <w:t>(particularly given the long-term nature of some of IBRD’s assets and liabilities). Accordingly,</w:t>
        <w:br/>
        <w:t>management makes decisions on income allocation without reference to unrealized mark-to-market gains</w:t>
        <w:br/>
        <w:t>and losses on risk management instruments in the non-trading portfolios – see Basis of Reporting –</w:t>
        <w:br/>
        <w:t>Allocable Income.</w:t>
        <w:br/>
        <w:t>Sources and Uses of Revenue</w:t>
        <w:br/>
        <w:t>IBRD’s primary sources of revenue are from loans and investments, both net of funding costs (Figure 1).</w:t>
        <w:br/>
        <w:t>These revenues cover administrative expenses, provisions for losses on loans and other exposures 2</w:t>
        <w:br/>
        <w:t>(LLP), as well as transfers to Reserves, Surplus, and for other development purposes, including transfers</w:t>
        <w:br/>
        <w:t>to IDA.</w:t>
        <w:br/>
        <w:t>In addition, other development activities generate non-interest revenue that is classified as Revenue from</w:t>
        <w:br/>
        <w:t>externally funded activities. These external funds include trust fund fees, reimbursable funds, and</w:t>
        <w:br/>
        <w:t>revenues from fee-based services to member countries. Non-interest revenue from externally funded</w:t>
        <w:br/>
        <w:t>activities provides additional capacity to support the development needs of client countries.</w:t>
        <w:br/>
        <w:br/>
        <w:br/>
        <w:t>2</w:t>
        <w:br/>
        <w:t xml:space="preserve">    Other exposures include deferred drawdown options (DDO), irrevocable commitments, exposures to member countries’</w:t>
        <w:br/>
        <w:t xml:space="preserve">    derivatives and guarantees.</w:t>
        <w:br/>
        <w:br/>
        <w:br/>
        <w:t xml:space="preserve">                                         IBRD Management's Discussion and Analysis: June 30, 2025                 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I: Overview</w:t>
        <w:br/>
        <w:br/>
        <w:br/>
        <w:t>Figure 1: Sources and Uses of Revenue</w:t>
        <w:br/>
        <w:br/>
        <w:t xml:space="preserve">                                                     Sources                                    Uses</w:t>
        <w:br/>
        <w:br/>
        <w:t xml:space="preserve"> Simplified Balance Sheet</w:t>
        <w:br/>
        <w:t xml:space="preserve">                                   Revenue          Funding         Net Interest</w:t>
        <w:br/>
        <w:t xml:space="preserve">                                                                    Revenue</w:t>
        <w:br/>
        <w:br/>
        <w:t xml:space="preserve">       Liquid                      Return on                                                   Admin</w:t>
        <w:br/>
        <w:t xml:space="preserve">    Investments</w:t>
        <w:br/>
        <w:t xml:space="preserve">                                   Investments</w:t>
        <w:br/>
        <w:t xml:space="preserve">                                               - Cost of</w:t>
        <w:br/>
        <w:t xml:space="preserve">                                                           =</w:t>
        <w:br/>
        <w:t xml:space="preserve">                                                             Investment</w:t>
        <w:br/>
        <w:t xml:space="preserve">                                                 borrowings Revenue, net                      Expenses</w:t>
        <w:br/>
        <w:br/>
        <w:br/>
        <w:t xml:space="preserve">                    Debt                                                                         LLP</w:t>
        <w:br/>
        <w:br/>
        <w:t xml:space="preserve">                                   Loan             Cost of      Loan Interest</w:t>
        <w:br/>
        <w:t xml:space="preserve">                                   Revenue     -    borrowings = Revenue, net                 Reserves</w:t>
        <w:br/>
        <w:t xml:space="preserve">      Loans</w:t>
        <w:br/>
        <w:br/>
        <w:t xml:space="preserve">                                                                                              IDA, Other</w:t>
        <w:br/>
        <w:t xml:space="preserve">                                                                                              transfers &amp;</w:t>
        <w:br/>
        <w:t xml:space="preserve">                    Equity</w:t>
        <w:br/>
        <w:t xml:space="preserve">                                                                                                Surplus</w:t>
        <w:br/>
        <w:br/>
        <w:br/>
        <w:t>Basis of Reporting</w:t>
        <w:br/>
        <w:t>Reported Basis</w:t>
        <w:br/>
        <w:t>IBRD’s financial statements are prepared in accordance with accounting principles generally accepted in</w:t>
        <w:br/>
        <w:t>the United States of America (U.S. GAAP) and are independently audited on an annual basis. Generally,</w:t>
        <w:br/>
        <w:t>Investments - Trading, Borrowings, and Derivatives are reported at fair value in the Balance Sheets, with</w:t>
        <w:br/>
        <w:t>changes in fair value reported in the Statements of Income. Changes in IBRD’s own credit are reflected in</w:t>
        <w:br/>
        <w:t>Other Comprehensive Income. Hybrid capital and IBRD’s loans are reported at amortized cost in the</w:t>
        <w:br/>
        <w:t>Balance Sheets.</w:t>
        <w:br/>
        <w:t>The variability in IBRD’s reported net income is inherently driven by the unrealized mark-to-market gains</w:t>
        <w:br/>
        <w:t>and losses on the financial instruments in IBRD’s non-trading portfolios as not all financial instruments are</w:t>
        <w:br/>
        <w:t>reported on the same measurement basis. IBRD’s risk management strategy entails the use of</w:t>
        <w:br/>
        <w:t>derivatives to manage market risk. These derivatives are primarily used to align the interest rate and</w:t>
        <w:br/>
        <w:t>currency bases of its assets and liabilities. IBRD has elected not to designate any hedging relationships</w:t>
        <w:br/>
        <w:t>for accounting purposes. Rather, all derivative instruments are reported at fair value on the Balance</w:t>
        <w:br/>
        <w:t>Sheets, with changes in fair values accounted for through the Statements of Income.</w:t>
        <w:br/>
        <w:t>Non-GAAP Measures</w:t>
        <w:br/>
        <w:t>Management uses certain non-GAAP financial measures to evaluate the underlying operations and</w:t>
        <w:br/>
        <w:t>financial performance of IBRD. A non-GAAP financial measure is a measure that is adjusted to exclude,</w:t>
        <w:br/>
        <w:t>include, or reclassify certain items or components from the most directly comparable measure calculated</w:t>
        <w:br/>
        <w:t>in accordance with U.S. GAAP and reported in the audited financial statements.</w:t>
        <w:br/>
        <w:t>Allocable Income</w:t>
        <w:br/>
        <w:t>IBRD’s Articles of Agreement (the Articles) require that the Board of Governors determine the allocation of</w:t>
        <w:br/>
        <w:t>income at the end of every fiscal year. Allocable income is a non-GAAP measure that reflects income</w:t>
        <w:br/>
        <w:t>available for allocation. IBRD defines allocable income as net income after certain adjustments. These</w:t>
        <w:br/>
        <w:t>adjustments primarily relate to unrealized mark-to-market gains and losses associated with the non-</w:t>
        <w:br/>
        <w:br/>
        <w:br/>
        <w:t>6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I: Overview</w:t>
        <w:br/>
        <w:br/>
        <w:br/>
        <w:t>trading portfolios, as well as Board of Governors-approved transfers, which primarily relate to the</w:t>
        <w:br/>
        <w:t>allocation of the prior year’s net income.</w:t>
        <w:br/>
        <w:t>In line with its financial risk management policies, for the non-trading portfolios, unrealized mark-to-market</w:t>
        <w:br/>
        <w:t>gains and losses from instruments reported at fair value (borrowing portfolio, and derivatives in the loan</w:t>
        <w:br/>
        <w:t>and other Asset/Liability Management (ALM) portfolios) are excluded from allocable income.</w:t>
        <w:br/>
        <w:t>For the trading portfolio (investment portfolio), allocable income generally includes both realized and</w:t>
        <w:br/>
        <w:t>unrealized mark-to-market gains and losses. In some cases, the unrealized mark-to-market gains and</w:t>
        <w:br/>
        <w:t>losses on certain trades are excluded from allocable income when the underlying item is an asset held at</w:t>
        <w:br/>
        <w:t>amortized cost.</w:t>
        <w:br/>
        <w:t>See Section III: Financial Results and Table 9, for details of the adjustments to reported net income to</w:t>
        <w:br/>
        <w:t>calculate allocable income.</w:t>
        <w:br/>
        <w:t>Equity-to-Loans Ratio</w:t>
        <w:br/>
        <w:t>IBRD's capital adequacy model mandates that IBRD hold capital for credit risk, market risk, and</w:t>
        <w:br/>
        <w:t>operational risk covering all activities and assets on its books. The Equity-to-Loans ratio is a key indicator</w:t>
        <w:br/>
        <w:t>of IBRD's capital adequacy representing IBRD's usable equity as a percentage of its total loans,</w:t>
        <w:br/>
        <w:t>guarantees and other exposures.</w:t>
        <w:br/>
        <w:t>See Section IX: Risk Management and Table 33 for more details on the Equity-to-Loans ratio.</w:t>
        <w:br/>
        <w:t>Budget Anchor Ratio</w:t>
        <w:br/>
        <w:t>The Budget Anchor is an efficiency metric to monitor the coverage of IBRD's net administrative expenses</w:t>
        <w:br/>
        <w:t>by its loan spread revenue.</w:t>
        <w:br/>
        <w:t>See Section III: Financial Results and Table 7 for more details of the Budget Anchor components.</w:t>
        <w:br/>
        <w:br/>
        <w:br/>
        <w:t xml:space="preserve">                                      IBRD Management's Discussion and Analysis: June 30, 2025              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II: Executive Summary</w:t>
        <w:br/>
        <w:br/>
        <w:br/>
        <w:t>Section II: Executive Summary</w:t>
        <w:br/>
        <w:t>This Management’s Discussion and Analysis (MD&amp;A) discusses the financial results of the International</w:t>
        <w:br/>
        <w:t>Bank for Reconstruction and Development (IBRD) for the fiscal year ended June 30, 2025 (FY25). IBRD</w:t>
        <w:br/>
        <w:t>undertakes no obligation to update any forward-looking statements. Certain reclassifications of prior</w:t>
        <w:br/>
        <w:t>years’ information have been made to conform with the current year’s presentation. For discussion of</w:t>
        <w:br/>
        <w:t>IBRD’s financial results for the year ended June 30, 2024, as compared to the year ended June 30, 2023,</w:t>
        <w:br/>
        <w:t>see Section III: Financial Results in IBRD’s MD&amp;A and Financial Statements for the fiscal year ended</w:t>
        <w:br/>
        <w:t>June 30, 2024 (FY24).</w:t>
        <w:br/>
        <w:t>Table 1: Selected Financial Data</w:t>
        <w:br/>
        <w:t>In millions of U.S. dollars, except ratios which are in percentages</w:t>
        <w:br/>
        <w:t xml:space="preserve">                                                                             As of and for the fiscal years ended June 30</w:t>
        <w:br/>
        <w:t xml:space="preserve">                                                                      2025                         2024                   2023</w:t>
        <w:br/>
        <w:t>Lending Highlights (Section IV)</w:t>
        <w:br/>
        <w:t>Loans and Guarantees</w:t>
        <w:br/>
        <w:t xml:space="preserve">      Net commitments a                                     $                40,885      $          37,568       $          38,572</w:t>
        <w:br/>
        <w:t xml:space="preserve">      Gross disbursements                                                    30,779                 33,450                  25,504</w:t>
        <w:br/>
        <w:t xml:space="preserve">      Net disbursements                                                      14,794                 20,115                  12,736</w:t>
        <w:br/>
        <w:br/>
        <w:br/>
        <w:t>Income Statement (Section III)</w:t>
        <w:br/>
        <w:t xml:space="preserve">     Board of Governors-approved transfers                  $                  (815)     $            (371)      $                (221)</w:t>
        <w:br/>
        <w:t xml:space="preserve">     Net income                                                               2,100                  2,142                       1,144</w:t>
        <w:br/>
        <w:br/>
        <w:t>Balance Sheet (Section III)</w:t>
        <w:br/>
        <w:t xml:space="preserve">      Total assets                                          $            399,511         $         356,612       $         332,641</w:t>
        <w:br/>
        <w:t xml:space="preserve">      Investments-Trading b                                              102,674                    82,728                  79,199</w:t>
        <w:br/>
        <w:t xml:space="preserve">      Net loans outstanding                                              280,043                   260,236                 241,041</w:t>
        <w:br/>
        <w:t xml:space="preserve">      Borrowings b                                                       306,161                   261,790                 237,265</w:t>
        <w:br/>
        <w:t xml:space="preserve">      Total equity                                                        72,012                    63,484                  60,382</w:t>
        <w:br/>
        <w:br/>
        <w:t>Non-GAAP Measures:</w:t>
        <w:br/>
        <w:t>Allocable Income (Section III) c</w:t>
        <w:br/>
        <w:t xml:space="preserve">      Allocable income                                      $                 2,384      $           1,849       $               1,312</w:t>
        <w:br/>
        <w:t xml:space="preserve">      Allocated as follows:</w:t>
        <w:br/>
        <w:t xml:space="preserve">         General Reserve                                                      1,182                    834                        921</w:t>
        <w:br/>
        <w:t xml:space="preserve">         International Development Association                                  782                    515                        291</w:t>
        <w:br/>
        <w:t xml:space="preserve">         Surplus                                                                420                    500                        100</w:t>
        <w:br/>
        <w:br/>
        <w:t>Usable Equity d e (Section VIII)                            $                57,878      $          54,655       $          53,105</w:t>
        <w:br/>
        <w:br/>
        <w:br/>
        <w:t>Equity-to-Loans ratio f (Section IX)                                           21.6 %                  21.5 %                     22.0 %</w:t>
        <w:br/>
        <w:br/>
        <w:br/>
        <w:t>a. Commitments that have been approved by the Executive Directors (referred to as “the Board” in this document), and are net of</w:t>
        <w:br/>
        <w:t xml:space="preserve">   full terminations and cancellations relating to commitments approved in the same fiscal year.</w:t>
        <w:br/>
        <w:t>b. See Notes to the Financial Statements: Note C - Investments, Note E - Borrowings.</w:t>
        <w:br/>
        <w:t>c. Refer to Table 9: Allocable Income and Recommended Allocations for a reconciliation to net income as per reported basis.</w:t>
        <w:br/>
        <w:t>d. Excludes amounts associated with unrealized mark-to-market gains/losses on non-trading portfolios, net and related cumulative</w:t>
        <w:br/>
        <w:t xml:space="preserve">   translation adjustments.</w:t>
        <w:br/>
        <w:t>e. Usable Equity includes the impact of the transfer to the General Reserve from FY25 net income, which was approved by the</w:t>
        <w:br/>
        <w:t xml:space="preserve">    Board on August 7, 2025. See Usable Equity components in Table 33: Equity-to-Loans Ratio and reconciliation of IBRD's Total</w:t>
        <w:br/>
        <w:t xml:space="preserve">    equity to Usable equity in Table 34: Usable Equity.</w:t>
        <w:br/>
        <w:t>f. See components in Table 33: Equity-to-Loans Ratio</w:t>
        <w:br/>
        <w:br/>
        <w:br/>
        <w:t>8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II: Executive Summary</w:t>
        <w:br/>
        <w:br/>
        <w:br/>
        <w:t>Summary Financial Results</w:t>
        <w:br/>
        <w:t>Net Income</w:t>
        <w:br/>
        <w:t>IBRD recorded net income of $2,100 million for the fiscal year ended June 30, 2025, a decrease of $42</w:t>
        <w:br/>
        <w:t>million, compared with net income of $2,142 million for the fiscal year ended June 30, 2024. The</w:t>
        <w:br/>
        <w:t>decrease in FY25 was primarily due to higher Board of Governors-approved transfers by $444 million.</w:t>
        <w:br/>
        <w:t>This was partially offset by an increase in interest revenue net of borrowing expenses and lower provision</w:t>
        <w:br/>
        <w:t>expense for losses on loans and other exposures.</w:t>
        <w:br/>
        <w:t>Allocable Income</w:t>
        <w:br/>
        <w:t>Allocable income is a non-GAAP measure IBRD uses for making net income allocation decisions. Given</w:t>
        <w:br/>
        <w:t>IBRD’s intention to maintain its non-trading portfolio positions to maturity, unrealized mark-to-market gains</w:t>
        <w:br/>
        <w:t>and losses for these portfolios are not included in IBRD’s allocable income. In addition, Board of</w:t>
        <w:br/>
        <w:t>Governors-approved transfers are also excluded from IBRD's allocable income since these amounts</w:t>
        <w:br/>
        <w:t>relate to allocations out of prior year allocable income, surplus, or restricted retained earnings.</w:t>
        <w:br/>
        <w:t>For the fiscal year ended June 30, 2025, allocable income was $2,384 million, compared with $1,849</w:t>
        <w:br/>
        <w:t>million for the fiscal year ended June 30, 2024. The increase was primarily due to the increase in net</w:t>
        <w:br/>
        <w:t>revenue on interest earning assets in FY25, compared to FY24 (Section III).</w:t>
        <w:br/>
        <w:t>In millions of U.S. dollars</w:t>
        <w:br/>
        <w:br/>
        <w:t xml:space="preserve">                                    Allocable income</w:t>
        <w:br/>
        <w:t xml:space="preserve">                                    Net Income/Loss</w:t>
        <w:br/>
        <w:t xml:space="preserve">                                    Unrealized gains/losses on non-trading portfolios</w:t>
        <w:br/>
        <w:t xml:space="preserve">    4,000</w:t>
        <w:br/>
        <w:br/>
        <w:t xml:space="preserve">    2,000</w:t>
        <w:br/>
        <w:br/>
        <w:t xml:space="preserve">          0</w:t>
        <w:br/>
        <w:br/>
        <w:t xml:space="preserve">   -2,000</w:t>
        <w:br/>
        <w:t xml:space="preserve">                       FY21             FY22                 FY23             FY24                    FY25</w:t>
        <w:br/>
        <w:br/>
        <w:t>Lending Operations</w:t>
        <w:br/>
        <w:t>IBRD’s lending operations during the fiscal year ended June 30, 2025 provided $40.9 billion of net</w:t>
        <w:br/>
        <w:t>commitments (Table 12) and $30.8 billion of gross loan disbursements (Table 13). Net disbursements of</w:t>
        <w:br/>
        <w:t>$14.8 billion were the key driver of the increase in net loans outstanding from $260.2 billion as of June 30,</w:t>
        <w:br/>
        <w:t>2024 to $280.0 billion as of June 30, 2025.</w:t>
        <w:br/>
        <w:t>In billions of U.S. dollars</w:t>
        <w:br/>
        <w:t xml:space="preserve">             Net Commitments                      Disbursements                   Net Loans outstanding</w:t>
        <w:br/>
        <w:br/>
        <w:t xml:space="preserve">   45                                    45                                 300</w:t>
        <w:br/>
        <w:br/>
        <w:t xml:space="preserve">                                         36                                 250</w:t>
        <w:br/>
        <w:t xml:space="preserve">   36</w:t>
        <w:br/>
        <w:t xml:space="preserve">                                                                            200</w:t>
        <w:br/>
        <w:t xml:space="preserve">   27                                    27</w:t>
        <w:br/>
        <w:t xml:space="preserve">                                                                            150</w:t>
        <w:br/>
        <w:t xml:space="preserve">   18                                    18</w:t>
        <w:br/>
        <w:t xml:space="preserve">                                                                            100</w:t>
        <w:br/>
        <w:t xml:space="preserve">    9                                     9                                  50</w:t>
        <w:br/>
        <w:t xml:space="preserve">    0                                     0                                   0</w:t>
        <w:br/>
        <w:t xml:space="preserve">         FY21 FY22 FY23 FY24 FY25              FY21 FY22   FY23 FY24 FY25         Jun 21 Jun 22 Jun 23 Jun 24 Jun 25</w:t>
        <w:br/>
        <w:br/>
        <w:t xml:space="preserve">                                                     Gross     Net</w:t>
        <w:br/>
        <w:br/>
        <w:t>Net commitments were $3.3 billion higher compared with FY24 (Table 12). The regions with the largest</w:t>
        <w:br/>
        <w:t>share of commitments during FY25 were Latin America and the Caribbean with 30%, and Europe and</w:t>
        <w:br/>
        <w:t>Central Asia with 26%. Gross disbursements were $2.7 billion lower compared to FY24 (Table 13). The</w:t>
        <w:br/>
        <w:t>regions with the largest share of gross disbursements were Europe and Central Asia with 26%, and Latin</w:t>
        <w:br/>
        <w:t>America and the Caribbean with 26%.</w:t>
        <w:br/>
        <w:br/>
        <w:br/>
        <w:t xml:space="preserve">                                         IBRD Management's Discussion and Analysis: June 30, 2025                      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II: Executive Summary</w:t>
        <w:br/>
        <w:br/>
        <w:br/>
        <w:t>Investments - Trading</w:t>
        <w:br/>
        <w:t>IBRD’s Investments - Trading increased by                 In billions of U.S. dollars</w:t>
        <w:br/>
        <w:t>$20.0 billion, from $82.7 billion as of June 30,          Investments - Trading</w:t>
        <w:br/>
        <w:t>2024 to $102.7 billion as of June 30, 2025. The</w:t>
        <w:br/>
        <w:t>increase was primarily due to net new debt                   120</w:t>
        <w:br/>
        <w:t>issuances that were higher than net loan</w:t>
        <w:br/>
        <w:t>disbursements during the year, and is consistent              90</w:t>
        <w:br/>
        <w:t>with the higher target liquidity level in FY25</w:t>
        <w:br/>
        <w:t>compared to FY24 (Section III and Section VI).                60</w:t>
        <w:br/>
        <w:t>As of June 30, 2025, 77% of the investments are</w:t>
        <w:br/>
        <w:t xml:space="preserve">                                                              30</w:t>
        <w:br/>
        <w:t>rated AA or above (Table 35).</w:t>
        <w:br/>
        <w:t xml:space="preserve">                                                               0</w:t>
        <w:br/>
        <w:t xml:space="preserve">                                                                      Jun 21    Jun 22   Jun 23     Jun 24   Jun 25</w:t>
        <w:br/>
        <w:br/>
        <w:br/>
        <w:t>Borrowings</w:t>
        <w:br/>
        <w:t xml:space="preserve">                                                          In billions of U.S. dollars</w:t>
        <w:br/>
        <w:t>Borrowings reported at fair value: As of June 30,         Borrowings</w:t>
        <w:br/>
        <w:t>2025, the borrowings reported at fair value were</w:t>
        <w:br/>
        <w:t>$305.7 billion, $43.9 billion higher than June 30,           320</w:t>
        <w:br/>
        <w:t>2024. The increase was mainly due to net new</w:t>
        <w:br/>
        <w:t>debt issuances that financed the growing                     240</w:t>
        <w:br/>
        <w:t>development and lending operations and</w:t>
        <w:br/>
        <w:t>satisfied liquidity requirements.                            160</w:t>
        <w:br/>
        <w:br/>
        <w:t>Borrowings reported at amortized cost: As of                  80</w:t>
        <w:br/>
        <w:t>June 30, 2025, the borrowings reported at</w:t>
        <w:br/>
        <w:t>amortized cost were $482 million, all related to               0</w:t>
        <w:br/>
        <w:t>IBRD's issuances of hybrid capital (Section III                       Jun 21    Jun 22   Jun 23     Jun 24   Jun 25</w:t>
        <w:br/>
        <w:br/>
        <w:t>and Section IX).</w:t>
        <w:br/>
        <w:br/>
        <w:br/>
        <w:t>Equity-to-Loans Ratio</w:t>
        <w:br/>
        <w:t xml:space="preserve">                                                          Ratio in percentages</w:t>
        <w:br/>
        <w:t>The Equity-to-Loans ratio marginally increased</w:t>
        <w:br/>
        <w:t>from 21.5% as of June 30, 2024 to 21.6% as of             Equity-to-Loans Ratio</w:t>
        <w:br/>
        <w:t>June 30, 2025, primarily due to the increase in</w:t>
        <w:br/>
        <w:t>usable equity outpacing the increase in loan                 30%</w:t>
        <w:br/>
        <w:t>exposures, and remained above the policy</w:t>
        <w:br/>
        <w:t>minimum of 18%. In line with IBRD’s currency</w:t>
        <w:br/>
        <w:t>management        approach,   exchange     rate</w:t>
        <w:br/>
        <w:t>movements during the year did not have an                    20%</w:t>
        <w:br/>
        <w:t>impact on IBRD’s Equity-to-Loans ratio (Section</w:t>
        <w:br/>
        <w:t>VIII and Section IX).</w:t>
        <w:br/>
        <w:t>In FY25, IBRD received $0.5 billion of paid-in               10%</w:t>
        <w:br/>
        <w:t>capital subscribed under the 2018 General and                          Jun 21   Jun 22    Jun 23    Jun 24   Jun 25</w:t>
        <w:br/>
        <w:t>Selective Capital Increases (GCI and SCI),</w:t>
        <w:br/>
        <w:t xml:space="preserve">                                                                      Equity-to-Loans Ratio        Policy Minimum</w:t>
        <w:br/>
        <w:t>bringing the cumulative amounts received to</w:t>
        <w:br/>
        <w:t>$6.5 billion, representing 86% of the total</w:t>
        <w:br/>
        <w:t>amount available for subscription. The</w:t>
        <w:br/>
        <w:t>subscription period for the GCI and SCI ends on</w:t>
        <w:br/>
        <w:t>October 1, 2025.</w:t>
        <w:br/>
        <w:br/>
        <w:br/>
        <w:t>10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Section III: Financial Results</w:t>
        <w:br/>
        <w:t>Portfolio Performance and Financial Results</w:t>
        <w:br/>
        <w:t>The following table shows IBRD’s Condensed Balance Sheets for FY25 and FY24 and the key factors</w:t>
        <w:br/>
        <w:t>driving these financial results.</w:t>
        <w:br/>
        <w:t>Table 2: Condensed Balance Sheets</w:t>
        <w:br/>
        <w:t>In millions of U.S. dollars</w:t>
        <w:br/>
        <w:t>As of June 30,                                                 2025            2024 Decrease        Increase</w:t>
        <w:br/>
        <w:t>Investments and due from banks                      $       103,173 $        83,297                            19,876</w:t>
        <w:br/>
        <w:t>Net loans outstanding a                                     280,043         260,236                            19,807</w:t>
        <w:br/>
        <w:t>Derivative assets, net                                          666             456                  210</w:t>
        <w:br/>
        <w:t>Other assets                                                 15,629          12,623                   3,006</w:t>
        <w:br/>
        <w:t>Total Assets                                        $       399,511 $       356,612                                42,899</w:t>
        <w:br/>
        <w:t>Borrowings                                                  306,161         261,790                                 44,371</w:t>
        <w:br/>
        <w:t>Derivative liabilities, net                                  12,454          22,728 (10,274)</w:t>
        <w:br/>
        <w:t>Other liabilities                                             8,884           8,610                  274</w:t>
        <w:br/>
        <w:t>Total equity                                                 72,012          63,484                        8,528</w:t>
        <w:br/>
        <w:t>Total Liabilities and Equity                        $       399,511 $       356,612                                42,899</w:t>
        <w:br/>
        <w:br/>
        <w:t>a. The fair value of IBRD’s loans was $278,883 million as of June 30, 2025 ($257,415 million – June 30, 2024).</w:t>
        <w:br/>
        <w:br/>
        <w:t>The main drivers of the change in the Balance Sheet items are below:</w:t>
        <w:br/>
        <w:t xml:space="preserve">    •    Increase in investments and due from banks primarily due to net new debt issuances exceeding</w:t>
        <w:br/>
        <w:t xml:space="preserve">         net loan disbursements;</w:t>
        <w:br/>
        <w:t xml:space="preserve">    •    Increase in net loans outstanding primarily from net loan disbursements of $14.8 billion;</w:t>
        <w:br/>
        <w:t xml:space="preserve">    •    Increase in other assets mainly from the increase in the overfunded status of the Staff Retirement</w:t>
        <w:br/>
        <w:t xml:space="preserve">         Plan (SRP) and Retired Staff Benefits Plan (RSBP);</w:t>
        <w:br/>
        <w:t xml:space="preserve">    •    Increase in borrowings primarily due to net new issuances;</w:t>
        <w:br/>
        <w:t xml:space="preserve">    •    Decrease in derivative liabilities, net due to the gains on borrowing-related derivatives as a result</w:t>
        <w:br/>
        <w:t xml:space="preserve">         of the decrease in relevant interest rates; and</w:t>
        <w:br/>
        <w:t xml:space="preserve">    •    Increase in total equity, primarily due to the increase in accumulated other comprehensive income</w:t>
        <w:br/>
        <w:t xml:space="preserve">         (AOCI) due to the net actuarial gains on benefit plans and the net income during the year.</w:t>
        <w:br/>
        <w:br/>
        <w:br/>
        <w:t xml:space="preserve">                                             IBRD Management's Discussion and Analysis: June 30, 2025                        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Net Income</w:t>
        <w:br/>
        <w:t>IBRD’s net income was $2,100 million in FY25, compared with net income of $2,142 million in FY24. The</w:t>
        <w:br/>
        <w:t>decrease was primarily due to higher Board of Governors-approved transfers of $444 million. This was</w:t>
        <w:br/>
        <w:t>partially offset by an increase in interest revenue net of borrowing expenses, and lower provision expense</w:t>
        <w:br/>
        <w:t>for losses on loans and other exposures. The $815 million of Board of Governors-approved transfers</w:t>
        <w:br/>
        <w:t>were expensed as grants upon approval by the Board of Governors in FY25, and were funded from</w:t>
        <w:br/>
        <w:t>IBRD's prior years' allocable income.</w:t>
        <w:br/>
        <w:t>Table 3: Condensed Statements of Income</w:t>
        <w:br/>
        <w:t>In millions of U.S. dollars                                                                             Impact on income</w:t>
        <w:br/>
        <w:t>For the fiscal year ended June 30,                                             2025      2024        Decrease         Increase</w:t>
        <w:br/>
        <w:t>Interest revenue</w:t>
        <w:br/>
        <w:t xml:space="preserve">  Loans, net (Table 43)                                                       $ 15,301 $ 15,831      (530)</w:t>
        <w:br/>
        <w:t xml:space="preserve">  Other asset / liability management derivatives, net                           (1,293) (1,726)                             433</w:t>
        <w:br/>
        <w:t xml:space="preserve">  Investments-Trading, net (Table 43)                                            4,444    4,337                           107</w:t>
        <w:br/>
        <w:t xml:space="preserve">  Other, net                                                                         2        2                       —</w:t>
        <w:br/>
        <w:t xml:space="preserve">  Borrowing expenses, net (Table 43)                                           (14,920) (15,215)                                295</w:t>
        <w:br/>
        <w:t>Interest revenue, net of borrowing expenses (Table 44)                        $ 3,534 $ 3,229                                    305</w:t>
        <w:br/>
        <w:br/>
        <w:t>Provision for losses on loans and other exposures, release (charge)                75       (94)                           169</w:t>
        <w:br/>
        <w:t>Non-interest revenue</w:t>
        <w:br/>
        <w:t xml:space="preserve"> Revenue from externally funded activities (Table 6)                              947      960                 (13)</w:t>
        <w:br/>
        <w:t xml:space="preserve"> Commitment charges (Table 5)                                                     152      149                        3</w:t>
        <w:br/>
        <w:t xml:space="preserve"> Other, net (Table 5)                                                             170       42                            128</w:t>
        <w:br/>
        <w:br/>
        <w:t>Non-interest expenses</w:t>
        <w:br/>
        <w:t xml:space="preserve"> Administrative a (Table 6)                                                    (2,522)   (2,379)         (143)</w:t>
        <w:br/>
        <w:t xml:space="preserve"> Contributions to special programs (Table 6)                                      (17)      (17)                      —</w:t>
        <w:br/>
        <w:t xml:space="preserve"> Other, net b                                                                     150       170                (20)</w:t>
        <w:br/>
        <w:br/>
        <w:t>Board of Governors-approved transfers                                            (815)   (371)         (444)</w:t>
        <w:br/>
        <w:t>Currency remeasurement (losses) gains, net                                        (44)     73            (117)</w:t>
        <w:br/>
        <w:t>Unrealized mark-to-market gains on Investments-Trading portfolio, net             214      91                             123</w:t>
        <w:br/>
        <w:t>Unrealized mark-to-market gains on non-trading portfolios, net                    256     289                  (33)</w:t>
        <w:br/>
        <w:t>Net Income                                                                    $ 2,100 $ 2,142                  (42)</w:t>
        <w:br/>
        <w:br/>
        <w:t>a. Includes pension service cost of $287 million for the year ended June 30, 2025 ($284 million – June 30, 2024). See Table 6.</w:t>
        <w:br/>
        <w:t>b. Includes income from net pension cost, other than service cost of $175 million for the year ended June 30, 2025 ($194 million –</w:t>
        <w:br/>
        <w:t xml:space="preserve">   June 30, 2024) (Table 6).</w:t>
        <w:br/>
        <w:br/>
        <w:t>Table 4 below provides an interest rate and volume analysis of IBRD's interest revenue and borrowing</w:t>
        <w:br/>
        <w:t>expenses. The variance reflects the year-over-year change in interest income on loans, investments-</w:t>
        <w:br/>
        <w:t>trading, and borrowing expenses between FY24 and FY25.</w:t>
        <w:br/>
        <w:t>Table 4: Rate and Volume Analysis of Changes in Interest Revenue and Borrowing Expenses</w:t>
        <w:br/>
        <w:t>In millions of U.S. dollars</w:t>
        <w:br/>
        <w:t xml:space="preserve">                                                                                           FY 2025 versus FY 2024</w:t>
        <w:br/>
        <w:t xml:space="preserve">                                                                                                   Variance due to changes in</w:t>
        <w:br/>
        <w:t xml:space="preserve">                                                                                Total Variance          Volume              Rate</w:t>
        <w:br/>
        <w:t>Increase (decrease) in Interest revenue related to:</w:t>
        <w:br/>
        <w:t>Loans                                                                     $              (530) $          1,150 $               (1,680)</w:t>
        <w:br/>
        <w:t>Investments-Trading                                                                       107               600                   (493)</w:t>
        <w:br/>
        <w:br/>
        <w:br/>
        <w:t>(Increase) decrease in Interest expense related to:</w:t>
        <w:br/>
        <w:t>Borrowings                                                                $               295 $          (1,688) $              1,983</w:t>
        <w:br/>
        <w:br/>
        <w:br/>
        <w:t>12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   Section III: Financial Results</w:t>
        <w:br/>
        <w:br/>
        <w:br/>
        <w:t>As illustrated in Figure 1, investments are funded by borrowings, and loans are funded by borrowings and</w:t>
        <w:br/>
        <w:t>equity. Under IBRD’s pricing policy, the lending rates for IBRD’s loans are based on the underlying cost of</w:t>
        <w:br/>
        <w:t>the borrowings funding these loans, therefore, interest revenue, net of funding costs provides an overall</w:t>
        <w:br/>
        <w:t>view of IBRD’s net income generation. Table 5 below shows revenue on interest earning assets net of</w:t>
        <w:br/>
        <w:t>interest expenses from borrowings funding these assets and the other components of allocable income.</w:t>
        <w:br/>
        <w:t>Table 5: Statement of Allocable Income (non-GAAP Measures)</w:t>
        <w:br/>
        <w:t>In millions of U.S. dollars                                                                                             Impact on income</w:t>
        <w:br/>
        <w:t>For the fiscal year ended June 30,                                                        2025        2024         Decrease         Increase</w:t>
        <w:br/>
        <w:t>Revenue on interest earning assets</w:t>
        <w:br/>
        <w:t>Loan interest margin a                                                                   $ 2,327 $ 2,119                                  208</w:t>
        <w:br/>
        <w:t>Loan interest revenue from loans funded by equity                                           2,494   2,755 (261)</w:t>
        <w:br/>
        <w:t>Loan interest revenue, net of funding costs (Table 43)                                   $ 4,821 $ 4,874                 (53)</w:t>
        <w:br/>
        <w:t>Other asset / liability management (ALM) derivatives, net (Table 3)                        (1,293) (1,726)                                           433</w:t>
        <w:br/>
        <w:t>Investment revenue, net of funding costs (Table 43)                                            65      61                         4</w:t>
        <w:br/>
        <w:t>Total revenue on interest earning assets, net (Table 44)                                 $ 3,593 $ 3,209                                         384</w:t>
        <w:br/>
        <w:br/>
        <w:t>Provision for losses on loans and other exposures, release (charge) (Table 3)                  75     (94)                              169</w:t>
        <w:br/>
        <w:t>Net non-interest expenses (Table 6)                                                        (1,582) (1,434)          (148)</w:t>
        <w:br/>
        <w:t>Commitment charges (Table 3)                                                                  152     149                         3</w:t>
        <w:br/>
        <w:t>Non-interest revenue - Other, net (Table 3)                                                   170      42                              128</w:t>
        <w:br/>
        <w:t>Non-interest expenses - Other                                                                 (24)    (23)                  (1)</w:t>
        <w:br/>
        <w:t>Allocable Income                                                                         $ 2,384 $ 1,849                                               535</w:t>
        <w:br/>
        <w:br/>
        <w:t>a. Represents the margin between loan returns and associated debt cost.</w:t>
        <w:br/>
        <w:br/>
        <w:t>See Section XIV: Reconciliations of Components of Allocable Income and Table 9 for a reconciliation of</w:t>
        <w:br/>
        <w:t>the components of Table 3 and Table 5.</w:t>
        <w:br/>
        <w:t>Results from Lending Activities</w:t>
        <w:br/>
        <w:t>Loan Interest Revenue</w:t>
        <w:br/>
        <w:t>Under IBRD’s pricing policy, the lending rates for all loans are based on the underlying cost of the</w:t>
        <w:br/>
        <w:t>borrowings funding these loans. After the effect of related derivatives, the loan and borrowing portfolios</w:t>
        <w:br/>
        <w:t>are based on variable interest rates (Figure 2). The portion of loans funded by equity is sensitive to</w:t>
        <w:br/>
        <w:t>changes in short-term interest rates.</w:t>
        <w:br/>
        <w:t>Figure 2: Loan Interest Revenue and Funding                                       Figure 3: Loan Interest Revenue, Net of</w:t>
        <w:br/>
        <w:t>Cost (Including Related Derivatives)                                              Funding Costs a</w:t>
        <w:br/>
        <w:t>In millions of U.S. dollars                                                       In millions of U.S. dollars</w:t>
        <w:br/>
        <w:t xml:space="preserve">             Loan interest revenue (including related derivatives)                               Loan interest revenue, net of funding costs ᵃ</w:t>
        <w:br/>
        <w:t xml:space="preserve">             Loan funding cost (including related derivatives)                                   Loan interest revenue, net of funding costs ᵃ and</w:t>
        <w:br/>
        <w:t xml:space="preserve">                                                                                                 Other ALM derivatives, net combined</w:t>
        <w:br/>
        <w:t xml:space="preserve">   20,000</w:t>
        <w:br/>
        <w:t xml:space="preserve">                                                                                     6,000</w:t>
        <w:br/>
        <w:br/>
        <w:t xml:space="preserve">   15,000</w:t>
        <w:br/>
        <w:t xml:space="preserve">                                                                                     4,000</w:t>
        <w:br/>
        <w:t xml:space="preserve">   10,000</w:t>
        <w:br/>
        <w:br/>
        <w:t xml:space="preserve">                                                                                     2,000</w:t>
        <w:br/>
        <w:t xml:space="preserve">    5,000</w:t>
        <w:br/>
        <w:br/>
        <w:br/>
        <w:t xml:space="preserve">         0                                                                                0</w:t>
        <w:br/>
        <w:t xml:space="preserve">                  FY21      FY22        FY23       FY24       FY25                              FY21      FY22       FY23          FY24         FY25</w:t>
        <w:br/>
        <w:t xml:space="preserve">                                                                                    a.    Includes related derivatives.</w:t>
        <w:br/>
        <w:br/>
        <w:t>IBRD’s FY25 loan interest revenue, net of funding costs was $4,821 million, a decrease of $53 million</w:t>
        <w:br/>
        <w:t>compared with $4,874 million in FY24 (Figure 3), primarily driven by the decrease in average interest</w:t>
        <w:br/>
        <w:t>rates on the portion of the loan portfolio which is sensitive to interest rate movements (Table 5). This was</w:t>
        <w:br/>
        <w:t>partially offset by the higher lending volume during the year. Other ALM derivatives moderate the impact</w:t>
        <w:br/>
        <w:br/>
        <w:br/>
        <w:t xml:space="preserve">                                                      IBRD Management's Discussion and Analysis: June 30, 2025                                       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Section III: Financial Results</w:t>
        <w:br/>
        <w:br/>
        <w:br/>
        <w:t>of interest rate changes on the portion of loans that is sensitive to interest rate movements, thereby</w:t>
        <w:br/>
        <w:t>partially stabilizing the net interest revenue earned from these loans (as illustrated in Figure 3). Other</w:t>
        <w:br/>
        <w:t>ALM derivatives comprise interest rate swaps, which are used to convert the variable rate cash flows from</w:t>
        <w:br/>
        <w:t>these loans to fixed rate cash flows. The combined effect of the decrease in loan interest revenue, net of</w:t>
        <w:br/>
        <w:t>funding costs of $53 million and the decrease in interest expense from Other ALM derivatives, net of $433</w:t>
        <w:br/>
        <w:t>million from FY24 to FY25, resulted in a total increase in net loan interest revenue of $380 million.</w:t>
        <w:br/>
        <w:t>In October 2024, as a part of the package of measures to deliver on WBG's new vision and mission, the</w:t>
        <w:br/>
        <w:t>Board approved adjustments to IBRD's loan pricing, which include: 1) establishing a grace period, during</w:t>
        <w:br/>
        <w:t>which no commitment fees are charged for the first four years for Investment Project Financing (IPF) and</w:t>
        <w:br/>
        <w:t>Program-for Results Financing (PforRs); 2) removal of the prepayment premium; 3) introduction of a 7</w:t>
        <w:br/>
        <w:t>year Short Maturity Loan (SML) with a maturity discount applied to the contractual spread; and 4)</w:t>
        <w:br/>
        <w:t>expansion of the lowest pricing group to include all Climate Resilient Debt Clause (CRDC)-eligible IBRD</w:t>
        <w:br/>
        <w:t>borrowers under current eligibility requirements. See Section IV: Lending Activities for additional details on</w:t>
        <w:br/>
        <w:t>CRDC.</w:t>
        <w:br/>
        <w:t>Provision for losses on loans and other exposures</w:t>
        <w:br/>
        <w:t>During FY25, IBRD recorded income from the release of provision for losses on loans and other</w:t>
        <w:br/>
        <w:t>exposures of $75 million compared to a $94 million expense in FY24. As the majority of IBRD’s loans</w:t>
        <w:br/>
        <w:t>carry variable interest rates, changes in forward interest rates impact the expected losses that are</w:t>
        <w:br/>
        <w:t>recorded through the provision for losses on loans and other exposures in the Statements of income.</w:t>
        <w:br/>
        <w:t>Accordingly, the provision release in FY25 was primarily driven by the decrease in the loss given default</w:t>
        <w:br/>
        <w:t>(severity) due to the decrease in the relevant implied forward interest rates in FY25. The severity reflects</w:t>
        <w:br/>
        <w:t>the expected losses from delays in receiving interest payments since IBRD does not charge interest on</w:t>
        <w:br/>
        <w:t>the portion related to overdue interest.</w:t>
        <w:br/>
        <w:t>Figure 4: Change in Net Loans Outstanding                                                Figure 5: Net Loans Outstanding</w:t>
        <w:br/>
        <w:t>In billions of U.S. dollars                                                              In billions of U.S. dollars</w:t>
        <w:br/>
        <w:br/>
        <w:t>300</w:t>
        <w:br/>
        <w:t xml:space="preserve">                                                                                         300                                             280.0</w:t>
        <w:br/>
        <w:t xml:space="preserve">                        30.8                                                                                                    260.2</w:t>
        <w:br/>
        <w:t xml:space="preserve">                                                                                         250                           241.0</w:t>
        <w:br/>
        <w:t xml:space="preserve">                                                                                                             227.1</w:t>
        <w:br/>
        <w:t xml:space="preserve">                                                                 5.0        280.0                  218.8</w:t>
        <w:br/>
        <w:t>280                                                  *                                   200</w:t>
        <w:br/>
        <w:t xml:space="preserve">                                     (16.0)</w:t>
        <w:br/>
        <w:t xml:space="preserve">                                                                                         150</w:t>
        <w:br/>
        <w:t xml:space="preserve">           260.2</w:t>
        <w:br/>
        <w:t>260</w:t>
        <w:br/>
        <w:t xml:space="preserve">                                                                                         100</w:t>
        <w:br/>
        <w:br/>
        <w:br/>
        <w:t xml:space="preserve">                                                                                           50</w:t>
        <w:br/>
        <w:br/>
        <w:t>240</w:t>
        <w:br/>
        <w:t xml:space="preserve">                                                                                            0</w:t>
        <w:br/>
        <w:t xml:space="preserve">          Net Loans    Gross loan Repayments Accumulated Translation        Net Loans</w:t>
        <w:br/>
        <w:t xml:space="preserve">         outstanding disbursements     and     provision for adjustments   outstanding            Jun 21     Jun 22    Jun 23   Jun 24   Jun 25</w:t>
        <w:br/>
        <w:t xml:space="preserve">          as of June               prepayments loan losses    and others    as of June</w:t>
        <w:br/>
        <w:t xml:space="preserve">           30, 2024                                                          30, 2025</w:t>
        <w:br/>
        <w:br/>
        <w:t>* Indicates amount less than $0.1 billion.</w:t>
        <w:br/>
        <w:br/>
        <w:t>As of June 30, 2025, IBRD’s net loans outstanding totaled $280.0 billion, $19.8 billion or 8% higher than</w:t>
        <w:br/>
        <w:t>June 30, 2024 (Figure 5). The increase was mainly attributable to $14.8 billion of net loan disbursements</w:t>
        <w:br/>
        <w:t>in FY25.</w:t>
        <w:br/>
        <w:t>Gross disbursements were $30.8 billion, a decrease of $2.7 billion compared to FY24 (Table 13).</w:t>
        <w:br/>
        <w:br/>
        <w:br/>
        <w:t>14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Results from Investing activities</w:t>
        <w:br/>
        <w:t>Net Investment Revenue</w:t>
        <w:br/>
        <w:t>During FY25, IBRD’s net investment revenue increased by $4 million, compared to FY24 (Table 5). The</w:t>
        <w:br/>
        <w:t>increase was primarily driven by higher unrealized mark-to-market gains on the investments-trading</w:t>
        <w:br/>
        <w:t>portfolio, net in FY25, compared to FY24. This was largely offset by the higher funding costs that</w:t>
        <w:br/>
        <w:t>exceeded the increase in investment interest revenue in FY25. See Table 43.</w:t>
        <w:br/>
        <w:t>Investments - Trading</w:t>
        <w:br/>
        <w:t>IBRD’s Investments - Trading was $102.7 billion as of June 30, 2025 ($82.7 billion as of June 30, 2024).</w:t>
        <w:br/>
        <w:t>See Figure 6 below and Note C: Investments in the Notes to the Financial Statements. The increase in</w:t>
        <w:br/>
        <w:t>the Investments - Trading was primarily due to the net new debt issuances that were higher than net loan</w:t>
        <w:br/>
        <w:t>disbursements during the year, and consistent with the higher target liquidity level in FY25 (see Section</w:t>
        <w:br/>
        <w:t>VI: Investment Activities).</w:t>
        <w:br/>
        <w:br/>
        <w:t>Figure 6: Investments - Trading                                      Figure 7: Investment Revenue, Net</w:t>
        <w:br/>
        <w:t>In billions of U.S. dollars                                          In millions of U.S. dollars</w:t>
        <w:br/>
        <w:br/>
        <w:t xml:space="preserve">             Government, agency and corporate obligations               250</w:t>
        <w:br/>
        <w:t xml:space="preserve">             Time deposits</w:t>
        <w:br/>
        <w:t xml:space="preserve">             Other investments                                          200</w:t>
        <w:br/>
        <w:t xml:space="preserve">                                                        6.2</w:t>
        <w:br/>
        <w:t xml:space="preserve">   100</w:t>
        <w:br/>
        <w:t xml:space="preserve">              3.5                                                       150</w:t>
        <w:br/>
        <w:t xml:space="preserve">                         3.6      3.3       4.4</w:t>
        <w:br/>
        <w:t xml:space="preserve">    80</w:t>
        <w:br/>
        <w:t xml:space="preserve">                                                                        100</w:t>
        <w:br/>
        <w:t xml:space="preserve">    60        35.5</w:t>
        <w:br/>
        <w:t xml:space="preserve">                                      36.8               52.3</w:t>
        <w:br/>
        <w:t xml:space="preserve">                              39.5                                       50</w:t>
        <w:br/>
        <w:t xml:space="preserve">    40                                         46.0</w:t>
        <w:br/>
        <w:br/>
        <w:t xml:space="preserve">    20        48.6                    39.0               44.2              0</w:t>
        <w:br/>
        <w:t xml:space="preserve">                              38.7             32.4</w:t>
        <w:br/>
        <w:t xml:space="preserve">     0                                                                  (50)</w:t>
        <w:br/>
        <w:t xml:space="preserve">             Jun 21      Jun 22      Jun 23   Jun 24    Jun 25                    FY21       FY22   FY23   FY24   FY25</w:t>
        <w:br/>
        <w:br/>
        <w:br/>
        <w:t>Results from Borrowing activities</w:t>
        <w:br/>
        <w:t>As of June 30, 2025, the borrowings were $306.2 billion, $44.4 billion higher than June 30, 2024 (Note E:</w:t>
        <w:br/>
        <w:t>Borrowings in the Notes to the Financial Statements). The increase was primarily due to net new debt</w:t>
        <w:br/>
        <w:t>issuances of $31.0 billion during the year. The $64.5 billion of medium-and long-term debt raised during</w:t>
        <w:br/>
        <w:t>the year (Table 28) was diversified by investor profile and location, with an average maturity of 5.5 years.</w:t>
        <w:br/>
        <w:t>The funds raised financed development lending operations and satisfied the liquidity requirements.</w:t>
        <w:br/>
        <w:t>Figure 8: Borrowings (Original Maturities)</w:t>
        <w:br/>
        <w:t>In billions of U.S. dollars</w:t>
        <w:br/>
        <w:br/>
        <w:br/>
        <w:t xml:space="preserve">                 Short-term           Medium-and long-term</w:t>
        <w:br/>
        <w:t xml:space="preserve">                                                         13.0</w:t>
        <w:br/>
        <w:t xml:space="preserve">   300</w:t>
        <w:br/>
        <w:t xml:space="preserve">              10.2                              9.0</w:t>
        <w:br/>
        <w:t xml:space="preserve">   250                        15.1    10.1</w:t>
        <w:br/>
        <w:t xml:space="preserve">   200</w:t>
        <w:br/>
        <w:t xml:space="preserve">   150                                                   293.2</w:t>
        <w:br/>
        <w:t xml:space="preserve">              249.9                  227.2     252.8</w:t>
        <w:br/>
        <w:t xml:space="preserve">   100                    220.1</w:t>
        <w:br/>
        <w:br/>
        <w:t xml:space="preserve">    50</w:t>
        <w:br/>
        <w:t xml:space="preserve">     0</w:t>
        <w:br/>
        <w:t xml:space="preserve">             Jun 21      Jun 22      Jun 23   Jun 24    Jun 25</w:t>
        <w:br/>
        <w:br/>
        <w:br/>
        <w:t xml:space="preserve">                                               IBRD Management's Discussion and Analysis: June 30, 2025              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Net Non-Interest Expenses</w:t>
        <w:br/>
        <w:t>As shown in Table 6, IBRD’s net non-interest expenses are primarily comprised of administrative</w:t>
        <w:br/>
        <w:t>expenses, net of revenue from externally funded activities, and include costs related to Bank-executed</w:t>
        <w:br/>
        <w:t>activities for trust funds and other externally funded activities. IBRD and IDA's administrative budget is a</w:t>
        <w:br/>
        <w:t>single resource envelope that funds the combined work programs of both entities. The allocation of net</w:t>
        <w:br/>
        <w:t>administrative expenses between IBRD and IDA is based on an agreed cost and revenue sharing</w:t>
        <w:br/>
        <w:t>methodology, approved by their Boards, which is primarily driven by the relative level of lending,</w:t>
        <w:br/>
        <w:t>knowledge services, and other services between these two entities.</w:t>
        <w:br/>
        <w:t>Figure 9: Net Non-Interest Expenses (Reported Basis)</w:t>
        <w:br/>
        <w:t>In millions of U.S. dollars</w:t>
        <w:br/>
        <w:br/>
        <w:t xml:space="preserve">   2,400</w:t>
        <w:br/>
        <w:br/>
        <w:t xml:space="preserve">   1,800</w:t>
        <w:br/>
        <w:br/>
        <w:t xml:space="preserve">   1,200</w:t>
        <w:br/>
        <w:br/>
        <w:t xml:space="preserve">     600</w:t>
        <w:br/>
        <w:br/>
        <w:t xml:space="preserve">       0</w:t>
        <w:br/>
        <w:t xml:space="preserve">              FY21       FY22   FY23      FY24      FY25</w:t>
        <w:br/>
        <w:br/>
        <w:t>The increase in net non-interest expenses from FY24 to FY25, on both a reported basis and allocable</w:t>
        <w:br/>
        <w:t>income basis, was primarily driven by higher administrative expenses (Table 6).</w:t>
        <w:br/>
        <w:t>Table 6: Net Non-Interest Expenses</w:t>
        <w:br/>
        <w:t>In millions of U.S. dollars</w:t>
        <w:br/>
        <w:t>For the fiscal year ended June 30,                                                              2025              2024        Variance</w:t>
        <w:br/>
        <w:t>Administrative expenses</w:t>
        <w:br/>
        <w:t xml:space="preserve">   Staff costs                                                                       $         1,261    $        1,178    $        83</w:t>
        <w:br/>
        <w:t xml:space="preserve">   Travel                                                                                        164               158              6</w:t>
        <w:br/>
        <w:t xml:space="preserve">   Consultant fees and contractual services                                                      551               518             33</w:t>
        <w:br/>
        <w:t xml:space="preserve">   Pension service cost a                                                                        287               284              3</w:t>
        <w:br/>
        <w:t xml:space="preserve">   Communications and technology                                                                 105                99              6</w:t>
        <w:br/>
        <w:t xml:space="preserve">   Premises and equipment                                                                        133               126              7</w:t>
        <w:br/>
        <w:t xml:space="preserve">   Other expenses                                                                                 21                16              5</w:t>
        <w:br/>
        <w:t xml:space="preserve">     Total administrative expenses b (Table 3)                                       $         2,522    $        2,379    $       143</w:t>
        <w:br/>
        <w:t>Contributions to special programs (Section V) (Table 3)                                           17                17             —</w:t>
        <w:br/>
        <w:t>Revenue from externally funded activities: (Section V)</w:t>
        <w:br/>
        <w:t xml:space="preserve">   Reimbursable revenue – Bank-executed activities for trust funds                             (604)             (612)              8</w:t>
        <w:br/>
        <w:t xml:space="preserve">   Reimbursable advisory services                                                                (49)              (47)            (2)</w:t>
        <w:br/>
        <w:t xml:space="preserve">   Revenue - Trust funds administration                                                          (91)              (99)             8</w:t>
        <w:br/>
        <w:t xml:space="preserve">   Restricted revenue (primarily externally financed outputs)                                     (5)               (8)             3</w:t>
        <w:br/>
        <w:t xml:space="preserve">   Revenue - Asset management services                                                           (18)              (17)            (1)</w:t>
        <w:br/>
        <w:t xml:space="preserve">   Other revenue c                                                                             (180)             (177)             (3)</w:t>
        <w:br/>
        <w:t xml:space="preserve">     Total Revenue from externally funded activities (Table 3)                       $         (947)    $        (960)    $        13</w:t>
        <w:br/>
        <w:t xml:space="preserve"> Net non-interest expenses                                                                     1,592             1,436            156</w:t>
        <w:br/>
        <w:t xml:space="preserve"> Add: Inclusion of Net pension cost, other than service cost d (Table 3)                       (175)             (194)             19</w:t>
        <w:br/>
        <w:t>Net non-interest expenses - Reported Basis                                           $         1,417    $        1,242    $       175</w:t>
        <w:br/>
        <w:t>Adjustments to arrive at net non-interest expenses - non-GAAP measure</w:t>
        <w:br/>
        <w:t xml:space="preserve"> Less: Exclusion of Pension, Externally Financed Outputs (EFO) and Reserve</w:t>
        <w:br/>
        <w:t xml:space="preserve">                                                                                                 165               192            (27)</w:t>
        <w:br/>
        <w:t xml:space="preserve"> Advisory and Management Partnership (RAMP) adjustments e</w:t>
        <w:br/>
        <w:t xml:space="preserve"> Net non-interest expenses - non-GAAP measure (Table 5)                              $         1,582    $        1,434    $       148</w:t>
        <w:br/>
        <w:br/>
        <w:t>a. The pension service cost represents the cost of benefits attributable to services performed by employees for the Bank during the</w:t>
        <w:br/>
        <w:t xml:space="preserve">   fiscal year. See Notes to Financial Statements, Note K: Pension and Other Post-Retirement Benefits.</w:t>
        <w:br/>
        <w:t>b. Includes expenses related to Bank-executed activities for trust funds of $604 million for FY25 and $612 million for FY24.</w:t>
        <w:br/>
        <w:t>c. Includes fee revenue associated with services provided to affiliated organizations of $116 million in FY25 ($112 million in FY24).</w:t>
        <w:br/>
        <w:t xml:space="preserve">   See Notes to Financial Statements, Note H: Transactions with Affiliated Organizations.</w:t>
        <w:br/>
        <w:t>d. Amount is included in Non-interest expenses - Other in the Statements of Income (Table 3).</w:t>
        <w:br/>
        <w:t>e. Components of this adjustment are included in Table 9.</w:t>
        <w:br/>
        <w:br/>
        <w:br/>
        <w:t>16 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III: Financial Results</w:t>
        <w:br/>
        <w:br/>
        <w:br/>
        <w:t>IBRD’s goal is to have its net administrative expenses covered by its loan interest margin (see</w:t>
        <w:br/>
        <w:t>components of loan spread in Box 1) and certain fee revenue, using a measure referred to as the Budget</w:t>
        <w:br/>
        <w:t>Anchor. In FY25, IBRD’s Budget Anchor was 63.4%, an increase of 0.7% compared with 62.7% in FY24.</w:t>
        <w:br/>
        <w:t>The increase was primarily due to the relative increase in net non-interest expenses outpacing the</w:t>
        <w:br/>
        <w:t>increase in budget anchor revenue (see Table 7 for details of the Budget Anchor components).</w:t>
        <w:br/>
        <w:br/>
        <w:t>Table 7: Budget Anchor Ratio</w:t>
        <w:br/>
        <w:t>In millions of U.S. dollars</w:t>
        <w:br/>
        <w:t>For the fiscal year ended June 30,                                                              2025       2024          Variance</w:t>
        <w:br/>
        <w:t>Net non-interest expenses (Table 6)                                                      $ 1,417       $ 1,242       $     175</w:t>
        <w:br/>
        <w:t>Pension, RAMP, EFO and other adjustments a                                                   167           192             (25)</w:t>
        <w:br/>
        <w:t>Total expenses for Budget Anchor                                                         $ 1,584       $ 1,434       $     150</w:t>
        <w:br/>
        <w:br/>
        <w:t>Loan interest margin (Table 5)                                                             2,327     2,119                 208</w:t>
        <w:br/>
        <w:t>Loan commitment fees (Table 3)                                                               152       149                    3</w:t>
        <w:br/>
        <w:t>Guarantee fees                                                                                18        19                   (1)</w:t>
        <w:br/>
        <w:t>Total revenue for Budget Anchor                                                          $ 2,497   $ 2,287   $             210</w:t>
        <w:br/>
        <w:t>Budget Anchor                                                                               63.4 %    62.7 %                0.7 %</w:t>
        <w:br/>
        <w:t>a. These adjustments are made to arrive at total expenses for Budget Anchor purpose.</w:t>
        <w:br/>
        <w:br/>
        <w:br/>
        <w:t>Unrealized mark-to-market gains (losses) on non-trading portfolios, net</w:t>
        <w:br/>
        <w:t>During FY25, the non-trading portfolios had $256 million of net unrealized mark-to-market gains ($289</w:t>
        <w:br/>
        <w:t>million net unrealized mark-to-market gains in FY24). The decrease in gains was mainly driven by the</w:t>
        <w:br/>
        <w:t>unrealized market-to-market losses on loan related derivatives and borrowings, primarily due to the</w:t>
        <w:br/>
        <w:t>decrease in relevant interest rates.</w:t>
        <w:br/>
        <w:br/>
        <w:t>Table 8: Unrealized Mark-to-Market Gains (Losses) on Non-trading Portfolios, Net</w:t>
        <w:br/>
        <w:t>In millions of U.S. dollars</w:t>
        <w:br/>
        <w:t>For the fiscal year ended June 30,                                                        2025           2024    Variance</w:t>
        <w:br/>
        <w:t>Loan related derivatives                                                           $    (1,372) $        (458) $       (914)</w:t>
        <w:br/>
        <w:t>Other ALM derivatives, net                                                               1,839            708         1,131</w:t>
        <w:br/>
        <w:t>Borrowings, including related derivatives                                                 (234)             9          (243)</w:t>
        <w:br/>
        <w:t>Client operations and other derivatives, net                                                23             30             (7)</w:t>
        <w:br/>
        <w:t>Unrealized mark-to-market gains (losses) on non-trading portfolios -</w:t>
        <w:br/>
        <w:t>Reported basis (Table 3)                                                           $      256    $        289    $            (33)</w:t>
        <w:br/>
        <w:br/>
        <w:br/>
        <w:t>Loan Portfolio</w:t>
        <w:br/>
        <w:t>Loans outstanding are reported at amortized cost on the Balance Sheets and therefore the mark-to-</w:t>
        <w:br/>
        <w:t>market effect on loans is not reflected in reported net income. However, the derivatives used to convert</w:t>
        <w:br/>
        <w:t>the loans from fixed-rate to variable-rate instruments, for asset / liability management purposes, are</w:t>
        <w:br/>
        <w:t>reported at fair value. From an economic perspective, IBRD’s loans, after the effect of derivatives, carry</w:t>
        <w:br/>
        <w:t>variable interest rates and have a low sensitivity to the change in interest rates. The unrealized mark-to-</w:t>
        <w:br/>
        <w:t>market losses on loan related derivatives were $914 million higher in FY25 compared to FY24, due to the</w:t>
        <w:br/>
        <w:t>more prominent decrease in relevant interest rates during the year. See Section IX: Risk Management for</w:t>
        <w:br/>
        <w:t>additional details on how IBRD uses derivatives in the loan portfolio.</w:t>
        <w:br/>
        <w:t>Other ALM Portfolio</w:t>
        <w:br/>
        <w:t>IBRD uses derivatives to stabilize its interest revenue from the portion of loans that is sensitive to</w:t>
        <w:br/>
        <w:t>changes in short-term interest rates. The Other ALM portfolio consists of derivatives which convert a</w:t>
        <w:br/>
        <w:t>portion of variable rate loan cash flows to fixed rate loan cash flows. In FY25, IBRD recorded unrealized</w:t>
        <w:br/>
        <w:t>mark-to-market gains of $1,839 million on this portfolio, primarily due to the decrease in relevant interest</w:t>
        <w:br/>
        <w:t>rates as of June 30, 2025 compared to June 30, 2024. The duration of this portfolio was 4.4 years as of</w:t>
        <w:br/>
        <w:t>June 30, 2025, within the Board established limit of 5 years.</w:t>
        <w:br/>
        <w:br/>
        <w:br/>
        <w:t xml:space="preserve">                                               IBRD Management's Discussion and Analysis: June 30, 2025                       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Borrowing Portfolio</w:t>
        <w:br/>
        <w:t>IBRD’s borrowings and the related derivatives are reported at fair value, except for hybrid capital which is</w:t>
        <w:br/>
        <w:t>reported at amortized cost on the Balance Sheets. IBRD recorded $234 million of net unrealized mark-to-</w:t>
        <w:br/>
        <w:t>market losses on IBRD’s borrowings at fair value and associated derivatives, due to the decrease in</w:t>
        <w:br/>
        <w:t>relevant interest rates as of June 30, 2025 compared to June 30, 2024. The unrealized mark-to-market</w:t>
        <w:br/>
        <w:t>losses on the borrowings at fair value were mainly driven by the decrease in relevant interest rates and</w:t>
        <w:br/>
        <w:t>exceeded the gains on the bond-related derivatives. The net unrealized mark-to-market losses on IBRD’s</w:t>
        <w:br/>
        <w:t>bonds exclude changes in IBRD’s own credit, referred to as the Debit Valuation Adjustment (DVA) on Fair</w:t>
        <w:br/>
        <w:t>Value Option elected liabilities, which is instead recorded in AOCI. In FY25, the DVA was $991 million of</w:t>
        <w:br/>
        <w:t>unrealized mark-to-market gains, resulting mainly from the widening of IBRD’s credit spreads relative to</w:t>
        <w:br/>
        <w:t>the applicable reference rate during the year. This was primarily driven by the widening of spreads across</w:t>
        <w:br/>
        <w:t>euro sovereign, supranational, and agency markets. As of June 30, 2025, IBRD’s Balance Sheets</w:t>
        <w:br/>
        <w:t>included a cumulative DVA of $1,664 million of mark-to-market gains reflected in AOCI (See Notes to the</w:t>
        <w:br/>
        <w:t>Financial Statements, Note J – Fair Value Disclosures).</w:t>
        <w:br/>
        <w:br/>
        <w:t>Income Allocation</w:t>
        <w:br/>
        <w:t>Management recommends allocations of income to the Board, at the end of each fiscal year, to augment</w:t>
        <w:br/>
        <w:t>reserves and support developmental activities. These allocations are based on allocable income. As</w:t>
        <w:br/>
        <w:t>illustrated in Table 9, the key differences between allocable income and net income are (i) expenses</w:t>
        <w:br/>
        <w:t>related to Board of Governors-approved transfers, (ii) non-functional currency translation adjustment</w:t>
        <w:br/>
        <w:t>gains and losses and (iii) unrealized mark-to-market gains and losses on IBRD’s non-trading portfolios,</w:t>
        <w:br/>
        <w:t>which are all excluded from allocable income.</w:t>
        <w:br/>
        <w:br/>
        <w:t>Table 9: Allocable Income and Recommended Allocations</w:t>
        <w:br/>
        <w:t>In millions of U.S. dollars</w:t>
        <w:br/>
        <w:t>For the fiscal years ended June 30,                                                                 2025                2024</w:t>
        <w:br/>
        <w:t xml:space="preserve"> Net Income (Table 3)                                                                    $          2,100   $           2,142</w:t>
        <w:br/>
        <w:t xml:space="preserve"> Adjustments to Reconcile Net Income to Allocable Income:</w:t>
        <w:br/>
        <w:t xml:space="preserve">   Board of Governors-approved transfers (Table 3)                                                    815                 371</w:t>
        <w:br/>
        <w:t xml:space="preserve">   Currency remeasurement losses (gains), net a (Table 3)                                              44                 (73)</w:t>
        <w:br/>
        <w:t xml:space="preserve">   Unrealized mark-to-market losses (gains) on non-trading portfolios, net b                         (252)               (287)</w:t>
        <w:br/>
        <w:t xml:space="preserve">   Pension adjustment                                                                                (169)               (194)</w:t>
        <w:br/>
        <w:t xml:space="preserve">   Income from PEBP and PCRF investment holdings                                                     (134)               (112)</w:t>
        <w:br/>
        <w:t xml:space="preserve">   EFO, RAMP, LPF1, GFPP and other adjustments c                                                      (20)                  2</w:t>
        <w:br/>
        <w:t xml:space="preserve"> Allocable Income (Table 5)                                                              $          2,384 $             1,849</w:t>
        <w:br/>
        <w:br/>
        <w:t xml:space="preserve"> Recommended Allocations</w:t>
        <w:br/>
        <w:t xml:space="preserve">  General Reserve (Table 11)                                                                        1,182                 834</w:t>
        <w:br/>
        <w:t xml:space="preserve">  Surplus (Table 11)                                                                                  420                 500</w:t>
        <w:br/>
        <w:t xml:space="preserve">  Transfer to IDA                                                                                     782                 515</w:t>
        <w:br/>
        <w:t xml:space="preserve"> Total Allocations                                                                       $          2,384   $           1,849</w:t>
        <w:br/>
        <w:br/>
        <w:br/>
        <w:t>a. Currency remeasurements relating to assets and liabilities denominated in non-functional currencies.</w:t>
        <w:br/>
        <w:t>b. Adjusted to exclude $4 million gains in FY25 ($2 million gains in FY24) reclassified to realized gains/losses.</w:t>
        <w:br/>
        <w:t>c. Includes EFO income subject to contractual donor restrictions and transferred to Restricted Retained Earnings; RAMP-related</w:t>
        <w:br/>
        <w:t xml:space="preserve">   revenue and expenses excluded under a Board-approved framework to ensure use solely for program delivery; and unrealized</w:t>
        <w:br/>
        <w:t xml:space="preserve">   mark-to-market gains on IBRD Surplus-Funded Livable Planet Fund (LPF1) and Grant Facility for Project Preparation (GFPP)</w:t>
        <w:br/>
        <w:t xml:space="preserve">   investments, representing funds restricted for the specified uses; and unrealized mark-to-market gains/losses on certain</w:t>
        <w:br/>
        <w:t xml:space="preserve">   positions in the investments-trading portfolio, if any.</w:t>
        <w:br/>
        <w:br/>
        <w:br/>
        <w:t>18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All of the adjustments between reported net income and allocable income are recommended by</w:t>
        <w:br/>
        <w:t>management and approved by the Board.</w:t>
        <w:br/>
        <w:t>Adjustments to Net Income to arrive at Allocable Income:</w:t>
        <w:br/>
        <w:t>Board of Governors-approved Transfers and Allocations</w:t>
        <w:br/>
        <w:t>Board of Governors-approved transfers refer to the allocations recommended by the Board and approved</w:t>
        <w:br/>
        <w:t>by the Governors, as part of the prior year’s net income allocation process and subsequent decisions on</w:t>
        <w:br/>
        <w:t>uses of surplus, as well as on payments from restricted retained earnings. Since these amounts primarily</w:t>
        <w:br/>
        <w:t>relate to allocations out of IBRD’s FY24 allocable income or Surplus, they are excluded from FY25</w:t>
        <w:br/>
        <w:t>reported net income in calculating FY25 allocable income.</w:t>
        <w:br/>
        <w:t>During FY25, the Board of Governors approved the following transfers and allocations as shown in Table</w:t>
        <w:br/>
        <w:t>10 below:</w:t>
        <w:br/>
        <w:br/>
        <w:t>Table 10: Board of Governors-approved Transfers and Allocations</w:t>
        <w:br/>
        <w:t>In millions of U.S. dollars</w:t>
        <w:br/>
        <w:t>Date of approval                          Amount         Retained Earnings Source                       Beneficiary</w:t>
        <w:br/>
        <w:t xml:space="preserve">                                                                                     a</w:t>
        <w:br/>
        <w:t>Board of Governors-approved Transfers Reported in the Statements of Income :</w:t>
        <w:br/>
        <w:t>September 9, 2024              $      100         Surplus                    Trust Fund for Gaza and West Bank</w:t>
        <w:br/>
        <w:t>September 18, 2024                    200         Surplus                    Trust Fund for Gaza and West Bank</w:t>
        <w:br/>
        <w:t>September 18, 2024                    515         FY24 allocable income      IDA</w:t>
        <w:br/>
        <w:t xml:space="preserve">                         Total $      815</w:t>
        <w:br/>
        <w:br/>
        <w:br/>
        <w:t>Board of Governors-approved Allocations Reported as Reclassifications Within Retained Earnings:</w:t>
        <w:br/>
        <w:t xml:space="preserve">                                                                              IBRD Surplus-Funded Livable Planet Fund</w:t>
        <w:br/>
        <w:t>September 18, 2024            $        200       Surplus</w:t>
        <w:br/>
        <w:t xml:space="preserve">                                                                              (LPF1) b</w:t>
        <w:br/>
        <w:t xml:space="preserve">                                                                                         Grant Facility for Project Preparation</w:t>
        <w:br/>
        <w:t>January 17, 2025                            100         Surplus</w:t>
        <w:br/>
        <w:t xml:space="preserve">                                                                                         (GFPP) c</w:t>
        <w:br/>
        <w:t xml:space="preserve">                              Total $       300</w:t>
        <w:br/>
        <w:br/>
        <w:t>a. These transfers are unconditional and expensed upon approval.</w:t>
        <w:br/>
        <w:t>b. For the fiscal year ended June 30, 2025, less than $0.5 million of grants were expensed by the LPF1.</w:t>
        <w:br/>
        <w:t>c. The Grant Facility for Project Preparation (GFPP) provides grants to support preparation of World Bank financed lending</w:t>
        <w:br/>
        <w:t xml:space="preserve">   operations. The GFPP is currently financed by IBRD's surplus and is established for an initial period of 7 years. For the fiscal</w:t>
        <w:br/>
        <w:t xml:space="preserve">   year ended June 30, 2025, no grants were expensed by the GFPP.</w:t>
        <w:br/>
        <w:br/>
        <w:t>Currency remeasurement gains/losses, net</w:t>
        <w:br/>
        <w:t>Remeasurement gains and losses relating to non-functional currencies are reflected in reported net</w:t>
        <w:br/>
        <w:t>income. Since these are unrealized gains/losses that relate to asset/liability positions still held by IBRD,</w:t>
        <w:br/>
        <w:t>they are excluded from reported net income to arrive at allocable income and reflected in Other Reserves</w:t>
        <w:br/>
        <w:t>within Retained Earnings (Table 11).</w:t>
        <w:br/>
        <w:t>Unrealized mark-to-market gains (losses) on non-trading portfolios, net</w:t>
        <w:br/>
        <w:t>These mainly comprise unrealized mark-to-market gains and losses on the loan, borrowing, and other</w:t>
        <w:br/>
        <w:t>ALM portfolios as previously discussed. Since IBRD expects to maintain its non-trading portfolio positions</w:t>
        <w:br/>
        <w:t>to maturity, the unrealized mark-to-market gains and losses on these positions are transitory and will</w:t>
        <w:br/>
        <w:t>reduce to zero at maturity. For that reason, these gains and losses are excluded from net income to arrive</w:t>
        <w:br/>
        <w:t>at allocable income and are reflected in Cumulative Fair Value Adjustments within Retained Earnings</w:t>
        <w:br/>
        <w:t>(Table 11).</w:t>
        <w:br/>
        <w:br/>
        <w:br/>
        <w:t xml:space="preserve">                                             IBRD Management's Discussion and Analysis: June 30, 2025                             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Section III: Financial Results</w:t>
        <w:br/>
        <w:br/>
        <w:br/>
        <w:t>Pension, PEBP and PCRF adjustments</w:t>
        <w:br/>
        <w:t>The Pension adjustment reflects the difference between the accounting expense and IBRD’s cash</w:t>
        <w:br/>
        <w:t>contributions to the pension plans, the Post-Employment Benefit Plan (PEBP), and the Post-Retirement</w:t>
        <w:br/>
        <w:t>Contribution Reserve Fund (PCRF). It also includes investment revenue earned on the PEBP and PCRF</w:t>
        <w:br/>
        <w:t>assets. The PCRF was established by the Board to stabilize contributions to the pension and post-</w:t>
        <w:br/>
        <w:t>retirement benefits plans. Management bases allocation decisions on IBRD’s cash contributions to the</w:t>
        <w:br/>
        <w:t>pension plans, PEBP and PCRF, rather than pension accounting expenses. In addition, Management has</w:t>
        <w:br/>
        <w:t>designated the income from these assets to meet the future needs of the pension plans. As a result,</w:t>
        <w:br/>
        <w:t>PEBP and PCRF investment revenues are excluded from allocable income and reflected in Pension</w:t>
        <w:br/>
        <w:t>Reserves within Retained Earnings (Table 11).</w:t>
        <w:br/>
        <w:t>Externally Financed Outputs (EFO)</w:t>
        <w:br/>
        <w:t>Under certain arrangements (such as Externally Financed Outputs), IBRD enters into agreements with</w:t>
        <w:br/>
        <w:t>donors under which it receives grants to finance specified IBRD outputs or services. These funds may be</w:t>
        <w:br/>
        <w:t>utilized only for the purposes specified in the agreements and are, therefore, considered restricted until</w:t>
        <w:br/>
        <w:t>IBRD has fulfilled those purposes. Management excludes amounts arising from these arrangements from</w:t>
        <w:br/>
        <w:t>allocable income because IBRD has no discretion over the use of the related funds. In line with this, in</w:t>
        <w:br/>
        <w:t>FY25, income of $3 million was transferred out of Restricted Retained Earnings within Retained Earnings</w:t>
        <w:br/>
        <w:t>(Table 11). Consequently, the net balance of these restricted funds decreased by the same amount.</w:t>
        <w:br/>
        <w:t>RAMP</w:t>
        <w:br/>
        <w:t>Under the Board-approved framework, RAMP fees are dedicated for the purpose of providing technical</w:t>
        <w:br/>
        <w:t>assistance and asset management services to external clients. Due to the potential timing mismatch</w:t>
        <w:br/>
        <w:t>between fee revenue (recognized as earned) and program expenditures (recognized when incurred), fees</w:t>
        <w:br/>
        <w:t>earned in a given fiscal year may be used to provide services in a future fiscal year. To ensure that RAMP</w:t>
        <w:br/>
        <w:t>revenues are only used for the delivery of RAMP services, and not allocated for other purposes, any</w:t>
        <w:br/>
        <w:t>difference between fee revenue and expenses from RAMP included in reported net income are excluded</w:t>
        <w:br/>
        <w:t>to arrive at allocable income. Allocable income for FY25 was adjusted for the $1 million excess of RAMP</w:t>
        <w:br/>
        <w:t>expenses over the fee revenue from RAMP (Table 9) and is reflected in Other Reserves within Retained</w:t>
        <w:br/>
        <w:t>Earnings.</w:t>
        <w:br/>
        <w:t>LPF1 and GFPP</w:t>
        <w:br/>
        <w:t>LPF1 was funded by IBRD to finance eligible activities in order to incentivize solutions to address global</w:t>
        <w:br/>
        <w:t>challenges with cross-border externalities. GFPP was funded by IBRD to provide grants to support</w:t>
        <w:br/>
        <w:t>preparation of financed lending operations. Unutilized funds in both facilities were invested in an</w:t>
        <w:br/>
        <w:t>investment pool and recorded at fair value in IBRD’s Investment-Trading portfolio. Periodic changes in the</w:t>
        <w:br/>
        <w:t>investment value are recorded as unrealized mark-to-market gains/losses on trading portfolios and are</w:t>
        <w:br/>
        <w:t>excluded to arrive at Allocable income. Allocable income for FY25 was adjusted for $24 million unrealized</w:t>
        <w:br/>
        <w:t>mark-to-market gains on investments related to LPF1 and GFPP and is reflected in Other Reserves within</w:t>
        <w:br/>
        <w:t>Retained Earnings.</w:t>
        <w:br/>
        <w:t>Unrealized mark-to-market gains (losses) on certain positions in the investments-trading</w:t>
        <w:br/>
        <w:t>portfolios, net</w:t>
        <w:br/>
        <w:t>This adjustment applies to trades where the unrealized gains and losses on derivative forward contracts</w:t>
        <w:br/>
        <w:t>are recorded in the Statements of Income and the underlying physical assets being purchased and sold</w:t>
        <w:br/>
        <w:t>are recorded at amortized cost during the holding period. In these cases, the unrealized gains and losses</w:t>
        <w:br/>
        <w:t>on the forward contract at the end of the reporting period, if any, are excluded from net income when</w:t>
        <w:br/>
        <w:t>calculating allocable income and reflected in Restricted Retained Earnings within Retained Earnings</w:t>
        <w:br/>
        <w:t>(Table 11). As of June 30, 2025, there were no active trades requiring adjustment.</w:t>
        <w:br/>
        <w:br/>
        <w:br/>
        <w:t>20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III: Financial Results</w:t>
        <w:br/>
        <w:br/>
        <w:br/>
        <w:t>Income Allocation and Retained Earnings</w:t>
        <w:br/>
        <w:t>Allocable income is net income after certain adjustments (Table 9). The Governors determine the</w:t>
        <w:br/>
        <w:t>allocation of income at the end of every fiscal year into the following categories: General reserves,</w:t>
        <w:br/>
        <w:t>Surplus, and transfers to IDA. In making their decisions, Governors take the overall financial standing of</w:t>
        <w:br/>
        <w:t>IBRD into consideration.</w:t>
        <w:br/>
        <w:t>Annual IDA transfer recommendations are subject to approval by the Governors as part of the net income</w:t>
        <w:br/>
        <w:t>allocation process in accordance with IBRD’s Articles. There is a Board approved formula-based</w:t>
        <w:br/>
        <w:t>approach for determining IBRD’s transfers to IDA. The approach links proposed transfers to IDA with</w:t>
        <w:br/>
        <w:t>IBRD’s allocable income for the year. Cumulative transfers to IDA, since IDA’s first replenishment totaled</w:t>
        <w:br/>
        <w:t>$17.3 billion.</w:t>
        <w:br/>
        <w:t>Allocable income in FY25 was $2,384 million ($1,849 million - FY24), and out of this, the Board approved</w:t>
        <w:br/>
        <w:t>the allocation of $1,182 million ($834 million - FY24) to the General Reserve on August 7, 2025 (August 6,</w:t>
        <w:br/>
        <w:t>2024 - FY24), and the Board recommended to IBRD’s Board of Governors a transfer of $782 million</w:t>
        <w:br/>
        <w:t>($515 million - FY24) to IDA and $420 million ($500 million - FY24) to Surplus. Further, the Board</w:t>
        <w:br/>
        <w:t>recommended to IBRD's Board of Governors the following transfers out of Surplus: $300 million transfer</w:t>
        <w:br/>
        <w:t>to the IBRD Trust Fund for Gaza and West Bank, $100 million to GFPP and $20 million to LPF1 (Table</w:t>
        <w:br/>
        <w:t>11).</w:t>
        <w:br/>
        <w:t>As shown in Table 9, the Board recommends and the IBRD’s Governors approve allocations of income, at</w:t>
        <w:br/>
        <w:t>the end of each fiscal year, to augment reserves and support developmental activities. Therefore,</w:t>
        <w:br/>
        <w:t>reserves in the form of Retained Earnings consist of cumulative amounts allocated to components of</w:t>
        <w:br/>
        <w:t>Retained Earnings (see Notes to the Financial Statements, Note A: Summary of Significant Accounting</w:t>
        <w:br/>
        <w:t>and Related Policies and Note G: Board of Governors Approved Transfers).</w:t>
        <w:br/>
        <w:t>The components of Retained Earnings, reflecting the subsequent recommended allocations of FY25 net</w:t>
        <w:br/>
        <w:t>income by the Board are summarized below:</w:t>
        <w:br/>
        <w:t>Table 11: Retained Earnings Composition</w:t>
        <w:br/>
        <w:t>In millions of U.S. dollars</w:t>
        <w:br/>
        <w:br/>
        <w:t xml:space="preserve">                                                                   Cumulative Unallocated Restricted</w:t>
        <w:br/>
        <w:t xml:space="preserve">                              Special General      Pension          Fair value Net Income Retained     Other</w:t>
        <w:br/>
        <w:t xml:space="preserve">                              Reserve Reserve      Reserve Surplus Adjustments    (Loss)    Earnings Reserves a  Total</w:t>
        <w:br/>
        <w:t>As of June 30, 2025           $ 293 $ 34,058       $ 987 $      — $       1,390 $    2,915 $      11 $     729 $ 40,383</w:t>
        <w:br/>
        <w:br/>
        <w:t>Recommended:</w:t>
        <w:br/>
        <w:br/>
        <w:t>Net income allocation              —     1,182        303      420          252          (2,133)     (3)        (21)           —</w:t>
        <w:br/>
        <w:t>Board of Governors-</w:t>
        <w:br/>
        <w:t>approved transfers</w:t>
        <w:br/>
        <w:t xml:space="preserve">                                   —        —          —      (420)          —             300      —          120             —</w:t>
        <w:br/>
        <w:t>funded from Surplus and</w:t>
        <w:br/>
        <w:t>other transfers c</w:t>
        <w:br/>
        <w:t>Total after</w:t>
        <w:br/>
        <w:t>recommended</w:t>
        <w:br/>
        <w:t>allocations                   $   293 $ 35,240 b $ 1,290 $      — $       1,642 $        1,082 $     8 $       828 $ 40,383</w:t>
        <w:br/>
        <w:br/>
        <w:br/>
        <w:t>a. Comprised mainly of currency remeasurement gains/losses, unutilized portion of the IBRD Fund for Innovative Global Public</w:t>
        <w:br/>
        <w:t xml:space="preserve">   Goods Solutions (subsequently renamed the IBRD Surplus-Funded Livable Planet Fund or LPF1) and the unutilized portion of</w:t>
        <w:br/>
        <w:t xml:space="preserve">   the GFPP.</w:t>
        <w:br/>
        <w:t>b. Included as a component of usable equity in Table 33.</w:t>
        <w:br/>
        <w:t>c. A concurrent transfer is recommended to be made from Surplus to Unallocated Net Income (Loss) and/or Other Reserves for all</w:t>
        <w:br/>
        <w:t xml:space="preserve">   transfers reported in the Statements of Income and authorized to be funded from Surplus.</w:t>
        <w:br/>
        <w:br/>
        <w:br/>
        <w:t xml:space="preserve">                                                 IBRD Management's Discussion and Analysis: June 30, 2025                  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Section IV: Lending Activities</w:t>
        <w:br/>
        <w:br/>
        <w:br/>
        <w:t>Section IV: Lending Activities</w:t>
        <w:br/>
        <w:t>IBRD provides financing instruments and knowledge services to creditworthy middle-income and low-</w:t>
        <w:br/>
        <w:t>income countries, while ensuring that social, environmental, and governance considerations are taken</w:t>
        <w:br/>
        <w:t>into account. Country teams with an understanding of each country’s circumstances work with clients to</w:t>
        <w:br/>
        <w:t>tailor the mix of instruments, products, and services. For FY26, countries with 2025 per capita Gross</w:t>
        <w:br/>
        <w:t>National Income (GNI) of more than $1,325 are eligible for new lending from IBRD.</w:t>
        <w:br/>
        <w:t>Through its country-based engagement, IBRD focuses on borrower countries' priorities while also taking</w:t>
        <w:br/>
        <w:t>into consideration its corporate priorities, including addressing global challenges.</w:t>
        <w:br/>
        <w:t>Projects and programs supported by IBRD are designed to achieve a positive social impact and undergo</w:t>
        <w:br/>
        <w:t>a rigorous review and internal approval process, aimed at safeguarding equitable and sustainable</w:t>
        <w:br/>
        <w:t>economic growth, that includes early screening to identify environmental and social impacts and</w:t>
        <w:br/>
        <w:t>designing mitigation actions.</w:t>
        <w:br/>
        <w:t>Financing cycles involve identifying and appraising a project and approving and disbursing the funds. In</w:t>
        <w:br/>
        <w:t>response to emergency situations, such as natural disasters and crises, IBRD is able to accelerate the</w:t>
        <w:br/>
        <w:t>preparation and approval cycle.</w:t>
        <w:br/>
        <w:t>Loan disbursements must meet the requirements set out in loan agreements. During implementation of</w:t>
        <w:br/>
        <w:t>IBRD-supported operations, IBRD’s staff review progress, monitor compliance with IBRD policies, and</w:t>
        <w:br/>
        <w:t>help resolve any problems that may arise. The Independent Evaluation Group, an independent unit</w:t>
        <w:br/>
        <w:t>reporting directly to the Board, evaluates the extent to which operations have met their development</w:t>
        <w:br/>
        <w:t>objectives.</w:t>
        <w:br/>
        <w:t>All IBRD loans, are made to, or guaranteed by, member countries. IBRD may also make loans to IFC</w:t>
        <w:br/>
        <w:t>without any guarantee. In most cases, IBRD’s Board approves each loan and guarantee after appraisal of</w:t>
        <w:br/>
        <w:t>a project by staff. Under the Multiphase Programmatic Approach, the Board may approve an overall</w:t>
        <w:br/>
        <w:t>program framework, its financing envelope and the first appraised phase, and then authorize</w:t>
        <w:br/>
        <w:t>Management to appraise and commit financing for later program phases.</w:t>
        <w:br/>
        <w:br/>
        <w:t>Net Lending Commitments and Gross Disbursements</w:t>
        <w:br/>
        <w:t>IBRD provided $40.9 billion of new net loan commitments in FY25, through 139 operations, an increase of</w:t>
        <w:br/>
        <w:t>$3.3 billion (9%) compared to FY24.</w:t>
        <w:br/>
        <w:br/>
        <w:t>Table 12: Net Commitments by Region</w:t>
        <w:br/>
        <w:t>In millions of U.S. dollars</w:t>
        <w:br/>
        <w:t>For the fiscal year ended June 30,         2025     % of total             2024   % of total    Variance</w:t>
        <w:br/>
        <w:t>Eastern and Southern Africa          $    2,920             7% $          2,914        8% $            6</w:t>
        <w:br/>
        <w:t>Western and Central Africa                  912             2             1,725        5            (813)</w:t>
        <w:br/>
        <w:t>East Asia and Pacific                     6,430            16             6,788       18            (358)</w:t>
        <w:br/>
        <w:t>Europe and Central Asia                  10,478            26             9,302       25          1,176</w:t>
        <w:br/>
        <w:t>Latin America and the Caribbean          12,389            30             9,463       25          2,926</w:t>
        <w:br/>
        <w:t>Middle East and North Africa              5,166            13             4,233       11            933</w:t>
        <w:br/>
        <w:t>South Asia                                2,590             6             3,143        8           (553)</w:t>
        <w:br/>
        <w:t>Total                                $   40,885           100 % $        37,568      100 % $      3,317</w:t>
        <w:br/>
        <w:br/>
        <w:br/>
        <w:t>22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                  Section IV: Lending Activities</w:t>
        <w:br/>
        <w:br/>
        <w:br/>
        <w:t>Table 13: Gross Disbursements by Region</w:t>
        <w:br/>
        <w:t>In millions of U.S. dollars</w:t>
        <w:br/>
        <w:t>For the fiscal year ended June 30,                                              2025        % of total         2024   % of total   Variance</w:t>
        <w:br/>
        <w:t>Eastern and Southern Africa                                        $           1,228                 4% $     3,126         9% $     (1,898)</w:t>
        <w:br/>
        <w:t>Western and Central Africa                                                     1,263                 4          240         1         1,023</w:t>
        <w:br/>
        <w:t>East Asia and Pacific                                                          4,064                13        5,492       16         (1,428)</w:t>
        <w:br/>
        <w:t>Europe and Central Asia                                                        8,056                26       10,574       32         (2,518)</w:t>
        <w:br/>
        <w:t>Latin America and the Caribbean                                                7,828                26        6,305       19          1,523</w:t>
        <w:br/>
        <w:t>Middle East and North Africa                                                   4,376                14        3,332       10          1,044</w:t>
        <w:br/>
        <w:t>South Asia                                                                     3,964                13        4,381       13           (417)</w:t>
        <w:br/>
        <w:t>Total                                                              $          30,779               100 % $   33,450      100 % $     (2,671)</w:t>
        <w:br/>
        <w:br/>
        <w:br/>
        <w:t>Lending Categories</w:t>
        <w:br/>
        <w:t>IBRD’s lending is classified in three categories: investment project financing, development policy</w:t>
        <w:br/>
        <w:t>financing, and program-for-results (Figure 10).</w:t>
        <w:br/>
        <w:t>Investment Project Financing (IPF)</w:t>
        <w:br/>
        <w:t>IPF provides financing for a wide range of activities aimed at creating the physical and social</w:t>
        <w:br/>
        <w:t>infrastructure necessary to reduce poverty and create sustainable development. IPF generally disburses</w:t>
        <w:br/>
        <w:t>over 5 to 10-years. FY25 net IPF commitments were $17.5 billion, compared with $14.6 billion in FY24.</w:t>
        <w:br/>
        <w:t>Development Policy Financing (DPF)</w:t>
        <w:br/>
        <w:t>DPF supports borrowers in achieving sustainable development through programs of policy and</w:t>
        <w:br/>
        <w:t>institutional actions. Examples of DPF projects include strengthening public financial management,</w:t>
        <w:br/>
        <w:t>improving the investment climate, addressing bottlenecks to improve service delivery, and diversifying the</w:t>
        <w:br/>
        <w:t>economy. DPF supports reforms through non-earmarked general budget financing. DPF provides fast-</w:t>
        <w:br/>
        <w:t>disbursing financing to help borrowers address actual or anticipated financing requirements. FY25 net</w:t>
        <w:br/>
        <w:t>DPF commitments were $16.6 billion, compared with $15.9 billion in FY24.</w:t>
        <w:br/>
        <w:t>Program-for-Results (PforR)</w:t>
        <w:br/>
        <w:t>PforR helps countries improve the design and implementation of their development programs and achieve</w:t>
        <w:br/>
        <w:t>specific results by strengthening institutions and building capacity. PforR disburses when agreed results</w:t>
        <w:br/>
        <w:t>are achieved and verified. Results are identified and agreed upon during the loan preparation stage. FY25</w:t>
        <w:br/>
        <w:t>net PforR commitments were $6.8 billion, compared with $7.1 billion in FY24.</w:t>
        <w:br/>
        <w:t>Figure 10: Percentage Share of Lending Categories for Annual Net Commitments</w:t>
        <w:br/>
        <w:t>In billions of U.S. dollars, except rates in percentages</w:t>
        <w:br/>
        <w:t xml:space="preserve">                                            $30.5      $33.1        $38.6         $37.6           $40.9</w:t>
        <w:br/>
        <w:t xml:space="preserve">                                100%</w:t>
        <w:br/>
        <w:t xml:space="preserve">                                                                                                   16%</w:t>
        <w:br/>
        <w:t xml:space="preserve">   % of total net commitments</w:t>
        <w:br/>
        <w:br/>
        <w:br/>
        <w:t xml:space="preserve">                                            17%        18%             19%         19%</w:t>
        <w:br/>
        <w:t xml:space="preserve">                                80%</w:t>
        <w:br/>
        <w:br/>
        <w:t xml:space="preserve">                                            35%                        36%                         41%</w:t>
        <w:br/>
        <w:t xml:space="preserve">                                60%                    40%                         42%</w:t>
        <w:br/>
        <w:br/>
        <w:t xml:space="preserve">                                40%</w:t>
        <w:br/>
        <w:br/>
        <w:t xml:space="preserve">                                20%         48%        42%             45%                         43%</w:t>
        <w:br/>
        <w:t xml:space="preserve">                                                                                   39%</w:t>
        <w:br/>
        <w:br/>
        <w:t xml:space="preserve">                                 0%</w:t>
        <w:br/>
        <w:t xml:space="preserve">                                            FY21       FY22         FY23           FY24            FY25</w:t>
        <w:br/>
        <w:br/>
        <w:t xml:space="preserve">                                  Investment Project     Development Policy            Program-for-Results</w:t>
        <w:br/>
        <w:br/>
        <w:br/>
        <w:t xml:space="preserve">                                                                       IBRD Management's Discussion and Analysis: June 30, 2025         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IV: Lending Activities</w:t>
        <w:br/>
        <w:br/>
        <w:br/>
        <w:t>Currently Available Lending Products</w:t>
        <w:br/>
        <w:t>As of June 30, 2025, 86 member countries were eligible to borrow from IBRD. See Appendix for a list of</w:t>
        <w:br/>
        <w:t>eligible countries.</w:t>
        <w:br/>
        <w:t>IBRD Flexible Loans (IFLs)</w:t>
        <w:br/>
        <w:t>IFLs allow borrowers to customize their repayment terms (i.e., grace period, repayment period, and</w:t>
        <w:br/>
        <w:t>amortization profile) to meet their debt management or project needs. The IFL previously offered two</w:t>
        <w:br/>
        <w:t>types of loan terms: variable-spread terms and fixed-spread terms. Effective April 1, 2021, IBRD’s offering</w:t>
        <w:br/>
        <w:t>of loans on fixed spread terms as well as a related conversion feature from the variable spread terms to</w:t>
        <w:br/>
        <w:t>fixed spread terms was suspended (see Section IX: Risk Management). As of June 30, 2025, 78% of</w:t>
        <w:br/>
        <w:t>IBRD’s loans outstanding carried variable-spread terms and 22% had fixed-spread terms. See Table 16</w:t>
        <w:br/>
        <w:t>for details of loan terms for IFL loans.</w:t>
        <w:br/>
        <w:t>IFLs include options to manage the currency and/or interest rate risk over the life of the loan. The</w:t>
        <w:br/>
        <w:t>outstanding balance of loans for which currency or interest rate conversions have been exercised was</w:t>
        <w:br/>
        <w:t>$58.2 billion as of June 30, 2025 and $52.7 billion as of June 30, 2024. IFLs may be denominated in the</w:t>
        <w:br/>
        <w:t>currency or currencies chosen by the borrower if IBRD can efficiently intermediate in that currency or</w:t>
        <w:br/>
        <w:t>currencies. Using currency conversions, some borrowing member countries have converted their IBRD</w:t>
        <w:br/>
        <w:t>loans into domestic currencies to reduce their foreign currency exposure for projects or programs that do</w:t>
        <w:br/>
        <w:t>not generate foreign currency revenue. These local currency loans may carry fixed or variable-spread</w:t>
        <w:br/>
        <w:t>terms. The balance of local currency loans outstanding was $2.9 billion as of June 30, 2025 and $3.2</w:t>
        <w:br/>
        <w:t>billion as of June 30, 2024, respectively. Box 1 below shows the components of the spread on IBRD’s</w:t>
        <w:br/>
        <w:t>IFLs and how these are determined.</w:t>
        <w:br/>
        <w:t>Box 1: Components of Loan spread</w:t>
        <w:br/>
        <w:br/>
        <w:br/>
        <w:t xml:space="preserve">                   Contractual lending spread</w:t>
        <w:br/>
        <w:t xml:space="preserve">                                                                                  Subject</w:t>
        <w:br/>
        <w:t xml:space="preserve">                                                                                  Subject to</w:t>
        <w:br/>
        <w:t xml:space="preserve">                                                                                          to the</w:t>
        <w:br/>
        <w:t xml:space="preserve">                                                                                             the Board's</w:t>
        <w:br/>
        <w:t xml:space="preserve">                                                                                                 Board's periodic</w:t>
        <w:br/>
        <w:t xml:space="preserve">                                                                                                         periodic review</w:t>
        <w:br/>
        <w:t xml:space="preserve">                                                                                                                  review</w:t>
        <w:br/>
        <w:t xml:space="preserve">                         Maturity Premium</w:t>
        <w:br/>
        <w:br/>
        <w:br/>
        <w:t xml:space="preserve">                  FSL Market Risk Premium *</w:t>
        <w:br/>
        <w:t xml:space="preserve">                                                                                   Set by Management based on the</w:t>
        <w:br/>
        <w:t xml:space="preserve">                                                                                               market</w:t>
        <w:br/>
        <w:t xml:space="preserve">                       Funding Cost Margin</w:t>
        <w:br/>
        <w:br/>
        <w:br/>
        <w:t>*This is only applicable to fixed spread loans which are not currently offered.</w:t>
        <w:br/>
        <w:br/>
        <w:t>IBRD offers long-term financing for member countries. Since IBRD introduced maturity-based pricing in</w:t>
        <w:br/>
        <w:t>2010, most countries continue to choose loans with the longer maturities with a higher maturity premium,</w:t>
        <w:br/>
        <w:t>highlighting the value of longer maturities to member countries.</w:t>
        <w:br/>
        <w:br/>
        <w:br/>
        <w:t>24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IV: Lending Activities</w:t>
        <w:br/>
        <w:br/>
        <w:br/>
        <w:t>Table 14: Net Commitments by Maturity</w:t>
        <w:br/>
        <w:t>In millions of U.S. dollars</w:t>
        <w:br/>
        <w:t xml:space="preserve">                                                                                                        For the fiscal year ended</w:t>
        <w:br/>
        <w:t>Maturity                                                                                             June 30, 2025      June 30, 2024</w:t>
        <w:br/>
        <w:t>&lt; 8 years                                                                                            $          826 $           1,477</w:t>
        <w:br/>
        <w:t>8-10 years                                                                                                    7,929             7,498</w:t>
        <w:br/>
        <w:t>10-12 years                                                                                                   5,250             7,020</w:t>
        <w:br/>
        <w:t>12-15 years                                                                                                   7,901             4,425</w:t>
        <w:br/>
        <w:t>15-18 years                                                                                                   3,269             4,086</w:t>
        <w:br/>
        <w:t>&gt;18 years                                                                                                   14,754             12,395</w:t>
        <w:br/>
        <w:t>Guarantee Commitments                                                                                           956               667</w:t>
        <w:br/>
        <w:t>Total Net Commitments                                                                                $      40,885 $           37,568</w:t>
        <w:br/>
        <w:br/>
        <w:br/>
        <w:t>Loans with Other Financial Terms Currently Available</w:t>
        <w:br/>
        <w:t>In addition to IFLs with standard terms, IBRD offers loans with a deferred drawdown option, Special</w:t>
        <w:br/>
        <w:t>Development Policy Loans (SDPLs), loan-related derivatives, and loans to IFC (Box 2).</w:t>
        <w:br/>
        <w:t>Box 2: Loans with Other Financial Terms as of June 30, 2025</w:t>
        <w:br/>
        <w:br/>
        <w:t>Loans with Other</w:t>
        <w:br/>
        <w:t>Financial Terms       Description</w:t>
        <w:br/>
        <w:t xml:space="preserve">                      The DPF with a Deferred Drawdown Option (DPF DDO) gives borrowers the flexibility to rapidly obtain</w:t>
        <w:br/>
        <w:t xml:space="preserve">                      the financing they require. For example, such funds could be needed owing to a shortfall in resources</w:t>
        <w:br/>
        <w:t xml:space="preserve">                      caused by unfavorable economic events, such as declines in growth or unfavorable shifts in commodity</w:t>
        <w:br/>
        <w:t xml:space="preserve">                      prices or terms of trade. The Catastrophe Risk DDO (CAT DDO) enables borrowers to access</w:t>
        <w:br/>
        <w:t xml:space="preserve">                      immediate funding to respond rapidly in the wake of a natural disaster and/or public health emergency</w:t>
        <w:br/>
        <w:t xml:space="preserve">                      caused by a biological event. The Investment Project Financing DDO (IPF DDO) provides clients with</w:t>
        <w:br/>
        <w:t>Loans with a Deferred contingent financing for specific investment project expenditures to increase financial preparedness for</w:t>
        <w:br/>
        <w:t>Drawdown Option       certain crisis response needs. Under the DPF DDO, borrowers may defer disbursement for up to three</w:t>
        <w:br/>
        <w:t xml:space="preserve">                      years, renewable for an additional three years. Under the IPF DDO, borrowers may defer disbursement</w:t>
        <w:br/>
        <w:t xml:space="preserve">                      for up to five years, renewable for an additional three years. The CAT DDO has a revolving feature and</w:t>
        <w:br/>
        <w:t xml:space="preserve">                      the three-year drawdown period may be renewed up to four times, for a total maximum drawdown</w:t>
        <w:br/>
        <w:t xml:space="preserve">                      period of 15 years (Table 16). As of June 30, 2025, the amount of DDOs disbursed and outstanding was</w:t>
        <w:br/>
        <w:t xml:space="preserve">                      $9.5 billion (compared to $9.5 billion as of June 30, 2024). The undisbursed amount of effective DDOs</w:t>
        <w:br/>
        <w:t xml:space="preserve">                      was $1.1 billion (compared to $0.5 billion a year earlier), and the undisbursed amount of disbursing</w:t>
        <w:br/>
        <w:t xml:space="preserve">                      DDOs was $1.0 billion (compared to $0.7 billion as of June 30, 2024).</w:t>
        <w:br/>
        <w:br/>
        <w:t>Special Development           SDPLs support structural and social reforms by creditworthy borrowers that face a possible financial</w:t>
        <w:br/>
        <w:t>Policy Loans (SDPLs)          crisis or are already in a crisis and have extraordinary and urgent external financing needs. There were</w:t>
        <w:br/>
        <w:t xml:space="preserve">                              no amounts outstanding as of June 30, 2025 and June 30, 2024. IBRD made no new SDPL</w:t>
        <w:br/>
        <w:t xml:space="preserve">                              commitments in either FY25 or FY24.</w:t>
        <w:br/>
        <w:br/>
        <w:t xml:space="preserve">                              IBRD assists its borrowers with access to risk management tools by offering derivative instruments,</w:t>
        <w:br/>
        <w:t xml:space="preserve">                              including currency and interest rate swaps and interest rate caps and collars, associated with their</w:t>
        <w:br/>
        <w:t xml:space="preserve">                              loans. These instruments may be executed either under a master derivatives agreement, which</w:t>
        <w:br/>
        <w:t>Loan-Related</w:t>
        <w:br/>
        <w:t xml:space="preserve">                              substantially conforms to industry standards, or under individually negotiated agreements. Under these</w:t>
        <w:br/>
        <w:t>Derivatives</w:t>
        <w:br/>
        <w:t xml:space="preserve">                              arrangements, IBRD passes through the market cost of these instruments to its borrowers. The balance</w:t>
        <w:br/>
        <w:t xml:space="preserve">                              of loans outstanding for which borrowers had entered into currency or interest rate derivative</w:t>
        <w:br/>
        <w:t xml:space="preserve">                              transactions under a master derivatives agreement with IBRD was $7.0 billion as of June 30, 2025 and</w:t>
        <w:br/>
        <w:t xml:space="preserve">                              $8.9 billion as of June 30, 2024.</w:t>
        <w:br/>
        <w:br/>
        <w:t xml:space="preserve">                              IBRD provides loans to IFC in connection with the release of a member's National Currency Paid-In</w:t>
        <w:br/>
        <w:t>Loans with IFC</w:t>
        <w:br/>
        <w:t xml:space="preserve">                              Capital (NCPIC) to IBRD (See Section VIII: Capital Activities for explanation of NCPIC). There were no</w:t>
        <w:br/>
        <w:t xml:space="preserve">                              loans outstanding as of June 30, 2025 and June 30, 2024.</w:t>
        <w:br/>
        <w:br/>
        <w:br/>
        <w:t>Lending Terms Applicable to IBRD Products</w:t>
        <w:br/>
        <w:t>The current pricing structure classifies member countries into four pricing groups, based on income and</w:t>
        <w:br/>
        <w:t>other factors, and relates the maturity premium to the exemptions, discounts or surcharges applicable to</w:t>
        <w:br/>
        <w:t>each pricing group (Table 15).</w:t>
        <w:br/>
        <w:br/>
        <w:br/>
        <w:t xml:space="preserve">                                                 IBRD Management's Discussion and Analysis: June 30, 2025                          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 Section IV: Lending Activities</w:t>
        <w:br/>
        <w:br/>
        <w:br/>
        <w:t>Table 15: Country Pricing Group and Maturity Premium (in Basis Points)</w:t>
        <w:br/>
        <w:t xml:space="preserve">                                                                                                                                  Maturity</w:t>
        <w:br/>
        <w:t>Country pricing group                                                   Description                                              Premium a d</w:t>
        <w:br/>
        <w:br/>
        <w:t xml:space="preserve">              A                Blends b, small states, countries in fragile and conflict-affected situations (FCS), recent</w:t>
        <w:br/>
        <w:t xml:space="preserve">                               IDA graduates, and CRDC-eligible countries. These countries are exempt from the                     0-50 c</w:t>
        <w:br/>
        <w:t xml:space="preserve">                               maturity premium increase regardless of their income levels.</w:t>
        <w:br/>
        <w:t xml:space="preserve">                               Countries below or equal to GDI (Graduation Discussion Income) which do not qualify for</w:t>
        <w:br/>
        <w:t xml:space="preserve">                                                                                                                                    0-70</w:t>
        <w:br/>
        <w:t xml:space="preserve">              B                an exemption listed in Group A.</w:t>
        <w:br/>
        <w:t xml:space="preserve">                               Countries above-GDI, but below high-income status and which do not qualify for an</w:t>
        <w:br/>
        <w:t xml:space="preserve">                                                                                                                                    0-90</w:t>
        <w:br/>
        <w:t xml:space="preserve">              C                exemption listed in Group A.</w:t>
        <w:br/>
        <w:t xml:space="preserve">                               Countries with high income status and which do not qualify for an exemption listed in</w:t>
        <w:br/>
        <w:t xml:space="preserve">              D                                                                                                                     5-115</w:t>
        <w:br/>
        <w:t xml:space="preserve">                               Group A.</w:t>
        <w:br/>
        <w:br/>
        <w:t>a. Based on the weighted average maturity of the loan, borrower’s income, and other factors, approved by the Board and reviewed</w:t>
        <w:br/>
        <w:t xml:space="preserve">   annually.</w:t>
        <w:br/>
        <w:t>b. Countries eligible for IDA and IBRD loans.</w:t>
        <w:br/>
        <w:t>c. Member countries in group A are exempt from the maturity premium increase applicable from July 1, 2018.</w:t>
        <w:br/>
        <w:t>d. For IBRD loans with a final maturity of up to 7 years, there is a maturity premium discount of 20bps. This discount is applied to</w:t>
        <w:br/>
        <w:t xml:space="preserve">   the overall lending spread.</w:t>
        <w:br/>
        <w:br/>
        <w:br/>
        <w:t>Table 16: Loan Terms Available During Financial Year Ended June 30, 2025</w:t>
        <w:br/>
        <w:t>Basis points, unless otherwise noted</w:t>
        <w:br/>
        <w:t xml:space="preserve">                                                                   IBRD Flexible Loan (IFL) a b         Special Development Policy Loans</w:t>
        <w:br/>
        <w:t xml:space="preserve">                                                                     Variable-spread Terms                           (SDPL)</w:t>
        <w:br/>
        <w:t>Final maturity f                                                           35 years c                               10 years</w:t>
        <w:br/>
        <w:t>Maximum weighted average maturity                                          20 years c                              7.5 years</w:t>
        <w:br/>
        <w:t>Reference market rate                                            Market-based variable rate index        Market-based variable rate index</w:t>
        <w:br/>
        <w:t>Spread</w:t>
        <w:br/>
        <w:t xml:space="preserve">   Contractual lending spread f                                                  50                                   min. 200</w:t>
        <w:br/>
        <w:t xml:space="preserve">   Maturity premium f                                                          0-115 d                                   —</w:t>
        <w:br/>
        <w:t xml:space="preserve">                                                                    Actual average funding cost</w:t>
        <w:br/>
        <w:t xml:space="preserve">       Funding cost margin                                       incurred during the preceding six-</w:t>
        <w:br/>
        <w:t xml:space="preserve">                                                                           month period                                  —</w:t>
        <w:br/>
        <w:t>Charges</w:t>
        <w:br/>
        <w:t xml:space="preserve">   Front-end fee                                                                 25                                     100</w:t>
        <w:br/>
        <w:t xml:space="preserve">       Late service charge on principal payments received</w:t>
        <w:br/>
        <w:t xml:space="preserve">       after 30 days of due date e                                               50                                      —</w:t>
        <w:br/>
        <w:t xml:space="preserve">       Commitment fee g                                                          25                                      25</w:t>
        <w:br/>
        <w:br/>
        <w:t>Other financial terms for DDOs h</w:t>
        <w:br/>
        <w:t xml:space="preserve">                                                                  DPF DDO and IPF DDO                                CAT DDO</w:t>
        <w:br/>
        <w:t>Front-end fee                                                             25                                           50</w:t>
        <w:br/>
        <w:t>Renewal fee                                                               —                                            25</w:t>
        <w:br/>
        <w:t>Stand-by fee                                                              50                                            —</w:t>
        <w:br/>
        <w:t>Commitment fee                                                            —                                             —</w:t>
        <w:br/>
        <w:t>a. There is an implicit floor of zero on the overall interest rate in IBRD’s loans.</w:t>
        <w:br/>
        <w:t>b. Effective April 1, 2021, IBRD suspended offering loans with fixed spread terms.</w:t>
        <w:br/>
        <w:t>c. For some projects addressing global challenges with cross border externalities, the maximum loan maturity is extended to up to</w:t>
        <w:br/>
        <w:t xml:space="preserve">    50 years and the maximum weighted average maturity is extended to up to 25 years.</w:t>
        <w:br/>
        <w:t>d. Based on the weighted average maturity of the loan and on country pricing group.</w:t>
        <w:br/>
        <w:t>e. See Box 6 in Section IX: Risk Management for a discussion of overdue payments.</w:t>
        <w:br/>
        <w:t>f. IBRD offers a 7-year final maturity loan with a 20bps maturity discount.</w:t>
        <w:br/>
        <w:t>g. Effective October 15, 2024, the Board approved a grace period of 4 years for IPF and PforR commitment fees.</w:t>
        <w:br/>
        <w:t>h. The financial terms not listed separately for DDOs are the same as those presented above for IFLs.</w:t>
        <w:br/>
        <w:br/>
        <w:t>Climate Resilient Debt Clause (CRDC)</w:t>
        <w:br/>
        <w:t>IBRD offers CRDCs for eligible new and existing loans (with minimum remaining maturity of five years),</w:t>
        <w:br/>
        <w:t>for certain borrowers3. CRDCs allow eligible borrowing countries to defer payments of principal and/or</w:t>
        <w:br/>
        <w:br/>
        <w:t>3</w:t>
        <w:br/>
        <w:t xml:space="preserve">    Eligible borrowers are IBRD Small State Economies, members of the Small States Forum, and Small Island Developing States as defined by the</w:t>
        <w:br/>
        <w:t xml:space="preserve">    United Nations.</w:t>
        <w:br/>
        <w:br/>
        <w:br/>
        <w:t>26  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 Section IV: Lending Activities</w:t>
        <w:br/>
        <w:br/>
        <w:br/>
        <w:t>interest (and other loan charges) for up to two years after an eligible event. After the deferral period, the</w:t>
        <w:br/>
        <w:t>borrower will restart payments of the deferred amounts according to a modified amortization schedule that</w:t>
        <w:br/>
        <w:t>maintains the original weighted average maturity of the loan and does not extend the final maturity date.</w:t>
        <w:br/>
        <w:t>The eligible events when the clause was first offered were tropical cyclones and earthquakes. In October</w:t>
        <w:br/>
        <w:t>2024, the Board approved an extension of the covered events to include all natural catastrophes,</w:t>
        <w:br/>
        <w:t>including droughts, floods, and public health emergencies caused by a biological event. Total IBRD loans</w:t>
        <w:br/>
        <w:t>outstanding as of June 30, 2025, for the 24 countries (including Blend countries) that are eligible to adopt</w:t>
        <w:br/>
        <w:t>the clause for CRDCs was $6.0 billion.</w:t>
        <w:br/>
        <w:br/>
        <w:t>Loans Outstanding</w:t>
        <w:br/>
        <w:t>As of June 30, 2025, 78% of loans outstanding were denominated in U.S. dollars, 20% were denominated</w:t>
        <w:br/>
        <w:t>in euros and 2% were denominated in other currencies, before the use of derivatives. The interest and</w:t>
        <w:br/>
        <w:t>currency profile of loans outstanding after the use of derivatives for risk management purposes is</w:t>
        <w:br/>
        <w:t>discussed under Market Risk in Section IX: Risk Management.</w:t>
        <w:br/>
        <w:t>Table 17 illustrates a breakdown of IBRD's loans outstanding by interest rate structure.</w:t>
        <w:br/>
        <w:br/>
        <w:t>Table 17: Loans Outstanding by Interest Rate Structure, Excluding Derivatives</w:t>
        <w:br/>
        <w:t>In millions of U.S. dollars, except for ratios</w:t>
        <w:br/>
        <w:t xml:space="preserve">                          June 30, 2025                                                       June 30, 2024</w:t>
        <w:br/>
        <w:t xml:space="preserve">                                   Of which                                                           Of which</w:t>
        <w:br/>
        <w:t xml:space="preserve"> Product                   % of                               % of    Product                 % of                             % of</w:t>
        <w:br/>
        <w:t xml:space="preserve">                Total              reference       Total                            Total            reference       Total</w:t>
        <w:br/>
        <w:t xml:space="preserve">   terms                   Total                              Total    terms                  Total                            Total</w:t>
        <w:br/>
        <w:t xml:space="preserve">                                     rate is                                                           rate is</w:t>
        <w:br/>
        <w:t>Fixed                                                               Fixed</w:t>
        <w:br/>
        <w:t>Spread       $ 63,118       22 % Fixed           $ 30,799      11 % Spread        $ 63,170     24 % Fixed          $ 31,110     12 %</w:t>
        <w:br/>
        <w:t>Loans                                                               Loans</w:t>
        <w:br/>
        <w:t xml:space="preserve">                                  Variable         32,319      11                                       Variable     32,060     12</w:t>
        <w:br/>
        <w:t>Variable                                                            Variable</w:t>
        <w:br/>
        <w:t>Spread         219,972      78    Fixed            26,078       9   Spread         200,020     76       Fixed        20,362      8</w:t>
        <w:br/>
        <w:t>Loans                                                               Loans</w:t>
        <w:br/>
        <w:t xml:space="preserve">                                  Variable         193,894     69                                       Variable     179,658    68</w:t>
        <w:br/>
        <w:t>Total        $ 283,090 100 %                     $ 283,090    100 %               $ 263,190   100 %                $ 263,190   100 %</w:t>
        <w:br/>
        <w:br/>
        <w:br/>
        <w:t>Table 18 below illustrates a breakdown of IBRD’s undisbursed balances by financial loan terms.</w:t>
        <w:br/>
        <w:t>Table 18: Undisbursed Balances by Loan Terms</w:t>
        <w:br/>
        <w:t>In millions of U.S. dollars, except ratios which are in percentages</w:t>
        <w:br/>
        <w:t>As of June 30,                                                                    2025          %                     2024          %</w:t>
        <w:br/>
        <w:t>Variable Spread terms                                          $                86,643       94 %   $               77,294       91 %</w:t>
        <w:br/>
        <w:t>Fixed Spread terms                                                               5,702        6                      7,764        9</w:t>
        <w:br/>
        <w:t>Total                                                          $                92,345      100 %   $               85,058      100 %</w:t>
        <w:br/>
        <w:br/>
        <w:br/>
        <w:t xml:space="preserve">                                                  IBRD Management's Discussion and Analysis: June 30, 2025                           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V: Other Development Activities</w:t>
        <w:br/>
        <w:br/>
        <w:br/>
        <w:t>Section V: Other Development Activities</w:t>
        <w:br/>
        <w:t>IBRD continues to deliver value to its client countries through its knowledge services, convening power,</w:t>
        <w:br/>
        <w:t>and capacity to implement solutions that address global issues where coordinated action is critical.</w:t>
        <w:br/>
        <w:t>IBRD also assists clients with designing financial products and structuring transactions to help mobilize</w:t>
        <w:br/>
        <w:t>resources for development projects and mitigate the financial effects of market volatility and disasters.</w:t>
        <w:br/>
        <w:t>Other financial products and services provided to borrowing member countries, and to affiliated and non-</w:t>
        <w:br/>
        <w:t>affiliated organizations, include financial guarantees, grants, externally-funded activities, and advisory</w:t>
        <w:br/>
        <w:t>services and analytics.</w:t>
        <w:br/>
        <w:br/>
        <w:t>Guarantees</w:t>
        <w:br/>
        <w:t>Guarantees provided</w:t>
        <w:br/>
        <w:t>IBRD offers project-based and policy-based guarantees for priority projects and programs in member</w:t>
        <w:br/>
        <w:t>countries. IBRD also offers guarantees for enclave operations. Project-based guarantees are provided to</w:t>
        <w:br/>
        <w:t>mobilize private financing for projects; they are also used to mitigate projects’ payment- and performance-</w:t>
        <w:br/>
        <w:t>related risks. Policy-based guarantees are provided to mobilize private financing for sovereigns or sub-</w:t>
        <w:br/>
        <w:t>sovereigns. IBRD’s guarantees are partial and are intended to provide only the coverage necessary to</w:t>
        <w:br/>
        <w:t>obtain the required private financing, considering country, market and, if appropriate, project</w:t>
        <w:br/>
        <w:t>circumstances. All guarantees require a sovereign counter-guarantee and indemnity, comparable to the</w:t>
        <w:br/>
        <w:t>requirement of a sovereign guarantee for IBRD lending to sub-sovereign and non-sovereign borrowers</w:t>
        <w:br/>
        <w:t>(Box 3). On July 1, 2024, the WBG Guarantee Platform, maintained by MIGA, was launched to bring</w:t>
        <w:br/>
        <w:t>together products and experts from the World Bank, IFC, and MIGA and aims to boost WBG guarantee</w:t>
        <w:br/>
        <w:t>issuances for all entities.</w:t>
        <w:br/>
        <w:t>Box 3: Types of Guarantees Provided by IBRD</w:t>
        <w:br/>
        <w:t>Guarantee              Description</w:t>
        <w:br/>
        <w:br/>
        <w:t xml:space="preserve">                       Two types of project-based guarantees are offered:</w:t>
        <w:br/>
        <w:t xml:space="preserve">                          1. Loan guarantees: these cover loan-related debt service defaults caused by the government’s</w:t>
        <w:br/>
        <w:t xml:space="preserve">                               failure to meet specific payment and/or performance obligations arising from contract, law or</w:t>
        <w:br/>
        <w:t xml:space="preserve">                               regulation, in relation to a project. Loan guarantees include coverage for debt service defaults</w:t>
        <w:br/>
        <w:t xml:space="preserve">  Project-based</w:t>
        <w:br/>
        <w:t xml:space="preserve">  guarantees                   on: (i) commercial debt, normally for a private sector project where the cause of debt service</w:t>
        <w:br/>
        <w:t xml:space="preserve">                               default is specifically covered by IBRD’s guarantee; and, (ii) a specific portion of commercial</w:t>
        <w:br/>
        <w:t xml:space="preserve">                               debt irrespective of the cause of such default, normally for a public-sector project.</w:t>
        <w:br/>
        <w:t xml:space="preserve">                          2. Payment guarantees: These cover payment default on non-loan related government payment</w:t>
        <w:br/>
        <w:t xml:space="preserve">                               obligations to private entities and foreign public entities arising from contract, law or regulation.</w:t>
        <w:br/>
        <w:br/>
        <w:t xml:space="preserve">                       These cover debt service default, irrespective of the cause of such default, on a specific portion of</w:t>
        <w:br/>
        <w:t xml:space="preserve">  Policy-based         commercial debt owed by national or sub national government and associated with the supported</w:t>
        <w:br/>
        <w:t xml:space="preserve">  guarantees</w:t>
        <w:br/>
        <w:t xml:space="preserve">                       government’s program of policy and institutional actions.</w:t>
        <w:br/>
        <w:br/>
        <w:t xml:space="preserve">                       IBRD extends guarantees for projects in IDA-only member countries that (i) are expected to generate</w:t>
        <w:br/>
        <w:t xml:space="preserve">                       large economic benefits with significant developmental impact in the member country; and (ii) cannot be</w:t>
        <w:br/>
        <w:t xml:space="preserve">  Guarantees for</w:t>
        <w:br/>
        <w:t xml:space="preserve">                       fully financed out of the country’s own resources, IDA resources, or other concessional financing. The</w:t>
        <w:br/>
        <w:t xml:space="preserve">  enclave operations</w:t>
        <w:br/>
        <w:t xml:space="preserve">                       provision of IBRD support to enclave operations is subject to credit enhancement features that</w:t>
        <w:br/>
        <w:t xml:space="preserve">                       adequately mitigate IBRD’s credit risk.</w:t>
        <w:br/>
        <w:br/>
        <w:br/>
        <w:t>In addition, IBRD has entered into the following arrangements, which are treated as financial guarantees</w:t>
        <w:br/>
        <w:t>under U.S. GAAP:</w:t>
        <w:br/>
        <w:t>IBRD has a Multilateral Development Bank (MDB) Exposure Exchange Agreement (EEA) with the African</w:t>
        <w:br/>
        <w:t>Development Bank (AfDB) and the Inter-American Development Bank (IADB). Under this EEA, each MDB</w:t>
        <w:br/>
        <w:t>exchanged credit risk exposure of a reference portfolio supported by underlying loans to borrowing</w:t>
        <w:br/>
        <w:t>member countries. For each MDB, EEAs through diversification benefits, help reduce credit risk at the</w:t>
        <w:br/>
        <w:t>portfolio level; improve the risk-weighted capital ratios especially by addressing exposure concentration</w:t>
        <w:br/>
        <w:t>concerns; and create lending headroom for individual borrowing countries where MDBs may be</w:t>
        <w:br/>
        <w:t>constrained. The EEA involved the receipt of a guarantee and the provision of a guarantee against</w:t>
        <w:br/>
        <w:t>nonpayment in the reference portfolio by each MDB to the other. The guarantee received and the</w:t>
        <w:br/>
        <w:br/>
        <w:br/>
        <w:t>28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V: Other Development Activities</w:t>
        <w:br/>
        <w:br/>
        <w:br/>
        <w:t>guarantee provided are two separate transactions: (a) a receipt of an asset for the right to be indemnified</w:t>
        <w:br/>
        <w:t>and receive risk coverage (recoverable asset) and (b) the provision of a financial guarantee, respectively</w:t>
        <w:br/>
        <w:t>(see Notes to the Financial Statements, Note D: Loans and Other Exposures).</w:t>
        <w:br/>
        <w:br/>
        <w:t>Table 19: Exposure Exchange Agreements</w:t>
        <w:br/>
        <w:t>In millions of U.S. dollars</w:t>
        <w:br/>
        <w:t>As of June 30,                                                     2025                                 2024</w:t>
        <w:br/>
        <w:t xml:space="preserve">                                                       Guarantee          Guarantee         Guarantee          Guarantee</w:t>
        <w:br/>
        <w:t xml:space="preserve">                                                       Received           Provided          Received           Provided</w:t>
        <w:br/>
        <w:t>Exposure Exchange Agreement</w:t>
        <w:br/>
        <w:t xml:space="preserve">  IADB                                                       2,021              2,021             2,021              2,021</w:t>
        <w:br/>
        <w:t xml:space="preserve">  AfDB                                                       1,588              1,588             1,588              1,588</w:t>
        <w:br/>
        <w:t xml:space="preserve">  MIGA                                                          —                  —                  2                 —</w:t>
        <w:br/>
        <w:t>Total notional                                     $         3,609   $          3,609   $         3,611   $          3,609</w:t>
        <w:br/>
        <w:br/>
        <w:br/>
        <w:t>IBRD’s exposure on its guarantees was $7.4 billion as of June 30, 2025 compared to $7.1 billion as of</w:t>
        <w:br/>
        <w:t>June 30, 2024 (Table 20). Exposure is measured by discounting each guaranteed amount from its next</w:t>
        <w:br/>
        <w:t>call date.</w:t>
        <w:br/>
        <w:br/>
        <w:t>Table 20: Guarantees Exposure</w:t>
        <w:br/>
        <w:t>In million U.S. dollars</w:t>
        <w:br/>
        <w:t xml:space="preserve"> As of June 30,                                                                                   2025               2024</w:t>
        <w:br/>
        <w:t xml:space="preserve"> Guarantees (project, policy and enclave)                                               $         3,818 $            3,488</w:t>
        <w:br/>
        <w:t xml:space="preserve"> Exposure Exchange Agreements                                                                     3,609              3,609</w:t>
        <w:br/>
        <w:t xml:space="preserve"> Total                                                                                  $         7,427 $$7,427      7,097</w:t>
        <w:br/>
        <w:br/>
        <w:br/>
        <w:t>Guarantees received</w:t>
        <w:br/>
        <w:t>As part of its development activities, IBRD also receives third-party guarantees to enhance the credit</w:t>
        <w:br/>
        <w:t>quality of its loan portfolio and increase its lending capacity.</w:t>
        <w:br/>
        <w:t>Credit enhancement arrangements: As of June 30, 2025, IBRD had $11.3 billion of outstanding loans</w:t>
        <w:br/>
        <w:t>under which bilateral guarantees were received from highly rated member countries or other Multilateral</w:t>
        <w:br/>
        <w:t>Development Banks ($8.9 billion as of June 30, 2024).</w:t>
        <w:br/>
        <w:t>In addition, as of June 30, 2025, IBRD received total notional value of $1.1 billion portfolio guarantees</w:t>
        <w:br/>
        <w:t>from 2 highly rated member countries, under its new Portfolio Guarantee Platform (PGP).</w:t>
        <w:br/>
        <w:t>The bilateral guarantees and guarantees under the PGP serve as credit enhancements and reduce</w:t>
        <w:br/>
        <w:t>IBRD's internal risk capital requirements. Guarantees that are contractually attached to the loan reduce</w:t>
        <w:br/>
        <w:t>the exposure at risk in computing the loan loss provision. Guarantees that are not contractually attached</w:t>
        <w:br/>
        <w:t>to the loan (including the PGP), are recorded as a recoverable asset and included in Other assets on the</w:t>
        <w:br/>
        <w:t>Balance Sheet (see Notes to the Financial Statements, Note D - Loans and Other Exposures).</w:t>
        <w:br/>
        <w:t>IBRD has also received other forms of credit enhancements for loans outstanding totaling $2.5 billion as</w:t>
        <w:br/>
        <w:t>of June 30, 2025 ($2.0 billion as of June 30, 2024), that protect IBRD against the risk of loss on certain</w:t>
        <w:br/>
        <w:t>loans in IBRD's portfolio. These credit enhancements are accounted for as derivatives at fair value and</w:t>
        <w:br/>
        <w:t>are included in Other assets - Miscellaneous on IBRD’s Balance Sheet as they do not meet the</w:t>
        <w:br/>
        <w:t>accounting definition of guarantees.</w:t>
        <w:br/>
        <w:br/>
        <w:br/>
        <w:t xml:space="preserve">                                            IBRD Management's Discussion and Analysis: June 30, 2025                   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V: Other Development Activities</w:t>
        <w:br/>
        <w:br/>
        <w:br/>
        <w:t>Table 21: Credit Enhancements Received</w:t>
        <w:br/>
        <w:t>In millions of U.S. dollars</w:t>
        <w:br/>
        <w:t xml:space="preserve"> As of June 30,                                                                               2025         2024</w:t>
        <w:br/>
        <w:t>Bi-lateral Guarantees Received</w:t>
        <w:br/>
        <w:t>Borrowing Country With Loan Guarantees</w:t>
        <w:br/>
        <w:t>Brazil                                                                                          185          200</w:t>
        <w:br/>
        <w:t>Egypt, Arab Republic of                                                                         138          142</w:t>
        <w:br/>
        <w:t>Indonesia                                                                                       350          350</w:t>
        <w:br/>
        <w:t>Iraq                                                                                            324          359</w:t>
        <w:br/>
        <w:t>Jordan                                                                                          333          367</w:t>
        <w:br/>
        <w:t>Morocco                                                                                         123          155</w:t>
        <w:br/>
        <w:t>Philippines                                                                                     200          220</w:t>
        <w:br/>
        <w:t>Ukraine                                                                                       9,685        7,057</w:t>
        <w:br/>
        <w:t>Total Outstanding                                                                   $        11,338   $    8,850</w:t>
        <w:br/>
        <w:br/>
        <w:br/>
        <w:t>Portfolio Guarantees Received                                                                 1,070           —</w:t>
        <w:br/>
        <w:br/>
        <w:t>Other Credit Enhancements Received</w:t>
        <w:br/>
        <w:t>Borrowing Country With Other Credit Enhancements</w:t>
        <w:br/>
        <w:t>India                                                                                         1,000        1,000</w:t>
        <w:br/>
        <w:t>Ukraine                                                                                       1,500        1,016</w:t>
        <w:br/>
        <w:t>Total Outstanding                                                                   $         2,500   $    2,016</w:t>
        <w:br/>
        <w:br/>
        <w:br/>
        <w:t>Total Guarantees and Credit Enhancements Received                                   $        14,908   $   10,866</w:t>
        <w:br/>
        <w:br/>
        <w:br/>
        <w:t>Grant Making Facilities</w:t>
        <w:br/>
        <w:t>Grant Making Facilities (GMFs) are funded by IBRD's contributions to specific trust funds and are</w:t>
        <w:br/>
        <w:t>complementary to IBRD’s work. IBRD deployed $17 million under this program in FY25 ($17 million in</w:t>
        <w:br/>
        <w:t>FY24). These amounts are reflected in Contributions to Special Programs in IBRD’s Statements of</w:t>
        <w:br/>
        <w:t>Income, after IDA’s share is determined in accordance with the cost sharing ratio.</w:t>
        <w:br/>
        <w:br/>
        <w:t>Externally-Funded Activities</w:t>
        <w:br/>
        <w:t>Mobilization of external funds from third-party partners includes trust funds. Additional external funds</w:t>
        <w:br/>
        <w:t>include reimbursable funds and revenues from fee-based services to member countries, which are related</w:t>
        <w:br/>
        <w:t>to EFOs (Externally Financed Outputs), RAS (Reimbursable Advisory Services), and other financial</w:t>
        <w:br/>
        <w:t>products and services, including RAMP.</w:t>
        <w:br/>
        <w:t>Trust Funds</w:t>
        <w:br/>
        <w:t>Trust Funds receive money from donors that provide development solutions that serve member recipients</w:t>
        <w:br/>
        <w:t>and donors. Trust funded partnerships often serve as a platform for IBRD and the partners to access</w:t>
        <w:br/>
        <w:t>WBG’s diverse technical and financial resources, and achieve development goals whose complexity,</w:t>
        <w:br/>
        <w:t>scale, and scope exceed any individual partner’s capabilities. IBRD’s roles and responsibilities in</w:t>
        <w:br/>
        <w:t>managing trust funds depend on the type of fund, outlined as follows:</w:t>
        <w:br/>
        <w:t xml:space="preserve">  •   Bank-executed activities for trust funds: IBRD, alone or jointly with one or more of its affiliated</w:t>
        <w:br/>
        <w:t xml:space="preserve">      organizations, manages the funds and implements the activities financed. These trust funds support</w:t>
        <w:br/>
        <w:t xml:space="preserve">      IBRD’s work program. IBRD disbursed $604 million in FY25 ($612 million in FY24) of trust fund</w:t>
        <w:br/>
        <w:t xml:space="preserve">      program funds, which was included in Non-interest expenses, Administrative in IBRD's Statements</w:t>
        <w:br/>
        <w:t xml:space="preserve">      of Income with corresponding revenue included in Non-interest revenue, Revenue from externally</w:t>
        <w:br/>
        <w:t xml:space="preserve">      funded activities (Table 6).</w:t>
        <w:br/>
        <w:t xml:space="preserve">  •   Recipient-executed activities for trust funds: Funds are provided to a third party, normally in the</w:t>
        <w:br/>
        <w:t xml:space="preserve">      form of project grant financing, and are supervised by IBRD.</w:t>
        <w:br/>
        <w:br/>
        <w:br/>
        <w:t>30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V: Other Development Activities</w:t>
        <w:br/>
        <w:br/>
        <w:br/>
        <w:t xml:space="preserve">  •   Financial Intermediary Funds (FIFs): IBRD, as trustee, administrator, or treasury manager, offers</w:t>
        <w:br/>
        <w:t xml:space="preserve">      specific administrative or financial services with a limited operational role. Arrangements include the</w:t>
        <w:br/>
        <w:t xml:space="preserve">      administration of debt service trust funds, fiscal agency funds and other more specialized limited</w:t>
        <w:br/>
        <w:t xml:space="preserve">      fund management roles.</w:t>
        <w:br/>
        <w:t>IBRD uses a cost recovery framework for trust funds, to recover the costs of performing agreed roles in</w:t>
        <w:br/>
        <w:t>administering trust funds, and is guided by principles of transparency, fairness, simplification,</w:t>
        <w:br/>
        <w:t>standardization, predictability and consistent treatment across all trust fund donors.</w:t>
        <w:br/>
        <w:t>Management continues to implement measures to improve planning, support sustainability and enhance</w:t>
        <w:br/>
        <w:t>alignment of external funds with mission priorities through greater use of umbrella trust fund programs.</w:t>
        <w:br/>
        <w:t>During FY25, IBRD’s share of fees from trust fund administration was $91 million ($99 million in FY24),</w:t>
        <w:br/>
        <w:t>which is included in Revenue from externally funded activities (Table 3) on the Reported basis. On an</w:t>
        <w:br/>
        <w:t>Allocable income basis, this amount is part of Net non-interest expenses (Table 6). See Notes to Financial</w:t>
        <w:br/>
        <w:t>Statements, Note L: Trust Funds Administration and Other Services. The decrease in fees was mainly</w:t>
        <w:br/>
        <w:t>driven by lower disbursements to the trust funds.</w:t>
        <w:br/>
        <w:t>Reimbursable Advisory Services (RAS)</w:t>
        <w:br/>
        <w:t>While most of IBRD’s advisory and analytical work is financed by its own budget or donor contributions</w:t>
        <w:br/>
        <w:t>(e.g., Trust Funds), clients may also pay for services. IBRD offers technical assistance and other advisory</w:t>
        <w:br/>
        <w:t>services to its member countries, in connection with, and independent of, lending operations. Available</w:t>
        <w:br/>
        <w:t>services include, for example, assigning qualified professionals to survey developmental opportunities in</w:t>
        <w:br/>
        <w:t>member countries; analyzing member countries fiscal, economic, and developmental environments;</w:t>
        <w:br/>
        <w:t>helping members devise coordinated development programs; and improving their asset and liability</w:t>
        <w:br/>
        <w:t>management techniques. In FY25, IBRD earned revenue of $49 million ($47 million in FY24) from RAS,</w:t>
        <w:br/>
        <w:t>which is included in Revenue from externally funded activities (Table 3) on the Reported basis. On an</w:t>
        <w:br/>
        <w:t>Allocable income basis, this amount is part of Net non-interest expenses (Table 6).</w:t>
        <w:br/>
        <w:t>Externally Financed Outputs (EFOs)</w:t>
        <w:br/>
        <w:t>IBRD offers donors the ability to contribute to specific projects and programs. EFO contributions are</w:t>
        <w:br/>
        <w:t>recorded as restricted revenue when received because they are grants for contractually specified</w:t>
        <w:br/>
        <w:t>purposes. In FY25, IBRD had $5 million of restricted revenue, compared with $8 million in FY24, which</w:t>
        <w:br/>
        <w:t>are included in Net non-interest expenses – reported basis in Table 6.</w:t>
        <w:br/>
        <w:t>Restrictions are released once the funds are used for the purposes specified by donors. In FY25, there</w:t>
        <w:br/>
        <w:t>was a release of $8 million ($8 million in FY24).</w:t>
        <w:br/>
        <w:t>Other Financial Products and Services</w:t>
        <w:br/>
        <w:t>Managing Financial Risks for Clients</w:t>
        <w:br/>
        <w:t>IBRD helps member countries build resilience by facilitating access to risk management solutions to</w:t>
        <w:br/>
        <w:t>mitigate the financial effects of currency, interest rate, and commodity price volatility, disasters, and</w:t>
        <w:br/>
        <w:t>extreme weather events.</w:t>
        <w:br/>
        <w:br/>
        <w:br/>
        <w:t xml:space="preserve">                                      IBRD Management's Discussion and Analysis: June 30, 2025           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V: Other Development Activities</w:t>
        <w:br/>
        <w:br/>
        <w:br/>
        <w:t>Box 4 below lists some financial solutions and disaster risk financing instruments IBRD offers:</w:t>
        <w:br/>
        <w:t>Box 4: Financing Instruments</w:t>
        <w:br/>
        <w:br/>
        <w:t xml:space="preserve">                  Hedging Transactions                                 Disaster Risk Financing</w:t>
        <w:br/>
        <w:br/>
        <w:br/>
        <w:t xml:space="preserve">                          Interest Rate                               Catastrophe Derivatives and Bonds</w:t>
        <w:br/>
        <w:br/>
        <w:br/>
        <w:t xml:space="preserve">                              Currency                                   Insurance and Reinsurance</w:t>
        <w:br/>
        <w:br/>
        <w:br/>
        <w:t xml:space="preserve">                        Commodity Price                                   Regional Pooling Facilities</w:t>
        <w:br/>
        <w:br/>
        <w:br/>
        <w:t>IBRD also intermediates the following risk management transactions for clients:</w:t>
        <w:br/>
        <w:t xml:space="preserve">  •    Affiliated Organization: To assist IDA with its asset/liability management IBRD executed currency</w:t>
        <w:br/>
        <w:t xml:space="preserve">       forward contracts on its behalf. There were no open trades as of June 30, 2025.</w:t>
        <w:br/>
        <w:t xml:space="preserve">  •    Unaffiliated Organization: To assist the International Finance Facility for Immunization (IFFIm) with</w:t>
        <w:br/>
        <w:t xml:space="preserve">       its asset/liability management strategy, IBRD executes currency and interest rate swaps on its</w:t>
        <w:br/>
        <w:t xml:space="preserve">       behalf. In addition, IBRD, as Treasury Manager, is a counterparty to IFFIm and enters into offsetting</w:t>
        <w:br/>
        <w:t xml:space="preserve">       swaps with market counterparties. During FY25, IBRD did not execute any swaps under this</w:t>
        <w:br/>
        <w:t xml:space="preserve">       agreement.</w:t>
        <w:br/>
        <w:t>(See Section IX: Risk Management, for a detailed discussion of IBRD’s risk mitigation of these derivative</w:t>
        <w:br/>
        <w:t>transactions).</w:t>
        <w:br/>
        <w:t>Asset Management</w:t>
        <w:br/>
        <w:t>The Reserves Advisory and Management Partnership (RAMP) provides services that build clients’</w:t>
        <w:br/>
        <w:t>capacity to support the sound management of their official sector assets. Clients include central banks,</w:t>
        <w:br/>
        <w:t>sovereign wealth funds, national pension funds, and supranational organizations. RAMP helps clients</w:t>
        <w:br/>
        <w:t>upgrade their asset management capabilities, including portfolio and risk management, operational</w:t>
        <w:br/>
        <w:t>infrastructure, and human resources capacity. Under most of these arrangements, IBRD is responsible for</w:t>
        <w:br/>
        <w:t>managing a portion of the institution’s assets and, in return, receives a fee based on the average value of</w:t>
        <w:br/>
        <w:t>the portfolio managed (Table 22). The fees earned are used to provide training and capacity-building</w:t>
        <w:br/>
        <w:t>services. In addition to RAMP, IBRD invests and manages investments on behalf of IDA, MIGA, and trust</w:t>
        <w:br/>
        <w:t>funds; those investments are not included in IBRD’s assets.</w:t>
        <w:br/>
        <w:br/>
        <w:t>Table 22: RAMP - Assets and Revenues</w:t>
        <w:br/>
        <w:t>In millions of U.S. dollars</w:t>
        <w:br/>
        <w:t>As of June 30,                                                                                  2025         2024</w:t>
        <w:br/>
        <w:t>Assets managed under RAMP                                                               $     27,772    $   24,851</w:t>
        <w:br/>
        <w:t>Revenue from RAMP                                                                       $         15    $      14</w:t>
        <w:br/>
        <w:br/>
        <w:br/>
        <w:t>As noted in the discussion of Trust Fund Activities above, IBRD, alone or jointly with one or more of its</w:t>
        <w:br/>
        <w:t>affiliated organizations, administers funds restricted for specific uses on the donors’ behalf. This</w:t>
        <w:br/>
        <w:t>administration is governed by agreements with donors, who include members, their agencies and other</w:t>
        <w:br/>
        <w:t>entities. These funds are held in trust and are not included on IBRD’s Balance Sheets, except for $575</w:t>
        <w:br/>
        <w:t>million of undisbursed third-party contributions made to trust funds executed by IBRD, individually or with</w:t>
        <w:br/>
        <w:t>other affiliated organizations, which are recognized on the Balance Sheets. The funds held in trust by</w:t>
        <w:br/>
        <w:t>IBRD as administrator and trustee totaled $64.3 billion in FY25, of which $0.5 billion ($0.1 billion in FY24)</w:t>
        <w:br/>
        <w:t>relates to IBRD’s own contributions to these trust funds (Table 23).</w:t>
        <w:br/>
        <w:br/>
        <w:br/>
        <w:t>32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V: Other Development Activities</w:t>
        <w:br/>
        <w:br/>
        <w:br/>
        <w:t>Table 23: Funds Held in Trust by IBRD</w:t>
        <w:br/>
        <w:t>In millions of U.S dollars</w:t>
        <w:br/>
        <w:t>As of June 30,                                                                                                    2025         2024</w:t>
        <w:br/>
        <w:t>Bank-executed activities                                                                                  $        243   $      258</w:t>
        <w:br/>
        <w:t>Jointly executed with affiliated organizations                                                                   1,059        1,085</w:t>
        <w:br/>
        <w:t>Recipient-executed activities                                                                                    6,035        3,330</w:t>
        <w:br/>
        <w:t>Financial intermediary funds                                                                                    48,478       29,826</w:t>
        <w:br/>
        <w:t>Execution not yet assigned a                                                                                     8,468        7,807</w:t>
        <w:br/>
        <w:t>Total fiduciary assets                                                                                    $     64,283   $   42,306</w:t>
        <w:br/>
        <w:br/>
        <w:t>a.These represent assets held in trust for which the determination as to the type of execution is yet to be finalized.</w:t>
        <w:br/>
        <w:br/>
        <w:br/>
        <w:t xml:space="preserve">                                                 IBRD Management's Discussion and Analysis: June 30, 2025                       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VI: Investment Activities</w:t>
        <w:br/>
        <w:br/>
        <w:br/>
        <w:t>Section VI: Investment Activities</w:t>
        <w:br/>
        <w:t>Investments held by IBRD are designated as trading and used mostly for liquidity purposes. As of</w:t>
        <w:br/>
        <w:t>June 30, 2025, Investments - Trading totaled $102.7 billion ($82.7 billion as of June 30, 2024). See Note</w:t>
        <w:br/>
        <w:t>C—Investments in the Notes to the Financial Statements.</w:t>
        <w:br/>
        <w:br/>
        <w:t>Liquid Asset Portfolio</w:t>
        <w:br/>
        <w:t>Funds raised through IBRD’s borrowing activities that have not yet been deployed for lending are held in</w:t>
        <w:br/>
        <w:t>the liquid asset portfolio to provide liquidity for IBRD’s operations. The portfolio is managed with the goal</w:t>
        <w:br/>
        <w:t>of ensuring sufficient cash flows to meet all of IBRD’s financial commitments. While it seeks a reasonable</w:t>
        <w:br/>
        <w:t>return on this portfolio, IBRD restricts its liquid assets to high-quality investments, consistent with its</w:t>
        <w:br/>
        <w:t>investment objective of prioritizing principal protection over yield. Liquid assets are managed</w:t>
        <w:br/>
        <w:t>conservatively and are primarily held against disruptions in IBRD’s access to capital markets.</w:t>
        <w:br/>
        <w:t>IBRD’s liquid assets are held mainly in highly rated, fixed-income instruments (see Box 7: Eligibility</w:t>
        <w:br/>
        <w:t>Criteria for IBRD's Investments) and include the following:</w:t>
        <w:br/>
        <w:t xml:space="preserve">     •    Government, agency, and corporate obligations</w:t>
        <w:br/>
        <w:t xml:space="preserve">     •    Time deposits and other unconditional obligations of banks and financial institutions</w:t>
        <w:br/>
        <w:t xml:space="preserve">     •    Asset-backed securities (including agency mortgage-backed securities)</w:t>
        <w:br/>
        <w:t xml:space="preserve">     •    Currency, interest rate and other risk management derivatives</w:t>
        <w:br/>
        <w:t xml:space="preserve">     •    Exchange-traded options and futures</w:t>
        <w:br/>
        <w:br/>
        <w:br/>
        <w:t>Table 24: Liquid Asset Portfolio by Asset Class</w:t>
        <w:br/>
        <w:t>In millions of U.S. dollars, except ratios which are in percentages</w:t>
        <w:br/>
        <w:t>As of June 30,                                                                                 2025       %       2024       %</w:t>
        <w:br/>
        <w:t>Liquid asset portfolio</w:t>
        <w:br/>
        <w:t xml:space="preserve">  Time Deposits                                                                       $       52,279    55 % $   45,984    58 %</w:t>
        <w:br/>
        <w:t xml:space="preserve">  Government, agency and corporate obligations                                                41,626    43       30,701    39</w:t>
        <w:br/>
        <w:t xml:space="preserve">  Asset-backed Securities &amp; Others                                                             2,138     2        2,107     3</w:t>
        <w:br/>
        <w:t>Total                                                                                 $       96,043   100 % $   78,792   100 %</w:t>
        <w:br/>
        <w:br/>
        <w:br/>
        <w:t>IBRD keeps liquidity volumes above a Prudential Minimum which is defined by its financial policies as</w:t>
        <w:br/>
        <w:t>80% of the twelve-month Target Liquidity Level. The twelve-month Target Liquidity Level is calculated</w:t>
        <w:br/>
        <w:t>before the end of each fiscal year based on Management’s estimates of projected net loan disbursements</w:t>
        <w:br/>
        <w:t>approved at the time of projection and debt-service for the upcoming fiscal year. This twelve-month</w:t>
        <w:br/>
        <w:t>estimate becomes the target for the upcoming fiscal year and the Prudential Minimum is 80% of this</w:t>
        <w:br/>
        <w:t>target (see Section IX: Risk Management, for details of how IBRD manages liquidity risk).</w:t>
        <w:br/>
        <w:t>The liquid asset portfolio is composed largely of assets denominated in, or swapped into, U.S. dollars,</w:t>
        <w:br/>
        <w:t>with net exposure to short-term interest rates after derivatives. The portfolio has an average duration of</w:t>
        <w:br/>
        <w:t>less than three months, and the debt funding these liquid assets has a similar currency and duration</w:t>
        <w:br/>
        <w:t>profile. This is a direct result of IBRD’s exchange-rate and interest-rate-risk-management policies (see</w:t>
        <w:br/>
        <w:t>Section IX: Risk Management), combined with appropriate investment guidelines (Box 7).</w:t>
        <w:br/>
        <w:t>The maturity profile of IBRD’s liquid asset portfolio reflects a high degree of liquidity. As of June 30, 2025,</w:t>
        <w:br/>
        <w:t>$77.9 billion (approximately 81% of total volume) was due to mature within six months, of which $24.3</w:t>
        <w:br/>
        <w:t>billion was expected to mature within one month.</w:t>
        <w:br/>
        <w:t>During FY25, IBRD’s total return on the liquid asset portfolio was 5.19%, a marginal decrease compared</w:t>
        <w:br/>
        <w:t>to FY24 total return of 5.81%, and consistent with the decreasing interest rate environment. In addition to</w:t>
        <w:br/>
        <w:t>monitoring gross investment returns relative to their benchmarks, IBRD also monitors overall earnings</w:t>
        <w:br/>
        <w:t>from the investment portfolio, net of funding costs. In FY25, IBRD had $65 million of revenue, net of</w:t>
        <w:br/>
        <w:t>funding costs on the investment portfolio as discussed in Section III: Financial Results.</w:t>
        <w:br/>
        <w:br/>
        <w:br/>
        <w:t>34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VI: Investment Activities</w:t>
        <w:br/>
        <w:br/>
        <w:br/>
        <w:t>Other Investments</w:t>
        <w:br/>
        <w:t>In addition to the liquid asset portfolio, the investment portfolio also includes holdings related to the PEBP,</w:t>
        <w:br/>
        <w:t>PCRF, and other investments (see Note C—Investments). Table 25 below summarizes the net carrying</w:t>
        <w:br/>
        <w:t>value of other investments:</w:t>
        <w:br/>
        <w:br/>
        <w:t>Table 25: Net Carrying Value of Other Investments</w:t>
        <w:br/>
        <w:t>In millions of U.S. dollars</w:t>
        <w:br/>
        <w:t>As of June 30,                                                                               2025         2024</w:t>
        <w:br/>
        <w:t>PEBP                                                                                   $    3,252   $    2,939</w:t>
        <w:br/>
        <w:t>PCRF and others                                                                             1,803          949</w:t>
        <w:br/>
        <w:t>Total                                                                                  $    5,055   $    3,888</w:t>
        <w:br/>
        <w:br/>
        <w:br/>
        <w:t xml:space="preserve">                                       IBRD Management's Discussion and Analysis: June 30, 2025            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Section VII: Borrowing Activities</w:t>
        <w:br/>
        <w:br/>
        <w:br/>
        <w:t>Section VII: Borrowing Activities</w:t>
        <w:br/>
        <w:t>IBRD has been issuing bonds in the international capital markets since 1947. The proceeds of these</w:t>
        <w:br/>
        <w:t>bonds support IBRD’s lending operations which are aimed at promoting sustainable development for</w:t>
        <w:br/>
        <w:t>IBRD’s borrowing member countries.</w:t>
        <w:br/>
        <w:br/>
        <w:t>Borrowings</w:t>
        <w:br/>
        <w:t>IBRD borrows at attractive rates underpinned by its strong financial profile and shareholder support that</w:t>
        <w:br/>
        <w:t>together are the basis for its triple-A credit rating. As a result of its financial strength and triple-A credit</w:t>
        <w:br/>
        <w:t>rating, IBRD is recognized as a premier borrower and its bonds and notes are viewed as a high credit</w:t>
        <w:br/>
        <w:t>quality investment in the global capital markets.</w:t>
        <w:br/>
        <w:t>IBRD uses the proceeds to finance development activities in creditworthy middle-income and low-income</w:t>
        <w:br/>
        <w:t>countries eligible to borrow from IBRD at market-based rates. Funding raised in any given year is used for</w:t>
        <w:br/>
        <w:t>IBRD’s operations, including loan disbursements, replacement of maturing debt, and prefunding for</w:t>
        <w:br/>
        <w:t>lending activities. IBRD determines its funding requirements based on a three-year rolling horizon and</w:t>
        <w:br/>
        <w:t>funds about one-third of the projected amount in the current fiscal year.</w:t>
        <w:br/>
        <w:t>As discussed in Section I: Overview, IBRD uses currency and interest rate derivatives in connection with</w:t>
        <w:br/>
        <w:t>its borrowings for asset and liability management purposes. New medium and long-term funding is</w:t>
        <w:br/>
        <w:t>swapped into variable-rate U.S. dollar instruments, with conversion to other currencies carried out</w:t>
        <w:br/>
        <w:t>subsequently, as needed. This is in accordance with loan funding requirements, so that IBRD can</w:t>
        <w:br/>
        <w:t>minimize interest rate and currency risk. IBRD also uses derivatives to manage the re-pricing risks</w:t>
        <w:br/>
        <w:t>between loans and borrowings. Further discussion on how IBRD manages this risk is included in Section</w:t>
        <w:br/>
        <w:t>IX: Risk Management.</w:t>
        <w:br/>
        <w:t>IBRD issues short-term debt (maturing in one year or less), and medium- and long-term debt (with a</w:t>
        <w:br/>
        <w:t>maturity greater than one year). In FY25, IBRD raised a total of $64.5 billion of medium- and long-term</w:t>
        <w:br/>
        <w:t>debt (Table 28). From time to time, IBRD exercises the call option in its callable bond issues; it may also</w:t>
        <w:br/>
        <w:t>repurchase its debt to meet other operational or strategic needs such as providing liquidity to its investors</w:t>
        <w:br/>
        <w:t>(Table 28).</w:t>
        <w:br/>
        <w:t>As of June 30, 2025, the borrowings totaled $306.2 billion, $44.4 billion higher than June 30, 2024 (see</w:t>
        <w:br/>
        <w:t>Note E: Borrowings in the Notes to the Financial Statements). The increase was primarily due to net</w:t>
        <w:br/>
        <w:t>medium-and long-term debt issuances during the year (Table 28).</w:t>
        <w:br/>
        <w:t>Table 26 illustrates the impact of derivatives on the currency composition of IBRD's borrowing portfolio.</w:t>
        <w:br/>
        <w:br/>
        <w:t>Table 26: Effect of Derivatives on Currency Composition of the Borrowing Portfolio – June 30, 2025</w:t>
        <w:br/>
        <w:t>In millions of U.S. dollars, except ratios which are in percentages</w:t>
        <w:br/>
        <w:t xml:space="preserve">                                                                            Borrowings excluding   Borrowings including</w:t>
        <w:br/>
        <w:t>As of June 30, 2025                                                                  derivatives            derivatives</w:t>
        <w:br/>
        <w:t>US Dollar                                                                                   62 %                   86 %</w:t>
        <w:br/>
        <w:t>Euro                                                                                        16                     14</w:t>
        <w:br/>
        <w:t>Others                                                                                      22                    —</w:t>
        <w:br/>
        <w:t>Total                                                                                     100 %                  100 %</w:t>
        <w:br/>
        <w:br/>
        <w:br/>
        <w:t>As of June 30, 2025, IBRD’s total borrowings, after the effects of derivatives, carried variable rates with a</w:t>
        <w:br/>
        <w:t>weighted average cost of 4.4% (5.5% as of June 30, 2024). The decrease in the weighted average cost</w:t>
        <w:br/>
        <w:t>from the prior year reflects the decrease in the short-term market interest rates during the year. This also</w:t>
        <w:br/>
        <w:t>resulted in a decrease in IBRD’s weighted average loan rates, which are also based on IBRD’s funding</w:t>
        <w:br/>
        <w:t>cost. IBRD’s lending spread was therefore not impacted by the decrease in short-term interest rates</w:t>
        <w:br/>
        <w:t>(Figure 2).</w:t>
        <w:br/>
        <w:br/>
        <w:br/>
        <w:t>36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Section VII: Borrowing Activities</w:t>
        <w:br/>
        <w:br/>
        <w:br/>
        <w:t>Short-Term Borrowings</w:t>
        <w:br/>
        <w:t>Table 27 summarizes IBRD’s short-term borrowings, which mainly include discount notes, securities lent</w:t>
        <w:br/>
        <w:t>or sold under securities lending and repurchase agreements, and other short-term borrowings.</w:t>
        <w:br/>
        <w:t>Discount Notes</w:t>
        <w:br/>
        <w:t>IBRD’s short-term borrowings consist mainly of discount notes issued in U.S. dollars. These borrowings</w:t>
        <w:br/>
        <w:t>have a weighted average maturity of approximately 136 days.</w:t>
        <w:br/>
        <w:t>Securities Lent or Sold under Repurchase Agreements</w:t>
        <w:br/>
        <w:t>These short-term borrowings are secured mainly by highly-rated collateral in the form of securities,</w:t>
        <w:br/>
        <w:t>including government-issued debt, and have an average maturity of less than 30 days.</w:t>
        <w:br/>
        <w:t>Other Short-Term Borrowings</w:t>
        <w:br/>
        <w:t>Other short-term borrowings are mostly money market instruments that have maturities of one year or</w:t>
        <w:br/>
        <w:t>less.</w:t>
        <w:br/>
        <w:br/>
        <w:t>Table 27: Short-Term Borrowings</w:t>
        <w:br/>
        <w:t>In millions of U.S. dollars, except rates which are in percentages</w:t>
        <w:br/>
        <w:t>As of June 30,                                                                                  2025         2024</w:t>
        <w:br/>
        <w:t>Discount notes a</w:t>
        <w:br/>
        <w:t>Average daily balance during the fiscal year                                      $          13,166   $   10,374</w:t>
        <w:br/>
        <w:t>Weighted-average rate during the fiscal year                                                   4.72 %       5.39 %</w:t>
        <w:br/>
        <w:br/>
        <w:br/>
        <w:t>Securities lent or sold under repurchase agreements b</w:t>
        <w:br/>
        <w:t>Average monthly balance during the fiscal year                                    $            449   $       723</w:t>
        <w:br/>
        <w:t>Weighted-average rate during the fiscal year                                                  4.88 %        1.24 %</w:t>
        <w:br/>
        <w:br/>
        <w:br/>
        <w:t>Other short-term borrowings a</w:t>
        <w:br/>
        <w:t>Average daily balance during the fiscal year                                      $            105   $        44</w:t>
        <w:br/>
        <w:t>Weighted-average rate during the fiscal year                                                  4.69 %        5.44 %</w:t>
        <w:br/>
        <w:br/>
        <w:t>a. At amortized cost which approximates fair value</w:t>
        <w:br/>
        <w:t>b. Excludes securities related to PEBP and PCRF.</w:t>
        <w:br/>
        <w:br/>
        <w:br/>
        <w:t xml:space="preserve">                                               IBRD Management's Discussion and Analysis: June 30, 2025       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VII: Borrowing Activities</w:t>
        <w:br/>
        <w:br/>
        <w:br/>
        <w:t>Medium- and Long-Term Borrowings</w:t>
        <w:br/>
        <w:t>In FY25, medium- and long-term debt raised directly by IBRD in the capital markets amounted to $64.0</w:t>
        <w:br/>
        <w:t>billion with an average maturity to first call of 5.5 years (Table 28). The increase in medium- and long-term</w:t>
        <w:br/>
        <w:t>debt raised in FY25 is primarily due to higher debt servicing and refinancing requirements.</w:t>
        <w:br/>
        <w:t>In FY25, IBRD started issuing debt in the form of perpetual hybrid capital. As of June 30, 2025, the</w:t>
        <w:br/>
        <w:t>amount raised was $0.5 billion.</w:t>
        <w:br/>
        <w:br/>
        <w:t>Table 28: Funding Operations Indicators</w:t>
        <w:br/>
        <w:t>In millions of U.S. dollars, except maturities which are in years</w:t>
        <w:br/>
        <w:t>For the fiscal year ended June 30,                                                                                  2025               2024</w:t>
        <w:br/>
        <w:t>Issuances a</w:t>
        <w:br/>
        <w:t>Medium- and long-term funding raised                                                                 $             64,545   $        52,380</w:t>
        <w:br/>
        <w:t>Average maturity to first call date                                                                                   5.5               5.9</w:t>
        <w:br/>
        <w:t>Average maturity to contractual final maturity b                                                                      8.0               6.8</w:t>
        <w:br/>
        <w:br/>
        <w:br/>
        <w:t>Maturities</w:t>
        <w:br/>
        <w:t>Medium- and long-term funding matured                                                                $             33,879   $        29,786</w:t>
        <w:br/>
        <w:t>Average maturity of debt matured b                                                                                    6.4               4.4</w:t>
        <w:br/>
        <w:br/>
        <w:t>Called/Repurchased</w:t>
        <w:br/>
        <w:t>Medium- and long-term funding called/repurchased                                                     $              4,676   $         1,960</w:t>
        <w:br/>
        <w:br/>
        <w:br/>
        <w:t>a. Expected life of IBRD’s bonds are generally between first call date and the contractual final maturity.</w:t>
        <w:br/>
        <w:t>b. Excludes hybrid capital that has no defined maturity period.</w:t>
        <w:br/>
        <w:br/>
        <w:br/>
        <w:t>Table 29: Maturity Profile of Medium Long-Term Debt</w:t>
        <w:br/>
        <w:t>In millions of U.S. dollars</w:t>
        <w:br/>
        <w:t xml:space="preserve">                                                                                   As of June 30, 2025</w:t>
        <w:br/>
        <w:t xml:space="preserve">                                      Less than 1        1 to 2           2 to 3           3 to 4        4 to 5     Due After 5</w:t>
        <w:br/>
        <w:t xml:space="preserve">                                                                                                                                    Total</w:t>
        <w:br/>
        <w:t xml:space="preserve">                                         year            years            years            years         years        years</w:t>
        <w:br/>
        <w:t>Medium and Long-Term Debt             $    34,173    $    37,482      $    36,816      $    32,710   $    39,117    $   112,874   $ 293,172</w:t>
        <w:br/>
        <w:br/>
        <w:br/>
        <w:t>As shown below, 74% of IBRD’s medium-and long-term borrowings issued during the year were in U.S.</w:t>
        <w:br/>
        <w:t>dollars:</w:t>
        <w:br/>
        <w:t>Table 30: Medium and Long-Term Borrowings Raised by Currency during the year, Excluding Derivatives</w:t>
        <w:br/>
        <w:t>In millions of U.S. dollars, except ratios which are in percentages</w:t>
        <w:br/>
        <w:t>As of June 30,                                                                                               2025                      2024</w:t>
        <w:br/>
        <w:t>US Dollar                                                                                                    74 %                      61 %</w:t>
        <w:br/>
        <w:t>Euro                                                                                                         10                        14</w:t>
        <w:br/>
        <w:t>Others                                                                                                       16                        25</w:t>
        <w:br/>
        <w:t>Total                                                                                                       100 %                     100 %</w:t>
        <w:br/>
        <w:br/>
        <w:br/>
        <w:t>38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Section VIII: Capital Activities</w:t>
        <w:br/>
        <w:br/>
        <w:br/>
        <w:t>Section VIII: Capital Activities</w:t>
        <w:br/>
        <w:t>Capital Structure</w:t>
        <w:br/>
        <w:t>Principal Shareholders and Voting Power</w:t>
        <w:br/>
        <w:t>As of June 30, 2025, IBRD had 189 member countries, with the top six accounting for 40% of the total</w:t>
        <w:br/>
        <w:t>voting power (Figure 11). The United States is IBRD’s largest shareholder, with 15.79% of total voting</w:t>
        <w:br/>
        <w:t>power. Accordingly, it also has the largest share of IBRD’s uncalled capital, $50,627 million, or 17% of</w:t>
        <w:br/>
        <w:t>total uncalled capital.</w:t>
        <w:br/>
        <w:t>As of June 30, 2025, member countries holding a credit rating of AA and above accounted for 34% of the</w:t>
        <w:br/>
        <w:t>total voting power.</w:t>
        <w:br/>
        <w:t>Subscribed Capital</w:t>
        <w:br/>
        <w:t>Total subscribed capital is comprised of paid-in capital and uncalled subscribed capital. See Statement of</w:t>
        <w:br/>
        <w:t>Subscriptions to Capital Stock and Voting Power in IBRD’s Financial Statements for balances by country.</w:t>
        <w:br/>
        <w:br/>
        <w:t>Figure 11: Voting Power of Top Six Members</w:t>
        <w:br/>
        <w:t>as of June 30, 2025</w:t>
        <w:br/>
        <w:br/>
        <w:br/>
        <w:t xml:space="preserve">    United States                                         15.79%</w:t>
        <w:br/>
        <w:br/>
        <w:t xml:space="preserve">            Japan                      7.00%</w:t>
        <w:br/>
        <w:br/>
        <w:t xml:space="preserve">            China                   5.85%</w:t>
        <w:br/>
        <w:br/>
        <w:t xml:space="preserve">         Germany               4.16%</w:t>
        <w:br/>
        <w:br/>
        <w:t xml:space="preserve">           France              3.82%</w:t>
        <w:br/>
        <w:br/>
        <w:t xml:space="preserve">  United Kingdom               3.82%</w:t>
        <w:br/>
        <w:br/>
        <w:t xml:space="preserve">                    0%         5%        10%        15%        20%</w:t>
        <w:br/>
        <w:br/>
        <w:br/>
        <w:t>Table 31: Breakdown of IBRD Subscribed Capital</w:t>
        <w:br/>
        <w:t>In millions of U.S. dollars, except ratios which are in percentages</w:t>
        <w:br/>
        <w:t xml:space="preserve"> As of June 30,                                                 %                  2025           2024        Variance</w:t>
        <w:br/>
        <w:t xml:space="preserve"> Subscribed capital</w:t>
        <w:br/>
        <w:t xml:space="preserve">   Paid-in capital                                               7%   $           22,911    $    22,452   $        459</w:t>
        <w:br/>
        <w:t xml:space="preserve">   Uncalled Subscribed capital                                  93%              303,924        300,620          3,304</w:t>
        <w:br/>
        <w:t xml:space="preserve"> Total subscribed capital                                      100%   $          326,835    $   323,072   $      3,763</w:t>
        <w:br/>
        <w:br/>
        <w:br/>
        <w:t>Uncalled Subscribed Capital</w:t>
        <w:br/>
        <w:t>As of June 30, 2025, the total uncalled portion of subscriptions was $303,924 million. The amount may be</w:t>
        <w:br/>
        <w:t>called only when required to meet IBRD’s obligations for funds borrowed or loans guaranteed and is,</w:t>
        <w:br/>
        <w:t>thus, not available for use by IBRD when making loans. Of this amount, $42,456 million was restricted</w:t>
        <w:br/>
        <w:t>pursuant to resolutions of the Board of Governors (though such conditions are not required by IBRD’s</w:t>
        <w:br/>
        <w:t>Articles). While these resolutions are not legally binding on future Board of Governors, they do record an</w:t>
        <w:br/>
        <w:t>understanding among members that this amount will not be called for use by IBRD in its lending activities</w:t>
        <w:br/>
        <w:t>or for administrative purposes.</w:t>
        <w:br/>
        <w:t>No call has ever been made on IBRD’s capital. Any such calls are required to be uniform, but the</w:t>
        <w:br/>
        <w:t>obligations of IBRD’s members to make payment on such calls are independent of one another. If the</w:t>
        <w:br/>
        <w:t>amount received on a call is insufficient to meet the obligations of IBRD for which the call is made, IBRD</w:t>
        <w:br/>
        <w:t>has the right to make further calls until the amounts received are sufficient to meet such obligations. On</w:t>
        <w:br/>
        <w:br/>
        <w:br/>
        <w:t xml:space="preserve">                                               IBRD Management's Discussion and Analysis: June 30, 2025            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VIII: Capital Activities</w:t>
        <w:br/>
        <w:br/>
        <w:br/>
        <w:t>any such call or calls, however, no member is required to pay more than the unpaid balance of its capital</w:t>
        <w:br/>
        <w:t>subscription.</w:t>
        <w:br/>
        <w:t>Under the Bretton Woods Agreements Act and other U.S. legislation, the Secretary of the U.S. Treasury is</w:t>
        <w:br/>
        <w:t>permitted to pay approximately $7,663 million of the uncalled portion of the subscription of the United</w:t>
        <w:br/>
        <w:t>States, if called for use by IBRD, without need for further congressional action.</w:t>
        <w:br/>
        <w:t>The balance of the uncalled portion of the U.S. subscription, $42,964 million, has been authorized but not</w:t>
        <w:br/>
        <w:t>appropriated by the U.S. Congress. Further action by the U.S. Congress is required to enable the</w:t>
        <w:br/>
        <w:t>Secretary of the U.S. Treasury to pay any portion of this balance. The General Counsel of the U.S.</w:t>
        <w:br/>
        <w:t>Treasury has rendered an opinion that the entire uncalled portion of the U.S. subscription is an obligation</w:t>
        <w:br/>
        <w:t>backed by the full faith and credit of the U.S., notwithstanding that congressional appropriations have not</w:t>
        <w:br/>
        <w:t>been obtained with respect to certain portions of the subscription.</w:t>
        <w:br/>
        <w:t>Capital Increases</w:t>
        <w:br/>
        <w:t>In October 2018, the Governors approved a new GCI and SCI as part of a capital package that includes</w:t>
        <w:br/>
        <w:t>institutional and financial reforms designed to ensure long-term financial sustainability. The capital</w:t>
        <w:br/>
        <w:t>increases would result in additional subscribed capital of up to $60.1 billion, with $7.5 billion of paid-in</w:t>
        <w:br/>
        <w:t>capital and $52.6 billion of callable capital. The subscription period for the GCI and SCI ends on October</w:t>
        <w:br/>
        <w:t>1, 2025.</w:t>
        <w:br/>
        <w:t>Paid-In Capital</w:t>
        <w:br/>
        <w:t>Paid-in capital has two components:</w:t>
        <w:br/>
        <w:t xml:space="preserve">  •    The U.S. dollar portion, which is freely available for use by IBRD.</w:t>
        <w:br/>
        <w:t xml:space="preserve">  •    National Currency Paid-In Capital (NCPIC) portion, usage of which is subject to certain restrictions</w:t>
        <w:br/>
        <w:t xml:space="preserve">       under IBRD’s Articles and is subject to Maintenance-Of-Value (MOV) requirements. For additional</w:t>
        <w:br/>
        <w:t xml:space="preserve">       details see the Notes to the Financial Statements, Note A: Summary of Significant Accounting and</w:t>
        <w:br/>
        <w:t xml:space="preserve">       Related Policies.</w:t>
        <w:br/>
        <w:t>Usable Paid-in Capital</w:t>
        <w:br/>
        <w:t>Usable paid-in capital represents the portion of paid-in capital that is available to support IBRD’s risk</w:t>
        <w:br/>
        <w:t>bearing capacity and includes all U.S. dollar paid-in capital, as well as NCPIC for which use restrictions</w:t>
        <w:br/>
        <w:t>have been lifted (referred to as released NCPIC). The adjustments made to paid-in capital to arrive at</w:t>
        <w:br/>
        <w:t>usable paid-in capital are provided in Table 32.</w:t>
        <w:br/>
        <w:t>The $736 million increase in usable paid-in capital during FY25 was primarily due to the receipt of $333</w:t>
        <w:br/>
        <w:t>million for GCI and $126 million for SCI during FY25.</w:t>
        <w:br/>
        <w:t>Table 32: Usable Paid-in Capital</w:t>
        <w:br/>
        <w:t>In millions of U.S dollars</w:t>
        <w:br/>
        <w:t xml:space="preserve">  As of June 30,                                                                   2025              2024           Variance</w:t>
        <w:br/>
        <w:t xml:space="preserve">  Paid-in Capital                                                       $         22,911 $          22,452    $          459</w:t>
        <w:br/>
        <w:t xml:space="preserve">  Deferred amounts to maintain value of currency holdings a                         (298)             (558)             260</w:t>
        <w:br/>
        <w:t xml:space="preserve">  Adjustments for unreleased NCPIC:</w:t>
        <w:br/>
        <w:t xml:space="preserve">     Restricted cash                                                                 (61)              (66)               5</w:t>
        <w:br/>
        <w:t xml:space="preserve">     Nonnegotiable, noninterest-bearing demand obligations on</w:t>
        <w:br/>
        <w:t xml:space="preserve">                                                                                    (313)             (310)               (3)</w:t>
        <w:br/>
        <w:t xml:space="preserve">     account of subscribed capital</w:t>
        <w:br/>
        <w:t xml:space="preserve">    Receivable amounts to maintain value of currency holdings                       (325)             (337)              12</w:t>
        <w:br/>
        <w:t xml:space="preserve">    MOV payable                                                                        5                 2                3</w:t>
        <w:br/>
        <w:t xml:space="preserve"> Total Adjustments for unreleased NCPIC                                             (694)             (711)              17</w:t>
        <w:br/>
        <w:t xml:space="preserve"> Usable paid-in capital                                                 $         21,919 $          21,183 $            736</w:t>
        <w:br/>
        <w:br/>
        <w:br/>
        <w:t>a. The MOV (Maintenance-Of-Value) on released National Currency Paid-In Capital (NCPIC) is considered to be deferred.</w:t>
        <w:br/>
        <w:br/>
        <w:br/>
        <w:t>40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Section VIII: Capital Activities</w:t>
        <w:br/>
        <w:br/>
        <w:br/>
        <w:t>Usable Equity</w:t>
        <w:br/>
        <w:t>Usable equity represents the amount of equity that is available to support IBRD’s lending operations.</w:t>
        <w:br/>
        <w:t>Usable equity is central to the three frameworks IBRD uses to manage its capital adequacy, credit risk,</w:t>
        <w:br/>
        <w:t>and equity earnings. These frameworks, described in Section IX: Risk Management, are:</w:t>
        <w:br/>
        <w:t xml:space="preserve">   •   Strategic Capital Adequacy Framework</w:t>
        <w:br/>
        <w:t xml:space="preserve">   •   Credit Risk and Loan Loss Provisioning Framework</w:t>
        <w:br/>
        <w:t xml:space="preserve">   •   Other ALM Framework</w:t>
        <w:br/>
        <w:t>See Table 33 for the components of Usable Equity and see Table 34 for a reconciliation of Total Equity</w:t>
        <w:br/>
        <w:t>and Usable Equity.</w:t>
        <w:br/>
        <w:br/>
        <w:br/>
        <w:t xml:space="preserve">                                    IBRD Management's Discussion and Analysis: June 30, 2025       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IX: Risk Management</w:t>
        <w:br/>
        <w:br/>
        <w:br/>
        <w:t>Section IX: Risk Management</w:t>
        <w:br/>
        <w:t>Risk Governance</w:t>
        <w:br/>
        <w:t>IBRD’s risk management processes and practices evolve to reflect changes in activities in response to</w:t>
        <w:br/>
        <w:t>market, credit, product, operational, and other developments. The Board, particularly the Audit Committee</w:t>
        <w:br/>
        <w:t>(AC), periodically reviews trends in IBRD’s risk profiles and performance, and any major developments in</w:t>
        <w:br/>
        <w:t>risk management policies and controls.</w:t>
        <w:br/>
        <w:t>Management believes that effective risk management is critical for its overall operations. Accordingly, the</w:t>
        <w:br/>
        <w:t>risk management governance structure is designed to manage the principal risks IBRD assumes in its</w:t>
        <w:br/>
        <w:t>activities, and supports Management in its oversight function, particularly in coordinating different aspects</w:t>
        <w:br/>
        <w:t>of risk management and in connection with risks that are common across functional areas.</w:t>
        <w:br/>
        <w:t>IBRD’s risk governance structure is built on the “three lines model” where:</w:t>
        <w:br/>
        <w:t xml:space="preserve">     •   Business units, with support from specialized functions, are responsible for directly managing</w:t>
        <w:br/>
        <w:t xml:space="preserve">         risks in their respective functional areas;</w:t>
        <w:br/>
        <w:t xml:space="preserve">     •   The Vice President and WBG Chief Risk Officer (CRO) provides direction, challenge, and</w:t>
        <w:br/>
        <w:t xml:space="preserve">         oversight over risk management practices; and</w:t>
        <w:br/>
        <w:t xml:space="preserve">     •   Internal Audit provides independent assurance and advice on the effectiveness of risk</w:t>
        <w:br/>
        <w:t xml:space="preserve">         management.</w:t>
        <w:br/>
        <w:t>IBRD’s risk management process comprises of risk identification, assessment, response and risk</w:t>
        <w:br/>
        <w:t>monitoring and reporting. IBRD has policies and procedures under which risk owners are responsible for</w:t>
        <w:br/>
        <w:t>identifying, assessing, responding to, monitoring and reporting risks.</w:t>
        <w:br/>
        <w:br/>
        <w:t>Risk Oversight and Coverage</w:t>
        <w:br/>
        <w:t>Financial and Operational Risk Management</w:t>
        <w:br/>
        <w:t>The CRO (Vice President and WBG Chief Risk Officer) oversees both financial and operational risks.</w:t>
        <w:br/>
        <w:t>These risks include (i) country credit risks in the core sovereign-lending business, (ii) market and</w:t>
        <w:br/>
        <w:t>counterparty risks, including liquidity and model risks, and (iii) operational risks relating to people,</w:t>
        <w:br/>
        <w:t>processes and systems, or from external events. In addition, the CRO works closely with IFC, MIGA, and</w:t>
        <w:br/>
        <w:t>IDA’s Management, to review, measure, aggregate, and report on risks, and share best practices across</w:t>
        <w:br/>
        <w:t>the WBG. The CRO also helps enhance cooperation between the entities and facilitates knowledge</w:t>
        <w:br/>
        <w:t>sharing in the risk management function.</w:t>
        <w:br/>
        <w:t>The following three departments report directly to the CRO:</w:t>
        <w:br/>
        <w:t>Credit Risk Department</w:t>
        <w:br/>
        <w:t xml:space="preserve">     •   Identifies, measures, monitors, and manages country credit risk faced by IBRD. By agreement</w:t>
        <w:br/>
        <w:t xml:space="preserve">         with the Board, the individual country credit risk ratings are not shared with the Board and are not</w:t>
        <w:br/>
        <w:t xml:space="preserve">         made public.</w:t>
        <w:br/>
        <w:t xml:space="preserve">     •   Assesses loan portfolio risk, determines the adequacy of provisions for losses on loans and other</w:t>
        <w:br/>
        <w:t xml:space="preserve">         exposures, and monitors borrowers that are vulnerable to crises in the near term. These reviews</w:t>
        <w:br/>
        <w:t xml:space="preserve">         are taken into account when determining the overall country programs and lending operations,</w:t>
        <w:br/>
        <w:t xml:space="preserve">         and they are included in the assessment of IBRD’s capital adequacy.</w:t>
        <w:br/>
        <w:t xml:space="preserve">     •   Reviews proposed new financial products for any implications for country credit risk.</w:t>
        <w:br/>
        <w:br/>
        <w:t>Market and Counterparty Risk Department</w:t>
        <w:br/>
        <w:t xml:space="preserve">     •   Responsible for market, liquidity, and counterparty credit risk oversight, assessment, and</w:t>
        <w:br/>
        <w:t xml:space="preserve">         reporting. It does these in coordination with IBRD’s financial managers who are responsible for</w:t>
        <w:br/>
        <w:t xml:space="preserve">         the day-to-day execution of trades for the liquid asset and derivative portfolios, within applicable</w:t>
        <w:br/>
        <w:t xml:space="preserve">         policy and guideline limits.</w:t>
        <w:br/>
        <w:br/>
        <w:br/>
        <w:t>42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IX: Risk Management</w:t>
        <w:br/>
        <w:br/>
        <w:br/>
        <w:t xml:space="preserve">    •      Ensures effective oversight, including: (i) maintaining sound credit assessments, (ii) addressing</w:t>
        <w:br/>
        <w:t xml:space="preserve">           transaction and product risk issues, (iii) providing an independent review function, (iv) monitoring</w:t>
        <w:br/>
        <w:t xml:space="preserve">           market and counterparty risk in the investment, borrowing and client operation portfolios, and (v)</w:t>
        <w:br/>
        <w:t xml:space="preserve">           the model risk for financial and capital models. It also provides reports to the Audit Committee</w:t>
        <w:br/>
        <w:t xml:space="preserve">           and the Board on the extent and nature of risks, risk management, and oversight.</w:t>
        <w:br/>
        <w:t xml:space="preserve">    •      Responsible for validation of market data and models used for fair valuation of financial</w:t>
        <w:br/>
        <w:t xml:space="preserve">           instruments. Undertakes model verification to ensure robust implementation of the models for fair-</w:t>
        <w:br/>
        <w:t xml:space="preserve">           valued products.</w:t>
        <w:br/>
        <w:br/>
        <w:t>Operational Risk Department</w:t>
        <w:br/>
        <w:t xml:space="preserve">    •      Provides direction and oversight for operational risk activities by business function.</w:t>
        <w:br/>
        <w:t xml:space="preserve">    •      Key operational risk management responsibilities include: (i) administering the Operational Risk</w:t>
        <w:br/>
        <w:t xml:space="preserve">           Committee (ORC) for IBRD, (ii) implementing the operational risk management framework which</w:t>
        <w:br/>
        <w:t xml:space="preserve">           is aligned with Basel principles and provides direction to business unit partners to ensure</w:t>
        <w:br/>
        <w:t xml:space="preserve">           consistent application, (iii) assisting and guiding business units in identifying and prioritizing</w:t>
        <w:br/>
        <w:t xml:space="preserve">           significant operational risks and enabling monitoring and reporting of risks through suitable</w:t>
        <w:br/>
        <w:t xml:space="preserve">           metrics (or risk indicators), (iv) helping identify emerging risks and trends through monitoring of</w:t>
        <w:br/>
        <w:t xml:space="preserve">           internal and external risk events, (v) supporting risk response and mitigating actions, and</w:t>
        <w:br/>
        <w:t xml:space="preserve">           preparing a corporate Operational Risk Report for review and discussion by the ORC.</w:t>
        <w:br/>
        <w:t xml:space="preserve">    •      Responsible for the oversight of the enterprise risk, operational risk, business continuity,</w:t>
        <w:br/>
        <w:t xml:space="preserve">           operational resilience, corporate insurance, and data privacy functions.</w:t>
        <w:br/>
        <w:br/>
        <w:t>The risk of IBRD’s operations not meeting their development outcomes (development outcome risk) in</w:t>
        <w:br/>
        <w:t>IBRD’s lending activities is monitored at the corporate level by Operations Policy and Country Services</w:t>
        <w:br/>
        <w:t>(OPCS). Where fraud and corruption risks may impact IBRD-financed projects, OPCS, the regions and</w:t>
        <w:br/>
        <w:t>practice groups, and the Integrity Vice Presidency jointly address such issues.</w:t>
        <w:br/>
        <w:t>Risk Committees</w:t>
        <w:br/>
        <w:t>Figure 12: Management Risk Committee Structure for Financial and Operational Risks</w:t>
        <w:br/>
        <w:br/>
        <w:t xml:space="preserve">                              Financial Risk                                       Operational Risk</w:t>
        <w:br/>
        <w:br/>
        <w:t xml:space="preserve">                  FRC                            ALCO                                     ERC</w:t>
        <w:br/>
        <w:t xml:space="preserve">        Finance and Risk Committee          Asset and Liability</w:t>
        <w:br/>
        <w:t xml:space="preserve">                                                                                Enterprise Risk Committee</w:t>
        <w:br/>
        <w:t xml:space="preserve">                                          Management Committee</w:t>
        <w:br/>
        <w:t xml:space="preserve">              Chair: MDCFO                                                            Chair: MDCAO</w:t>
        <w:br/>
        <w:t xml:space="preserve">                                               Chair: MDCFO</w:t>
        <w:br/>
        <w:br/>
        <w:br/>
        <w:t xml:space="preserve">                  NBC                                                                     ORC</w:t>
        <w:br/>
        <w:t xml:space="preserve">         New Business Committee                                                 Operational Risk Committee</w:t>
        <w:br/>
        <w:br/>
        <w:br/>
        <w:t>Financial Risk Committees:</w:t>
        <w:br/>
        <w:t>The Finance and Risk Committee (FRC), a Vice President level committee, provides a high-level</w:t>
        <w:br/>
        <w:t>governance structure for decisions that may have financial risks. The FRC was created under the</w:t>
        <w:br/>
        <w:t>authority of the Managing Director and WBG Chief Financial Officer (MDCFO) to approve, clear, or</w:t>
        <w:br/>
        <w:t>discuss: (a) risk policy and procedure documents related to financial integrity, income sustainability and</w:t>
        <w:br/>
        <w:t>balance sheet strength, and (b) issues and new business initiatives with policy implications related to</w:t>
        <w:br/>
        <w:t>IBRD’s financial risks, including country credit, market, counterparty, liquidity and model risks, and</w:t>
        <w:br/>
        <w:t>operational risks related to the finance business functions. The FRC helps to integrate individual</w:t>
        <w:br/>
        <w:t>components of finance and risk management activities by building on mechanisms and processes already</w:t>
        <w:br/>
        <w:t>in place and provides a forum for discussing and communicating significant risk related issues. The FRC</w:t>
        <w:br/>
        <w:br/>
        <w:t xml:space="preserve">                                         IBRD Management's Discussion and Analysis: June 30, 2025            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Section IX: Risk Management</w:t>
        <w:br/>
        <w:br/>
        <w:br/>
        <w:t>meets regularly to discuss the financial performance, new products and services, and risk management of</w:t>
        <w:br/>
        <w:t>IBRD.</w:t>
        <w:br/>
        <w:t>New Business Committee (NBC) is a standing subcommittee of the FRC. The NBC provides advice,</w:t>
        <w:br/>
        <w:t>guidance and recommendations to the FRC, by performing due diligence over new financial products or</w:t>
        <w:br/>
        <w:t>services to ensure that Management has a full understanding of the rationale, costs, risks and rewards of</w:t>
        <w:br/>
        <w:t>the product or service being considered.</w:t>
        <w:br/>
        <w:t>Asset and Liability Management Committee (ALCO), a Vice President-level committee chaired by the</w:t>
        <w:br/>
        <w:t>MDCFO, provides a high-level forum to ensure prudent balance sheet management of IBRD by: a)</w:t>
        <w:br/>
        <w:t>monitoring its financial positions and ALM activities for compliance with its respective guidelines, policies</w:t>
        <w:br/>
        <w:t>and procedures, including borrowing and investment activities; b) identifying and providing</w:t>
        <w:br/>
        <w:t>recommendations on emerging ALM issues for IBRD, as well as those related to capital, balance-sheet</w:t>
        <w:br/>
        <w:t>planning, and financial sustainability and c) serving as a reviewing and recommending body for ongoing</w:t>
        <w:br/>
        <w:t>decisions as part of implementing the ALM policies and procedures of IBRD, including those that impact</w:t>
        <w:br/>
        <w:t>lending rates and net income.</w:t>
        <w:br/>
        <w:t>Operational Risk Committees:</w:t>
        <w:br/>
        <w:t>The Enterprise Risk Committee (ERC) is a Vice President-level committee chaired by the Managing</w:t>
        <w:br/>
        <w:t>Director and Chief Administrative Officer (MDCAO) that oversees IBRD’s non-financial risks through</w:t>
        <w:br/>
        <w:t>reviewing, discussing and/or formulating proposed policies, procedures, directives, guidance, and other</w:t>
        <w:br/>
        <w:t>matters requested by its members. ERC’s scope comprises of: a) operational risk, including business</w:t>
        <w:br/>
        <w:t>continuity, corporate security, cyber security, and IT service continuity; b) enterprise risk; c) Integrity Vice</w:t>
        <w:br/>
        <w:t>Presidency (INT) and Ethics and Business Conduct (EBC) policies and methodologies; d) shared</w:t>
        <w:br/>
        <w:t>services; and e) any other matters brought by the MDCAO. The ERC leverages existing risk management</w:t>
        <w:br/>
        <w:t>mechanisms that are in place to provide a corporate view of operational and non-financial risks.</w:t>
        <w:br/>
        <w:t>Operational Risk Committee (ORC) is the main governance committee for operational risk and provides</w:t>
        <w:br/>
        <w:t>a mechanism for an integrated review and response across IBRD units on operational risks associated</w:t>
        <w:br/>
        <w:t>with people, processes, and systems, including business continuity, and recognizing that business units</w:t>
        <w:br/>
        <w:t>remain responsible for managing operational risks. The Committee’s key responsibilities include</w:t>
        <w:br/>
        <w:t>monitoring significant operational risk matters and events on a quarterly basis to ensure that appropriate</w:t>
        <w:br/>
        <w:t>risk-response measures are taken and reviewing and concluding on IBRD’s overall operational risk</w:t>
        <w:br/>
        <w:t>profile. The ORC is chaired by the CROVP and escalates significant risks and decisions to the FRC and</w:t>
        <w:br/>
        <w:t>ERC.</w:t>
        <w:br/>
        <w:t>Box 5: Summary of IBRD's Specific Risk Categories</w:t>
        <w:br/>
        <w:br/>
        <w:t>Types of Risk                         How the Risk is Managed</w:t>
        <w:br/>
        <w:t xml:space="preserve"> Credit Risk</w:t>
        <w:br/>
        <w:t xml:space="preserve">  Country Credit Risk                  IBRD’s credit-risk-bearing capacity and individual country exposure limits</w:t>
        <w:br/>
        <w:t xml:space="preserve">  Counterparty Credit Risk             Counterparty credit limits and collateral</w:t>
        <w:br/>
        <w:t xml:space="preserve"> Market Risk</w:t>
        <w:br/>
        <w:t xml:space="preserve">  Interest Rate Risk                   Interest rate derivatives to match the sensitivity of assets and liabilities</w:t>
        <w:br/>
        <w:t xml:space="preserve">  Exchange Rate Risk                   Currency derivatives to align the currency composition of assets and liabilities</w:t>
        <w:br/>
        <w:t xml:space="preserve">  Liquidity Risk                       Prudential minimum liquidity level</w:t>
        <w:br/>
        <w:t>Operational Risk                       Risk assessment and monitoring of key risk indicators and internal and external</w:t>
        <w:br/>
        <w:t xml:space="preserve">                                       operational risk events</w:t>
        <w:br/>
        <w:br/>
        <w:br/>
        <w:t>Other Risk Councils</w:t>
        <w:br/>
        <w:t>The Financial Risk Council and Non-Financial Risk Council facilitate regular coordination and</w:t>
        <w:br/>
        <w:t>collaboration across WBG entities in financial and non-financial risk functions, respectively. These</w:t>
        <w:br/>
        <w:t>councils, chaired by the MDCFO and MDCAO, respectively, meet regularly to identify opportunities for</w:t>
        <w:br/>
        <w:t>collaboration across the risk functions that serve to enhance the effectiveness of each of the risk functions</w:t>
        <w:br/>
        <w:t>while respecting the fiduciary obligations of each entity and considering the different mandates, clients,</w:t>
        <w:br/>
        <w:t>products, and business models. They also provide a common forum for the systematic exchange of</w:t>
        <w:br/>
        <w:t>information and encourage joint reporting of risks across the entities to form an overall picture on risk and</w:t>
        <w:br/>
        <w:br/>
        <w:br/>
        <w:t>44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Section IX: Risk Management</w:t>
        <w:br/>
        <w:br/>
        <w:br/>
        <w:t>for the purposes of information sharing, identifying interdependencies, connections, and concentrations of</w:t>
        <w:br/>
        <w:t>risk.</w:t>
        <w:br/>
        <w:br/>
        <w:t>Management of IBRD’s Risks</w:t>
        <w:br/>
        <w:t>IBRD assumes financial risks in order to achieve its development and strategic objectives. IBRD’s</w:t>
        <w:br/>
        <w:t>financial risk management framework is designed to enable and support the institution in achieving its</w:t>
        <w:br/>
        <w:t>goals in a financially sustainable manner. IBRD manages credit, market and operational risks for its</w:t>
        <w:br/>
        <w:t>financial activities, which include lending, borrowing and investing (Box 5). The primary financial risk to</w:t>
        <w:br/>
        <w:t>IBRD is the country credit risk inherent in its loan portfolio. IBRD is also exposed to risks in its liquid asset</w:t>
        <w:br/>
        <w:t>and derivative portfolios, where the major risks are interest rate, exchange rate, commercial counterparty</w:t>
        <w:br/>
        <w:t>credit, and liquidity risks. IBRD’s operational risk management framework is based on a structured and</w:t>
        <w:br/>
        <w:t>uniform approach to identify, assess and monitor key operational risks across business units.</w:t>
        <w:br/>
        <w:t>In an effort to maximize IBRD’s capacity to lend to member countries for development purposes, IBRD</w:t>
        <w:br/>
        <w:t>limits its exposure to market and counterparty credit risks. In addition, to ensure that the financial risks</w:t>
        <w:br/>
        <w:t>associated with its loans and other exposures do not exceed its risk-bearing capacity, IBRD uses a</w:t>
        <w:br/>
        <w:t>strategic capital adequacy framework as a key medium-term capital planning tool.</w:t>
        <w:br/>
        <w:br/>
        <w:t>Capital Adequacy</w:t>
        <w:br/>
        <w:t>IBRD holds capital to cover the credit, market and operational risks inherent in its operating activities and</w:t>
        <w:br/>
        <w:t>financial assets. Country credit risk is the most substantive risk covered by IBRD’s equity.</w:t>
        <w:br/>
        <w:t>IBRD’s capital adequacy is the degree to which its equity is sufficient to withstand unexpected shocks.</w:t>
        <w:br/>
        <w:t>IBRD’s Board monitors IBRD’s capital adequacy within a strategic capital adequacy framework and uses</w:t>
        <w:br/>
        <w:t>the Equity-to-Loans ratio as a key indicator of capital adequacy. The framework seeks to ensure that</w:t>
        <w:br/>
        <w:t>IBRD’s equity is aligned with the financial risk associated with its loans and other exposures over a</w:t>
        <w:br/>
        <w:t>medium-term capital-planning horizon.</w:t>
        <w:br/>
        <w:t>As shown in Table 33, IBRD’s Equity-to-Loans ratio increased by 0.1% from 21.5% as of June 30, 2024 to</w:t>
        <w:br/>
        <w:t>21.6% as of June 30, 2025, primarily due to the increase in usable equity, mainly driven by the increase in</w:t>
        <w:br/>
        <w:t>proposed transfer to general reserve out of the FY25 allocable income, which outpaced the increase in</w:t>
        <w:br/>
        <w:t>total loan exposure, primarily due to the increase in outstanding loans. In October 2024, as part of the</w:t>
        <w:br/>
        <w:t>WBG evolution process, the Board approved establishing the new Framework of Restoration Measures</w:t>
        <w:br/>
        <w:t>(FRM) for capital adequacy, which further strengthens the protection for IBRD’s triple-A rating. The FRM</w:t>
        <w:br/>
        <w:t>includes a set of capital adequacy-related metrics, along with indicative thresholds, as well as restoration</w:t>
        <w:br/>
        <w:t>measures. Following the establishment of the FRM, the Board approved a reduction in the policy</w:t>
        <w:br/>
        <w:t>minimum Equity-to-Loans ratio from 19% to 18% based on a review of IBRD's capital adequacy</w:t>
        <w:br/>
        <w:t>framework, which became effective immediately after the Board approval. The minimum Equity-to-Loans</w:t>
        <w:br/>
        <w:t>ratio policy continues to support IBRD's triple-A rating and long-term financial sustainability.</w:t>
        <w:br/>
        <w:t>In October 2024, the Board also approved the offer of Enhanced Callable Capital (ECC), another</w:t>
        <w:br/>
        <w:t>shareholder support instrument to expand IBRD's financing capacity. Shareholders can convert a portion</w:t>
        <w:br/>
        <w:t>of their existing callable capital to the enhanced terms so that it could be called earlier in the event that</w:t>
        <w:br/>
        <w:t>IBRD were to face an imminent threat of a rating downgrade, but had not yet reached a point where it was</w:t>
        <w:br/>
        <w:t>at risk of defaulting to its bondholders, which is when a call on the current form of callable capital will be</w:t>
        <w:br/>
        <w:t>made. The ECC conversion is on a voluntary basis and upon bilateral agreement between the</w:t>
        <w:br/>
        <w:t>shareholder and IBRD. There were no signed ECC agreements as of June 30, 2025.</w:t>
        <w:br/>
        <w:t>In FY25, IBRD signed bilateral agreements for hybrid capital with 8 member countries for a total notional</w:t>
        <w:br/>
        <w:t>value of $773 million, expected to be settled over the next 4 years. As of June 30, 2025, $482 million has</w:t>
        <w:br/>
        <w:t>been settled and reported in the balance sheet. For capital adequacy purposes, hybrid capital is a</w:t>
        <w:br/>
        <w:t>component of usable equity in the equity-to-loans ratio (Table 33) in accordance with IBRD's financial</w:t>
        <w:br/>
        <w:t>policies.</w:t>
        <w:br/>
        <w:t>Portfolio guarantees are risk management instruments that support additional financing capacity for IBRD.</w:t>
        <w:br/>
        <w:t>On IBRD's Balance Sheet, effective portfolio guarantees are recorded in Other assets measured based</w:t>
        <w:br/>
        <w:t>on the expected credit losses on the underlying portfolio. As of June 30, 2025, portfolio guarantee</w:t>
        <w:br/>
        <w:t>agreements with 2 member countries of $1.1 billion notional were effective. For capital adequacy</w:t>
        <w:br/>
        <w:br/>
        <w:br/>
        <w:t xml:space="preserve">                                       IBRD Management's Discussion and Analysis: June 30, 2025              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Section IX: Risk Management</w:t>
        <w:br/>
        <w:br/>
        <w:br/>
        <w:t>measures, effective portfolio guarantees are leveraged reductions to loan exposures in the equity-to-loans</w:t>
        <w:br/>
        <w:t>ratio to capture their first-loss and portfolio-wide loss-absorption features.</w:t>
        <w:br/>
        <w:t>Figure 13: Equity-to-Loans Ratio</w:t>
        <w:br/>
        <w:t xml:space="preserve">  26%</w:t>
        <w:br/>
        <w:br/>
        <w:t xml:space="preserve">  24%</w:t>
        <w:br/>
        <w:t xml:space="preserve">  22%</w:t>
        <w:br/>
        <w:br/>
        <w:t xml:space="preserve">  20%</w:t>
        <w:br/>
        <w:t xml:space="preserve">  18%</w:t>
        <w:br/>
        <w:br/>
        <w:t xml:space="preserve">  16%</w:t>
        <w:br/>
        <w:t xml:space="preserve">          Jun-            Jun-           Jun-         Jun-              Jun-</w:t>
        <w:br/>
        <w:t xml:space="preserve">           21              22             23           24                25</w:t>
        <w:br/>
        <w:br/>
        <w:t xml:space="preserve">                 Equity-to-Loans ratio          Policy minimum</w:t>
        <w:br/>
        <w:br/>
        <w:br/>
        <w:t>Table 33: Equity-to-Loans Ratio</w:t>
        <w:br/>
        <w:t>In millions of U.S. dollars</w:t>
        <w:br/>
        <w:t xml:space="preserve">                                                                                                             Variance</w:t>
        <w:br/>
        <w:t xml:space="preserve">                                                                                                                                  Due to</w:t>
        <w:br/>
        <w:t xml:space="preserve">                                                                                                                 Due to</w:t>
        <w:br/>
        <w:t xml:space="preserve">                                                                                                                              Translation</w:t>
        <w:br/>
        <w:t xml:space="preserve">                                                                                                               Activities</w:t>
        <w:br/>
        <w:t>As of June 30,                                                 2025              2024            Total                        Adjustment</w:t>
        <w:br/>
        <w:t xml:space="preserve"> Usable paid-in capital                                $     21,919       $    21,183      $      736 $             470     $        266</w:t>
        <w:br/>
        <w:t xml:space="preserve"> Special reserve                                                293               293              —                 —                —</w:t>
        <w:br/>
        <w:t xml:space="preserve"> General reserve a                                           35,240            34,058           1,182             1,182               —</w:t>
        <w:br/>
        <w:t xml:space="preserve"> Cumulative translation adjustment b                           (224)           (1,126)            902                —               902</w:t>
        <w:br/>
        <w:t xml:space="preserve"> Hybrid capital                                                 482                —              482               477                5</w:t>
        <w:br/>
        <w:t xml:space="preserve"> Other adjustments c                                            168               247             (79)               —               (79)</w:t>
        <w:br/>
        <w:t>Equity (usable equity) (Table 34)                      $     57,878       $    54,655      $    3,223 $           2,129     $      1,094</w:t>
        <w:br/>
        <w:br/>
        <w:br/>
        <w:t xml:space="preserve">  Loan exposures                                       $ 283,090          $ 263,190        $   19,900    $       14,795     $      5,105</w:t>
        <w:br/>
        <w:t xml:space="preserve">  Adjustments to reflect third-party guarantees</w:t>
        <w:br/>
        <w:t xml:space="preserve">                                                             (13,620)          (10,658)        (2,962)           (2,901)             (61)</w:t>
        <w:br/>
        <w:t xml:space="preserve">  received</w:t>
        <w:br/>
        <w:t xml:space="preserve">  Adjustment for portfolio guarantees received d          (4,280)                —             (4,280)           (4,280)              —</w:t>
        <w:br/>
        <w:t xml:space="preserve">  Present value of guarantees provided                     3,818              3,488               330               124              206</w:t>
        <w:br/>
        <w:t xml:space="preserve">  Effective but undisbursed DDOs                           2,105              1,261               844               806               38</w:t>
        <w:br/>
        <w:t xml:space="preserve">  Relevant accumulated provisions                         (2,813)            (2,942)              129               201              (72)</w:t>
        <w:br/>
        <w:t xml:space="preserve">  Deferred loan income                                      (681)              (594)              (87)              (72)             (15)</w:t>
        <w:br/>
        <w:t xml:space="preserve">  Other exposures and adjustments, net                       366                377               (11)              (11)              —</w:t>
        <w:br/>
        <w:t>Loans (total exposure)                                 $ 267,985          $ 254,122        $   13,863 $           8,662 $          5,201</w:t>
        <w:br/>
        <w:br/>
        <w:br/>
        <w:t>Equity-to-Loans Ratio                                           21.6 %            21.5 %</w:t>
        <w:br/>
        <w:t>a. Includes transfer to the General Reserve, which for FY25 (FY24) was approved by the Board on August 7, 2025 (August 6,</w:t>
        <w:br/>
        <w:t xml:space="preserve">   2024).</w:t>
        <w:br/>
        <w:t>b. Excludes cumulative translation amounts associated with the unrealized mark-to-market gains/losses on non-trading portfolios,</w:t>
        <w:br/>
        <w:t xml:space="preserve">   net.</w:t>
        <w:br/>
        <w:t>c. Includes cumulative remeasurement gains on non-functional currencies of $216 million for FY25 ($295 million gains for FY24).</w:t>
        <w:br/>
        <w:t>d. The adjustment for portfolio guarantees received is management’s estimate of the benefit of the PGP which covers losses on</w:t>
        <w:br/>
        <w:t xml:space="preserve">   the entire portfolio (first loss), and also the counterparty credit risk.</w:t>
        <w:br/>
        <w:br/>
        <w:t>In FY25, IBRD received $0.5 billion of paid-in capital subscribed under the 2018 General and Selective</w:t>
        <w:br/>
        <w:t>Capital Increases (GCI and SCI), bringing the cumulative amounts received to $6.5 billion, representing</w:t>
        <w:br/>
        <w:t>86% of the total amount expected over the subscription period. In line with IBRD's currency management</w:t>
        <w:br/>
        <w:t>policy, exchange rate movements during the year did not have an impact on IBRD's Equity-to-Loans ratio.</w:t>
        <w:br/>
        <w:t>Under the currency management policy, to minimize exchange rate risk, IBRD matches its borrowing</w:t>
        <w:br/>
        <w:t>obligations in any one currency (after derivatives) with assets in the same currency. In addition, IBRD</w:t>
        <w:br/>
        <w:br/>
        <w:br/>
        <w:t>46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IX: Risk Management</w:t>
        <w:br/>
        <w:br/>
        <w:br/>
        <w:t>periodically undertakes currency conversions to align the currency composition of its equity with that of its</w:t>
        <w:br/>
        <w:t>outstanding loans, across major currencies.</w:t>
        <w:br/>
        <w:t>Table 34 provides a reconciliation of IBRD’s total equity (Table 2) to the usable equity amounts presented</w:t>
        <w:br/>
        <w:t>and discussed in the MD&amp;A (Table 33) as of June 30, 2025.</w:t>
        <w:br/>
        <w:br/>
        <w:t>Table 34: Usable Equity</w:t>
        <w:br/>
        <w:t>In millions of U.S. dollars</w:t>
        <w:br/>
        <w:t>For the fiscal years ended June 30,                                                                  2025                 2024</w:t>
        <w:br/>
        <w:t>Total Equity (Table 2)                                                                     $         72,012     $         63,484</w:t>
        <w:br/>
        <w:t>Proposed transfer to general reserve (Table 11)                                                       1,182                  834</w:t>
        <w:br/>
        <w:t>Less - adjustments to retained earnings (Table 11):</w:t>
        <w:br/>
        <w:t xml:space="preserve">  Unallocated Net Income (Loss)                                                                       (2,915)              (2,513)</w:t>
        <w:br/>
        <w:t xml:space="preserve">  Pension Reserve                                                                                       (987)                (681)</w:t>
        <w:br/>
        <w:t xml:space="preserve">  Surplus                                                                                                 —                  (100)</w:t>
        <w:br/>
        <w:t xml:space="preserve">  Cumulative fair value adjustments                                                                   (1,390)              (1,103)</w:t>
        <w:br/>
        <w:t xml:space="preserve">  Other reserves                                                                                        (729)                 (11)</w:t>
        <w:br/>
        <w:t xml:space="preserve">  Restricted retained earnings                                                                           (11)                (358)</w:t>
        <w:br/>
        <w:t>Total adjustments to retained earnings                                                                (6,032)              (4,766)</w:t>
        <w:br/>
        <w:br/>
        <w:br/>
        <w:t>Less - adjustments to accumulated other comprehensive income:</w:t>
        <w:br/>
        <w:t xml:space="preserve"> Accumulated other comprehensive income                                                               (9,654)              (3,954)</w:t>
        <w:br/>
        <w:t xml:space="preserve"> Cumulative translation adjustment (Table 33)                                                           (224)              (1,126)</w:t>
        <w:br/>
        <w:t>Total adjustments to accumulated other comprehensive income                                           (9,878)              (5,080)</w:t>
        <w:br/>
        <w:br/>
        <w:br/>
        <w:t>Other adjustments:</w:t>
        <w:br/>
        <w:t xml:space="preserve"> Hybrid capital                                                                                          482                   —</w:t>
        <w:br/>
        <w:t xml:space="preserve"> Cumulative remeasurement gains on non-functional currencies                                             216                 295</w:t>
        <w:br/>
        <w:t xml:space="preserve"> Cumulative PEBP income adjustment a                                                                     (48)                (48)</w:t>
        <w:br/>
        <w:t xml:space="preserve"> Adjustments for unreleased National Currency Paid-In Capital (NCPIC)                                    (56)                (64)</w:t>
        <w:br/>
        <w:t>Total other adjustments                                                                                  594                 183</w:t>
        <w:br/>
        <w:br/>
        <w:br/>
        <w:t>Usable Equity (Table 33)                                                                             57,878               54,655</w:t>
        <w:br/>
        <w:br/>
        <w:br/>
        <w:t>a. Reflects a legacy treatment to exclude income earned on PEBP assets, as this income is intended to support PEBP liabilities only.</w:t>
        <w:br/>
        <w:br/>
        <w:t>Credit Risk</w:t>
        <w:br/>
        <w:t>IBRD faces two types of credit risk: country credit risk and counterparty credit risk. Country credit risk is</w:t>
        <w:br/>
        <w:t>the risk of loss due to a country not meeting its contractual obligations, and counterparty credit risk is the</w:t>
        <w:br/>
        <w:t>risk of loss attributable to a counterparty not honoring its contractual obligations. IBRD is exposed to</w:t>
        <w:br/>
        <w:t>commercial as well as non-commercial counterparty credit risk.</w:t>
        <w:br/>
        <w:t>Country Credit Risk</w:t>
        <w:br/>
        <w:t>IBRD’s mandate is to take only sovereign credit risk in its lending activities. Within country credit risk,</w:t>
        <w:br/>
        <w:t>three distinct types of risks can be identified: idiosyncratic risk, correlation risk, and concentration risk.</w:t>
        <w:br/>
        <w:t>Idiosyncratic risk is the risk of an individual borrowing country’s exposure falling into nonaccrual status for</w:t>
        <w:br/>
        <w:t>country-specific reasons (such as policy slippage or political instability). Correlation risk is the risk that</w:t>
        <w:br/>
        <w:t>exposure to two or more borrowing countries will fall into nonaccrual in response to common global or</w:t>
        <w:br/>
        <w:t>regional economic, political, or financial developments. Concentration risk is the risk resulting from having</w:t>
        <w:br/>
        <w:t>a large portion of exposure outstanding which, if the exposure fell into nonaccrual, would result in IBRD’s</w:t>
        <w:br/>
        <w:t>financial health being excessively impaired. Concentration risk needs to be evaluated both on a stand-</w:t>
        <w:br/>
        <w:t>alone basis (exposure of one borrowing country) and when taking into account correlation when more</w:t>
        <w:br/>
        <w:t>than one borrowing country is affected by a common event, such that when combined, IBRD’s exposure</w:t>
        <w:br/>
        <w:t>to a common risk is elevated.</w:t>
        <w:br/>
        <w:t>To estimate idiosyncratic risk and stand-alone concentration risk, the Credit Risk Department looks at</w:t>
        <w:br/>
        <w:t>IBRD’s exposure to each borrowing country and each borrowing country’s expected default to IBRD as</w:t>
        <w:br/>
        <w:br/>
        <w:t xml:space="preserve">                                             IBRD Management's Discussion and Analysis: June 30, 2025                          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IX: Risk Management</w:t>
        <w:br/>
        <w:br/>
        <w:br/>
        <w:t>captured in its credit rating. Credit ratings and default probabilities reflect country economic, financial and</w:t>
        <w:br/>
        <w:t>political circumstances, and also consider Environmental, Social and Governance (ESG) risk factors. For</w:t>
        <w:br/>
        <w:t>correlation risk, the Credit Risk Department models the potential common factors that could impact</w:t>
        <w:br/>
        <w:t>borrowing countries simultaneously. The existence of correlation increases the likelihood of large</w:t>
        <w:br/>
        <w:t>nonaccrual events, as most of these nonaccrual events involve the joint default of two or more obligors in</w:t>
        <w:br/>
        <w:t>the portfolio.</w:t>
        <w:br/>
        <w:t>IBRD manages country credit risk by using individual country exposure limits and takes into account</w:t>
        <w:br/>
        <w:t>factors such as population size and the economic situation of the country. In addition, IBRD conducts</w:t>
        <w:br/>
        <w:t>stress tests of the effects of changes in market variables and of potential geopolitical events on its</w:t>
        <w:br/>
        <w:t>portfolio to complement its capital adequacy framework.</w:t>
        <w:br/>
        <w:t>Portfolio Concentration Risk</w:t>
        <w:br/>
        <w:t>Portfolio concentration risk, which arises when a small group of borrowing countries account for a large</w:t>
        <w:br/>
        <w:t>share of loans outstanding, is a key concern for IBRD. It is carefully managed for each borrowing country,</w:t>
        <w:br/>
        <w:t>in part, through an exposure limit for the aggregate balance of loans outstanding, the present value of</w:t>
        <w:br/>
        <w:t>guarantees, and the undisbursed portion of Deferred Drawdown Options (DDOs) that have become</w:t>
        <w:br/>
        <w:t>effective, among other potential exposures. Under current guidelines, IBRD’s exposure to a single</w:t>
        <w:br/>
        <w:t>borrowing country is restricted to the lower of an Equitable Access Limit (EAL) or the Single Borrower</w:t>
        <w:br/>
        <w:t>Limit (SBL).</w:t>
        <w:br/>
        <w:t>Equitable Access Limit (EAL) and Statutory Lending Limit (SLL)</w:t>
        <w:br/>
        <w:t>The EAL is equal to 10% of IBRD’s SLL. Under IBRD’s Articles, as applied, total loans outstanding,</w:t>
        <w:br/>
        <w:t>including participations in loans and callable guarantees, may not exceed the sum of unimpaired</w:t>
        <w:br/>
        <w:t>subscribed capital, reserves and surplus, referred to as the SLL. As of June 30, 2025, the SLL totaled</w:t>
        <w:br/>
        <w:t>$361.2 billion. The outstanding loans and callable guarantees totaled $286.9 billion, or 79% of the SLL.</w:t>
        <w:br/>
        <w:t>The EAL was $36.1 billion, as of June 30, 2025. The SLL was originally intended to ensure that sufficient</w:t>
        <w:br/>
        <w:t>resources are available to meet IBRD’s obligations to bondholders in the highly unlikely event of</w:t>
        <w:br/>
        <w:t>substantial and historically unprecedented losses on IBRD’s loans. IBRD has subsequently adopted an</w:t>
        <w:br/>
        <w:t>internal risk-based capital adequacy framework based on risk management practices that have evolved</w:t>
        <w:br/>
        <w:t>significantly since the time the SLL was established. The SLL is not a risk-based metric, and could</w:t>
        <w:br/>
        <w:t>constrain IBRD’s lending capacity below levels that are consistent with its risk-based framework.</w:t>
        <w:br/>
        <w:t>Accordingly, IBRD is in the process of amending the Articles to remove the SLL. The Board of Governors</w:t>
        <w:br/>
        <w:t>approved a Resolution to remove the SLL on July 10, 2023. IBRD is now going through the final stage of</w:t>
        <w:br/>
        <w:t>the amendment process, which requires acceptance by three-fifths of the members having eighty-five</w:t>
        <w:br/>
        <w:t>percent of the voting power.</w:t>
        <w:br/>
        <w:t>Single Borrower Limit (SBL)</w:t>
        <w:br/>
        <w:t>The SBL amount is established, in part, by assessing its impact on overall portfolio risk relative to equity.</w:t>
        <w:br/>
        <w:t>The SBL caps the maximum exposure to IBRD’s most creditworthy and largest borrowing countries in</w:t>
        <w:br/>
        <w:t>terms of population and economic size. The SBL framework reflects a dual-SBL system, with the SBL for</w:t>
        <w:br/>
        <w:t>countries above the Graduation Discussion Income (GDI) threshold set lower than the SBL for countries</w:t>
        <w:br/>
        <w:t>below GDI. GDI is the level of GNI (Gross National Income) per capita of a member country above which</w:t>
        <w:br/>
        <w:t>graduation from IBRD starts being discussed. The GDI threshold was $7,895 as of July 1, 2024. Under</w:t>
        <w:br/>
        <w:t>the dual-SBL system, the SBL for FY25 was $30.9 billion for highly creditworthy countries below the GDI</w:t>
        <w:br/>
        <w:t>and $22.2 billion for highly creditworthy countries above the GDI. On July 22, 2025, the Board approved</w:t>
        <w:br/>
        <w:t>the FY26 SBL of $31.7 billion and $22.6 billion for countries below and above GDI, respectively.</w:t>
        <w:br/>
        <w:t>As of June 30, 2025, the ten countries with the highest exposures accounted for about 57% of IBRD’s</w:t>
        <w:br/>
        <w:t>total exposure (Figure 14). IBRD’s largest exposure to a single borrowing country was $23.1 billion on</w:t>
        <w:br/>
        <w:t>June 30, 2025. Monitoring these exposures relative to the limit, however, requires consideration of the</w:t>
        <w:br/>
        <w:t>repayment profiles of existing loans, as well as disbursement profiles and projected new loans and</w:t>
        <w:br/>
        <w:t>guarantees.</w:t>
        <w:br/>
        <w:br/>
        <w:br/>
        <w:t>48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IX: Risk Management</w:t>
        <w:br/>
        <w:br/>
        <w:br/>
        <w:t>Sustainable Annual Lending Level (SALL)</w:t>
        <w:br/>
        <w:t>The “Financial Sustainability Framework” (FSF) requires IBRD to align its annual lending levels to its long-</w:t>
        <w:br/>
        <w:t>term sustainable capacity, while retaining flexibility to respond to crises by maintaining a crisis buffer.</w:t>
        <w:br/>
        <w:t>The SALL is the maximum annual commitment level sustainable, in real terms, for 10 years in line with</w:t>
        <w:br/>
        <w:t>IBRD’s prudential policies. Under the FSF, the Board annually approves a crisis buffer. The crisis buffer-</w:t>
        <w:br/>
        <w:t>adjusted sustainable annual lending level (SALL-Adj) serves as the upper bound for regular lending in the</w:t>
        <w:br/>
        <w:t>next year. For the fiscal year ending June 30, 2025, the Board had approved a crisis buffer of $10.0 billion</w:t>
        <w:br/>
        <w:t>and a SALL-Adj of $39.0 billion. On June 23, 2025, the Board approved a crisis buffer of $10.0 billion for</w:t>
        <w:br/>
        <w:t>FY26. The corresponding SALL-Adj, which will be the core lending ceiling for FY26, is $42.0 billion. The</w:t>
        <w:br/>
        <w:t>total lending capacity also includes additional capacity from the Global Solutions Accelerator Platform</w:t>
        <w:br/>
        <w:t>(GSAP) as part of the Framework for Financial Incentives (FFI), as well as additional operations</w:t>
        <w:br/>
        <w:t>supported by highly rated bilateral guarantees and other balance sheet optimization measures.</w:t>
        <w:br/>
        <w:br/>
        <w:t>Figure 14: Country Exposures as of June 30, 2025</w:t>
        <w:br/>
        <w:t>In billions of U.S. dollars</w:t>
        <w:br/>
        <w:t xml:space="preserve">                                                                              a</w:t>
        <w:br/>
        <w:t xml:space="preserve">                                        Top Ten Country Exposures</w:t>
        <w:br/>
        <w:br/>
        <w:t xml:space="preserve">                        India                                                                                     23.1</w:t>
        <w:br/>
        <w:t xml:space="preserve">                  Indonesia                                                                               20.0</w:t>
        <w:br/>
        <w:t xml:space="preserve">                  Colombia                                                                    17.2</w:t>
        <w:br/>
        <w:t xml:space="preserve">                 Philippines                                                           15.8</w:t>
        <w:br/>
        <w:t xml:space="preserve">                       Brazil                                                     15.2</w:t>
        <w:br/>
        <w:t xml:space="preserve">                      China                                                 14.2</w:t>
        <w:br/>
        <w:t xml:space="preserve">                     Türkiye                                               13.9</w:t>
        <w:br/>
        <w:t xml:space="preserve">                    Mexico                                                 13.8</w:t>
        <w:br/>
        <w:t xml:space="preserve">                  Argentina                                         12.5</w:t>
        <w:br/>
        <w:t xml:space="preserve">   Egypt, Arab Republic of                                          12.5</w:t>
        <w:br/>
        <w:br/>
        <w:t xml:space="preserve">                                0   2     4      6      8      10     12          14          16     18      20   22     24</w:t>
        <w:br/>
        <w:br/>
        <w:t>a. Exposure includes loans outstanding and guarantees provided and are net of guarantees received.</w:t>
        <w:br/>
        <w:br/>
        <w:t>As of June 30, 2025, IBRD's loans outstanding to Ukraine were $16.9 billion, and guarantees provided to</w:t>
        <w:br/>
        <w:t>Ukraine were $0.5 billion. Guarantees received from third parties for the benefit of Ukraine were $11.2</w:t>
        <w:br/>
        <w:t>billion.</w:t>
        <w:br/>
        <w:t>Credit-Risk-Bearing Capacity</w:t>
        <w:br/>
        <w:t>Management uses risk models to estimate the size of a potential nonaccrual shock that IBRD could face</w:t>
        <w:br/>
        <w:t>over the next three years at a given confidence level. The model-estimated nonaccrual shock is a single</w:t>
        <w:br/>
        <w:t>measure of the credit quality of the portfolio that combines the following:</w:t>
        <w:br/>
        <w:t xml:space="preserve">     •     IBRD’s country-credit-risk ratings and their associated expected risk of default;</w:t>
        <w:br/>
        <w:t xml:space="preserve">     •     Covariance risks;</w:t>
        <w:br/>
        <w:t xml:space="preserve">     •     The outstanding loan’s distribution across risk rating categories; and</w:t>
        <w:br/>
        <w:t xml:space="preserve">     •     The exposure concentration.</w:t>
        <w:br/>
        <w:t>The shock estimated by this risk model is used in IBRD’s capital adequacy testing to determine the</w:t>
        <w:br/>
        <w:t>impact of potential nonaccrual events on equity and income earning capacity.</w:t>
        <w:br/>
        <w:t>Expected Losses, Overdue Payments, and Non-Performing Loans</w:t>
        <w:br/>
        <w:t>The loan loss provision is calculated by taking into account IBRD’s total estimated exposure, the</w:t>
        <w:br/>
        <w:t>Expected Default Frequency (EDF), i.e. probability of default, and the assumed loss in the event of</w:t>
        <w:br/>
        <w:t>default. Expected losses inherent in the loan portfolio attributable to country credit risk are covered by the</w:t>
        <w:br/>
        <w:t>accumulated provision for losses on loans and other exposures, while unexpected losses owing to</w:t>
        <w:br/>
        <w:t>country credit risk are covered by equity (see Notes to the Financial Statements, Note A: Summary of</w:t>
        <w:br/>
        <w:t>Significant Accounting and Related Policies and Note D: Loans and Other Exposures).</w:t>
        <w:br/>
        <w:br/>
        <w:br/>
        <w:t xml:space="preserve">                                              IBRD Management's Discussion and Analysis: June 30, 2025                        49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IX: Risk Management</w:t>
        <w:br/>
        <w:br/>
        <w:br/>
        <w:t>When a borrower fails to make payments due to IBRD on any principal, interest, or other charges, IBRD</w:t>
        <w:br/>
        <w:t>may suspend disbursements immediately on all loans to that borrower. IBRD’s current practice is to</w:t>
        <w:br/>
        <w:t>exercise this option using a graduated approach (Box 6). These practices also apply to member countries</w:t>
        <w:br/>
        <w:t>eligible to borrow from both IBRD and IDA, and whose payments on IDA loans may become overdue. It is</w:t>
        <w:br/>
        <w:t>IBRD’s practice not to reschedule interest or principal payments on its loans or participate in debt</w:t>
        <w:br/>
        <w:t>rescheduling agreements with respect to its loans. As of June 30, 2025, there were no principal or interest</w:t>
        <w:br/>
        <w:t>amounts on loans in accrual status, that were overdue by more than three months.</w:t>
        <w:br/>
        <w:t>As of June 30, 2025, IBRD had $283.1 billion of loans outstanding, of which 0.5% were in nonaccrual</w:t>
        <w:br/>
        <w:t>status, all related to Zimbabwe and Belarus. IBRD’s accumulated provision for losses on loans and other</w:t>
        <w:br/>
        <w:t>exposures was $3.0 billion, which represents a provisioning rate of less than 1% of the underlying</w:t>
        <w:br/>
        <w:t>exposures ($3.0 billion as of June 30, 2024, less than 1% of the underlying exposures).</w:t>
        <w:br/>
        <w:t>During the year, IBRD received $2 million ($4 million in FY24) from borrowers in non-accrual status as</w:t>
        <w:br/>
        <w:t>payments towards principal amount overdue. Accordingly, none of these amounts were recognized in the</w:t>
        <w:br/>
        <w:t>FY25 Statement of Income ($4 million recognized as interest in the FY24 Statement of Income). The</w:t>
        <w:br/>
        <w:t>exposure to Zimbabwe was $425 million as of June 30, 2025, compared with $426 million as of June 30,</w:t>
        <w:br/>
        <w:t>2024. The exposure to Belarus was $1,012 million as of June 30, 2025, compared with $984 million as of</w:t>
        <w:br/>
        <w:t>June 30, 2024.</w:t>
        <w:br/>
        <w:t>During the year, no loans to any borrowing country were placed in nonaccrual status or restored to</w:t>
        <w:br/>
        <w:t>accrual status.</w:t>
        <w:br/>
        <w:t>Box 6: Treatment of Overdue Payments</w:t>
        <w:br/>
        <w:br/>
        <w:t xml:space="preserve">            Where the borrower is the member country, no new loans to the member country, or to any other borrower in the</w:t>
        <w:br/>
        <w:t xml:space="preserve">            country, will be presented to the Board for approval, nor will any previously approved loan be signed, until payments</w:t>
        <w:br/>
        <w:t xml:space="preserve">            for all amounts 30 days overdue or longer have been received. Where the borrower is not the member country, no</w:t>
        <w:br/>
        <w:t xml:space="preserve">            new loans to that borrower will be signed or approved. In either case, the borrower will lose its eligibility for any</w:t>
        <w:br/>
        <w:t xml:space="preserve"> Overdue by waiver of interest charges in effect at that time for loans signed before May 16, 2007, and those loans signed</w:t>
        <w:br/>
        <w:t xml:space="preserve"> 30 days    between May 16, 2007, and September 27, 2007, if the borrowers elected not to convert the terms of their loans to</w:t>
        <w:br/>
        <w:t xml:space="preserve">            the pricing terms effective September 27, 2007. For loans with the pricing terms applicable from May 16, 2007, an</w:t>
        <w:br/>
        <w:t xml:space="preserve">            overdue interest penalty will be charged at a rate of 50 basis points on the overdue principal. That is, if an overdue</w:t>
        <w:br/>
        <w:t xml:space="preserve">            amount remains unpaid for a period of 30 days, then the borrower will pay a higher interest rate (Reference rate +</w:t>
        <w:br/>
        <w:t xml:space="preserve">            spread) plus 50 basis points on the overdue principal amount until the overdue amount is fully paid.</w:t>
        <w:br/>
        <w:br/>
        <w:t xml:space="preserve">            In addition to the provisions cited above for payments overdue by 30 days, to avoid proceeding further on the</w:t>
        <w:br/>
        <w:t xml:space="preserve">            notification process leading to suspension of disbursements, the country as borrower or guarantor and all borrowers</w:t>
        <w:br/>
        <w:t xml:space="preserve"> Overdue by in the country must pay not only all payments overdue by 30 days or more, but also all payments due regardless of</w:t>
        <w:br/>
        <w:t xml:space="preserve"> 45 days    the number of days since they have fallen due. Where the borrower is not the member country, no new loans to, or</w:t>
        <w:br/>
        <w:t xml:space="preserve">            guaranteed by, the member country, will be signed or approved. Additionally, all borrowers in the country will lose</w:t>
        <w:br/>
        <w:t xml:space="preserve">            eligibility for any waivers of interest in effect at the time.</w:t>
        <w:br/>
        <w:br/>
        <w:t xml:space="preserve">            In addition to the suspension of approval for new loans and signing of previously approved loans, disbursements on</w:t>
        <w:br/>
        <w:t xml:space="preserve"> Overdue by all loans to, or guaranteed by, the member country are suspended until all overdue amounts are paid. This policy</w:t>
        <w:br/>
        <w:t xml:space="preserve"> 60 days    applies even when the borrower is not the member country. Under exceptional circumstances, disbursements can be</w:t>
        <w:br/>
        <w:t xml:space="preserve">            made to a member country upon the Board’s approval.</w:t>
        <w:br/>
        <w:br/>
        <w:t xml:space="preserve">            In addition to the suspension of disbursements on all loans to, or guaranteed by, the member country, all loans made</w:t>
        <w:br/>
        <w:t xml:space="preserve">            to or guaranteed by a member of IBRD are placed in nonaccrual status, unless IBRD's management determines that</w:t>
        <w:br/>
        <w:t xml:space="preserve">            the overdue amount will be collected in the immediate future. Unpaid interest and other charges accrued but not yet</w:t>
        <w:br/>
        <w:t xml:space="preserve"> Overdue by</w:t>
        <w:br/>
        <w:t xml:space="preserve">            paid on loans outstanding are deducted from the revenue for the current period. Interest and other charges on</w:t>
        <w:br/>
        <w:t xml:space="preserve"> more than</w:t>
        <w:br/>
        <w:t xml:space="preserve">            nonaccruing exposures are included in revenue only to the extent that payments have been received by IBRD. A</w:t>
        <w:br/>
        <w:t xml:space="preserve"> six months</w:t>
        <w:br/>
        <w:t xml:space="preserve">            decision on the restoration of accrual status is made upon arrears clearance. If collectability risk is considered to be</w:t>
        <w:br/>
        <w:t xml:space="preserve">            particularly high at the time of arrears clearance, the member’s exposures may not automatically emerge from</w:t>
        <w:br/>
        <w:t xml:space="preserve">            nonaccrual status until a suitable period of payment performance has passed.</w:t>
        <w:br/>
        <w:br/>
        <w:br/>
        <w:t>50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Section IX: Risk Management</w:t>
        <w:br/>
        <w:br/>
        <w:br/>
        <w:t>Counterparty Credit Risk</w:t>
        <w:br/>
        <w:t>IBRD is exposed to commercial and non-commercial counterparty credit risk.</w:t>
        <w:br/>
        <w:t>Commercial Counterparty Credit Risk</w:t>
        <w:br/>
        <w:t>Commercial counterparty credit risk is the risk that counterparties fail to meet their payment obligations</w:t>
        <w:br/>
        <w:t>under the terms of the contract or other financial instruments. Effective management of counterparty</w:t>
        <w:br/>
        <w:t>credit risk is vital to the success of IBRD’s funding, investment, and asset/liability management activities.</w:t>
        <w:br/>
        <w:t>The monitoring and management of these risks is continuous as the market environment evolves.</w:t>
        <w:br/>
        <w:t>IBRD mitigates the counterparty credit risk from its investment and derivative holdings through the credit</w:t>
        <w:br/>
        <w:t>approval process, the use of collateral agreements and risk limits, and other monitoring procedures. The</w:t>
        <w:br/>
        <w:t>credit approval process involves evaluating counterparty and product-specific creditworthiness, assigning</w:t>
        <w:br/>
        <w:t>internal credit ratings and limits, and determining the risk profile of specific transactions. Credit limits are</w:t>
        <w:br/>
        <w:t>set and monitored throughout the year. Counterparty exposure is updated daily, considering the current</w:t>
        <w:br/>
        <w:t>market values of assets held, estimates of potential future movements of exposure for derivative</w:t>
        <w:br/>
        <w:t>instruments, and related counterparty collateral agreements, where collateral posting requirements are</w:t>
        <w:br/>
        <w:t>based on thresholds driven by public credit ratings. Collateral held includes cash and highly rated liquid</w:t>
        <w:br/>
        <w:t>investment securities. Commercial credit risk management includes ESG related assessments in the</w:t>
        <w:br/>
        <w:t>approval and monitoring of higher exposure counterparties for the liquid asset portfolio and for derivative</w:t>
        <w:br/>
        <w:t>counterparties. In addition, third-party ESG scores of the liquid asset portfolio and derivative exposures</w:t>
        <w:br/>
        <w:t>are monitored.</w:t>
        <w:br/>
        <w:t>IBRD’s liquid asset investment portfolio consists mostly of sovereign government bonds, debt instruments</w:t>
        <w:br/>
        <w:t>issued by sovereign government agencies, corporates and bank time deposits. More than half of these</w:t>
        <w:br/>
        <w:t>investments are with issuers and counterparties rated triple-A and AA (Table 35).</w:t>
        <w:br/>
        <w:t>Derivative Instruments</w:t>
        <w:br/>
        <w:t>In the normal course of its business, IBRD enters into various derivative instruments to manage foreign</w:t>
        <w:br/>
        <w:t>exchange and interest rate risks. These derivatives are used mainly to meet the financial needs of IBRD</w:t>
        <w:br/>
        <w:t>borrowers and to manage the institution’s exposure to fluctuations in interest and exchange rates. These</w:t>
        <w:br/>
        <w:t>transactions are conducted with other financial institutions and, by their nature, entail commercial</w:t>
        <w:br/>
        <w:t>counterparty credit risk.</w:t>
        <w:br/>
        <w:t>While the volume of derivative activity can be measured by the contracted notional value of derivatives,</w:t>
        <w:br/>
        <w:t>notional value is not an accurate measure of credit or market risk. IBRD uses the estimated replacement</w:t>
        <w:br/>
        <w:t>cost of the derivative instrument, or potential future exposure to measure counterparty credit risk with</w:t>
        <w:br/>
        <w:t>these trading partners.</w:t>
        <w:br/>
        <w:t>Under IBRD’s collateral arrangements, IBRD receives collateral when mark-to-market exposure is greater</w:t>
        <w:br/>
        <w:t>than the ratings based collateral threshold. As of June 30, 2025, IBRD had received collateral of cash and</w:t>
        <w:br/>
        <w:t>securities totaling $0.5 billion.</w:t>
        <w:br/>
        <w:t>IBRD is not required to post collateral under its derivative agreements as long as it maintains a triple-A</w:t>
        <w:br/>
        <w:t>credit rating. (For the contractual value, notional amounts, related credit risk exposure amounts, and the</w:t>
        <w:br/>
        <w:t>amount IBRD would be required to post in the event of a downgrade, see Notes to Financial Statements,</w:t>
        <w:br/>
        <w:t>Note F: Derivative Instruments).</w:t>
        <w:br/>
        <w:t>Investment Securities</w:t>
        <w:br/>
        <w:t>The Board-approved General Investment Authorization provides the basic authority for IBRD to invest its</w:t>
        <w:br/>
        <w:t>liquid assets. Furthermore, all investment activities are conducted in accordance with a more detailed set</w:t>
        <w:br/>
        <w:t>of Investment Guidelines. The Investment Guidelines are approved by the MDCFO and implemented by</w:t>
        <w:br/>
        <w:t>the Treasurer. These Investment Guidelines set out detailed trading and operational rules, including</w:t>
        <w:br/>
        <w:t>instruments eligible for investments, and establish risk parameters relative to benchmarks. These include</w:t>
        <w:br/>
        <w:t>an overall consultative loss limit and duration deviation, specifying concentration limits on counterparties</w:t>
        <w:br/>
        <w:t>and instrument classes, as well as clear lines of responsibility for risk monitoring and compliance. Credit</w:t>
        <w:br/>
        <w:t>risk is controlled by applying eligibility criteria (Box 7).</w:t>
        <w:br/>
        <w:t>The overall market risk of the investment portfolio is subject to a consultative loss limit to reflect a level of</w:t>
        <w:br/>
        <w:t>tolerance for the risk of underperforming the benchmark in any fiscal year. IBRD has procedures in place</w:t>
        <w:br/>
        <w:br/>
        <w:t xml:space="preserve">                                       IBRD Management's Discussion and Analysis: June 30, 2025              51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IX: Risk Management</w:t>
        <w:br/>
        <w:br/>
        <w:br/>
        <w:t>to monitor performance against this limit and potential risks, and it takes appropriate actions if the limit is</w:t>
        <w:br/>
        <w:t>reached. All investments are subject to additional conditions specified by the Chief Risk Officer, as</w:t>
        <w:br/>
        <w:t>deemed necessary.</w:t>
        <w:br/>
        <w:t>IBRD’s exposure to futures and options and resale agreements is marginal. For futures and options, IBRD</w:t>
        <w:br/>
        <w:t>generally closes out open positions prior to expiration. Futures are settled on a daily basis. In addition,</w:t>
        <w:br/>
        <w:t>IBRD monitors the fair value of resale securities received and, if necessary, closes out transactions and</w:t>
        <w:br/>
        <w:t>enters into new repriced transactions.</w:t>
        <w:br/>
        <w:t>Management has broadened its universe of investment assets in an effort to achieve greater</w:t>
        <w:br/>
        <w:t>diversification in the portfolio and better risk-adjusted investment performance. This exposure is</w:t>
        <w:br/>
        <w:t>monitored by the Market and Counterparty Risk Department.</w:t>
        <w:br/>
        <w:t>Box 7: Eligibility Criteria for IBRD's Investments a</w:t>
        <w:br/>
        <w:t>Instrument Securities           Description</w:t>
        <w:br/>
        <w:t xml:space="preserve">                                IBRD may only invest in obligations issued or unconditionally guaranteed by governments of</w:t>
        <w:br/>
        <w:t>Sovereigns                      member countries with a minimum credit rating of AA-. However, no rating is required if</w:t>
        <w:br/>
        <w:t xml:space="preserve">                                government obligations are denominated in the national currency of the issuer.</w:t>
        <w:br/>
        <w:t xml:space="preserve">                                IBRD may invest only in obligations issued by an agency or instrumentality of a government of a</w:t>
        <w:br/>
        <w:t>Agencies                        member country, a multilateral organization, or any other official entity (other than the</w:t>
        <w:br/>
        <w:t xml:space="preserve">                                government of a member country), with a minimum credit rating of AA-.</w:t>
        <w:br/>
        <w:t>Corporates and asset-backed</w:t>
        <w:br/>
        <w:t xml:space="preserve">                                IBRD may only invest in securities with a triple-A credit rating.</w:t>
        <w:br/>
        <w:t>securities</w:t>
        <w:br/>
        <w:t xml:space="preserve">                                IBRD may only invest in time deposits issued or guaranteed by financial institutions, whose</w:t>
        <w:br/>
        <w:t>Time deposits b</w:t>
        <w:br/>
        <w:t xml:space="preserve">                                senior debt securities are rated at least A-.</w:t>
        <w:br/>
        <w:t xml:space="preserve">                                IBRD may only invest in short-term borrowings (less than 190 days) from commercial banks,</w:t>
        <w:br/>
        <w:t>Commercial Paper</w:t>
        <w:br/>
        <w:t xml:space="preserve">                                corporates, and financial institutions with at least two Prime-1 ratings.</w:t>
        <w:br/>
        <w:t>Securities lending, and</w:t>
        <w:br/>
        <w:t xml:space="preserve">                                IBRD may engage in securities lending against adequate collateral, repurchases and reverse</w:t>
        <w:br/>
        <w:t>borrowing, repurchases,</w:t>
        <w:br/>
        <w:t xml:space="preserve">                                repurchases, against adequate margin protection, of the securities described under the</w:t>
        <w:br/>
        <w:t>resales, and reverse</w:t>
        <w:br/>
        <w:t xml:space="preserve">                                sovereigns, agencies, and corporates and asset-backed security categories.</w:t>
        <w:br/>
        <w:t>repurchases</w:t>
        <w:br/>
        <w:t xml:space="preserve">                                IBRD may engage in collateralized forward transactions, such as swap, repurchase, resale,</w:t>
        <w:br/>
        <w:t xml:space="preserve">                                securities lending, or equivalent transactions that involve certain underlying assets not</w:t>
        <w:br/>
        <w:t>Collateral Assets</w:t>
        <w:br/>
        <w:t xml:space="preserve">                                independently eligible for investment. In each case, adequate margin protection needs to be</w:t>
        <w:br/>
        <w:t xml:space="preserve">                                received.</w:t>
        <w:br/>
        <w:t>a.   All investments are subject to approval by the Market and Counterparty Risk Department and must appear on the “Approved</w:t>
        <w:br/>
        <w:t xml:space="preserve">     List” created by the department.</w:t>
        <w:br/>
        <w:t>b.   Time deposits include certificates of deposit, bankers’ acceptances, and other obligations issued or unconditionally</w:t>
        <w:br/>
        <w:t xml:space="preserve">     guaranteed by banks or other financial institutions.</w:t>
        <w:br/>
        <w:br/>
        <w:t>Commercial Counterparty Credit Risk Exposure</w:t>
        <w:br/>
        <w:t>As a result of IBRD’s use of collateral arrangements for swap transactions, its residual commercial</w:t>
        <w:br/>
        <w:t>counterparty credit risk is concentrated in the investment portfolio, in instruments issued by sovereign</w:t>
        <w:br/>
        <w:t>governments and non-sovereign holdings (including agencies, corporates, and asset-backed securities)</w:t>
        <w:br/>
        <w:t>(Table 35).</w:t>
        <w:br/>
        <w:br/>
        <w:br/>
        <w:t>52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Section IX: Risk Management</w:t>
        <w:br/>
        <w:br/>
        <w:br/>
        <w:t>Table 35: Commercial Credit Exposure, Net of Collateral Held, by Counterparty Rating</w:t>
        <w:br/>
        <w:t>In millions of U.S. dollars</w:t>
        <w:br/>
        <w:t xml:space="preserve">                                                                            June 30, 2025</w:t>
        <w:br/>
        <w:t xml:space="preserve">                                                Investments</w:t>
        <w:br/>
        <w:t xml:space="preserve">                                                                               Net Swap              Total              % of</w:t>
        <w:br/>
        <w:t xml:space="preserve"> Counterparty Rating a               Sovereigns         Non-Sovereigns         Exposure            Exposure             Total</w:t>
        <w:br/>
        <w:t>AAA                                $        8,334     $         12,252     $             —     $        20,586                21 %</w:t>
        <w:br/>
        <w:t>AA                                          6,499               49,688                  114             56,301                56</w:t>
        <w:br/>
        <w:t>A                                           7,524               15,541                  146             23,211                23</w:t>
        <w:br/>
        <w:t>BBB                                             3                    34                  —                  37                   *</w:t>
        <w:br/>
        <w:t>BB or lower/unrated                             —                     8                  —                   8                   *</w:t>
        <w:br/>
        <w:t>Total                              $       22,360     $         77,523     $            260    $       100,143               100 %</w:t>
        <w:br/>
        <w:br/>
        <w:t xml:space="preserve">                                                                            June 30, 2024</w:t>
        <w:br/>
        <w:t xml:space="preserve">                                                Investments</w:t>
        <w:br/>
        <w:t xml:space="preserve">                                                                               Net Swap              Total              % of</w:t>
        <w:br/>
        <w:t xml:space="preserve"> Counterparty Rating a               Sovereigns         Non-Sovereigns         Exposure            Exposure             Total</w:t>
        <w:br/>
        <w:t>AAA                                $        9,583     $           8,844    $             —     $        18,427                23 %</w:t>
        <w:br/>
        <w:t>AA                                          6,778               36,481                   54             43,313                54</w:t>
        <w:br/>
        <w:t>A                                           7,240               11,505                  131             18,876                23</w:t>
        <w:br/>
        <w:t>BBB                                             4                    28                  —                  32                   *</w:t>
        <w:br/>
        <w:t>BB or lower/unrated                             —                     7                  —                   7                   *</w:t>
        <w:br/>
        <w:t>Total                              $       23,605     $         56,865     $            185    $        80,655               100 %</w:t>
        <w:br/>
        <w:br/>
        <w:t>a. Average rating is calculated using available ratings from the three major rating agencies; however, if ratings are not available</w:t>
        <w:br/>
        <w:t xml:space="preserve">   from each of the three rating agencies, IBRD uses the average of the ratings available from any of such rating agencies or a</w:t>
        <w:br/>
        <w:t xml:space="preserve">   single rating to the extent that an instrument or issuer (as applicable) is rated by only one rating agency.</w:t>
        <w:br/>
        <w:t>* Indicates percentage less than 0.5%.</w:t>
        <w:br/>
        <w:br/>
        <w:t>IBRD’s overall commercial counterparty credit exposure, net of collateral held, was $100.1 billion as of</w:t>
        <w:br/>
        <w:t>June 30, 2025. As shown on Table 35, the credit quality of IBRD’s portfolio remains concentrated in the</w:t>
        <w:br/>
        <w:t>upper end of the credit spectrum, with 77% of the portfolio rated AA or above and the remaining portfolio</w:t>
        <w:br/>
        <w:t>primarily rated A. The A-rated counterparties primarily consisted of sovereigns and financial institutions,</w:t>
        <w:br/>
        <w:t>which include collateralized swap exposures and short-term deposits.</w:t>
        <w:br/>
        <w:t>Non-Commercial Counterparty Credit Risk</w:t>
        <w:br/>
        <w:t>In addition to its derivative transactions with commercial counterparties, IBRD offers derivative-</w:t>
        <w:br/>
        <w:t>intermediation and other services to borrowing member countries, as well as to affiliated and non-affiliated</w:t>
        <w:br/>
        <w:t>organizations, to help meet their development needs or to carry out their development mandates (Table</w:t>
        <w:br/>
        <w:t>36):</w:t>
        <w:br/>
        <w:t>Table 36: Non-Commercial Counterparty Credit Risk</w:t>
        <w:br/>
        <w:t>In millions of U.S. dollars</w:t>
        <w:br/>
        <w:t>Exposures as of June 30, 2025</w:t>
        <w:br/>
        <w:t>Non-Commercial</w:t>
        <w:br/>
        <w:t xml:space="preserve">                              Instrument used Purpose of derivative transaction                        Notional    Net Exposure</w:t>
        <w:br/>
        <w:t>Counterparty</w:t>
        <w:br/>
        <w:t>Borrowing Member            Derivatives        Assist borrowing member countries with              $     5,923 $                —</w:t>
        <w:br/>
        <w:t>Countries                                      managing risks</w:t>
        <w:br/>
        <w:t>Non-Affiliated Organization Derivatives        Assist IFFIm with managing risks                          1,844                  —</w:t>
        <w:br/>
        <w:t xml:space="preserve">                                                                                                   $     7,767 $                —</w:t>
        <w:br/>
        <w:br/>
        <w:br/>
        <w:t xml:space="preserve">     •     Borrowing Member Countries: Currency and interest rate swap transactions are executed</w:t>
        <w:br/>
        <w:t xml:space="preserve">           between IBRD and its borrowers under master derivative agreements. As of June 30, 2025, the</w:t>
        <w:br/>
        <w:t xml:space="preserve">           notional amounts were $5.9 billion with no net exposure to IBRD under these agreements.</w:t>
        <w:br/>
        <w:t xml:space="preserve">           Expected losses inherent in these exposures due to country credit risk are incorporated in the fair</w:t>
        <w:br/>
        <w:t xml:space="preserve">           value of these instruments.</w:t>
        <w:br/>
        <w:br/>
        <w:br/>
        <w:t xml:space="preserve">                                              IBRD Management's Discussion and Analysis: June 30, 2025                              53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IX: Risk Management</w:t>
        <w:br/>
        <w:br/>
        <w:br/>
        <w:t xml:space="preserve">      •     Affiliated Organizations: Derivative contracts were executed between IBRD and IDA, under an</w:t>
        <w:br/>
        <w:t xml:space="preserve">            agreement allowing IBRD to intermediate derivative contracts on behalf of IDA. As of June 30,</w:t>
        <w:br/>
        <w:t xml:space="preserve">            2025, IBRD did not have any exposure to IDA under these agreements.</w:t>
        <w:br/>
        <w:t xml:space="preserve">      •     Non-Affiliated Organizations: IBRD has a master derivatives agreement with IFFIm, under which</w:t>
        <w:br/>
        <w:t xml:space="preserve">            several transactions have been executed. As of June 30, 2025, the notional amounts were $1.8</w:t>
        <w:br/>
        <w:t xml:space="preserve">            billion with no net fair value exposures to IBRD under this agreement. IBRD has the right to call</w:t>
        <w:br/>
        <w:t xml:space="preserve">            for collateral above an agreed specified threshold. As of June 30, 2025, IBRD had not exercised</w:t>
        <w:br/>
        <w:t xml:space="preserve">            this right, but it reserves the right under the existing terms of the agreement. Rather than calling</w:t>
        <w:br/>
        <w:t xml:space="preserve">            for collateral, IBRD and IFFIm have agreed to manage IBRD’s exposure by applying a risk</w:t>
        <w:br/>
        <w:t xml:space="preserve">            management buffer to the gearing ratio limit. The gearing ratio limit represents the maximum</w:t>
        <w:br/>
        <w:t xml:space="preserve">            amount of IFFIm’s net financial obligations less cash and liquid assets, as a percentage of the net</w:t>
        <w:br/>
        <w:t xml:space="preserve">            present value of its financial assets.</w:t>
        <w:br/>
        <w:t>Credit and Debit Valuation Adjustments</w:t>
        <w:br/>
        <w:t>Most outstanding derivative positions are transacted over the counter and therefore valued using</w:t>
        <w:br/>
        <w:t>internally developed valuation models. For commercial and non-commercial counterparties where IBRD</w:t>
        <w:br/>
        <w:t>has a net exposure (net receivable position), IBRD calculates a Credit Valuation Adjustment (CVA) to</w:t>
        <w:br/>
        <w:t>reflect credit risk. For net derivative positions with commercial and non-commercial counterparties where</w:t>
        <w:br/>
        <w:t>IBRD is in a net payable position, IBRD calculates a Debit Valuation Adjustment (DVA) to reflect its own</w:t>
        <w:br/>
        <w:t>credit risk.</w:t>
        <w:br/>
        <w:t>The CVA is calculated using future projected exposures of the derivative contracts, net of collateral</w:t>
        <w:br/>
        <w:t>received under credit support agreements, and the probability of counterparty default based on the Credit</w:t>
        <w:br/>
        <w:t>Default Swaps (CDS) spread and, where applicable, proxy CDS spreads. IBRD does not currently hedge</w:t>
        <w:br/>
        <w:t>this exposure. The DVA calculation is generally consistent with the CVA methodology and incorporates</w:t>
        <w:br/>
        <w:t>IBRD’s own credit spread as observed through the CDS market. As of June 30, 2025, IBRD recorded a</w:t>
        <w:br/>
        <w:t>CVA on its Balance Sheet of $36 million, and a DVA of $319 million.</w:t>
        <w:br/>
        <w:t>Changes in Credit Spreads</w:t>
        <w:br/>
        <w:t xml:space="preserve">  •       Borrowings: IBRD’s own credit risk reflects the cost of funding relative to applicable reference rates.</w:t>
        <w:br/>
        <w:t xml:space="preserve">          Changes in IBRD’s credit spreads result in unrealized mark-to-market gains/losses, recorded as</w:t>
        <w:br/>
        <w:t xml:space="preserve">          Net Change in DVA on Fair Value Option elected liabilities in the Statements of Comprehensive</w:t>
        <w:br/>
        <w:t xml:space="preserve">          Income.</w:t>
        <w:br/>
        <w:t xml:space="preserve">  •       Loans: IBRD’s fair value model mainly represents a hypothetical MDB market exit price of the loans</w:t>
        <w:br/>
        <w:t xml:space="preserve">          outstanding. It incorporates CDS spreads as an indicator of the credit risk for each borrower, after</w:t>
        <w:br/>
        <w:t xml:space="preserve">          adjusting recovery levels to incorporate IBRD’s institutional experience and assumptions. These</w:t>
        <w:br/>
        <w:t xml:space="preserve">          assumptions are reviewed annually. IBRD does not hedge its sovereign credit exposure but</w:t>
        <w:br/>
        <w:t xml:space="preserve">          Management assesses its credit risk through a loan loss provisioning framework. The loan loss</w:t>
        <w:br/>
        <w:t xml:space="preserve">          provision represents the expected losses inherent in its accrual and nonaccrual portfolios. IBRD’s</w:t>
        <w:br/>
        <w:t xml:space="preserve">          country credit risk is managed by using individual country exposure limits and by monitoring its</w:t>
        <w:br/>
        <w:t xml:space="preserve">          credit-risk-bearing capacity.</w:t>
        <w:br/>
        <w:t xml:space="preserve">  •       Investments: IBRD purchases investment-grade securities for its liquid asset portfolio. Credit risk is</w:t>
        <w:br/>
        <w:t xml:space="preserve">          controlled through appropriate eligibility criteria (Box 7). The overall risk of the investment portfolio</w:t>
        <w:br/>
        <w:t xml:space="preserve">          is also constrained by a consultative loss limit. In line with these risk management strategies, the</w:t>
        <w:br/>
        <w:t xml:space="preserve">          potential effect of default risk on IBRD’s investment portfolio is therefore small.</w:t>
        <w:br/>
        <w:t xml:space="preserve">  •       Derivatives: IBRD uses derivatives to manage exposures to currency and interest rate risks in its</w:t>
        <w:br/>
        <w:t xml:space="preserve">          investment, loan, other ALM and borrowing portfolios. It is therefore exposed to commercial</w:t>
        <w:br/>
        <w:t xml:space="preserve">          counterparty credit risk on these instruments. This risk is managed through:</w:t>
        <w:br/>
        <w:t xml:space="preserve">            ◦   Stringent selection of commercial derivative counterparties,</w:t>
        <w:br/>
        <w:t xml:space="preserve">            ◦   Daily marking-to-market of derivative positions, and</w:t>
        <w:br/>
        <w:t xml:space="preserve">            ◦   Use of collateral and collateral thresholds for all commercial counterparties.</w:t>
        <w:br/>
        <w:t>The sensitivity of IBRD’s portfolios to changes in credit spreads is shown in Table 37, where the amount</w:t>
        <w:br/>
        <w:t>represents the dollar change in fair value which corresponds to a one basis point parallel upward shift in</w:t>
        <w:br/>
        <w:t>credit spreads.</w:t>
        <w:br/>
        <w:br/>
        <w:t>54  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Section IX: Risk Management</w:t>
        <w:br/>
        <w:br/>
        <w:br/>
        <w:t>Table 37: Effect of Credit on IBRD Portfolios</w:t>
        <w:br/>
        <w:t>In millions of U.S. dollars</w:t>
        <w:br/>
        <w:t xml:space="preserve">                                                                                          Credit Effect on Portfolio</w:t>
        <w:br/>
        <w:t>As of June 30, 2025                                                                              Sensitivity a</w:t>
        <w:br/>
        <w:t xml:space="preserve"> Borrowings                                                                             $                      124</w:t>
        <w:br/>
        <w:t xml:space="preserve"> Loans b                                                                                                        (5)</w:t>
        <w:br/>
        <w:t xml:space="preserve"> Investments c                                                                                                  (3)</w:t>
        <w:br/>
        <w:t xml:space="preserve">  Total gains                                                                           $                      116</w:t>
        <w:br/>
        <w:br/>
        <w:br/>
        <w:t>a. Excludes CVA and DVA on derivatives.</w:t>
        <w:br/>
        <w:t>b. If loans were measured at fair value</w:t>
        <w:br/>
        <w:t>c. Excludes PEBP and PCRF holdings and investments related to LPF1 and GFPP.</w:t>
        <w:br/>
        <w:br/>
        <w:br/>
        <w:t>Market Risk</w:t>
        <w:br/>
        <w:t>IBRD is exposed to changes in interest and exchange rates, and it uses various strategies to minimize its</w:t>
        <w:br/>
        <w:t>exposure to market risk.</w:t>
        <w:br/>
        <w:t>Interest Rate Risk</w:t>
        <w:br/>
        <w:t>Under its current interest rate risk management strategy, IBRD seeks to match the interest rate sensitivity</w:t>
        <w:br/>
        <w:t>of its assets (loan and investment trading portfolios) with those of its liabilities (borrowing portfolio) by</w:t>
        <w:br/>
        <w:t>using derivatives, such as interest rate swaps. These derivatives effectively convert IBRD’s financial</w:t>
        <w:br/>
        <w:t>assets and liabilities into variable-rate instruments. Before these derivatives, 90% of the outstanding</w:t>
        <w:br/>
        <w:t>borrowings had fixed interest rates, and 11% of the loans had fixed interest rates as of June 30, 2025.</w:t>
        <w:br/>
        <w:t>After considering the effects of these derivatives, virtually the entire borrowing and loan portfolios are</w:t>
        <w:br/>
        <w:t>reported at variable interest rates.</w:t>
        <w:br/>
        <w:t xml:space="preserve">  •    Loan and Borrowing Portfolios: In line with IBRD’s financial risk management strategies, the</w:t>
        <w:br/>
        <w:t xml:space="preserve">       sensitivity of IBRD’s loan and borrowing portfolios to changes in interest rates is managed through</w:t>
        <w:br/>
        <w:t xml:space="preserve">       derivatives. As noted earlier, IBRD intends to maintain its positions in these portfolios until maturity</w:t>
        <w:br/>
        <w:t xml:space="preserve">       and thus manages these instruments on a cash flow basis. The resulting net unrealized mark-to-</w:t>
        <w:br/>
        <w:t xml:space="preserve">       market gains and losses on these portfolios, associated with the sensitivity to interest rates, are</w:t>
        <w:br/>
        <w:t xml:space="preserve">       therefore not expected to be realized.</w:t>
        <w:br/>
        <w:t xml:space="preserve">  •    Other ALM: IBRD uses derivatives to convert the variable rate cash flows on loans funded by equity</w:t>
        <w:br/>
        <w:t xml:space="preserve">       back to fixed rate cash flows, thereby stabilizing loan interest revenue over time. Other ALM is</w:t>
        <w:br/>
        <w:t xml:space="preserve">       classified as a non-trading portfolio and these derivatives are recorded at fair value.</w:t>
        <w:br/>
        <w:t xml:space="preserve">  •    Investments: After the effects of derivatives, the duration of the investment trading portfolio is less</w:t>
        <w:br/>
        <w:t xml:space="preserve">       than three months. As a result, the portfolio has a low sensitivity to changes in interest rates,</w:t>
        <w:br/>
        <w:t xml:space="preserve">       resulting in small fair value adjustments to income.</w:t>
        <w:br/>
        <w:t>The sensitivity of these portfolios to interest rate movements, after the effect of derivatives, is shown in</w:t>
        <w:br/>
        <w:t>Table 38 below where the amount represents the dollar change in fair value corresponding to a one basis</w:t>
        <w:br/>
        <w:t>point parallel upward shift in interest rates as of June 30, 2025.</w:t>
        <w:br/>
        <w:br/>
        <w:t>Table 38: Effect of Interest Rates on IBRD's Portfolios</w:t>
        <w:br/>
        <w:t>In millions of U.S. dollars</w:t>
        <w:br/>
        <w:t xml:space="preserve">                                                                                     Net Interest Rates Effect on</w:t>
        <w:br/>
        <w:t>As of June 30, 2025                                                                     Portfolio Sensitivity a</w:t>
        <w:br/>
        <w:t xml:space="preserve"> Borrowing portfolio                                                             $                               (3)</w:t>
        <w:br/>
        <w:t xml:space="preserve"> Loan portfolio b                                                                                                  1</w:t>
        <w:br/>
        <w:t xml:space="preserve">  Other ALM                                                                                                     (24)</w:t>
        <w:br/>
        <w:t xml:space="preserve">  Investment portfolio c                                                                                         (1)</w:t>
        <w:br/>
        <w:t xml:space="preserve">  Total losses                                                                   $                              (27)</w:t>
        <w:br/>
        <w:br/>
        <w:br/>
        <w:t>a. After the effects of derivatives</w:t>
        <w:br/>
        <w:t>b. If loans were measured at fair value.</w:t>
        <w:br/>
        <w:t>c. Excludes PEBP and PCRF holdings and investments related to LPF1 and GFPP.</w:t>
        <w:br/>
        <w:br/>
        <w:br/>
        <w:t xml:space="preserve">                                         IBRD Management's Discussion and Analysis: June 30, 2025                  55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   Section IX: Risk Management</w:t>
        <w:br/>
        <w:br/>
        <w:br/>
        <w:t>Figure 15 depicts the effect of derivatives on the overall sensitivity of borrowing, loan, other ALM and</w:t>
        <w:br/>
        <w:t>investments portfolios. It indicates the extent to which each portfolio is economically hedged. For</w:t>
        <w:br/>
        <w:t>example, for the borrowing portfolio, a one basis point increase in interest rates would result in $118</w:t>
        <w:br/>
        <w:t>million of unrealized mark-to-market gains on bonds, which would be offset by the impact of $121 million</w:t>
        <w:br/>
        <w:t>of unrealized mark-to-market losses on swaps. Loan sensitivities are illustrative as loans are reported at</w:t>
        <w:br/>
        <w:t>amortized cost on the Balance Sheets.</w:t>
        <w:br/>
        <w:t>Figure 15: Sensitivity to Interest Rates</w:t>
        <w:br/>
        <w:t>(Dollar change in fair value corresponding to a one-basis-point upward parallel shift in interest rates)</w:t>
        <w:br/>
        <w:t>In millions of U.S. dollars</w:t>
        <w:br/>
        <w:t>As of June 30, 2025</w:t>
        <w:br/>
        <w:br/>
        <w:br/>
        <w:t xml:space="preserve">        Borrowing Portfolio                   Loan Portfolio                 Other ALM                   Investment Portfolio</w:t>
        <w:br/>
        <w:t xml:space="preserve">                 Swaps Bonds                    Loans Swaps                  Swaps                          Investments Swaps</w:t>
        <w:br/>
        <w:br/>
        <w:t>FY25          -121          118                 -35         36               -24                                      -4 3</w:t>
        <w:br/>
        <w:br/>
        <w:t>FY24            -100        99                   -33        33               -24                                      -2 1</w:t>
        <w:br/>
        <w:br/>
        <w:t xml:space="preserve">       -150     -75    0     75     150 -60    -30     0      30    60 -30     -15     0     15     30     -5    -3     0    3   5</w:t>
        <w:br/>
        <w:br/>
        <w:br/>
        <w:t>Alignment of Assets and Liabilities – IBRD borrows in multiple currency and interest rate bases worldwide</w:t>
        <w:br/>
        <w:t>and lends the proceeds of those borrowings to eligible member countries. IBRD offers its borrowers the</w:t>
        <w:br/>
        <w:t>option of converting the currency and interest rate bases on their loans where there is a liquid swap</w:t>
        <w:br/>
        <w:t>market, thereby enabling them to select loan terms that are best suited to their circumstances. Such</w:t>
        <w:br/>
        <w:t>options meet borrowers’ preferences and help mitigate their currency and interest rate risk. In the</w:t>
        <w:br/>
        <w:t>absence of active risk management, IBRD would be exposed to substantial market risk and asset-liability</w:t>
        <w:br/>
        <w:t>management imbalances. To address such imbalances, IBRD uses derivatives to swap its payment</w:t>
        <w:br/>
        <w:t>obligations on bonds to a currency and interest rate basis that is aligned with its loan portfolio. Likewise,</w:t>
        <w:br/>
        <w:t>when a borrower exercises a conversion option on a loan to change its currency or interest rate basis,</w:t>
        <w:br/>
        <w:t>IBRD uses derivatives to convert its exposure back to a currency and interest rate basis, that is aligned</w:t>
        <w:br/>
        <w:t>with its loan portfolio. Thus, IBRD’s payment obligations on its borrowings are aligned with its loans</w:t>
        <w:br/>
        <w:t>funded by such borrowings – generally, after the effect of derivatives, IBRD primarily pays either U.S.</w:t>
        <w:br/>
        <w:t>dollar or euro, short-term variable rates on its borrowings, and receives either U.S. dollar or euro, short-</w:t>
        <w:br/>
        <w:t>term variable rates on its loans. Figure 16 below illustrates the use of derivatives in the loan and</w:t>
        <w:br/>
        <w:t>borrowing portfolios.</w:t>
        <w:br/>
        <w:t>Figure 16: Use of Derivatives for Loans and Borrowings</w:t>
        <w:br/>
        <w:br/>
        <w:t xml:space="preserve">                Market Debt                                After Derivatives                                    Loans</w:t>
        <w:br/>
        <w:br/>
        <w:br/>
        <w:t xml:space="preserve">               Non-US                                                                                            In multiple</w:t>
        <w:br/>
        <w:t xml:space="preserve">                                    Currency                 In US dollars                 Currency             currencies of</w:t>
        <w:br/>
        <w:t xml:space="preserve">              Currencies</w:t>
        <w:br/>
        <w:t xml:space="preserve">                                     Swaps                     and euros                    Swaps                borrowers'</w:t>
        <w:br/>
        <w:t xml:space="preserve">                                                                                                                 preference</w:t>
        <w:br/>
        <w:br/>
        <w:br/>
        <w:t xml:space="preserve">           In multiple                                                                     Interest               In multiple</w:t>
        <w:br/>
        <w:t xml:space="preserve">                                    Interest                  Reference</w:t>
        <w:br/>
        <w:t xml:space="preserve">          interest rate                                                                      Rate                interest rate</w:t>
        <w:br/>
        <w:t xml:space="preserve">                                  Rate Swaps                  rate-based</w:t>
        <w:br/>
        <w:t xml:space="preserve">         bases or fixed                                                                     Swaps               bases or fixed</w:t>
        <w:br/>
        <w:t xml:space="preserve">                                                             floating rate</w:t>
        <w:br/>
        <w:t xml:space="preserve">          coupon rate                                                                                            coupon rate</w:t>
        <w:br/>
        <w:br/>
        <w:br/>
        <w:t>56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IX: Risk Management</w:t>
        <w:br/>
        <w:br/>
        <w:br/>
        <w:t>Derivatives are also used to manage market risk in the liquidity portfolio. In line with its development</w:t>
        <w:br/>
        <w:t>mandate, IBRD maintains a large liquidity balance to ensure that it can make payments on its borrowing</w:t>
        <w:br/>
        <w:t>obligations and loan disbursements, even in the event of severe market disruptions. Pending</w:t>
        <w:br/>
        <w:t>disbursement, the liquidity portfolio is invested on a global basis in multiple currencies and interest rates.</w:t>
        <w:br/>
        <w:t>Derivatives are also used to align the currency and duration of investments with the debt funding the</w:t>
        <w:br/>
        <w:t>liquidity portfolio. Figure 17 below illustrates the use of derivatives in the liquidity portfolio:</w:t>
        <w:br/>
        <w:t>Figure 17: Use of Derivatives for Investments</w:t>
        <w:br/>
        <w:br/>
        <w:t xml:space="preserve">           Market Debt                       After Derivatives                      Liquidity Portfolio</w:t>
        <w:br/>
        <w:br/>
        <w:br/>
        <w:t xml:space="preserve">          Non-US</w:t>
        <w:br/>
        <w:t xml:space="preserve">         Currencies          Currency            In US dollars         Currency             In multiple</w:t>
        <w:br/>
        <w:t xml:space="preserve">                              Swaps                                     Swaps               currencies</w:t>
        <w:br/>
        <w:br/>
        <w:br/>
        <w:t xml:space="preserve">                                                                                            In multiple</w:t>
        <w:br/>
        <w:t xml:space="preserve">         In multiple                              Reference              Interest          interest rate</w:t>
        <w:br/>
        <w:t xml:space="preserve">        interest rate        Interest             rate-based               Rate           bases or fixed</w:t>
        <w:br/>
        <w:t xml:space="preserve">       bases or fixed      Rate Swaps            floating rate            Swaps            coupon rate</w:t>
        <w:br/>
        <w:t xml:space="preserve">        coupon rate</w:t>
        <w:br/>
        <w:br/>
        <w:br/>
        <w:t>Other ALM – Given most loans carry variable rates, for the portion of loans that are funded by equity, loan</w:t>
        <w:br/>
        <w:t>interest revenue, if left unmanaged, would be highly sensitive to fluctuations in short-term interest rates.</w:t>
        <w:br/>
        <w:t>The Equity-to-Loans ratio of 21.6% indicates the portion of loans funded by equity. To manage this</w:t>
        <w:br/>
        <w:t>exposure, Management has put in place a framework with the primary goal of stabilizing this revenue.</w:t>
        <w:br/>
        <w:t>Under this framework, IBRD uses derivatives to convert the variable rate cash flows on loans funded by</w:t>
        <w:br/>
        <w:t>equity back to fixed rate cash flows, thereby stabilizing loan interest revenue over time. See Figure 18</w:t>
        <w:br/>
        <w:t>below.</w:t>
        <w:br/>
        <w:t>Figure 18: Use of Derivatives for Other ALM</w:t>
        <w:br/>
        <w:br/>
        <w:t xml:space="preserve"> Equity-Funded Loans</w:t>
        <w:br/>
        <w:t xml:space="preserve">                                                     After Derivatives</w:t>
        <w:br/>
        <w:t>(After Loan Derivatives)</w:t>
        <w:br/>
        <w:br/>
        <w:br/>
        <w:t xml:space="preserve">          Floating</w:t>
        <w:br/>
        <w:t xml:space="preserve">                                                         Fixed Rate</w:t>
        <w:br/>
        <w:t xml:space="preserve">       Interest Rate       Interest Rate Swaps           Cash Flows</w:t>
        <w:br/>
        <w:t xml:space="preserve">        Cash Flows</w:t>
        <w:br/>
        <w:br/>
        <w:br/>
        <w:t>Although interest rates have been rising, low and negative interest rates present a challenge for various</w:t>
        <w:br/>
        <w:t>IBRD portfolios.</w:t>
        <w:br/>
        <w:t>Loans to borrowing countries:</w:t>
        <w:br/>
        <w:t>Under IBRD’s loan agreements, if an interest rate formula yields a negative rate, the interest rate charged</w:t>
        <w:br/>
        <w:t>is zero.</w:t>
        <w:br/>
        <w:t>Liquid Asset Portfolio:</w:t>
        <w:br/>
        <w:t>IBRD’s existing guidelines allow for the investment in a wide variety of credit products in both developed</w:t>
        <w:br/>
        <w:t>and emerging market economies (see investment eligibility criteria in Box 7). In FY25, IBRD’s liquid asset</w:t>
        <w:br/>
        <w:t>portfolio incurred unrealized mark-to-market losses due to the sharp increase in interest rates.</w:t>
        <w:br/>
        <w:br/>
        <w:br/>
        <w:t xml:space="preserve">                                      IBRD Management's Discussion and Analysis: June 30, 2025             57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IX: Risk Management</w:t>
        <w:br/>
        <w:br/>
        <w:br/>
        <w:t>The interest rate risk on IBRD’s liquid asset portfolio, including the risk that the value of assets in the</w:t>
        <w:br/>
        <w:t>portfolio will fluctuate in response to changes in market interest rates, is managed within specified</w:t>
        <w:br/>
        <w:t>duration-mismatch limits. The liquid asset portfolio has spread exposure because IBRD holds instruments</w:t>
        <w:br/>
        <w:t>other than short-term bank deposits. These investments generally yield positive returns over the risk-free</w:t>
        <w:br/>
        <w:t>reference rate (Secured Overnight Financing Rate - SOFR) but can generate mark-to-market gains or</w:t>
        <w:br/>
        <w:t>losses if the credit spread moves.</w:t>
        <w:br/>
        <w:t>Fixed Spread Loan Refinancing Risk</w:t>
        <w:br/>
        <w:t>Refinancing risk for funding fixed-spread loans relates to the potential impact of any future deterioration in</w:t>
        <w:br/>
        <w:t>IBRD's funding spread relative to what was computed in the fixed-spread when the loan was initially</w:t>
        <w:br/>
        <w:t>disbursed. IBRD does not match the maturity of its funding with that of its fixed spread loans as this would</w:t>
        <w:br/>
        <w:t>result in significantly higher financing costs for all loans. Instead, IBRD targets a shorter average funding</w:t>
        <w:br/>
        <w:t>maturity and manages the refinancing risk by charging a risk premium.</w:t>
        <w:br/>
        <w:t>Effective April 1, 2021, IBRD’s offering of loans on fixed spread terms has been suspended.</w:t>
        <w:br/>
        <w:t>Other Interest Rate Risks</w:t>
        <w:br/>
        <w:t>Interest rate risk also arises from other variables, including differences in timing between the contractual</w:t>
        <w:br/>
        <w:t>maturities or re-pricing of IBRD’s assets, liabilities, and derivative instruments. On variable-rate assets</w:t>
        <w:br/>
        <w:t>and liabilities, IBRD is exposed to timing mismatches between the re-set dates on its variable-rate</w:t>
        <w:br/>
        <w:t>receivables and payables. IBRD monitors these exposures and may execute overlay interest rates swaps</w:t>
        <w:br/>
        <w:t>to reduce sizable timing mismatches.</w:t>
        <w:br/>
        <w:t>Exchange Rate Risk</w:t>
        <w:br/>
        <w:t>IBRD holds the majority of its assets and liabilities in U.S. dollars and euro. However, the reported levels</w:t>
        <w:br/>
        <w:t>of its assets, liabilities, income, and expenses in the financial statements are affected by exchange rate</w:t>
        <w:br/>
        <w:t>movements in all the currencies in which IBRD transacts, relative to its reporting currency, the U.S. dollar.</w:t>
        <w:br/>
        <w:t>IBRD’s functional currencies are the U.S. dollar and euro. Currency translation adjustments relating to</w:t>
        <w:br/>
        <w:t>euro-denominated balances are reflected in other comprehensive income, a component of equity.</w:t>
        <w:br/>
        <w:t>Currency translation adjustments relating to non-euro denominated balances (non-functional currencies)</w:t>
        <w:br/>
        <w:t>are reported in the Statements of Income. While IBRD’s equity could be affected by exchange rate</w:t>
        <w:br/>
        <w:t>movements, IBRD’s risk management policies work to minimize the exchange rate risk in its capital</w:t>
        <w:br/>
        <w:t>adequacy, by immunizing the Equity-to-Loans ratio against exchange rate movements.</w:t>
        <w:br/>
        <w:t>To minimize exchange risk, IBRD matches its borrowing obligations in any one currency (after derivatives)</w:t>
        <w:br/>
        <w:t>with assets in the same currency. In addition, IBRD undertakes periodic currency conversions to align the</w:t>
        <w:br/>
        <w:t>currency composition of its equity with that of its outstanding loans across major currencies. Together,</w:t>
        <w:br/>
        <w:t>these policies are designed to minimize the impact of exchange rate fluctuations on the Equity-to-Loans</w:t>
        <w:br/>
        <w:t>ratio; thereby preserving IBRD’s ability to better absorb unexpected losses from arrears on loan</w:t>
        <w:br/>
        <w:t>repayments, regardless of exchange rate movements. As a result, exchange rate movements during the</w:t>
        <w:br/>
        <w:t>year generally do not have an impact on the overall Equity-to-Loans ratio.</w:t>
        <w:br/>
        <w:t>The currency composition of the Loan portfolio (after the effect of associated derivatives) as of June 30,</w:t>
        <w:br/>
        <w:t>2025 mainly consists of 79% U.S. Dollars and 20% euros.</w:t>
        <w:br/>
        <w:t>The currency composition of the Borrowing portfolio (after the effect of associated derivatives) funding</w:t>
        <w:br/>
        <w:t>loans as of June 30, 2025 mainly consists of 79% U.S. Dollars and 20% euros.</w:t>
        <w:br/>
        <w:t>Liquidity Risk</w:t>
        <w:br/>
        <w:t>Liquidity risk arises in the general funding of IBRD’s activities and in managing its financial position. It</w:t>
        <w:br/>
        <w:t>includes the risk of IBRD being unable to fund its portfolio of assets at appropriate maturities and rates,</w:t>
        <w:br/>
        <w:t>and the risk of being unable to liquidate a position in a timely manner at a reasonable price.</w:t>
        <w:br/>
        <w:t>Under IBRD’s liquidity management guidelines, aggregate liquid asset holdings are kept at or above a</w:t>
        <w:br/>
        <w:t>specified Prudential Minimum to safeguard against cash flow interruptions.</w:t>
        <w:br/>
        <w:t>The Target Liquidity Level represents twelve-months’ coverage as calculated at the start of every fiscal</w:t>
        <w:br/>
        <w:t>year. The Prudential Minimum is defined as 80% of the Target Liquidity Level. The maximum guideline of</w:t>
        <w:br/>
        <w:br/>
        <w:br/>
        <w:t>58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Section IX: Risk Management</w:t>
        <w:br/>
        <w:br/>
        <w:br/>
        <w:t>150% of the Target Liquidity Level continues to function as a guideline rather than a hard ceiling (Table</w:t>
        <w:br/>
        <w:t>39).</w:t>
        <w:br/>
        <w:br/>
        <w:t>Table 39: Liquidity Levels</w:t>
        <w:br/>
        <w:t xml:space="preserve">                                                   In billions of      % of Target</w:t>
        <w:br/>
        <w:t xml:space="preserve"> Effective for FY25                                U.S. dollars     Liquidity Level</w:t>
        <w:br/>
        <w:t>Target Liquidity Level                         $           65.0</w:t>
        <w:br/>
        <w:t>Guideline Maximum Liquidity Level                          97.5             150 %</w:t>
        <w:br/>
        <w:t>Prudential Minimum Liquidity Level                         52.0              80 %</w:t>
        <w:br/>
        <w:t>Liquid Asset Portfolio as of June 30, 2025     $           96.0             148 %</w:t>
        <w:br/>
        <w:br/>
        <w:t>The FY26 Target Liquidity Level is set at $79.0 billion, $14.0 billion higher than FY25 Target Liquidity</w:t>
        <w:br/>
        <w:t>Level due to higher projected debt service and net loan disbursements in FY26.</w:t>
        <w:br/>
        <w:br/>
        <w:t>Operational Risk</w:t>
        <w:br/>
        <w:t>Operational risk is defined as the risk of financial loss or damage to IBRD’s reputation resulting from</w:t>
        <w:br/>
        <w:t>inadequate or failed internal processes, people and systems, or from external events.</w:t>
        <w:br/>
        <w:t>IBRD recognizes the importance of operational risk management activities, which are embedded in its</w:t>
        <w:br/>
        <w:t>financial operations. As part of its business activities, IBRD is exposed to a range of operational risks</w:t>
        <w:br/>
        <w:t>including physical security, staff health and safety, information security and data privacy, business</w:t>
        <w:br/>
        <w:t>continuity, and third-party risks. IBRD’s approach to identifying and managing operational risk includes a</w:t>
        <w:br/>
        <w:t>dedicated program for these risks and a robust process that includes assessing and prioritizing</w:t>
        <w:br/>
        <w:t>operational risks, monitoring and reporting relevant key risk indicators, aggregating and analyzing internal</w:t>
        <w:br/>
        <w:t>and external events, identifying emerging risks that may affect business units, and developing risk</w:t>
        <w:br/>
        <w:t>responses and mitigating actions.</w:t>
        <w:br/>
        <w:t>Cybersecurity Risk Management</w:t>
        <w:br/>
        <w:t>IBRD’s operations rely on the secure processing, storage and transmission of confidential and other</w:t>
        <w:br/>
        <w:t>information in computer systems and networks. Like other financial institutions, cybersecurity risk</w:t>
        <w:br/>
        <w:t>continues to be significant for IBRD due to the evolving sophistication and complexity of the cyber threat</w:t>
        <w:br/>
        <w:t>landscape. These risks are unavoidable and IBRD seeks to manage them on a cost-effective basis</w:t>
        <w:br/>
        <w:t>consistent with its risk appetite.</w:t>
        <w:br/>
        <w:t>To protect the security of its computer systems, software, networks and other technology assets, IBRD</w:t>
        <w:br/>
        <w:t>has developed a cybersecurity risk management program, aligned with its Operational Risk Management</w:t>
        <w:br/>
        <w:t>Framework. This program consists of cybersecurity policies, procedures, compliance and awareness</w:t>
        <w:br/>
        <w:t>programs. A multi-layered approach for cybersecurity risk management is employed to prevent and detect</w:t>
        <w:br/>
        <w:t>malicious activity, both from within the organization and from external sources. In response to emerging</w:t>
        <w:br/>
        <w:t>cyber threats such as malware including ransomware, denial of service, phishing attacks and artificial</w:t>
        <w:br/>
        <w:t>intelligence related risks, IBRD adapts its technical and process-level controls and enhances user</w:t>
        <w:br/>
        <w:t>awareness to mitigate the risk. When relying on third-party vendors for technology-enabled services,</w:t>
        <w:br/>
        <w:t>additional meaningful and diligent measures are applied to gain assurance regarding the security of its</w:t>
        <w:br/>
        <w:t>information and technology assets including, as appropriate, legal and cybersecurity contractual</w:t>
        <w:br/>
        <w:t>safeguards in third-party vendor agreements and the review and monitoring of third-party control</w:t>
        <w:br/>
        <w:t>environments.</w:t>
        <w:br/>
        <w:t>IBRD periodically assesses the maturity and effectiveness of its cyber defenses through risk mitigation</w:t>
        <w:br/>
        <w:t>techniques, including but not limited to, targeted testing, internal and external audits, incident response</w:t>
        <w:br/>
        <w:t>desktop exercises and industry benchmarking.</w:t>
        <w:br/>
        <w:br/>
        <w:br/>
        <w:t xml:space="preserve">                                             IBRD Management's Discussion and Analysis: June 30, 2025   59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X: Contractual Obligations</w:t>
        <w:br/>
        <w:br/>
        <w:br/>
        <w:t>Section X: Contractual Obligations</w:t>
        <w:br/>
        <w:t>In conducting its business, IBRD takes on contractual obligations that may require future payments.</w:t>
        <w:br/>
        <w:t>These include borrowings, operating and finance leases, contractual purchases, capital expenditures, and</w:t>
        <w:br/>
        <w:t>other long-term liabilities. Table 40 shows IBRD’s contractual obligations for the next five years and</w:t>
        <w:br/>
        <w:t>thereafter; it excludes the following obligations reflected on IBRD’s Balance Sheets: undisbursed loans,</w:t>
        <w:br/>
        <w:t>amounts payable for currency and interest rate swaps, amounts payable for investment securities</w:t>
        <w:br/>
        <w:t>purchased, guarantees, and cash received under agency arrangements.</w:t>
        <w:br/>
        <w:t xml:space="preserve">  •    Borrowings: IBRD issues debt in the form of securities to private and governmental buyers.</w:t>
        <w:br/>
        <w:t xml:space="preserve">  •    Finance Leases: IBRD reclassified a land lease as a finance lease following the execution of a</w:t>
        <w:br/>
        <w:t xml:space="preserve">       purchase and sale agreement during the fiscal year ended June 30, 2025. The amount due in one</w:t>
        <w:br/>
        <w:t xml:space="preserve">       year represents future cash payments for real estate-related obligations based on the contractual</w:t>
        <w:br/>
        <w:t xml:space="preserve">       amounts payable until the purchase is completed in June 2026 as planned.</w:t>
        <w:br/>
        <w:t xml:space="preserve">  •    Operating Leases: IBRD leases real estate and equipment under lease agreements for varying</w:t>
        <w:br/>
        <w:t xml:space="preserve">       periods. Operating lease expenditures represents future cash payments for real estate-related</w:t>
        <w:br/>
        <w:t xml:space="preserve">       obligations and equipment, based on contractual amounts.</w:t>
        <w:br/>
        <w:t xml:space="preserve">  •    Contractual Purchases: IBRD is a party to various obligations to purchase products and services,</w:t>
        <w:br/>
        <w:t xml:space="preserve">       which are purchase commitments in the ordinary course of business.</w:t>
        <w:br/>
        <w:t xml:space="preserve">  •    Other Long-Term Liabilities: IBRD provides a variety of benefits to its employees. As some of these</w:t>
        <w:br/>
        <w:t xml:space="preserve">       benefits are of a long-term nature, IBRD records the associated liability on its Balance Sheets. The</w:t>
        <w:br/>
        <w:t xml:space="preserve">       obligations payable represents expected benefit payments as well as contributions to the pension</w:t>
        <w:br/>
        <w:t xml:space="preserve">       plans. These include future service and pay accruals for current staff and new staff projections for</w:t>
        <w:br/>
        <w:t xml:space="preserve">       the next 10 years.</w:t>
        <w:br/>
        <w:t>Operating leases, contractual purchases and capital expenditures, and other long-term obligations include</w:t>
        <w:br/>
        <w:t>obligations shared with IDA, IFC, and MIGA under cost-sharing and service arrangements. These</w:t>
        <w:br/>
        <w:t>arrangements reflect the WBG strategy of maximizing synergies, to best leverage resources for</w:t>
        <w:br/>
        <w:t>development (see Notes to Financial Statements, Note H for Transactions with Affiliated Organizations).</w:t>
        <w:br/>
        <w:br/>
        <w:t>Table 40: Contractual Obligations</w:t>
        <w:br/>
        <w:t>In millions of U.S. dollars</w:t>
        <w:br/>
        <w:t xml:space="preserve">                                                                        As of June 30, 2025</w:t>
        <w:br/>
        <w:t xml:space="preserve">                                                         Due after 1        Due after 3</w:t>
        <w:br/>
        <w:t xml:space="preserve">                                     Due in 1 year                                                Due After 5</w:t>
        <w:br/>
        <w:t xml:space="preserve">                                                         Year up to 3      Years up to 5                            Total</w:t>
        <w:br/>
        <w:t xml:space="preserve">                                       or Less                                                      years</w:t>
        <w:br/>
        <w:t xml:space="preserve">                                                           Years              Years</w:t>
        <w:br/>
        <w:t>Borrowings                          $       47,162   $         74,298     $       71,827      $       112,874   $    306,161</w:t>
        <w:br/>
        <w:t>Finance leases                                  11                 —                  —                    —              11</w:t>
        <w:br/>
        <w:t>Operating leases                                61                 57                 28                    9            155</w:t>
        <w:br/>
        <w:t>Contractual purchases                          644                 20                  4                    8            676</w:t>
        <w:br/>
        <w:t>Other long-term liabilities                    777                201                115                  224          1,317</w:t>
        <w:br/>
        <w:t>Total                               $       48,655   $         74,576     $       71,974      $       113,115   $    308,320</w:t>
        <w:br/>
        <w:br/>
        <w:br/>
        <w:t>60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Section XI: Pension &amp; Other Post-Retirement Benefits</w:t>
        <w:br/>
        <w:br/>
        <w:br/>
        <w:t>Section XI: Pension &amp; Other Post-Retirement Benefits</w:t>
        <w:br/>
        <w:t>Governance</w:t>
        <w:br/>
        <w:t>IBRD participates, along with IFC and MIGA, in pension and post-retirement benefit plans. The Staff</w:t>
        <w:br/>
        <w:t>Retirement Plan and Trust (SRP), Retired Staff Benefits Plan and Trust (RSBP), and PEBP (collectively</w:t>
        <w:br/>
        <w:t>called the “Plans”) are defined benefit plans and cover all WBG employees, retirees and their</w:t>
        <w:br/>
        <w:t>beneficiaries. Costs, assets, and liabilities associated with the Plans are allocated among IBRD, IFC, and</w:t>
        <w:br/>
        <w:t>MIGA, based on their employees' respective participation in the Plans. Costs allocated to IBRD are</w:t>
        <w:br/>
        <w:t>subsequently shared with IDA, based on an agreed cost-sharing ratio (see Notes to Financial Statements,</w:t>
        <w:br/>
        <w:t>Note K: Pension and Other Post-Retirement Benefits).</w:t>
        <w:br/>
        <w:t>The benefits of the Plans at retirement are determined pursuant to the Plan Documents adopted by the</w:t>
        <w:br/>
        <w:t>Board (Plan Document). IBRD has a contractual obligation to make benefit payments to the Plans’</w:t>
        <w:br/>
        <w:t>beneficiaries. The governance mechanism of the Plans, including the funding and investment policies</w:t>
        <w:br/>
        <w:t>described here, are designed to support this objective.</w:t>
        <w:br/>
        <w:t>There are two committees that govern the Plans. From a governance standpoint, both committees are</w:t>
        <w:br/>
        <w:t>independent of IBRD and the Board.</w:t>
        <w:br/>
        <w:t xml:space="preserve">    •   The Pension Finance Committee (PFC), which is responsible for the financial management of the</w:t>
        <w:br/>
        <w:t xml:space="preserve">        Plans and is supported by the Pension Finance Administrator.</w:t>
        <w:br/>
        <w:t xml:space="preserve">    •   The Pension Benefits Administration Committee (PBAC), which is responsible for the</w:t>
        <w:br/>
        <w:t xml:space="preserve">        administration of the benefits of the Plans.</w:t>
        <w:br/>
        <w:t>Contributions to the SRP and RSBP are irrevocable, with assets held in separate trusts, and the PEBP</w:t>
        <w:br/>
        <w:t>assets are included in IBRD's investment portfolio. IBRD acts as trustee for the Plans and the assets are</w:t>
        <w:br/>
        <w:t>used for the exclusive benefit of the participants and their beneficiaries. The objective of the Plans is to</w:t>
        <w:br/>
        <w:t>accumulate sufficient assets to meet future pension benefit obligations. As of June 30, 2025, IBRD and</w:t>
        <w:br/>
        <w:t>IDA’s share of the assets amounted to $34.7 billion (Table 41). This represents the accumulated</w:t>
        <w:br/>
        <w:t>contributions paid into the plans net of benefit payments, together with the accumulated value of</w:t>
        <w:br/>
        <w:t>investment earnings, net of related expenses.</w:t>
        <w:br/>
        <w:br/>
        <w:t>Funding and Investment Policies</w:t>
        <w:br/>
        <w:t>The key policies underpinning the financial management of the Plans, including the determination of WBG</w:t>
        <w:br/>
        <w:t>contributions and the investment of Plan assets, are the funding and investment policies. The objective of</w:t>
        <w:br/>
        <w:t>these policies is to ensure that the Plans have sufficient assets to meet benefit payments over the long</w:t>
        <w:br/>
        <w:t>term. The funding policy, as approved by the PFC, establishes the rules that determine the WBG’s</w:t>
        <w:br/>
        <w:t>contributions. The policy seeks to fund the Plans in a consistent and timely manner, while at the same</w:t>
        <w:br/>
        <w:t>time avoiding excessive volatility in WBG contributions. The funding policy determines how much the</w:t>
        <w:br/>
        <w:t>WBG must contribute annually to sustain and ensure the accumulation of sufficient assets over time to</w:t>
        <w:br/>
        <w:t>meet the expected benefit payments. Under the Plan Document, the PFC determines the WBG</w:t>
        <w:br/>
        <w:t>contribution based on actuarial valuations. IBRD is required to make the contribution determined by the</w:t>
        <w:br/>
        <w:t>PFC. In FY25, the WBG’s rate for contributions to the Plans was 12.71% of salaries.</w:t>
        <w:br/>
        <w:t>The Projected Benefit Obligation (PBO) is derived from AA-rated corporate bonds, as required by U.S.</w:t>
        <w:br/>
        <w:t>GAAP. The selection of this rate as the basis for the discount rate is to establish a liability equivalent to an</w:t>
        <w:br/>
        <w:t>amount that if invested in high-quality fixed income securities would match the benefit payment stream.</w:t>
        <w:br/>
        <w:t>While this measure is based on an objective, observable market rate, it does not necessarily reflect the</w:t>
        <w:br/>
        <w:t>realized or expected returns of the Plan which depend on how the Plans are managed and invested. The</w:t>
        <w:br/>
        <w:t>PBO for funding purposes is discounted using a 3.5% real discount rate since the funding strategy for the</w:t>
        <w:br/>
        <w:t>Plans is based on a target of 3.5% real return on investments. This rate constitutes the long-term return</w:t>
        <w:br/>
        <w:t>objective for the Plan’s assets, referred to as the Long-Term Real Return Objective (LTRRO), which</w:t>
        <w:br/>
        <w:t>Management has followed since the year ended June 30, 1999 and last reaffirmed under the strategic</w:t>
        <w:br/>
        <w:t>asset allocation review in April 2024. If the return on pension assets is 3.5% in real terms and</w:t>
        <w:br/>
        <w:t>contributions are made at the actuarially required rates (which reflect the long-term cost of the plan</w:t>
        <w:br/>
        <w:t>benefit), the Plan benefits will be funded over time.</w:t>
        <w:br/>
        <w:br/>
        <w:br/>
        <w:t xml:space="preserve">                                       IBRD Management's Discussion and Analysis: June 30, 2025             61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Section XI: Pension &amp; Other Post-Retirement Benefits</w:t>
        <w:br/>
        <w:br/>
        <w:br/>
        <w:t>The assets of the Plans are diversified across a variety of asset classes, with the objective of achieving</w:t>
        <w:br/>
        <w:t>returns consistent with the LTRRO over the long term without taking undue risks. The returns on</w:t>
        <w:br/>
        <w:t>investments for the Plans have met or exceeded the LTRRO on a consistent basis in the long term as well</w:t>
        <w:br/>
        <w:t>as in recent years. The PFC periodically reviews the LTRRO for realism and appropriateness. See Notes</w:t>
        <w:br/>
        <w:t>to Financial Statements, Note K: Pension and Other Post-Retirement Benefits for asset allocation,</w:t>
        <w:br/>
        <w:t>expected return on Plan assets and assumptions used to determine the PBO.</w:t>
        <w:br/>
        <w:t>The Plan has a long-standing Environmental, Social and Governance (ESG) policy that reflects the latest</w:t>
        <w:br/>
        <w:t>developments in and understanding of responsible investments and ESG integration. The ESG policy is</w:t>
        <w:br/>
        <w:t>based on a principled and pragmatic approach in accordance with and subject to the fiduciary standard</w:t>
        <w:br/>
        <w:t>applicable to the administration and investment of Plan assets. The Plan’s ESG policy outlines a practical</w:t>
        <w:br/>
        <w:t>approach to ESG integration and responsible ownership, providing an operational framework for a</w:t>
        <w:br/>
        <w:t>consistent consideration of relevant ESG issues applicable to each asset class, as well as for the conduct</w:t>
        <w:br/>
        <w:t>of corporate engagement and proxy voting on the Plan’s applicable equity holdings.</w:t>
        <w:br/>
        <w:br/>
        <w:t>Projected Benefit Obligations</w:t>
        <w:br/>
        <w:t>Given that pension plan liabilities can be defined and measured in different ways, it is possible to have</w:t>
        <w:br/>
        <w:t>different funded status measures for the same plans. The most widely used and publicly disclosed</w:t>
        <w:br/>
        <w:t>measure of pension plan liabilities is the PBO measure required under U.S. GAAP. It reflects the present</w:t>
        <w:br/>
        <w:t>value of all retirement benefits earned by participants (adjusted for assumed inflation) as of a given date,</w:t>
        <w:br/>
        <w:t>including projected salary increases to retirement. Therefore, the PBO measure is an appropriate metric</w:t>
        <w:br/>
        <w:t>for assessing the ability of the Plans to cover expected benefits as of a certain date. The underlying</w:t>
        <w:br/>
        <w:t>actuarial assumptions used to determine the PBO, accumulated benefit obligations, and funded status</w:t>
        <w:br/>
        <w:t>associated with the Plans are based on financial market interest rates, experience, and Management's</w:t>
        <w:br/>
        <w:t>best estimate of future benefit changes, economic conditions and earnings from plan assets.</w:t>
        <w:br/>
        <w:br/>
        <w:t>Table 41: Funded Status of the Plans</w:t>
        <w:br/>
        <w:t>In millions of U.S. dollars</w:t>
        <w:br/>
        <w:t xml:space="preserve">                                                                      As of June 30, 2025</w:t>
        <w:br/>
        <w:t xml:space="preserve">                                                          SRP            RSBP              PEBP            Total</w:t>
        <w:br/>
        <w:t xml:space="preserve"> PBO                                        $         (21,555) $       (2,725) $          (2,070) $    (26,350)</w:t>
        <w:br/>
        <w:t xml:space="preserve"> Plan assets                                            27,400           4,921              2,359        34,680</w:t>
        <w:br/>
        <w:t xml:space="preserve">    Net position                            $            5,845 $         2,196 $              289 $       8,330</w:t>
        <w:br/>
        <w:br/>
        <w:br/>
        <w:t xml:space="preserve"> IBRD's funded status                                                                            $       3,908</w:t>
        <w:br/>
        <w:br/>
        <w:br/>
        <w:t xml:space="preserve">                                                                      As of June 30, 2024</w:t>
        <w:br/>
        <w:t xml:space="preserve">                                                          SRP            RSBP              PEBP            Total</w:t>
        <w:br/>
        <w:t xml:space="preserve"> PBO                                        $         (22,166) $       (3,408) $          (2,097) $    (27,671)</w:t>
        <w:br/>
        <w:t xml:space="preserve"> Plan assets                                            25,689           4,540              2,135        32,364</w:t>
        <w:br/>
        <w:t xml:space="preserve">    Net position                            $            3,523 $         1,132 $               38 $       4,693</w:t>
        <w:br/>
        <w:br/>
        <w:br/>
        <w:t xml:space="preserve"> IBRD's funded status                                                                            $       2,235</w:t>
        <w:br/>
        <w:br/>
        <w:t>The discount rate used to convert future obligations into today’s dollars is derived from high-grade, AA-</w:t>
        <w:br/>
        <w:t>rated corporate bond yields as required by U.S. GAAP. The overfunded status of the pension plans for</w:t>
        <w:br/>
        <w:t>IBRD and IDA of $8,330 million as of June 30, 2025, net of PEBP assets, primarily reflects the actuarial</w:t>
        <w:br/>
        <w:t>gains in the projected benefit obligations as a result of the decrease in the expected inflation rate and the</w:t>
        <w:br/>
        <w:t>increase in the nominal discount rate, as well as the increase in the value of the Plan Assets due to</w:t>
        <w:br/>
        <w:t>higher-than-expected asset returns. As the Plans are managed with a long-term horizon, results over</w:t>
        <w:br/>
        <w:t>shorter time periods may be impacted positively or negatively by market fluctuations.</w:t>
        <w:br/>
        <w:br/>
        <w:br/>
        <w:t>62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Section XII: Critical Accounting Policies and the Use of Estimates</w:t>
        <w:br/>
        <w:br/>
        <w:br/>
        <w:t>Section XII: Critical Accounting Policies and the Use</w:t>
        <w:br/>
        <w:t>of Estimates</w:t>
        <w:br/>
        <w:t>IBRD’s significant accounting policies, as well as estimates made by Management, are integral to its</w:t>
        <w:br/>
        <w:t>financial reporting. While all of these policies require a certain level of judgment and estimates, significant</w:t>
        <w:br/>
        <w:t>policies require Management to make highly difficult, complex, and subjective judgments as these relate</w:t>
        <w:br/>
        <w:t>to matters inherently uncertain and susceptible to change. Note A to the financial statements contains a</w:t>
        <w:br/>
        <w:t>summary of IBRD’s significant accounting policies including a discussion of recently issued accounting</w:t>
        <w:br/>
        <w:t>pronouncements.</w:t>
        <w:br/>
        <w:br/>
        <w:t>Fair Value of Financial Instruments</w:t>
        <w:br/>
        <w:t>The fair values of financial instruments are based on a three-level hierarchy. For financial instruments</w:t>
        <w:br/>
        <w:t>classified as Level 1 or 2, less judgment is applied in arriving at fair value measures as the inputs are</w:t>
        <w:br/>
        <w:t>based on observable market data. For financial instruments classified as Level 3, unobservable inputs are</w:t>
        <w:br/>
        <w:t>used. These require Management to make important assumptions and judgments in determining fair</w:t>
        <w:br/>
        <w:t>value measures. Investments measured at net asset value per share (or its equivalent) are not classified</w:t>
        <w:br/>
        <w:t>in the fair value hierarchy.</w:t>
        <w:br/>
        <w:t>Most of IBRD’s financial instruments which are recorded at fair value are classified as Levels 1 and 2.</w:t>
        <w:br/>
        <w:t>Table 42 presents the summary of the fair value of financial instruments recorded at fair value on a</w:t>
        <w:br/>
        <w:t>recurring basis, and the amounts measured using significant Level 3 inputs. IBRD’s level 3 instruments</w:t>
        <w:br/>
        <w:t>are mainly structured bonds and related swaps held in the borrowing portfolio; these use market</w:t>
        <w:br/>
        <w:t>observable inputs and unobservable inputs such as correlations, interest rate volatilities, and equity index</w:t>
        <w:br/>
        <w:t>volatilities. There were no Level 3 instruments in IBRD’s investment or loan portfolios as of June 30, 2025.</w:t>
        <w:br/>
        <w:t>All of IBRD’s loans were reported at amortized cost as of June 30, 2025.</w:t>
        <w:br/>
        <w:br/>
        <w:t>Table 42: Fair Value Level 3 Summary</w:t>
        <w:br/>
        <w:t>In millions U.S. dollars</w:t>
        <w:br/>
        <w:t>For the fiscal year ended June 30,                            2025                               2024</w:t>
        <w:br/>
        <w:t xml:space="preserve">                                                                      Total</w:t>
        <w:br/>
        <w:t xml:space="preserve">                                                    Level 3                            Level 3          Total Balance</w:t>
        <w:br/>
        <w:t xml:space="preserve">                                                                     Balance</w:t>
        <w:br/>
        <w:t>Total Assets at fair value                   $            356   $ 115,364         $          263   $            94,842</w:t>
        <w:br/>
        <w:t>As a percentage of total assets                          0.31 %                             0.28 %</w:t>
        <w:br/>
        <w:br/>
        <w:t>Total Liabilities at fair value              $          5,121   $ 330,706         $        4,349   $           296,712</w:t>
        <w:br/>
        <w:t>As a percentage of total liabilities                     1.55 %                             1.47 %</w:t>
        <w:br/>
        <w:br/>
        <w:br/>
        <w:t>IBRD reviews the methodology, inputs, and assumptions on a quarterly basis to assess the</w:t>
        <w:br/>
        <w:t>appropriateness of the fair value hierarchy classification of each financial instrument.</w:t>
        <w:br/>
        <w:t>Some financial instruments are valued using pricing models. The valuation group, independent of the</w:t>
        <w:br/>
        <w:t>treasury and financial reporting functions, reviews all financial instrument models affecting financial</w:t>
        <w:br/>
        <w:t>reporting through fair value and assesses model appropriateness and consistency. The review looks at</w:t>
        <w:br/>
        <w:t>whether the models accurately reflect the characteristics of the transaction and its risks, the suitability and</w:t>
        <w:br/>
        <w:t>convergence properties of numerical algorithms, the reliability of data sources, the consistency of the</w:t>
        <w:br/>
        <w:t>treatment with models for similar products, and sensitivity to input parameters and assumptions that</w:t>
        <w:br/>
        <w:t>cannot be priced from the market.</w:t>
        <w:br/>
        <w:t>Reviews are conducted of new and/or changed models, as well as previously validated models, to assess</w:t>
        <w:br/>
        <w:t>whether any changes in the product or market may have affected the model’s continued validity and</w:t>
        <w:br/>
        <w:t>whether any theoretical or competitive developments may require reassessment of the model’s adequacy.</w:t>
        <w:br/>
        <w:t>The financial models used for input to IBRD’s financial statements are subject to both internal and</w:t>
        <w:br/>
        <w:t>periodic external verification and review by qualified personnel.</w:t>
        <w:br/>
        <w:br/>
        <w:br/>
        <w:t xml:space="preserve">                                       IBRD Management's Discussion and Analysis: June 30, 2025                     63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XII: Critical Accounting Policies and the Use of Estimates</w:t>
        <w:br/>
        <w:br/>
        <w:br/>
        <w:t>In cases where Management relies on instrument valuations supplied by external pricing vendors,</w:t>
        <w:br/>
        <w:t>procedures are in place to validate the appropriateness of the models used, as well as the inputs applied</w:t>
        <w:br/>
        <w:t>in determining those values.</w:t>
        <w:br/>
        <w:br/>
        <w:t>Provision for Losses on Loans and Other Exposures</w:t>
        <w:br/>
        <w:t>IBRD evaluates estimated exposures over the life of loans and other exposures, to incorporate</w:t>
        <w:br/>
        <w:t>undisbursed loan commitments in the measure of exposure, and to incorporate estimations of future</w:t>
        <w:br/>
        <w:t>market conditions for a reasonable and supportable forecast period along with historical experience. The</w:t>
        <w:br/>
        <w:t>overall provision for expected losses is the sum of the computed annual losses, taking into account</w:t>
        <w:br/>
        <w:t>borrower risk ratings and associated expected default frequencies, estimates of exposure, and severity of</w:t>
        <w:br/>
        <w:t>loss given default.</w:t>
        <w:br/>
        <w:t>For loans reported at fair value, if any, the credit risk assessment is a determinant of fair value. All of</w:t>
        <w:br/>
        <w:t>IBRD's loans were reported at amortized cost as of June 30, 2025.</w:t>
        <w:br/>
        <w:t>The determination of a borrower's risk rating is based on complex variables such as: political risk, external</w:t>
        <w:br/>
        <w:t>debt and liquidity, fiscal policy and the public debt burden, balance of payments risks, economic structure</w:t>
        <w:br/>
        <w:t>and growth prospects, monetary and exchange rate policy, and financial sector risks and corporate sector</w:t>
        <w:br/>
        <w:t>debt and other vulnerabilities. Additionally, estimations of disbursements and repayments of exposures</w:t>
        <w:br/>
        <w:t>are made, as well as estimations of future interest cash flows based on forward looking market variables,</w:t>
        <w:br/>
        <w:t>and the impact of any credit enhancement arrangements IBRD has received.</w:t>
        <w:br/>
        <w:t>IBRD periodically reviews these variables and reassesses the adequacy of the accumulated provision</w:t>
        <w:br/>
        <w:t>accordingly. Actual losses may differ from expected losses owing to unforeseen changes in any of the</w:t>
        <w:br/>
        <w:t>variables affecting the creditworthiness or estimates inherent in the exposure measurements of</w:t>
        <w:br/>
        <w:t>borrowers.</w:t>
        <w:br/>
        <w:t>The Credit Risk Committee monitors aspects of country credit risk, in particular, reviewing the provision</w:t>
        <w:br/>
        <w:t>for losses on loans and guarantees taking into account, among other factors, any changes in exposure,</w:t>
        <w:br/>
        <w:t>risk ratings of borrowing member countries, or changes between the accrual and nonaccrual portfolios.</w:t>
        <w:br/>
        <w:t>The accumulated provision for loan losses is reported separately in the Balance Sheets as a reduction</w:t>
        <w:br/>
        <w:t>from IBRD’s total loans outstanding. The accumulated provision for losses on loan commitments and</w:t>
        <w:br/>
        <w:t>other exposures is included in accounts payable and miscellaneous liabilities. Increases or decreases in</w:t>
        <w:br/>
        <w:t>the accumulated provision for losses on loans and other exposures are reported in the Statements of</w:t>
        <w:br/>
        <w:t>Income as a Provision for losses on loans and other exposures (see Notes to Financial Statements: Note</w:t>
        <w:br/>
        <w:t>A: Summary of Significant Accounting and Related Policies and Note D: Loans and Other Exposures).</w:t>
        <w:br/>
        <w:br/>
        <w:t>Pension and Other Post-Retirement Benefits</w:t>
        <w:br/>
        <w:t>The underlying actuarial assumptions used to determine the PBO, accumulated benefit obligations, and</w:t>
        <w:br/>
        <w:t>funded status associated with IBRD pension and other post-retirement benefit plans are based on</w:t>
        <w:br/>
        <w:t>financial market interest rates, experience, and Management's best estimate of future benefit changes</w:t>
        <w:br/>
        <w:t>and economic conditions. All costs, assets and liabilities associated with these plans are allocated</w:t>
        <w:br/>
        <w:t>between IBRD, IFC, and MIGA based upon their employees’ respective participation in the plans. Costs</w:t>
        <w:br/>
        <w:t>allocated to IBRD are then shared between IBRD and IDA based on an agreed cost-sharing ratio. IDA,</w:t>
        <w:br/>
        <w:t>IFC and MIGA reimburse IBRD for their proportionate share of any contributions made to these plans by</w:t>
        <w:br/>
        <w:t>IBRD. Contributions to the plans are calculated as a percentage of salary (see Notes to Financial</w:t>
        <w:br/>
        <w:t>Statements, Note K: Pension and Other Post-Retirement Benefits).</w:t>
        <w:br/>
        <w:br/>
        <w:br/>
        <w:t>64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XIII: Governance and Controls</w:t>
        <w:br/>
        <w:br/>
        <w:br/>
        <w:t>Section XIII: Governance and Controls</w:t>
        <w:br/>
        <w:t>Business Conduct</w:t>
        <w:br/>
        <w:t>The WBG promotes a positive work environment in which staff members understand their ethical</w:t>
        <w:br/>
        <w:t>obligations to the institution. In support of this commitment, the institution has in place a Code of Conduct.</w:t>
        <w:br/>
        <w:t>The WBG has both an Ethics Help Line and a Fraud and Corruption hotline. A third-party service offers</w:t>
        <w:br/>
        <w:t>many methods of worldwide communication. Reporting channels include telephone, mail, email, or</w:t>
        <w:br/>
        <w:t>confidential submission through a website.</w:t>
        <w:br/>
        <w:t>IBRD has procedures in place for receiving, retaining, and handling recommendations and concerns</w:t>
        <w:br/>
        <w:t>relating to business conduct identified during the accounting, internal control, and auditing processes.</w:t>
        <w:br/>
        <w:t>WBG staff rules clarify and codify the staff’s obligations in reporting suspected fraud, corruption, or other</w:t>
        <w:br/>
        <w:t>misconduct that may threaten the operations or governance of the WBG. These rules also offer protection</w:t>
        <w:br/>
        <w:t>from retaliation.</w:t>
        <w:br/>
        <w:t>Figure 19: Governance Structure</w:t>
        <w:br/>
        <w:br/>
        <w:br/>
        <w:t>General Governance</w:t>
        <w:br/>
        <w:t>IBRD’s decision-making structure consists of the Board of Governors, Executive Directors (the Board),</w:t>
        <w:br/>
        <w:t>the President, Management, and staff. The Board of Governors is the highest decision-making authority.</w:t>
        <w:br/>
        <w:t>Governors are appointed by their member governments for a five-year term, which is renewable. The</w:t>
        <w:br/>
        <w:t>Board of Governors may delegate authority to the Executive Directors to exercise any of its powers,</w:t>
        <w:br/>
        <w:t>except for certain powers enumerated in IBRD’s Articles. IBRD has its own policies and frameworks that</w:t>
        <w:br/>
        <w:t>are carried out by staff that share responsibilities over both IBRD and IDA.</w:t>
        <w:br/>
        <w:t>In addition, IBRD and IDA have joint internal institutional oversight units which play an assurance role to</w:t>
        <w:br/>
        <w:t>shareholders and management that IBRD’s work is impactful and accountable, informed by best</w:t>
        <w:br/>
        <w:t>practices, and delivered to the highest ethical standards with risk management controls and governance</w:t>
        <w:br/>
        <w:t>processes that are functioning effectively.</w:t>
        <w:br/>
        <w:br/>
        <w:t>Executive Directors</w:t>
        <w:br/>
        <w:t>In accordance with IBRD’s Articles, Executive Directors are appointed or elected every two years by their</w:t>
        <w:br/>
        <w:t>member governments. The Board currently has 25 Executive Directors, who represent all 189 member</w:t>
        <w:br/>
        <w:t>countries. Executive Directors are neither officers nor staff of IBRD. The President is the only member of</w:t>
        <w:br/>
        <w:t>the Board from management, and he serves as a non-voting member and as Chairman of the Board.</w:t>
        <w:br/>
        <w:t>The Board is required to consider proposals made by the President on IBRD loans, grants and</w:t>
        <w:br/>
        <w:t>guarantees and on other policies that affect its general operations. The Board is also responsible for</w:t>
        <w:br/>
        <w:t>presenting to the Governors, at the Annual Meetings, audited accounts, an administrative budget, and an</w:t>
        <w:br/>
        <w:t>annual report on operations and policies and other matters.</w:t>
        <w:br/>
        <w:br/>
        <w:br/>
        <w:t xml:space="preserve">                                      IBRD Management's Discussion and Analysis: June 30, 2025            65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XIII: Governance and Controls</w:t>
        <w:br/>
        <w:br/>
        <w:br/>
        <w:t>The Board and its committees are in continuous sessions based in Washington DC, as business requires.</w:t>
        <w:br/>
        <w:t>Each committee's terms of reference establish its respective roles and responsibilities. As committees do</w:t>
        <w:br/>
        <w:t>not vote on issues, their role is primarily to serve the Board in discharging its responsibilities.</w:t>
        <w:br/>
        <w:t>The committees are made up of eight members and function under their respective stipulated terms of</w:t>
        <w:br/>
        <w:t>reference. These committees are as follows:</w:t>
        <w:br/>
        <w:t xml:space="preserve">     •   Audit Committee - assists the Board in overseeing IBRD’s finances, accounting, risk management</w:t>
        <w:br/>
        <w:t xml:space="preserve">         and internal controls (see further explanation below).</w:t>
        <w:br/>
        <w:t xml:space="preserve">     •   Budget Committee - assists the Board in approving the World Bank’s budget and in overseeing</w:t>
        <w:br/>
        <w:t xml:space="preserve">         the preparation and execution of IBRD’s business plans. The committee provides guidance to</w:t>
        <w:br/>
        <w:t xml:space="preserve">         management on strategic directions of IBRD.</w:t>
        <w:br/>
        <w:t xml:space="preserve">     •   Committee on Development Effectiveness - supports the Board in assessing IBRD’s development</w:t>
        <w:br/>
        <w:t xml:space="preserve">         effectiveness, providing guidance on strategic directions of IBRD, and monitoring the quality and</w:t>
        <w:br/>
        <w:t xml:space="preserve">         results of operations.</w:t>
        <w:br/>
        <w:t xml:space="preserve">     •   Committee on Governance and Executive Directors’ Administrative Matters - assists the Board on</w:t>
        <w:br/>
        <w:t xml:space="preserve">         issues related to the governance of IBRD, the Board’s own effectiveness, and the administrative</w:t>
        <w:br/>
        <w:t xml:space="preserve">         policy applicable to Executive Directors’ offices.</w:t>
        <w:br/>
        <w:t xml:space="preserve">     •   Human Resources Committee - strengthens the efficiency and effectiveness of the Board in</w:t>
        <w:br/>
        <w:t xml:space="preserve">         discharging its oversight responsibility on the World Bank’s human resources strategy, policies</w:t>
        <w:br/>
        <w:t xml:space="preserve">         and practices, and their alignment with the business needs of the organization.</w:t>
        <w:br/>
        <w:br/>
        <w:t>Audit Committee</w:t>
        <w:br/>
        <w:t>Membership</w:t>
        <w:br/>
        <w:t>The Audit Committee consists of eight Executive Directors. Membership in the Committee is determined</w:t>
        <w:br/>
        <w:t>by the Board, based on nominations by the Chairman of the Board, following informal consultation with</w:t>
        <w:br/>
        <w:t>Executive Directors.</w:t>
        <w:br/>
        <w:t>Key Responsibilities</w:t>
        <w:br/>
        <w:t>The Audit Committee is appointed by the Board for the primary purpose of assisting the Board in</w:t>
        <w:br/>
        <w:t>overseeing IBRD’s finances, accounting, risk management, internal controls and institutional integrity.</w:t>
        <w:br/>
        <w:t>Specific responsibilities include:</w:t>
        <w:br/>
        <w:t xml:space="preserve">     •   Oversight of the integrity of IBRD’s financial statements.</w:t>
        <w:br/>
        <w:t xml:space="preserve">     •   Appointment, qualifications, independence and performance of the External Auditor.</w:t>
        <w:br/>
        <w:t xml:space="preserve">     •   Performance of the Group Internal Audit.</w:t>
        <w:br/>
        <w:t xml:space="preserve">     •   Adequacy and effectiveness of financial and accounting policies and internal controls and the</w:t>
        <w:br/>
        <w:t xml:space="preserve">         mechanisms to deter, prevent and penalize fraud and corruption in IBRD operations and</w:t>
        <w:br/>
        <w:t xml:space="preserve">         corporate procurement.</w:t>
        <w:br/>
        <w:t xml:space="preserve">     •   Effective management of financial, fiduciary and compliance risks in IBRD.</w:t>
        <w:br/>
        <w:t xml:space="preserve">     •   Oversight of the institutional arrangements and processes for risk management across IBRD.</w:t>
        <w:br/>
        <w:t>In carrying out its role, the Audit Committee discusses financial issues and policies that affect IBRD’s</w:t>
        <w:br/>
        <w:t>financial position and capital adequacy with Management, external auditors, and internal auditors. It</w:t>
        <w:br/>
        <w:t>recommends the annual audited financial statements for approval to the Board. The Audit Committee</w:t>
        <w:br/>
        <w:t>monitors and reviews developments in corporate governance and its own role on an ongoing basis.</w:t>
        <w:br/>
        <w:br/>
        <w:br/>
        <w:t>66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Section XIII: Governance and Controls</w:t>
        <w:br/>
        <w:br/>
        <w:br/>
        <w:t>Executive Sessions</w:t>
        <w:br/>
        <w:t>Under the Audit Committee's terms of reference, it may convene in executive session at any time, without</w:t>
        <w:br/>
        <w:t>Management’s presence. The Audit Committee meets separately in executive session with the external</w:t>
        <w:br/>
        <w:t>and internal auditors.</w:t>
        <w:br/>
        <w:t>Access to Resources and to Management</w:t>
        <w:br/>
        <w:t>Throughout the year, the Audit Committee receives a large volume of information to enable it to carry out</w:t>
        <w:br/>
        <w:t>its duties and meets both formally and informally throughout the year to discuss relevant matters. It has</w:t>
        <w:br/>
        <w:t>complete access to Management, and reviews and discusses with Management topics considered in its</w:t>
        <w:br/>
        <w:t>terms of reference.</w:t>
        <w:br/>
        <w:t>The Audit Committee has the authority to seek advice and assistance from outside legal, accounting, or</w:t>
        <w:br/>
        <w:t>other advisors as it deems necessary.</w:t>
        <w:br/>
        <w:br/>
        <w:t>Auditor Independence</w:t>
        <w:br/>
        <w:t>The appointment of the external auditor for IBRD is governed by a set of Board-approved principles.</w:t>
        <w:br/>
        <w:t>These include:</w:t>
        <w:br/>
        <w:t xml:space="preserve">    •   Limits on the external auditor’s provision of non-audit-related services</w:t>
        <w:br/>
        <w:t xml:space="preserve">    •   Requiring all audit-related services to be pre-approved on a case-by-case basis by the Board,</w:t>
        <w:br/>
        <w:t xml:space="preserve">        upon recommendation of the Audit Committee, and</w:t>
        <w:br/>
        <w:t xml:space="preserve">    •   Renewal of the external audit contract every five years, with a limit of two consecutive terms and</w:t>
        <w:br/>
        <w:t xml:space="preserve">        mandatory rotation thereafter.</w:t>
        <w:br/>
        <w:t>The external auditor may provide non-prohibited, non-audit related services subject to monetary limits.</w:t>
        <w:br/>
        <w:t>Broadly, the list of prohibited non-audit services include those that would put the external auditor in the</w:t>
        <w:br/>
        <w:t>roles typically performed by management and in a position of auditing their own work, such as accounting</w:t>
        <w:br/>
        <w:t>services, internal audit services, and provision of investment advice. The total non-audit services fees</w:t>
        <w:br/>
        <w:t>over the term of the relevant external audit contract shall not exceed 70% of the audit fees over the same</w:t>
        <w:br/>
        <w:t>period.</w:t>
        <w:br/>
        <w:t>Communication between the external auditor and the Audit Committee is ongoing and carried out as often</w:t>
        <w:br/>
        <w:t>as deemed necessary by either party. The Audit Committee meets periodically with the external auditor</w:t>
        <w:br/>
        <w:t>and individual committee members have independent access to the external auditor. IBRD’s external</w:t>
        <w:br/>
        <w:t>auditors also follow the communication requirements with the Audit Committee set out under generally</w:t>
        <w:br/>
        <w:t>accepted auditing standards in the United States.</w:t>
        <w:br/>
        <w:br/>
        <w:t>External Auditors</w:t>
        <w:br/>
        <w:t>The external auditor is appointed to a five-year term, with a limit of two consecutive terms, and is subject</w:t>
        <w:br/>
        <w:t>to annual reappointment based on the recommendation of the Audit Committee and approval of a</w:t>
        <w:br/>
        <w:t>resolution by the Board.</w:t>
        <w:br/>
        <w:t>In May 2022, IBRD’s Board approved Deloitte &amp; Touche LLP as IBRD’s external auditor for a second five-</w:t>
        <w:br/>
        <w:t>year term commencing in FY24.</w:t>
        <w:br/>
        <w:br/>
        <w:t>Senior Management Changes</w:t>
        <w:br/>
        <w:t>Lakshmi Shyam-Sunder, WBG Chief Risk Officer and Vice President, retired in January 2025. Dennis</w:t>
        <w:br/>
        <w:t>McLaughlin was appointed to this role effective January 2, 2025.</w:t>
        <w:br/>
        <w:t>Pamela O'Connell, Vice President and WBG Controller, will be retiring and leaving the Bank in September</w:t>
        <w:br/>
        <w:t>2025.</w:t>
        <w:br/>
        <w:br/>
        <w:t>Internal Control</w:t>
        <w:br/>
        <w:t>Internal Control Over Financial Reporting</w:t>
        <w:br/>
        <w:t>Each fiscal year, Management evaluates the internal controls over financial reporting to determine</w:t>
        <w:br/>
        <w:t>whether any changes made in these controls during the fiscal year materially affect, or would be</w:t>
        <w:br/>
        <w:br/>
        <w:t xml:space="preserve">                                      IBRD Management's Discussion and Analysis: June 30, 2025          67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Section XIII: Governance and Controls</w:t>
        <w:br/>
        <w:br/>
        <w:br/>
        <w:t>reasonably likely to materially affect, IBRD’s internal control over financial reporting. The internal control</w:t>
        <w:br/>
        <w:t>framework promulgated by the Committee of Sponsoring Organizations of the Treadway Commission</w:t>
        <w:br/>
        <w:t>(COSO), “Internal Control - Integrated Framework (2013)” provides guidance for designing, implementing</w:t>
        <w:br/>
        <w:t>and conducting internal control and assessing its effectiveness. IBRD uses the 2013 COSO framework to</w:t>
        <w:br/>
        <w:t>assess the effectiveness of the internal control over financial reporting. As of June 30, 2025, management</w:t>
        <w:br/>
        <w:t>maintained effective internal control over financial reporting. See “Management’s report regarding</w:t>
        <w:br/>
        <w:t>effectiveness of Internal Control over Financial Reporting” on page 74.74.</w:t>
        <w:br/>
        <w:t>IBRD’s internal control over financial reporting as of June 30, 2025, has been audited by Deloitte &amp;</w:t>
        <w:br/>
        <w:t>Touche LLP, an independent auditor, as stated in their report, which is included herein.</w:t>
        <w:br/>
        <w:t>Disclosure Controls and Procedures</w:t>
        <w:br/>
        <w:t>Disclosure controls and procedures are designed to ensure that information required to be disclosed is</w:t>
        <w:br/>
        <w:t>gathered and communicated to Management, as appropriate, to allow timely decisions regarding required</w:t>
        <w:br/>
        <w:t>disclosure by IBRD. Management conducted an evaluation of the effectiveness of such controls and</w:t>
        <w:br/>
        <w:t>procedures and the President and the MDCFO have concluded that these controls and procedures were</w:t>
        <w:br/>
        <w:t>effective as of June 30, 2025.</w:t>
        <w:br/>
        <w:br/>
        <w:br/>
        <w:t>68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Section XIV: Reconciliations of Components of Allocable Income</w:t>
        <w:br/>
        <w:br/>
        <w:br/>
        <w:t>Section XIV: Reconciliations of Components of Allocable Income</w:t>
        <w:br/>
        <w:t>As discussed in Section I: Overview and Section III: Financial Results, in addition to reported financial</w:t>
        <w:br/>
        <w:t>measures determined in accordance with U.S. GAAP, IBRD also uses certain non-GAAP financial</w:t>
        <w:br/>
        <w:t>measures to evaluate performance, make operating decisions, determine business strategy, develop</w:t>
        <w:br/>
        <w:t>targeted financial goals, and allocate resources.</w:t>
        <w:br/>
        <w:t>The tables below provide a reconciliation of key components of allocable income referenced in the MD&amp;A</w:t>
        <w:br/>
        <w:t>to the most directly comparable U.S. GAAP reported measures.</w:t>
        <w:br/>
        <w:br/>
        <w:t>Statements of Income</w:t>
        <w:br/>
        <w:t>IBRD presents interest revenue on loans, investments and other assets, interest expense on borrowings</w:t>
        <w:br/>
        <w:t>and certain other items on a gross basis on its reported statements of income. However, IBRD assesses</w:t>
        <w:br/>
        <w:t>the performance of its lending, investing and other activities on a net basis, which takes into consideration</w:t>
        <w:br/>
        <w:t>interest expense on borrowings to fund these activities, the impact of realized gains and losses on</w:t>
        <w:br/>
        <w:t>derivatives designated as economic hedges to manage interest rate and currency risk and other costs.</w:t>
        <w:br/>
        <w:t>The presentation of amounts in Table 3 is intended to reflect how IBRD manages its lending, investing</w:t>
        <w:br/>
        <w:t>and other activities and assesses the financial performance of these activities.</w:t>
        <w:br/>
        <w:t>Table 43 and Table 44 provide reconciliations of the components of IBRD’s statements of income (Table</w:t>
        <w:br/>
        <w:t>3) for the specified periods to the non-GAAP amounts presented and discussed in the MD&amp;A (Table 5).</w:t>
        <w:br/>
        <w:t>Table 43: Interest Revenue, Net of Borrowings Expenses</w:t>
        <w:br/>
        <w:t>In millions of U.S. dollars</w:t>
        <w:br/>
        <w:t>For the fiscal years ended June 30,                                                               2025            2024</w:t>
        <w:br/>
        <w:t>Interest revenue — Loans, net (Table 3 – Reported Basis)                                    $    15,301 $        15,831</w:t>
        <w:br/>
        <w:t xml:space="preserve"> Less: Borrowing expenses funding loans                                                         (10,484)        (10,957)</w:t>
        <w:br/>
        <w:t xml:space="preserve"> Add: Others                                                                                          4              —</w:t>
        <w:br/>
        <w:t xml:space="preserve"> Loan interest revenue, net of funding costs (Table 5)                                      $     4,821 $         4,874</w:t>
        <w:br/>
        <w:br/>
        <w:t xml:space="preserve"> Interest revenue—Investments-Trading, net (Table 3 – Reported Basis)                       $    4,444    $      4,337</w:t>
        <w:br/>
        <w:t xml:space="preserve"> Add: Reclassification of unrealized mark-to-market gains on investments-trading portfolio,</w:t>
        <w:br/>
        <w:t xml:space="preserve">                                                                                                   214              91</w:t>
        <w:br/>
        <w:t xml:space="preserve"> net (Table 3)</w:t>
        <w:br/>
        <w:t xml:space="preserve"> Less: Unrealized mark-to-market (gains) losses attributable to PEBP, PCRF, LPF1 and</w:t>
        <w:br/>
        <w:t xml:space="preserve">                                                                                                  (158)           (112)</w:t>
        <w:br/>
        <w:t xml:space="preserve"> GFPP investment holdings reclassified to non-interest revenue, net (Table 44)</w:t>
        <w:br/>
        <w:t xml:space="preserve"> Less: Borrowing expenses funding investment-trading                                            (4,435)          (4,255)</w:t>
        <w:br/>
        <w:t xml:space="preserve"> Investment revenue, net of funding costs (Table 5)                                         $       65 $             61</w:t>
        <w:br/>
        <w:br/>
        <w:t xml:space="preserve"> Borrowing Expenses</w:t>
        <w:br/>
        <w:t xml:space="preserve"> Borrowing expenses funding loans                                                               10,484          10,957</w:t>
        <w:br/>
        <w:t xml:space="preserve"> Borrowing expenses funding investment-trading                                                   4,435           4,255</w:t>
        <w:br/>
        <w:t xml:space="preserve"> Add: Others                                                                                         1               3</w:t>
        <w:br/>
        <w:t xml:space="preserve"> Borrowing expense, net (Table 3 – Reported Basis)                                          $   14,920    $     15,215</w:t>
        <w:br/>
        <w:br/>
        <w:br/>
        <w:t>Table 44: Total Revenue on Interest Earning Assets, Net</w:t>
        <w:br/>
        <w:t>In millions of U.S. dollars</w:t>
        <w:br/>
        <w:t>For the fiscal years ended June 30,                                                              2025            2024</w:t>
        <w:br/>
        <w:t xml:space="preserve"> Interest revenue, net of borrowings expense (Table 3 – Reported Basis)                     $    3,534    $      3,229</w:t>
        <w:br/>
        <w:t xml:space="preserve"> Add: Reclassification of unrealized mark-to-market gains (losses) on investments-trading</w:t>
        <w:br/>
        <w:t xml:space="preserve">                                                                                                   214              91</w:t>
        <w:br/>
        <w:t xml:space="preserve"> portfolio, net (Table 3)</w:t>
        <w:br/>
        <w:t xml:space="preserve"> Less: Unrealized mark-to-market (gains) losses attributable to PEBP, PCRF, LPF1 and</w:t>
        <w:br/>
        <w:t xml:space="preserve">                                                                                                  (158)           (112)</w:t>
        <w:br/>
        <w:t xml:space="preserve"> GFPP investment holdings reclassified to non-interest revenue, net (Table 43)</w:t>
        <w:br/>
        <w:t xml:space="preserve"> Add: Others                                                                                         3               1</w:t>
        <w:br/>
        <w:t xml:space="preserve"> Total revenue on interest earning assets, net (Table 5)                                    $    3,593    $      3,209</w:t>
        <w:br/>
        <w:br/>
        <w:br/>
        <w:t xml:space="preserve">                                             IBRD Management's Discussion and Analysis: June 30, 2025               69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Appendix</w:t>
        <w:br/>
        <w:br/>
        <w:br/>
        <w:t>Appendix</w:t>
        <w:br/>
        <w:t>Glossary of Terms</w:t>
        <w:br/>
        <w:t>Articles: IBRD’s Articles of Agreement</w:t>
        <w:br/>
        <w:t>Below GDI Country: Country whose Gross National Income per capita is below the Graduation Discussion Income</w:t>
        <w:br/>
        <w:t>as published in the Per Capita Income Guidelines for Operational Purposes.</w:t>
        <w:br/>
        <w:t>Board: The Executive Directors as established by IBRD’s Articles of Agreement.</w:t>
        <w:br/>
        <w:t>Budget Anchor: Efficiency measure that IBRD uses to monitor the coverage of its net administrative expenses by its</w:t>
        <w:br/>
        <w:t>loan interest margin.</w:t>
        <w:br/>
        <w:t>Capital Adequacy: A measure of IBRD’s ability to withstand unexpected shocks and is based on the amount of</w:t>
        <w:br/>
        <w:t>IBRD’s usable equity expressed as a percentage of its loans and other related exposures.</w:t>
        <w:br/>
        <w:t>Credit Default Swaps (CDS): A derivative contract that provides protection against deteriorating credit quality and</w:t>
        <w:br/>
        <w:t>allows one party to receive payment in the event of a default or specified credit event by a third party.</w:t>
        <w:br/>
        <w:t>Credit Valuation Adjustment (CVA): The CVA represents the counterparty credit risk exposure and is reflected in</w:t>
        <w:br/>
        <w:t>the fair value of derivative instruments.</w:t>
        <w:br/>
        <w:t>Debit Valuation Adjustment (DVA): DVA on Fair Value Option (FVO) Elected Liabilities that corresponds to the</w:t>
        <w:br/>
        <w:t>change in fair value of the liability presented under the FVO that relate to the instrument specific credit risk (“own-</w:t>
        <w:br/>
        <w:t>credit risk”).</w:t>
        <w:br/>
        <w:t>Duration: Provides an indication of the sensitivity of underlying yield to changes in interest rates.</w:t>
        <w:br/>
        <w:t>Equity-to-Loans Ratio: The Board monitors IBRD’s capital adequacy within a Strategic Capital Adequacy</w:t>
        <w:br/>
        <w:t>Framework, using the Equity-to-Loans ratio as a key indicator of IBRD’s capital adequacy. For details on the ratio, see</w:t>
        <w:br/>
        <w:t>Table 33.</w:t>
        <w:br/>
        <w:t>Lending Operations: Total projects from a fiscal year based on project approval date as of June 30 of the fiscal year.</w:t>
        <w:br/>
        <w:t>Loan Interest Margin: The difference between loan returns and associated debt cost.</w:t>
        <w:br/>
        <w:t>Lower-Middle-Income Countries: For FY25, income groups are classified according to the 2023 gross national</w:t>
        <w:br/>
        <w:t>income (GNI) per capita. For lower-middle-income countries, the GNI range was $1,146-$4,515.</w:t>
        <w:br/>
        <w:t>Maintenance of Value (MOV): Under IBRD’s Articles, members are required to maintain the value of their</w:t>
        <w:br/>
        <w:t>subscriptions of national currency paid-in, which is subject to certain restrictions. MOV is determined by measuring</w:t>
        <w:br/>
        <w:t>the foreign exchange value of a member’s national currency against the standard of value of IBRD’s capital based on</w:t>
        <w:br/>
        <w:t>the 1974 SDR.</w:t>
        <w:br/>
        <w:t>Net Commitments: Commitments net of full terminations and cancellations approved in the same fiscal year and</w:t>
        <w:br/>
        <w:t>include guarantee commitments that have been approved by the Executive Directors.</w:t>
        <w:br/>
        <w:t>Net Loan Disbursements: Loan disbursements net of repayments and prepayments.</w:t>
        <w:br/>
        <w:t>Prudential Minimum: The minimum amount of liquidity that IBRD is required to hold and is defined as 80% of the</w:t>
        <w:br/>
        <w:t>Target Liquidity Level.</w:t>
        <w:br/>
        <w:t>Single Borrower Limit (SBL): The maximum authorized exposure to IBRD’s most creditworthy and largest</w:t>
        <w:br/>
        <w:t>borrowing countries in terms of population and economic size.</w:t>
        <w:br/>
        <w:t>Strategic Capital Adequacy Framework: Evaluates IBRD’s capital adequacy as measured by stress tests and an</w:t>
        <w:br/>
        <w:t>appropriate minimum level for the long-term Equity-to-Loans ratio. The Equity-to-Loans ratio provides a background</w:t>
        <w:br/>
        <w:t>framework in the context of annual net income allocation decisions, as well as in the assessment of the initiatives for</w:t>
        <w:br/>
        <w:t>the use of capital. The framework has been approved by the Board.</w:t>
        <w:br/>
        <w:t>Statutory Lending Limit (SLL): Under IBRD’s Articles, as applied, the total amount outstanding of loans,</w:t>
        <w:br/>
        <w:t>participations in loans, and callable guarantees may not exceed the sum of unimpaired subscribed capital, reserves</w:t>
        <w:br/>
        <w:t>and surplus.</w:t>
        <w:br/>
        <w:t>Sustainable Annual Lending Level (SALL): The level of lending that can be sustained in real terms over 10 years.</w:t>
        <w:br/>
        <w:t>Target Liquidity Level (TLL): The twelve- month Target Liquidity Level is calculated before the end of each fiscal</w:t>
        <w:br/>
        <w:t>year based on Management’s estimates of projected net loan disbursements approved at the time of projection and</w:t>
        <w:br/>
        <w:t>twelve-month of debt-service for the upcoming fiscal year. This twelve-month estimate becomes the target for the</w:t>
        <w:br/>
        <w:t>upcoming fiscal year.</w:t>
        <w:br/>
        <w:t>U.S. GAAP: Accounting principles generally accepted in the United States of America.</w:t>
        <w:br/>
        <w:t>World Bank: The World Bank consists of IBRD and IDA.</w:t>
        <w:br/>
        <w:t>World Bank Group (WBG): The World Bank Group consists of IBRD, IDA, IFC, MIGA, and ICSID.</w:t>
        <w:br/>
        <w:br/>
        <w:br/>
        <w:t>70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Appendix</w:t>
        <w:br/>
        <w:br/>
        <w:br/>
        <w:t>Abbreviations and Acronyms</w:t>
        <w:br/>
        <w:t>AfDB: African Development Bank                               IPF: Investment Project Financing</w:t>
        <w:br/>
        <w:t>AOCI: Accumulated Other Comprehensive Income                 LLP: Loan Loss Provision</w:t>
        <w:br/>
        <w:t>BOG: Board of Governors                                      LTRRO: Long-Term Real Return Objective</w:t>
        <w:br/>
        <w:t>COSO: Committee of Sponsoring Organizations of               MDB: Multilateral Development Bank</w:t>
        <w:br/>
        <w:t>the Treadway Commission</w:t>
        <w:br/>
        <w:t xml:space="preserve">                                                             MDCAO: Managing Director and World Bank Group</w:t>
        <w:br/>
        <w:t>CDS: Credit Default Swaps                                    Chief Administrative Officer</w:t>
        <w:br/>
        <w:t>CVA: Credit Valuation Adjustment                             MDCFO: Managing Director and World Bank Group</w:t>
        <w:br/>
        <w:t xml:space="preserve">                                                             Chief Financial Officer</w:t>
        <w:br/>
        <w:t>CRO: Vice President and WBG Chief Risk Officer</w:t>
        <w:br/>
        <w:t xml:space="preserve">                                                             MIGA: Multilateral Investment Guarantee Agency</w:t>
        <w:br/>
        <w:t>DDO: Deferred Drawdown Option</w:t>
        <w:br/>
        <w:t xml:space="preserve">                                                             MOV: Maintenance-Of-Value</w:t>
        <w:br/>
        <w:t>DPF: Development Project Financing</w:t>
        <w:br/>
        <w:t xml:space="preserve">                                                             NBC: New Business Committee</w:t>
        <w:br/>
        <w:t>DVA: Debit Valuation Adjustment</w:t>
        <w:br/>
        <w:t xml:space="preserve">                                                             NCPIC: National Currency Paid-in Capital</w:t>
        <w:br/>
        <w:t>EAL: Equitable Access Limit</w:t>
        <w:br/>
        <w:t xml:space="preserve">                                                             ORC: Operational Risk Committee</w:t>
        <w:br/>
        <w:t>EDF: Expected default frequency</w:t>
        <w:br/>
        <w:t xml:space="preserve">                                                             PBAC: Pension Benefits Administration Committee</w:t>
        <w:br/>
        <w:t>EEA: Exposure Exchange Agreement</w:t>
        <w:br/>
        <w:t xml:space="preserve">                                                             PBO: Pension Benefit Obligation</w:t>
        <w:br/>
        <w:t>EFOs: Externally Financed Outputs</w:t>
        <w:br/>
        <w:t xml:space="preserve">                                                             PCRF: Post Retirement Contribution Reserve Fund</w:t>
        <w:br/>
        <w:t>ESG: Environmental, Social and Governance</w:t>
        <w:br/>
        <w:t xml:space="preserve">                                                             PEBP: Post-Employment Benefit Plan</w:t>
        <w:br/>
        <w:t>FIFs: Financial Intermediary Funds</w:t>
        <w:br/>
        <w:t xml:space="preserve">                                                             PFC: Pension Finance Committee</w:t>
        <w:br/>
        <w:t>FRC: Finance and Risk Committee</w:t>
        <w:br/>
        <w:t xml:space="preserve">                                                             PforR: Program-for-Results</w:t>
        <w:br/>
        <w:t>GCI: General Capital Increase</w:t>
        <w:br/>
        <w:t xml:space="preserve">                                                             RAS: Reimbursable Advisory Services</w:t>
        <w:br/>
        <w:t>GDI: Graduation Discussion Income</w:t>
        <w:br/>
        <w:t xml:space="preserve">                                                             RAMP: Reserves        Advisory      and   Management</w:t>
        <w:br/>
        <w:t>GNI: Gross National Income</w:t>
        <w:br/>
        <w:t xml:space="preserve">                                                             Partnership</w:t>
        <w:br/>
        <w:t>GMFs: Grant-Making Facilities</w:t>
        <w:br/>
        <w:t xml:space="preserve">                                                             RSBP: Retired Staff Benefits Plan</w:t>
        <w:br/>
        <w:t>IADB: Inter-American Development Bank</w:t>
        <w:br/>
        <w:t xml:space="preserve">                                                             SALL: Sustainable Annual Lending Level</w:t>
        <w:br/>
        <w:t>IBRD: International Bank for Reconstruction and</w:t>
        <w:br/>
        <w:t xml:space="preserve">                                                             SCI: Selective Capital Increase</w:t>
        <w:br/>
        <w:t>Development</w:t>
        <w:br/>
        <w:t xml:space="preserve">                                                             SDPL: Special Development Policy Loans</w:t>
        <w:br/>
        <w:t>ICSID: International Centre for Settlement of</w:t>
        <w:br/>
        <w:t>Investment Disputes                                          SBL: Single Borrower Limit</w:t>
        <w:br/>
        <w:t>IFC: International Finance Corporation                       SOFR: Secured Overnight Financing Rate</w:t>
        <w:br/>
        <w:t>IDA: International Development Association                   SLL: Statutory Lending Limit</w:t>
        <w:br/>
        <w:t>IFFIm: International Finance Facility for Immunization       SRP: Staff Retirement Plan</w:t>
        <w:br/>
        <w:t>IFLs: IBRD Flexible Loans</w:t>
        <w:br/>
        <w:br/>
        <w:br/>
        <w:t xml:space="preserve">                                         IBRD Management's Discussion and Analysis: June 30, 2025             71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Management’s Discussion and Analysis                     Appendix</w:t>
        <w:br/>
        <w:br/>
        <w:br/>
        <w:t>Eligible Borrowing Member Countries by Region as of June 30, 2025</w:t>
        <w:br/>
        <w:t>Region                           Countries</w:t>
        <w:br/>
        <w:br/>
        <w:br/>
        <w:t>Eastern and Southern Africa      Angola, Botswana, Eswatini*, Kenya*, Mauritius, Namibia, Seychelles, South Africa, Zimbabwe*</w:t>
        <w:br/>
        <w:br/>
        <w:br/>
        <w:t xml:space="preserve">                                 Republic of Cabo Verde*, Cameroon*, Republic of Congo*, Equatorial Guinea, Gabon, Nigeria*,</w:t>
        <w:br/>
        <w:t>Western and Central Africa       Cote d'Ivoire*</w:t>
        <w:br/>
        <w:br/>
        <w:br/>
        <w:t xml:space="preserve">                                 China, Fiji*, Indonesia, Malaysia, Mongolia, Nauru, Palau, Papua New Guinea*, Philippines,</w:t>
        <w:br/>
        <w:t>East Asia and Pacific            Thailand, Timor-Leste*, Viet Nam</w:t>
        <w:br/>
        <w:br/>
        <w:br/>
        <w:t xml:space="preserve">                                 Albania, Armenia, Azerbaijan, Belarus, Bosnia and Herzegovina, Bulgaria, Croatia, Georgia,</w:t>
        <w:br/>
        <w:t>Europe and Central Asia          Kazakhstan, North Macedonia, Moldova, Montenegro, Poland, Romania, Russian Federation,</w:t>
        <w:br/>
        <w:t xml:space="preserve">                                 Serbia, Türkiye, Turkmenistan, Ukraine, Uzbekistan*</w:t>
        <w:br/>
        <w:br/>
        <w:t xml:space="preserve">                                 Argentina, Antigua and Barbuda, Barbados, Belize*, Bolivia, Brazil, Chile, Colombia, Costa Rica,</w:t>
        <w:br/>
        <w:t xml:space="preserve">                                 Dominica*, Dominican Republic, Ecuador, El Salvador, Grenada*, Guatemala, Jamaica, Mexico,</w:t>
        <w:br/>
        <w:t>Latin America and Caribbean      Panama, Paraguay, Peru, St. Kitts and Nevis, St. Lucia*, St. Vincent and the Grenadines*,</w:t>
        <w:br/>
        <w:t xml:space="preserve">                                 Suriname*, Trinidad and Tobago, Uruguay, Venezuela</w:t>
        <w:br/>
        <w:br/>
        <w:t xml:space="preserve">                                 Algeria, Arab Republic of Egypt, Islamic Republic of Iran, Iraq, Jordan, Lebanon, Libya, Morocco,</w:t>
        <w:br/>
        <w:t>Middle East and North Africa</w:t>
        <w:br/>
        <w:t xml:space="preserve">                                 Tunisia</w:t>
        <w:br/>
        <w:br/>
        <w:br/>
        <w:t>South Asia                       India, Pakistan*</w:t>
        <w:br/>
        <w:br/>
        <w:br/>
        <w:t>* Blend countries eligible for IDA and IBRD loans.</w:t>
        <w:br/>
        <w:br/>
        <w:br/>
        <w:t>72       IBRD Management's Discussion and Analysis: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 DEVELOPMENT</w:t>
        <w:br/>
        <w:br/>
        <w:t>FINANCIAL STATEMENTS AND INTERNAL CONTROL REPORTS</w:t>
        <w:br/>
        <w:t>June 30, 2025</w:t>
        <w:br/>
        <w:br/>
        <w:t>Management’s Report Regarding Effectiveness of Internal Control Over Financial Reporting     74</w:t>
        <w:br/>
        <w:t>Independent Auditor's Report on Effectiveness of Internal Control Over Financial Reporting   76</w:t>
        <w:br/>
        <w:t>Independent Auditor's Report                                                                 78</w:t>
        <w:br/>
        <w:t>Balance Sheets                                                                               82</w:t>
        <w:br/>
        <w:t>Statements of Income                                                                         84</w:t>
        <w:br/>
        <w:t>Statements of Comprehensive Income                                                           85</w:t>
        <w:br/>
        <w:t>Statements of Changes in Equity                                                              86</w:t>
        <w:br/>
        <w:t>Statements of Cash Flows                                                                     87</w:t>
        <w:br/>
        <w:t>Supplementary Information</w:t>
        <w:br/>
        <w:t xml:space="preserve">   Summary Statement of Loans                                                                89</w:t>
        <w:br/>
        <w:t xml:space="preserve">   Statement of Subscriptions to Capital Stock and Voting Power                              91</w:t>
        <w:br/>
        <w:t>Notes to Financial Statements                                                                95</w:t>
        <w:br/>
        <w:br/>
        <w:br/>
        <w:t xml:space="preserve">                                             IBRD FINANCIAL STATEMENTS: June 30, 2025        73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Management's Report Regarding Effectiveness of Internal Control Over</w:t>
        <w:br/>
        <w:t>Financial Reporting</w:t>
        <w:br/>
        <w:br/>
        <w:br/>
        <w:t>74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FINANCIAL STATEMENTS: June 30, 2025   75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 on Effectiveness of Internal Control Over</w:t>
        <w:br/>
        <w:t>Financial Reporting</w:t>
        <w:br/>
        <w:br/>
        <w:br/>
        <w:t>76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FINANCIAL STATEMENTS: June 30, 2025   77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</w:t>
        <w:br/>
        <w:br/>
        <w:br/>
        <w:t>78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FINANCIAL STATEMENTS: June 30, 2025   79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Independent Auditor's Report</w:t>
        <w:br/>
        <w:br/>
        <w:br/>
        <w:t>80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INTERNATIONAL BANK FOR RECONSTRUCTION AND DEVELOPMENT</w:t>
        <w:br/>
        <w:br/>
        <w:t>FINANCIAL STATEMENTS</w:t>
        <w:br/>
        <w:t>June 30, 2025</w:t>
        <w:br/>
        <w:br/>
        <w:br/>
        <w:t xml:space="preserve">                       IBRD FINANCIAL STATEMENTS: June 30, 2025   81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BALANCE SHEETS</w:t>
        <w:br/>
        <w:t>June 30, 2025 and June 30, 2024</w:t>
        <w:br/>
        <w:br/>
        <w:t>Expressed in millions of U.S. dollars</w:t>
        <w:br/>
        <w:br/>
        <w:t xml:space="preserve">                                                                                     2025             2024</w:t>
        <w:br/>
        <w:t>Assets</w:t>
        <w:br/>
        <w:t>Due from banks—Notes C and J</w:t>
        <w:br/>
        <w:t xml:space="preserve">  Unrestricted cash                                                              $          412   $          410</w:t>
        <w:br/>
        <w:t xml:space="preserve">  Restricted cash                                                                            73               80</w:t>
        <w:br/>
        <w:t xml:space="preserve">                                                                                            485              490</w:t>
        <w:br/>
        <w:t>Investments-Trading (including securities transferred under repurchase or</w:t>
        <w:br/>
        <w:t xml:space="preserve">  securities lending agreements of $312 million—June 30, 2025 and $255 million</w:t>
        <w:br/>
        <w:t xml:space="preserve">  —June 30, 2024)—Notes C and J                                                       102,674           82,728</w:t>
        <w:br/>
        <w:br/>
        <w:t>Securities purchased under resale agreements—Notes C and J                                   14               79</w:t>
        <w:br/>
        <w:t>Derivative assets, net—Notes C, F and J                                                     666              456</w:t>
        <w:br/>
        <w:br/>
        <w:t>Receivables</w:t>
        <w:br/>
        <w:t xml:space="preserve">  Receivable from investment securities traded—Note C                                      84              438</w:t>
        <w:br/>
        <w:t xml:space="preserve">  Accrued income on loans and guarantee fees receivable—Note D                          3,562            4,022</w:t>
        <w:br/>
        <w:t xml:space="preserve">                                                                                        3,646            4,460</w:t>
        <w:br/>
        <w:t>Loans outstanding—Notes D, H and J</w:t>
        <w:br/>
        <w:t>Total loans                                                                           375,435          348,248</w:t>
        <w:br/>
        <w:t xml:space="preserve">     Less: Undisbursed balance (including signed loan commitments of</w:t>
        <w:br/>
        <w:t xml:space="preserve">        $76,870 million—June 30, 2025 and $66,761 million—June 30, 2024)              (92,345)         (85,058)</w:t>
        <w:br/>
        <w:t xml:space="preserve">        Loans outstanding                                                             283,090          263,190</w:t>
        <w:br/>
        <w:t xml:space="preserve">     Less:</w:t>
        <w:br/>
        <w:t xml:space="preserve">        Accumulated provision for loan losses                                          (2,366)          (2,360)</w:t>
        <w:br/>
        <w:t xml:space="preserve">        Deferred loan income                                                             (681)            (594)</w:t>
        <w:br/>
        <w:t>Net loans outstanding                                                                 280,043          260,236</w:t>
        <w:br/>
        <w:t>Other assets</w:t>
        <w:br/>
        <w:t xml:space="preserve">    Assets under retirement benefits plans—Notes I and K                                8,041            4,655</w:t>
        <w:br/>
        <w:t xml:space="preserve">    Premises and equipment, net                                                         1,866            1,842</w:t>
        <w:br/>
        <w:t xml:space="preserve">    Miscellaneous—Notes D,H,J and L                                                     2,076            1,666</w:t>
        <w:br/>
        <w:t xml:space="preserve">                                                                                       11,983            8,163</w:t>
        <w:br/>
        <w:t>Total assets                                                                     $    399,511     $    356,612</w:t>
        <w:br/>
        <w:br/>
        <w:br/>
        <w:t>82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    2025               2024</w:t>
        <w:br/>
        <w:t>Liabilities</w:t>
        <w:br/>
        <w:t>Borrowings—Notes E and J</w:t>
        <w:br/>
        <w:t xml:space="preserve">  Borrowings, at fair value                                                      $     305,679       $    261,790</w:t>
        <w:br/>
        <w:t xml:space="preserve">  Borrowings, at amortized cost                                                            482                 —</w:t>
        <w:br/>
        <w:t xml:space="preserve">                                                                                       306,161            261,790</w:t>
        <w:br/>
        <w:br/>
        <w:t>Securities sold under repurchase agreements, securities lent under</w:t>
        <w:br/>
        <w:t xml:space="preserve">  securities lending agreements, and payable for cash collateral received—</w:t>
        <w:br/>
        <w:t xml:space="preserve">  Notes C and J                                                                              312                256</w:t>
        <w:br/>
        <w:br/>
        <w:t>Derivative liabilities, net—Notes C, F and J                                            12,454             22,728</w:t>
        <w:br/>
        <w:br/>
        <w:t>Other liabilities</w:t>
        <w:br/>
        <w:t xml:space="preserve">  Payable for investment securities purchased—Note C                                       199                561</w:t>
        <w:br/>
        <w:t xml:space="preserve">  Liabilities under retirement benefits plans—Notes I and K                              2,070              2,097</w:t>
        <w:br/>
        <w:t xml:space="preserve">  Accounts payable and miscellaneous liabilities—Notes D, H, J and L                     6,303              5,696</w:t>
        <w:br/>
        <w:t xml:space="preserve">                                                                                         8,572              8,354</w:t>
        <w:br/>
        <w:t>Total liabilities                                                                      327,499            293,128</w:t>
        <w:br/>
        <w:br/>
        <w:t>Equity</w:t>
        <w:br/>
        <w:t>Capital stock—Note B</w:t>
        <w:br/>
        <w:t xml:space="preserve">    Authorized capital (2,783,873 shares—June 30, 2025 and</w:t>
        <w:br/>
        <w:t xml:space="preserve">      June 30, 2024)</w:t>
        <w:br/>
        <w:t xml:space="preserve">    Subscribed capital (2,709,291 shares—June 30, 2025, and</w:t>
        <w:br/>
        <w:t xml:space="preserve">      2,678,098 shares—June 30, 2024)                                                   326,835           323,072</w:t>
        <w:br/>
        <w:t xml:space="preserve">    Less uncalled portion of subscriptions                                             (303,924)         (300,620)</w:t>
        <w:br/>
        <w:t xml:space="preserve">  Paid-in capital                                                                        22,911            22,452</w:t>
        <w:br/>
        <w:t>Nonnegotiable, noninterest-bearing demand obligations on account of</w:t>
        <w:br/>
        <w:t xml:space="preserve">  subscribed capital                                                                         (313)              (310)</w:t>
        <w:br/>
        <w:t>Receivable and deferred amounts to maintain value of currency holdings —</w:t>
        <w:br/>
        <w:t>Note B                                                                                       (623)              (895)</w:t>
        <w:br/>
        <w:t>Retained earnings —Note G                                                               40,383             38,283</w:t>
        <w:br/>
        <w:t>Accumulated other comprehensive income —Note I                                            9,654             3,954</w:t>
        <w:br/>
        <w:t>Total equity                                                                            72,012             63,484</w:t>
        <w:br/>
        <w:t>Total liabilities and equity                                                     $     399,511       $    356,612</w:t>
        <w:br/>
        <w:br/>
        <w:br/>
        <w:t xml:space="preserve">                    The Notes to Financial Statements are an integral part of these Statements.</w:t>
        <w:br/>
        <w:br/>
        <w:br/>
        <w:t xml:space="preserve">                                                   IBRD FINANCIAL STATEMENTS: June 30, 2025                      83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INCOME</w:t>
        <w:br/>
        <w:t>For the fiscal years ended June 30, 2025, June 30, 2024 and June 30, 2023</w:t>
        <w:br/>
        <w:br/>
        <w:t>Expressed in millions of U.S. dollars</w:t>
        <w:br/>
        <w:br/>
        <w:br/>
        <w:t xml:space="preserve">                                                                        2025          2024          2023</w:t>
        <w:br/>
        <w:t>Interest revenue</w:t>
        <w:br/>
        <w:t xml:space="preserve">  Loans, net—Note D                                                 $    15,301 $      15,831 $      10,522</w:t>
        <w:br/>
        <w:t xml:space="preserve">  Other asset/liability management derivatives, net—Notes F and J        (1,293)       (1,726)         (850)</w:t>
        <w:br/>
        <w:t xml:space="preserve">  Investments-Trading, net                                                4,444         4,337         3,079</w:t>
        <w:br/>
        <w:t xml:space="preserve">  Other, net                                                                  2             2             2</w:t>
        <w:br/>
        <w:t>Borrowing expenses, net—Note E                                          (14,920)      (15,215)       (9,562)</w:t>
        <w:br/>
        <w:t>Interest revenue, net of borrowing expenses                               3,534         3,229         3,191</w:t>
        <w:br/>
        <w:br/>
        <w:t>Provision for losses on loans and other exposures, release</w:t>
        <w:br/>
        <w:t>(charge) — Note D                                                              75            (94)      (685)</w:t>
        <w:br/>
        <w:br/>
        <w:t>Non-interest revenue</w:t>
        <w:br/>
        <w:t xml:space="preserve"> Revenue from externally funded activities—Notes H and L                    947           960           878</w:t>
        <w:br/>
        <w:t xml:space="preserve"> Commitment charges—Note D                                                  152           149           124</w:t>
        <w:br/>
        <w:t xml:space="preserve"> Other, net                                                                 170            42            43</w:t>
        <w:br/>
        <w:t xml:space="preserve">   Total                                                                  1,269         1,151         1,045</w:t>
        <w:br/>
        <w:br/>
        <w:t>Non-interest expenses</w:t>
        <w:br/>
        <w:t xml:space="preserve"> Administrative—Notes H, K and L                                         (2,522)        (2,379)      (2,320)</w:t>
        <w:br/>
        <w:t xml:space="preserve"> Contributions to special programs                                          (17)           (17)         (17)</w:t>
        <w:br/>
        <w:t xml:space="preserve"> Other—Note K                                                               150            170          183</w:t>
        <w:br/>
        <w:t xml:space="preserve">   Total                                                                 (2,389)        (2,226)      (2,154)</w:t>
        <w:br/>
        <w:br/>
        <w:t>Board of Governors-approved transfers—Note G                               (815)         (371)         (221)</w:t>
        <w:br/>
        <w:br/>
        <w:t>Currency remeasurement (losses) gains, net                                     (44)          73            39</w:t>
        <w:br/>
        <w:br/>
        <w:t>Unrealized mark-to-market gains on Investments-Trading</w:t>
        <w:br/>
        <w:t xml:space="preserve"> portfolio, net—Notes F and J                                                  214           91            84</w:t>
        <w:br/>
        <w:br/>
        <w:br/>
        <w:t>Unrealized mark-to-market gains (losses) on non-trading</w:t>
        <w:br/>
        <w:t xml:space="preserve"> portfolios, net</w:t>
        <w:br/>
        <w:t xml:space="preserve">  Loan-related derivatives—Notes D, F and J                              (1,372)         (458)        1,677</w:t>
        <w:br/>
        <w:t xml:space="preserve">  Other asset/liability management derivatives, net—Notes F and J         1,839           708        (1,642)</w:t>
        <w:br/>
        <w:t xml:space="preserve">  Borrowings, including derivatives—Notes E, F and J                       (234)            9          (190)</w:t>
        <w:br/>
        <w:t xml:space="preserve">  Others, net —Note J                                                        23            30            —</w:t>
        <w:br/>
        <w:t xml:space="preserve">    Total                                                                   256           289          (155)</w:t>
        <w:br/>
        <w:t>Net income                                                          $     2,100 $       2,142 $       1,144</w:t>
        <w:br/>
        <w:br/>
        <w:br/>
        <w:t xml:space="preserve">                 The Notes to Financial Statements are an integral part of these Statements.</w:t>
        <w:br/>
        <w:br/>
        <w:br/>
        <w:t>84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COMPREHENSIVE INCOME</w:t>
        <w:br/>
        <w:t>For the fiscal years ended June 30, 2025, June 30, 2024 and June 30, 2023</w:t>
        <w:br/>
        <w:br/>
        <w:t>Expressed in millions of U.S. dollars</w:t>
        <w:br/>
        <w:br/>
        <w:br/>
        <w:t xml:space="preserve">                                                                   2025             2024             2023</w:t>
        <w:br/>
        <w:br/>
        <w:br/>
        <w:t>Net income                                                     $     2,100      $     2,142      $     1,144</w:t>
        <w:br/>
        <w:br/>
        <w:t>Other comprehensive income —Note I</w:t>
        <w:br/>
        <w:t xml:space="preserve">    Net actuarial gains on benefit plans                             3,420                 251         2,103</w:t>
        <w:br/>
        <w:t xml:space="preserve">    Prior service credit on benefit plans, net                           8                   8            20</w:t>
        <w:br/>
        <w:t xml:space="preserve">     Net change in Debit Valuation Adjustment (DVA) on Fair</w:t>
        <w:br/>
        <w:t xml:space="preserve">       Value Option elected liabilities—Note J                            991              322          (13)</w:t>
        <w:br/>
        <w:t xml:space="preserve">     Currency translation adjustments on functional currency</w:t>
        <w:br/>
        <w:t xml:space="preserve">       gains (losses)                                                1,281            (150)              495</w:t>
        <w:br/>
        <w:t xml:space="preserve">     Total other comprehensive income                                5,700              431            2,605</w:t>
        <w:br/>
        <w:br/>
        <w:t>Total comprehensive income                                     $     7,800      $     2,573      $     3,749</w:t>
        <w:br/>
        <w:br/>
        <w:br/>
        <w:t xml:space="preserve">                                                   IBRD FINANCIAL STATEMENTS: June 30, 2025                 85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CHANGES IN EQUITY</w:t>
        <w:br/>
        <w:t>For the fiscal years ended June 30, 2025, June 30, 2024 and June 30, 2023</w:t>
        <w:br/>
        <w:br/>
        <w:t>Expressed in millions of U.S. dollars</w:t>
        <w:br/>
        <w:t xml:space="preserve">                                              Nonnegotiable, Receivable</w:t>
        <w:br/>
        <w:t xml:space="preserve">                                                noninterest-         and</w:t>
        <w:br/>
        <w:t xml:space="preserve">                                                  bearing          deferred</w:t>
        <w:br/>
        <w:t xml:space="preserve">                                                  demand          amounts to</w:t>
        <w:br/>
        <w:t xml:space="preserve">                                               obligations on      maintain                  Accumulated</w:t>
        <w:br/>
        <w:t xml:space="preserve">                                                account of         value of                     other</w:t>
        <w:br/>
        <w:t xml:space="preserve">                               Paid-in          subscribed         currency     Retained    comprehensive   Total</w:t>
        <w:br/>
        <w:t xml:space="preserve">                               Capital             capital         holdings     earnings       income      equity</w:t>
        <w:br/>
        <w:t>As of June 30, 2022           $ 20,499        $            (316) $       (778) $ 34,997     $         918 $ 55,320</w:t>
        <w:br/>
        <w:t>Net income                            —                      —             —        1,144              —     1,144</w:t>
        <w:br/>
        <w:t>Other comprehensive</w:t>
        <w:br/>
        <w:t xml:space="preserve"> income                               —                    —             —            —            2,605      2,605</w:t>
        <w:br/>
        <w:t>Subscriptions received             1,320                   —             —            —               —       1,320</w:t>
        <w:br/>
        <w:t>Demand obligations</w:t>
        <w:br/>
        <w:t xml:space="preserve"> (received) encashed, net                —                 (8)           —            —               —          (8)</w:t>
        <w:br/>
        <w:t>Currency remeasurement</w:t>
        <w:br/>
        <w:t xml:space="preserve"> changes, net                         —                     4           (19)          —               —         (15)</w:t>
        <w:br/>
        <w:t>Receipts of MOV                       —                    —             16           —               —          16</w:t>
        <w:br/>
        <w:t>As of June 30,2023                21,819                 (320)         (781)      36,141           3,523     60,382</w:t>
        <w:br/>
        <w:t>Net income                            —                    —             —         2,142              —       2,142</w:t>
        <w:br/>
        <w:t>Other comprehensive</w:t>
        <w:br/>
        <w:t xml:space="preserve"> income                                  —                 —             —            —              431       431</w:t>
        <w:br/>
        <w:t>Subscriptions received                  633                —             —            —               —        633</w:t>
        <w:br/>
        <w:t>Demand obligations</w:t>
        <w:br/>
        <w:t xml:space="preserve"> (received) encashed, net                —                 —             —            —               —          —</w:t>
        <w:br/>
        <w:t>Currency remeasurement</w:t>
        <w:br/>
        <w:t xml:space="preserve"> changes, net                         —                    10          (132)          —               —        (122)</w:t>
        <w:br/>
        <w:t>Receipts of MOV                       —                    —             18           —               —          18</w:t>
        <w:br/>
        <w:t>As of June 30,2024                22,452                 (310)         (895)      38,283           3,954     63,484</w:t>
        <w:br/>
        <w:t>Net income                            —                    —             —         2,100              —       2,100</w:t>
        <w:br/>
        <w:t>Other comprehensive</w:t>
        <w:br/>
        <w:t xml:space="preserve"> income                                  —                 —             —            —            5,700      5,700</w:t>
        <w:br/>
        <w:t>Subscriptions received                  459                —             —            —               —         459</w:t>
        <w:br/>
        <w:t>Demand obligations</w:t>
        <w:br/>
        <w:t xml:space="preserve"> (received) encashed, net                —                 (2)           —            —               —          (2)</w:t>
        <w:br/>
        <w:t>Currency remeasurement</w:t>
        <w:br/>
        <w:t xml:space="preserve"> changes, net                         —                    (1)          258           —               —         257</w:t>
        <w:br/>
        <w:t>Receipts of MOV                       —                    —             14           —               —          14</w:t>
        <w:br/>
        <w:t>As of June 30,2025            $   22,911      $          (313) $       (623) $    40,383    $      9,654   $ 72,012</w:t>
        <w:br/>
        <w:br/>
        <w:br/>
        <w:t xml:space="preserve">                  The Notes to Financial Statements are an integral part of these Statements.</w:t>
        <w:br/>
        <w:br/>
        <w:br/>
        <w:t>86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STATEMENTS OF CASH FLOWS</w:t>
        <w:br/>
        <w:t>For the fiscal years ended June 30, 2025, June 30, 2024 and June 30, 2023</w:t>
        <w:br/>
        <w:br/>
        <w:t>Expressed in millions of U.S. dollars</w:t>
        <w:br/>
        <w:t xml:space="preserve">                                                                               2025          2024         2023</w:t>
        <w:br/>
        <w:t>Cash flows from investing activities</w:t>
        <w:br/>
        <w:t xml:space="preserve">  Loans</w:t>
        <w:br/>
        <w:t xml:space="preserve">    Disbursements                                                              (30,471) $    (33,375) $   (25,465)</w:t>
        <w:br/>
        <w:t xml:space="preserve">    Principal repayments                                                        15,456        12,991       12,296</w:t>
        <w:br/>
        <w:t xml:space="preserve">    Principal prepayments                                                          529           344          472</w:t>
        <w:br/>
        <w:t xml:space="preserve">    Loan origination fees received                                                  34            37           27</w:t>
        <w:br/>
        <w:t xml:space="preserve">  Net derivatives-loans                                                             84            76           66</w:t>
        <w:br/>
        <w:t xml:space="preserve">  Other investing activities, net                                                 (246)         (154)        (141)</w:t>
        <w:br/>
        <w:t xml:space="preserve">       Net cash used in investing activities                                   (14,614)      (20,081)     (12,745)</w:t>
        <w:br/>
        <w:t>Cash flows from financing activities</w:t>
        <w:br/>
        <w:t xml:space="preserve">  Medium and long-term borrowings</w:t>
        <w:br/>
        <w:t xml:space="preserve">    New issues                                                                  64,300        52,152       42,056</w:t>
        <w:br/>
        <w:t xml:space="preserve">    Retirements                                                                (37,220)      (30,888)     (30,275)</w:t>
        <w:br/>
        <w:t xml:space="preserve">  Short-term borrowings (original maturities greater than 90 days)</w:t>
        <w:br/>
        <w:t xml:space="preserve">    New issues                                                                  26,573        20,483       25,358</w:t>
        <w:br/>
        <w:t xml:space="preserve">    Retirements                                                                (23,076)      (22,270)     (25,846)</w:t>
        <w:br/>
        <w:t xml:space="preserve">  Net short-term borrowings (original maturities less than 90 days)                419           807       (4,716)</w:t>
        <w:br/>
        <w:t xml:space="preserve">  Net derivatives-borrowings                                                        88            10         (787)</w:t>
        <w:br/>
        <w:t xml:space="preserve">  Capital subscriptions                                                            459           633        1,320</w:t>
        <w:br/>
        <w:t xml:space="preserve">  Other financing activities, net                                                   (6)           —            (5)</w:t>
        <w:br/>
        <w:t xml:space="preserve">       Net cash provided by financing activities                                31,537        20,927        7,105</w:t>
        <w:br/>
        <w:t>Cash flows from operating activities</w:t>
        <w:br/>
        <w:t xml:space="preserve">  Net income                                                                     2,100         2,142        1,144</w:t>
        <w:br/>
        <w:t xml:space="preserve">  Adjustments to reconcile net income to net cash (used in) provided by</w:t>
        <w:br/>
        <w:t xml:space="preserve">   operating activities:</w:t>
        <w:br/>
        <w:t xml:space="preserve">      Unrealized mark-to-market (gains) losses on non-trading portfolios,</w:t>
        <w:br/>
        <w:t xml:space="preserve">       net                                                                        (256)         (289)        155</w:t>
        <w:br/>
        <w:t xml:space="preserve">      Currency remeasurement losses (gains), net                                    44           (73)        (39)</w:t>
        <w:br/>
        <w:t xml:space="preserve">      Depreciation and amortization and capitalized interest on loans, net         419           614         535</w:t>
        <w:br/>
        <w:t xml:space="preserve">      Provision for losses on loans and other exposures, (release)</w:t>
        <w:br/>
        <w:t xml:space="preserve">      charge                                                                          (75)          94       685</w:t>
        <w:br/>
        <w:t xml:space="preserve">  Changes in:</w:t>
        <w:br/>
        <w:t xml:space="preserve">    Investments-Trading                                                        (17,200)       (4,288)       3,173</w:t>
        <w:br/>
        <w:t xml:space="preserve">    Net investment securities purchased/traded                                      24          (410)         608</w:t>
        <w:br/>
        <w:t xml:space="preserve">    Net derivatives-investments                                                 (1,200)        1,063         (826)</w:t>
        <w:br/>
        <w:t xml:space="preserve">    Net securities purchased/sold under resale/repurchase</w:t>
        <w:br/>
        <w:t xml:space="preserve">       agreements and payable for cash collateral received                         132           128          (94)</w:t>
        <w:br/>
        <w:t xml:space="preserve">     Accrued income on loans and guarantee fees receivable                         549          (676)      (2,230)</w:t>
        <w:br/>
        <w:t xml:space="preserve">    Miscellaneous assets                                                          (373)          232           (4)</w:t>
        <w:br/>
        <w:t xml:space="preserve">    Accrued interest on borrowings                                              (1,704)          393        2,051</w:t>
        <w:br/>
        <w:t xml:space="preserve">    Accounts payable and miscellaneous liabilities                                 593           232          463</w:t>
        <w:br/>
        <w:t xml:space="preserve">    Pension and other post-retirement benefits                                      15           (59)          86</w:t>
        <w:br/>
        <w:t xml:space="preserve">       Net cash (used in) provided by operating activities                     (16,932)         (897)       5,707</w:t>
        <w:br/>
        <w:t>Effect of exchange rate changes on unrestricted and restricted cash                  4            (6)           1</w:t>
        <w:br/>
        <w:t>Net (decrease) increase in unrestricted and restricted cash                         (5)          (57)          68</w:t>
        <w:br/>
        <w:t>Unrestricted and restricted cash at the beginning of the fiscal year               490           547          479</w:t>
        <w:br/>
        <w:t>Unrestricted and restricted cash at the end of the fiscal year             $       485 $         490 $        547</w:t>
        <w:br/>
        <w:br/>
        <w:br/>
        <w:t xml:space="preserve">                                                    IBRD FINANCIAL STATEMENTS: June 30, 2025                     87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2025          2024         2023</w:t>
        <w:br/>
        <w:t>Supplemental disclosure</w:t>
        <w:br/>
        <w:t xml:space="preserve"> Increase (decrease) in ending balances resulting from exchange rate</w:t>
        <w:br/>
        <w:t xml:space="preserve">    fluctuations</w:t>
        <w:br/>
        <w:t xml:space="preserve">       Loans outstanding                                                  $     5,105   $      (822) $     1,817</w:t>
        <w:br/>
        <w:t xml:space="preserve">       Investment portfolio                                                       231            17            4</w:t>
        <w:br/>
        <w:t xml:space="preserve">       Borrowing portfolio                                                      4,148          (577)       1,397</w:t>
        <w:br/>
        <w:t xml:space="preserve"> Capitalized interest and loan origination fees included in total loans           308           155           73</w:t>
        <w:br/>
        <w:t xml:space="preserve"> Interest paid on borrowing portfolio                                          16,046        14,265        6,948</w:t>
        <w:br/>
        <w:br/>
        <w:br/>
        <w:t xml:space="preserve">                  The Notes to Financial Statements are an integral part of these Statements.</w:t>
        <w:br/>
        <w:br/>
        <w:br/>
        <w:t>88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</w:t>
        <w:br/>
        <w:t>June 30, 2025</w:t>
        <w:br/>
        <w:br/>
        <w:t>Expressed in millions of U.S. dollars</w:t>
        <w:br/>
        <w:t xml:space="preserve">                                                                 Undisbursed balance</w:t>
        <w:br/>
        <w:t xml:space="preserve">                                                                Loans                                          Percentage of</w:t>
        <w:br/>
        <w:t xml:space="preserve">                                                            approved but        Signed loan      Loans          total loans</w:t>
        <w:br/>
        <w:t>Borrower                                 Total loans a,b    not yet signed     commitment c    Outstanding     outstanding d</w:t>
        <w:br/>
        <w:t>Albania b                               $         1,679    $             —    $          624 $        1,055              0.37 %</w:t>
        <w:br/>
        <w:t>Angola a                                          7,621                 250            2,467          4,904              1.73</w:t>
        <w:br/>
        <w:t>Antigua and Barbuda                                    4                 —                —                4                 *</w:t>
        <w:br/>
        <w:t>Argentina                                        15,748                 230            3,397         12,121              4.28</w:t>
        <w:br/>
        <w:t>Armenia b                                         1,494                 196              197          1,101              0.39</w:t>
        <w:br/>
        <w:t>Azerbaijan                                        1,289                  —               333            956              0.34</w:t>
        <w:br/>
        <w:t>Bahamas, The                                        100                  —                —             100              0.04</w:t>
        <w:br/>
        <w:t>Barbados                                            303                  30               54            219              0.08</w:t>
        <w:br/>
        <w:t>Belarus                                           1,012                  —                —           1,012              0.36</w:t>
        <w:br/>
        <w:t>Belize                                              111                  —                70             41              0.02</w:t>
        <w:br/>
        <w:t>Bolivia, Plurinational State of a                 1,568                  —               621            947              0.33</w:t>
        <w:br/>
        <w:t>Bosnia and Herzegovina b                          1,481                  94              550            837              0.30</w:t>
        <w:br/>
        <w:t>Botswana a                                          784                  —               118            666              0.24</w:t>
        <w:br/>
        <w:t>Brazil b                                         21,795               4,258            2,154         15,383              5.43</w:t>
        <w:br/>
        <w:t>Bulgaria                                             67                  —                —              67              0.02</w:t>
        <w:br/>
        <w:t>Cabo Verde, Republic of                              40                  —                   *           40              0.01</w:t>
        <w:br/>
        <w:t>Cameroon                                          1,159                  —               282            877              0.31</w:t>
        <w:br/>
        <w:t>Chile a                                             900                 150              583            167              0.06</w:t>
        <w:br/>
        <w:t>China b                                          19,775                 764            4,666         14,345              5.07</w:t>
        <w:br/>
        <w:t>Colombia a                                       18,077                 700              807         16,570              5.85</w:t>
        <w:br/>
        <w:t>Congo, Republic of                                  551                  —               280            271              0.10</w:t>
        <w:br/>
        <w:t>Costa Rica a                                      3,154                 335            1,334          1,485              0.52</w:t>
        <w:br/>
        <w:t>Côte d'Ivoire                                       180                  —                   *          180              0.06</w:t>
        <w:br/>
        <w:t>Croatia                                           1,785                  —               487          1,298              0.46</w:t>
        <w:br/>
        <w:t>Dominican Republic a                              3,703                  —             1,349          2,354              0.83</w:t>
        <w:br/>
        <w:t>Ecuador a                                         7,018                  —               675          6,343              2.24</w:t>
        <w:br/>
        <w:t>Egypt, Arab Republic of b                        14,510                  —             1,930         12,580              4.44</w:t>
        <w:br/>
        <w:t>El Salvador                                       2,188                 120            1,051          1,017              0.36</w:t>
        <w:br/>
        <w:t>Eswatini                                            429                  65               40            324               0.11</w:t>
        <w:br/>
        <w:t>Fiji                                                204                  —                25            179              0.06</w:t>
        <w:br/>
        <w:t>Gabon a                                             988                 163              168            657              0.23</w:t>
        <w:br/>
        <w:t>Georgia b                                         2,346                  —               589          1,757              0.62</w:t>
        <w:br/>
        <w:t>Grenada                                              14                  —                  1            13                  *</w:t>
        <w:br/>
        <w:t>Guatemala                                         2,524                 400               26          2,098              0.74</w:t>
        <w:br/>
        <w:t>India b                                          34,455                 910            8,959         24,586              8.69</w:t>
        <w:br/>
        <w:t>Indonesia b                                      29,799               2,226            6,228         21,345              7.54</w:t>
        <w:br/>
        <w:t>Iran, Islamic Republic of                           139                  —                —             139              0.05</w:t>
        <w:br/>
        <w:t>Iraq b                                            4,047                 930              421          2,696              0.95</w:t>
        <w:br/>
        <w:t>Jamaica                                           1,229                  —               128          1,101              0.39</w:t>
        <w:br/>
        <w:t>Jordan b                                          8,016                  —             2,277          5,739              2.03</w:t>
        <w:br/>
        <w:t>Kazakhstan                                        4,645                 655              211          3,779              1.33</w:t>
        <w:br/>
        <w:t>Kenya                                             2,028                  —                  3         2,025              0.72</w:t>
        <w:br/>
        <w:t>Kosovo                                               86                  —                —              86              0.03</w:t>
        <w:br/>
        <w:t>Lebanon                                           2,294                 250              907          1,137              0.40</w:t>
        <w:br/>
        <w:t>Mauritius                                           272                  —               184             88              0.03</w:t>
        <w:br/>
        <w:t>Mexico                                           13,827                  —                —          13,827              4.88</w:t>
        <w:br/>
        <w:t>Moldova                                             862                  —               525            337              0.12</w:t>
        <w:br/>
        <w:t>Mongolia                                            280                  —               224             56              0.02</w:t>
        <w:br/>
        <w:t>Montenegro b                                        380                  —                85            295              0.10</w:t>
        <w:br/>
        <w:t>Morocco b                                        16,506                 619            3,778         12,109              4.28</w:t>
        <w:br/>
        <w:br/>
        <w:br/>
        <w:t xml:space="preserve">                                                           IBRD FINANCIAL STATEMENTS: June 30, 2025                         89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SUMMARY STATEMENT OF LOANS (CONTINUED)</w:t>
        <w:br/>
        <w:t>June 30, 2025</w:t>
        <w:br/>
        <w:br/>
        <w:t>Expressed in millions of U.S. dollars</w:t>
        <w:br/>
        <w:t xml:space="preserve">                                                               Undisbursed balance</w:t>
        <w:br/>
        <w:t xml:space="preserve">                                                               Loans                                           Percentage of</w:t>
        <w:br/>
        <w:t xml:space="preserve">                                                           approved but       Signed loan          Loans        total loans</w:t>
        <w:br/>
        <w:t xml:space="preserve">                                                    a,b</w:t>
        <w:br/>
        <w:t>Borrower                                 Total loans       not yet signed    commitment c        Outstanding   outstanding d</w:t>
        <w:br/>
        <w:t>Namibia a                               $           100   $             —   $          100                                   *%</w:t>
        <w:br/>
        <w:t>Nigeria a                                         2,916                 —            1,570             1,346             0.48</w:t>
        <w:br/>
        <w:t>North Macedonia b                                   966                17              210               739             0.26</w:t>
        <w:br/>
        <w:t>Pakistan b                                        5,227                 —            2,408             2,819             1.00</w:t>
        <w:br/>
        <w:t>Panama                                            2,093                 —              128             1,965             0.70</w:t>
        <w:br/>
        <w:t>Papua New Guinea                                     80                 —               76                 4                 *</w:t>
        <w:br/>
        <w:t>Paraguay                                          1,449                 —              323             1,126             0.40</w:t>
        <w:br/>
        <w:t>Peru                                              7,135               650              927             5,558             1.96</w:t>
        <w:br/>
        <w:t>Philippines b                                    19,612                 —            4,091            15,521             5.48</w:t>
        <w:br/>
        <w:t>Poland                                            5,882                 —              147             5,735             2.03</w:t>
        <w:br/>
        <w:t>Romania b                                         8,134                 —            1,367             6,767             2.39</w:t>
        <w:br/>
        <w:t>Serbia b                                          3,392                 —              864             2,528             0.89</w:t>
        <w:br/>
        <w:t>Seychelles                                          208                 8               18               182             0.07</w:t>
        <w:br/>
        <w:t>South Africa a                                    5,445                 —            1,937             3,508             1.24</w:t>
        <w:br/>
        <w:t>Sri Lanka                                         1,230                 —              171             1,059             0.37</w:t>
        <w:br/>
        <w:t>St. Lucia                                             2                 —               —                  2                 *</w:t>
        <w:br/>
        <w:t>Suriname                                             58                 —               27                31             0.01</w:t>
        <w:br/>
        <w:t>Thailand                                            458                 —               —                458             0.16</w:t>
        <w:br/>
        <w:t>Timor-Leste                                          12                 —               —                 12                 *</w:t>
        <w:br/>
        <w:t>Trinidad and Tobago a                                20                 —               —                 20             0.01</w:t>
        <w:br/>
        <w:t>Tunisia                                           6,660               568            1,311             4,781             1.69</w:t>
        <w:br/>
        <w:t>Türkiye b                                        25,217               887           10,922            13,408             4.74</w:t>
        <w:br/>
        <w:t>Turkmenistan                                         20                 —               —                 20             0.01</w:t>
        <w:br/>
        <w:t>Ukraine b                                        17,505                 —              641            16,864             5.96</w:t>
        <w:br/>
        <w:t>Uruguay                                           1,500                 —               59             1,441             0.51</w:t>
        <w:br/>
        <w:t>Uzbekistan                                        3,634                 —              257             3,377             1.19</w:t>
        <w:br/>
        <w:t>Viet Nam                                          2,588                 —              508             2,080             0.74</w:t>
        <w:br/>
        <w:t>Zimbabwe                                            426                 —               —                426             0.15</w:t>
        <w:br/>
        <w:t>Total-June 30, 2025                     $       375,435   $        15,475   $       76,870   $       283,090              100 %</w:t>
        <w:br/>
        <w:br/>
        <w:t>Total-June 30, 2024                     $      348,248    $       18,297    $      66,761    $       263,190</w:t>
        <w:br/>
        <w:br/>
        <w:br/>
        <w:t>Notes</w:t>
        <w:br/>
        <w:t>a. Indicates a country for which a guarantee is provided under an Exposure Exchange Agreement (EEA) with a multilateral</w:t>
        <w:br/>
        <w:t xml:space="preserve">   development organization (see Note D—Loans and Other Exposures). The amount of the guarantees is not included in the</w:t>
        <w:br/>
        <w:t xml:space="preserve">   figures in the Statement above.</w:t>
        <w:br/>
        <w:t>b. Indicates a country for which a guarantee has been received, under an EEA with a multilateral development organization or</w:t>
        <w:br/>
        <w:t xml:space="preserve">   from another guarantee provider (see Note D—Loans and Other Exposures). The effect of the guarantee is not included in the</w:t>
        <w:br/>
        <w:t xml:space="preserve">   figures in the Statement above.</w:t>
        <w:br/>
        <w:t>c. Loan agreements totaling $6,656 million ($7,624 million—June 30, 2024) have been signed, but the loans are not effective and</w:t>
        <w:br/>
        <w:t xml:space="preserve">   disbursements do not start until the borrowers and/or guarantors take certain actions and furnish documents.</w:t>
        <w:br/>
        <w:t>d. May differ from the calculated figures or sum of individual figures shown due to rounding.</w:t>
        <w:br/>
        <w:t>* Indicates amount less than $0.5 million or 0.005%</w:t>
        <w:br/>
        <w:br/>
        <w:t xml:space="preserve">                   The Notes to Financial Statements are an integral part of these Statements.</w:t>
        <w:br/>
        <w:br/>
        <w:br/>
        <w:t>90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</w:t>
        <w:br/>
        <w:t>June 30, 2025</w:t>
        <w:br/>
        <w:br/>
        <w:t>Expressed in millions of U.S. dollars</w:t>
        <w:br/>
        <w:t xml:space="preserve">                                                               Subscriptions                                 Voting Power</w:t>
        <w:br/>
        <w:t xml:space="preserve">                                                                                           Amounts</w:t>
        <w:br/>
        <w:t xml:space="preserve">                                        Number of Percentage        Total    Amounts       subject to    Number of Percentage</w:t>
        <w:br/>
        <w:t>Member                                   shares    of total a    amounts a paid in a,b      call a, b      votes    of total a</w:t>
        <w:br/>
        <w:t>Afghanistan                                   506         0.02 % $     61.0 $     5.1    $        55.9        1,348        0.05 %</w:t>
        <w:br/>
        <w:t>Albania                                     1,355         0.05        163.5       8.5           154.9         2,197        0.08</w:t>
        <w:br/>
        <w:t>Algeria                                    13,689         0.51      1,651.4     118.4         1,533.0        14,531        0.51</w:t>
        <w:br/>
        <w:t>Angola                                      4,068         0.15        490.7      28.8           461.9         4,910        0.17</w:t>
        <w:br/>
        <w:t>Antigua and Barbuda                           659         0.02         79.5       2.3             77.2        1,501        0.05</w:t>
        <w:br/>
        <w:t>Argentina                                  28,897         1.07      3,486.0     235.6         3,250.4        29,739        1.04</w:t>
        <w:br/>
        <w:t>Armenia                                     2,006         0.07        242.0      13.8           228.2         2,848        0.10</w:t>
        <w:br/>
        <w:t>Australia c                                39,054         1.44      4,711.3     342.1         4,369.1        39,896        1.39</w:t>
        <w:br/>
        <w:t>Austria c                                  18,143         0.67      2,188.7     157.4         2,031.3        18,985        0.66</w:t>
        <w:br/>
        <w:t>Azerbaijan                                  2,876         0.11        346.9      21.1           325.9         3,718        0.13</w:t>
        <w:br/>
        <w:t>Bahamas, The                                1,503         0.06        181.3      10.3           171.1         2,345        0.08</w:t>
        <w:br/>
        <w:t>Bahrain                                     1,648         0.06        198.8      11.9           186.9         2,490        0.09</w:t>
        <w:br/>
        <w:t>Bangladesh                                  7,884         0.29        951.1      65.1           886.0         8,726        0.30</w:t>
        <w:br/>
        <w:t>Barbados                                      948         0.03        114.4       4.5           109.9         1,790        0.06</w:t>
        <w:br/>
        <w:t>Belarus                                     4,547         0.17        548.5      34.6           513.9         5,389        0.19</w:t>
        <w:br/>
        <w:t>Belgium c                                  43,281         1.60      5,221.2     380.0         4,841.2        44,123        1.54</w:t>
        <w:br/>
        <w:t>Belize                                        646         0.02         77.9       3.1             74.8        1,488        0.05</w:t>
        <w:br/>
        <w:t>Benin                                       1,536         0.06        185.3      10.0           175.3         2,378        0.08</w:t>
        <w:br/>
        <w:t>Bhutan                                        829         0.03        100.0       4.2             95.8        1,671        0.06</w:t>
        <w:br/>
        <w:t>Bolivia, Plurinational State of             2,846         0.11        343.3      18.9           324.4         3,688        0.13</w:t>
        <w:br/>
        <w:t>Bosnia and Herzegovina                        980         0.04        118.2      10.3           107.9         1,822        0.06</w:t>
        <w:br/>
        <w:t>Botswana                                      916         0.03        110.5       5.4           105.1         1,758        0.06</w:t>
        <w:br/>
        <w:t>Brazil                                     53,509         1.98      6,455.1     386.8         6,068.3        54,351        1.89</w:t>
        <w:br/>
        <w:t>Brunei Darussalam                           2,373         0.09        286.3      15.2           271.1         3,215        0.11</w:t>
        <w:br/>
        <w:t>Bulgaria                                    7,609         0.28        917.9      64.5           853.4         8,451        0.29</w:t>
        <w:br/>
        <w:t>Burkina Faso                                1,519         0.06        183.2       9.7           173.5         2,361        0.08</w:t>
        <w:br/>
        <w:t>Burundi                                     1,043         0.04        125.8       4.6           121.3         1,885        0.07</w:t>
        <w:br/>
        <w:t>Cabo Verde, Republic of                       729         0.03         87.9       2.3             85.7        1,571        0.05</w:t>
        <w:br/>
        <w:t>Cambodia                                      619         0.02         74.7       6.4             68.3        1,461        0.05</w:t>
        <w:br/>
        <w:t>Cameroon                                    2,202         0.08        265.6      12.4           253.3         3,044        0.11</w:t>
        <w:br/>
        <w:t>Canada c                                   70,455         2.60      8,499.3     619.5         7,879.8        71,297        2.49</w:t>
        <w:br/>
        <w:t>Central African Republic                      975         0.04        117.6       3.9           113.8         1,817        0.06</w:t>
        <w:br/>
        <w:t>Chad                                          975         0.04        117.6       3.9           113.8         1,817        0.06</w:t>
        <w:br/>
        <w:t>Chile                                      11,787         0.44      1,421.9     101.3         1,320.7        12,629        0.44</w:t>
        <w:br/>
        <w:t>China                                     166,859         6.16     20,129.0   1,445.1        18,683.9       167,701        5.85</w:t>
        <w:br/>
        <w:t>Colombia                                   11,806         0.44      1,424.2     101.2         1,323.0        12,648        0.44</w:t>
        <w:br/>
        <w:t>Comoros                                       369         0.01         44.5       1.0             43.5        1,211        0.04</w:t>
        <w:br/>
        <w:t>Congo, Democratic Republic of               3,416         0.13        412.1      31.0           381.1         4,258        0.15</w:t>
        <w:br/>
        <w:t>Congo, Republic of                          1,051         0.04        126.8       4.3           122.4         1,893        0.07</w:t>
        <w:br/>
        <w:t>Costa Rica                                  1,392         0.05        167.9      12.3           155.6         2,234        0.08</w:t>
        <w:br/>
        <w:t>Côte d'Ivoire                               4,270         0.16        515.1      33.3           481.9         5,112        0.18</w:t>
        <w:br/>
        <w:t>Croatia                                     3,376         0.12        407.3      29.9           377.4         4,218        0.15</w:t>
        <w:br/>
        <w:t>Cyprus                                      2,111         0.08        254.7      16.0           238.6         2,953        0.10</w:t>
        <w:br/>
        <w:t>Czechia c                                   9,451         0.35      1,140.1      82.0         1,058.2        10,293        0.36</w:t>
        <w:br/>
        <w:t>Denmark c                                  21,061         0.78      2,540.7     182.4         2,358.3        21,903        0.76</w:t>
        <w:br/>
        <w:t>Djibouti                                      801         0.03         96.6       2.8             93.8        1,643        0.06</w:t>
        <w:br/>
        <w:t>Dominica                                      699         0.03         84.3       3.5             80.8        1,541        0.05</w:t>
        <w:br/>
        <w:t>Dominican Republic                          3,142         0.12        379.0      25.1           353.9         3,984        0.14</w:t>
        <w:br/>
        <w:t>Ecuador                                     3,828         0.14        461.8      24.1           437.7         4,670        0.16</w:t>
        <w:br/>
        <w:t>Egypt, Arab Republic of                    10,682         0.39      1,288.6      76.8         1,211.8        11,524        0.40</w:t>
        <w:br/>
        <w:br/>
        <w:br/>
        <w:t xml:space="preserve">                                                             IBRD FINANCIAL STATEMENTS: June 30, 2025                        91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2025</w:t>
        <w:br/>
        <w:br/>
        <w:t>Expressed in millions of U.S. dollars</w:t>
        <w:br/>
        <w:t xml:space="preserve">                                                               Subscriptions                                 Voting Power</w:t>
        <w:br/>
        <w:t xml:space="preserve">                                                                                           Amounts</w:t>
        <w:br/>
        <w:t xml:space="preserve">                                        Number of Percentage        Total    Amounts       subject to    Number of Percentage</w:t>
        <w:br/>
        <w:t>Member                                   shares    of total a    amounts a paid in a,b      call a, b      votes    of total a</w:t>
        <w:br/>
        <w:t>El Salvador                                   552         0.02 % $     66.6 $     5.5    $        61.1        1,394        0.05 %</w:t>
        <w:br/>
        <w:t>Equatorial Guinea                             715         0.03         86.3       2.7             83.5        1,557        0.05</w:t>
        <w:br/>
        <w:t>Eritrea                                       593         0.02         71.5       1.8             69.7        1,435        0.05</w:t>
        <w:br/>
        <w:t>Estonia c                                   1,372         0.05        165.5       9.5           156.1         2,214        0.08</w:t>
        <w:br/>
        <w:t>Eswatini                                      609         0.02         73.5       3.7             69.8        1,451        0.05</w:t>
        <w:br/>
        <w:t>Ethiopia                                    1,470         0.05        177.3       8.3           169.1         2,312        0.08</w:t>
        <w:br/>
        <w:t>Fiji                                        1,407         0.05        169.7       9.8           159.9         2,249        0.08</w:t>
        <w:br/>
        <w:t>Finland c                                  13,726         0.51      1,655.8     118.5         1,537.3        14,568        0.51</w:t>
        <w:br/>
        <w:t>France c                                  108,611         4.01     13,102.3     956.6        12,145.7       109,453        3.82</w:t>
        <w:br/>
        <w:t>Gabon                                       1,110         0.04        133.9       7.0           126.9         1,952        0.07</w:t>
        <w:br/>
        <w:t>Gambia, The                                   777         0.03         93.7       2.7             91.0        1,619        0.06</w:t>
        <w:br/>
        <w:t>Georgia                                     2,590         0.10        312.4      18.6           293.8         3,432        0.12</w:t>
        <w:br/>
        <w:t>Germany c                                 118,578         4.38     14,304.7   1,043.5        13,261.1       119,420        4.16</w:t>
        <w:br/>
        <w:t>Ghana                                       2,202         0.08        265.6      16.1           249.5         3,044        0.11</w:t>
        <w:br/>
        <w:t>Greece c                                    4,460         0.16        538.0      40.4           497.6         5,302        0.18</w:t>
        <w:br/>
        <w:t>Grenada                                       673         0.02         81.2       2.4             78.8        1,515        0.05</w:t>
        <w:br/>
        <w:t>Guatemala                                   2,001         0.07        241.4      12.4           229.0         2,843        0.10</w:t>
        <w:br/>
        <w:t>Guinea                                      1,864         0.07        224.9       9.9           214.9         2,706        0.09</w:t>
        <w:br/>
        <w:t>Guinea-Bissau                                 613         0.02         73.9       1.4             72.5        1,455        0.05</w:t>
        <w:br/>
        <w:t>Guyana                                      1,724         0.06        208.0      11.5           196.5         2,566        0.09</w:t>
        <w:br/>
        <w:t>Haiti                                       1,550         0.06        187.0       7.8           179.2         2,392        0.08</w:t>
        <w:br/>
        <w:t>Honduras                                      641         0.02         77.3       2.3             75.0        1,483        0.05</w:t>
        <w:br/>
        <w:t>Hungary c                                  12,456         0.46      1,502.6     107.4         1,395.2        13,298        0.46</w:t>
        <w:br/>
        <w:t>Iceland c                                   1,975         0.07        238.3      14.8           223.5         2,817        0.10</w:t>
        <w:br/>
        <w:t>India                                      85,175         3.14     10,275.1     738.0         9,537.1        86,017        3.00</w:t>
        <w:br/>
        <w:t>Indonesia                                  28,863         1.07      3,481.9     249.9         3,232.0        29,705        1.04</w:t>
        <w:br/>
        <w:t>Iran, Islamic Republic of                  34,963         1.29      4,217.8     254.3         3,963.4        35,805        1.25</w:t>
        <w:br/>
        <w:t>Iraq                                        5,085         0.19        613.4      48.9           564.5         5,927        0.21</w:t>
        <w:br/>
        <w:t>Ireland c                                   9,415         0.35      1,135.8      80.3         1,055.5        10,257        0.36</w:t>
        <w:br/>
        <w:t>Israel                                      7,386         0.27        891.0      62.6           828.4         8,228        0.29</w:t>
        <w:br/>
        <w:t>Italy c                                    76,144         2.81      9,185.6     668.6         8,517.1        76,986        2.68</w:t>
        <w:br/>
        <w:t>Jamaica                                     3,741         0.14        451.3      30.5           420.8         4,583        0.16</w:t>
        <w:br/>
        <w:t>Japan c                                   199,885         7.38     24,113.1   1,751.9        22,361.2       200,727        7.00</w:t>
        <w:br/>
        <w:t>Jordan                                      2,337         0.09        281.9      16.5           265.4         3,179        0.11</w:t>
        <w:br/>
        <w:t>Kazakhstan                                  4,573         0.17        551.7      31.3           520.4         5,415        0.19</w:t>
        <w:br/>
        <w:t>Kenya                                       3,435         0.13        414.4      21.1           393.2         4,277        0.15</w:t>
        <w:br/>
        <w:t>Kiribati                                      680         0.03         82.0       1.9             80.1        1,522        0.05</w:t>
        <w:br/>
        <w:t>Korea, Republic of c                       45,285         1.67      5,463.0     389.9         5,073.1        46,127        1.61</w:t>
        <w:br/>
        <w:t>Kosovo, Republic of                         1,538         0.06        185.5      11.5           174.1         2,380        0.08</w:t>
        <w:br/>
        <w:t>Kuwait                                     20,944         0.77      2,526.6     167.7         2,358.9        21,786        0.76</w:t>
        <w:br/>
        <w:t>Kyrgyz Republic                             1,107         0.04        133.5       5.7           127.9         1,949        0.07</w:t>
        <w:br/>
        <w:t>Lao People's Democratic Republic              355         0.01         42.8       3.3             39.5        1,197        0.04</w:t>
        <w:br/>
        <w:t>Latvia c                                    2,027         0.07        244.5      15.3           229.3         2,869        0.10</w:t>
        <w:br/>
        <w:t>Lebanon                                     1,062         0.04        128.1       6.3           121.8         1,904        0.07</w:t>
        <w:br/>
        <w:t>Lesotho                                     1,057         0.04        127.5       4.6           122.9         1,899        0.07</w:t>
        <w:br/>
        <w:t>Liberia                                       606         0.02         73.1       3.6             69.5        1,448        0.05</w:t>
        <w:br/>
        <w:t>Libya                                       9,935         0.37      1,198.5      72.1         1,126.4        10,777        0.38</w:t>
        <w:br/>
        <w:t>Lithuania c                                 2,258         0.08        272.4      17.3           255.1         3,100        0.11</w:t>
        <w:br/>
        <w:t>Luxembourg c                                2,806         0.10        338.5      22.1           316.4         3,648        0.13</w:t>
        <w:br/>
        <w:t>Madagascar                                  2,506         0.09        302.3      18.0           284.4         3,348        0.12</w:t>
        <w:br/>
        <w:br/>
        <w:br/>
        <w:t>92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2025</w:t>
        <w:br/>
        <w:br/>
        <w:t>Expressed in millions of U.S. dollars</w:t>
        <w:br/>
        <w:t xml:space="preserve">                                                           Subscriptions                                   Voting Power</w:t>
        <w:br/>
        <w:t xml:space="preserve">                                                                                       Amounts</w:t>
        <w:br/>
        <w:t xml:space="preserve">                                    Number of Percentage       Total    Amounts        subject to      Number of Percentage</w:t>
        <w:br/>
        <w:t>Member                               shares    of total a    amounts a paid in a,b      call a, b        votes    of total a</w:t>
        <w:br/>
        <w:t>Malawi                                  1,722         0.06 % $   207.7 $     10.2    $       197.5          2,564       0.09 %</w:t>
        <w:br/>
        <w:t>Malaysia                               10,447         0.39     1,260.3       75.4         1,184.8          11,289       0.39</w:t>
        <w:br/>
        <w:t>Maldives                                  525         0.02        63.3        2.0             61.3          1,367       0.05</w:t>
        <w:br/>
        <w:t>Mali                                    2,035         0.08       245.5       14.1            231.4          2,877       0.10</w:t>
        <w:br/>
        <w:t>Malta                                   1,533         0.06       184.9       10.9            174.0          2,375       0.08</w:t>
        <w:br/>
        <w:t>Marshall Islands                          469         0.02        56.6        0.9             55.7          1,311       0.05</w:t>
        <w:br/>
        <w:t>Mauritania                              1,308         0.05       157.8        6.1            151.7          2,150       0.07</w:t>
        <w:br/>
        <w:t>Mauritius                               1,780         0.07       214.7       13.1            201.6          2,622       0.09</w:t>
        <w:br/>
        <w:t>Mexico                                 47,720         1.76     5,756.7     413.1          5,343.6          48,562       1.69</w:t>
        <w:br/>
        <w:t>Micronesia, Federated States of           479         0.02        57.8        1.0             56.8          1,321       0.05</w:t>
        <w:br/>
        <w:t>Moldova                                 2,419         0.09       291.8       17.2            274.6          3,261        0.11</w:t>
        <w:br/>
        <w:t>Mongolia                                  829         0.03       100.0        5.6             94.4          1,671       0.06</w:t>
        <w:br/>
        <w:t>Montenegro                                971         0.04       117.1        6.6            110.5          1,813       0.06</w:t>
        <w:br/>
        <w:t>Morocco                                 8,069         0.30       973.4       66.8            906.6          8,911       0.31</w:t>
        <w:br/>
        <w:t>Mozambique                              1,332         0.05       160.7        6.8            153.9          2,174       0.08</w:t>
        <w:br/>
        <w:t>Myanmar                                 3,465         0.13       418.0       21.4            396.6          4,307       0.15</w:t>
        <w:br/>
        <w:t>Namibia                                 1,930         0.07       232.8       11.7            221.1          2,772       0.10</w:t>
        <w:br/>
        <w:t>Nauru                                     586         0.02        70.7        2.4             68.3          1,428       0.05</w:t>
        <w:br/>
        <w:t>Nepal                                   1,528         0.06       184.3        8.6            175.7          2,370       0.08</w:t>
        <w:br/>
        <w:t>Netherlands c                          54,111         2.00     6,527.7     475.4          6,052.3          54,953       1.92</w:t>
        <w:br/>
        <w:t>New Zealand c                          11,261         0.42     1,358.5       96.8         1,261.6          12,103       0.42</w:t>
        <w:br/>
        <w:t>Nicaragua                                 999         0.04       120.5        5.3            115.2          1,841       0.06</w:t>
        <w:br/>
        <w:t>Niger                                   1,233         0.05       148.7        5.6            143.1          2,075       0.07</w:t>
        <w:br/>
        <w:t>Nigeria                                19,417         0.72     2,342.4     168.0          2,174.3          20,259       0.71</w:t>
        <w:br/>
        <w:t>North Macedonia                           641         0.02        77.3        5.7             71.7          1,483       0.05</w:t>
        <w:br/>
        <w:t>Norway c                               16,746         0.62     2,020.2     145.0          1,875.1          17,588       0.61</w:t>
        <w:br/>
        <w:t>Oman                                    1,978         0.07       238.6       12.1            226.5          2,820       0.10</w:t>
        <w:br/>
        <w:t>Pakistan                               14,148         0.52     1,706.7     122.4          1,584.3          14,990       0.52</w:t>
        <w:br/>
        <w:t>Palau                                      16             *        1.9        0.2                1.8          858       0.03</w:t>
        <w:br/>
        <w:t>Panama                                  1,138         0.04       137.3       10.3            127.0          1,980       0.07</w:t>
        <w:br/>
        <w:t>Papua New Guinea                        2,273         0.08       274.2       16.1            258.1          3,115        0.11</w:t>
        <w:br/>
        <w:t>Paraguay                                2,037         0.08       245.7       14.1            231.6          2,879       0.10</w:t>
        <w:br/>
        <w:t>Peru                                    9,092         0.34     1,096.8       77.5         1,019.3           9,934       0.35</w:t>
        <w:br/>
        <w:t>Philippines                            11,887         0.44     1,434.0     102.1          1,331.9          12,729       0.44</w:t>
        <w:br/>
        <w:t>Poland c                               20,474         0.76     2,469.9     177.1          2,292.8          21,316       0.74</w:t>
        <w:br/>
        <w:t>Portugal c                              8,937         0.33     1,078.1       76.2         1,001.9           9,779       0.34</w:t>
        <w:br/>
        <w:t>Qatar                                   1,389         0.05       167.6       11.1            156.5          2,231       0.08</w:t>
        <w:br/>
        <w:t>Romania                                 8,210         0.30       990.4       72.4            918.0          9,052       0.32</w:t>
        <w:br/>
        <w:t>Russian Federation                     79,121         2.92     9,544.8     685.8          8,859.0          79,963       2.79</w:t>
        <w:br/>
        <w:t>Rwanda                                  1,502         0.06       181.2        7.5            173.7          2,344       0.08</w:t>
        <w:br/>
        <w:t>St. Kitts and Nevis                       275         0.01        33.2        0.3             32.9          1,117       0.04</w:t>
        <w:br/>
        <w:t>St. Lucia                                 699         0.03        84.3        2.6             81.7          1,541       0.05</w:t>
        <w:br/>
        <w:t>St. Vincent and the Grenadines            387         0.01        46.7        1.6             45.1          1,229       0.04</w:t>
        <w:br/>
        <w:t>Samoa                                     947         0.03       114.2        5.1            109.2          1,789       0.06</w:t>
        <w:br/>
        <w:t>San Marino                                595         0.02        71.8        2.5             69.3          1,437       0.05</w:t>
        <w:br/>
        <w:t>Sao Tome and Principe                     705         0.03        85.0        2.2             82.9          1,547       0.05</w:t>
        <w:br/>
        <w:t>Saudi Arabia                           76,967         2.84     9,284.9     668.3          8,616.6          77,809       2.71</w:t>
        <w:br/>
        <w:t>Senegal                                 2,942         0.11       354.9       17.5            337.4          3,784       0.13</w:t>
        <w:br/>
        <w:t>Serbia                                  4,133         0.15       498.6       36.6            462.0          4,975       0.17</w:t>
        <w:br/>
        <w:t>Seychelles                                263         0.01        31.7        0.2             31.6          1,105       0.04</w:t>
        <w:br/>
        <w:br/>
        <w:br/>
        <w:t xml:space="preserve">                                                         IBRD FINANCIAL STATEMENTS: June 30, 2025                         93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STATEMENT OF SUBSCRIPTIONS TO</w:t>
        <w:br/>
        <w:t>CAPITAL STOCK AND VOTING POWER (CONTINUED)</w:t>
        <w:br/>
        <w:t>June 30, 2025</w:t>
        <w:br/>
        <w:br/>
        <w:t>Expressed in millions of U.S. dollars</w:t>
        <w:br/>
        <w:t xml:space="preserve">                                                               Subscriptions                                      Voting Power</w:t>
        <w:br/>
        <w:t xml:space="preserve">                                                                                                Amounts</w:t>
        <w:br/>
        <w:t xml:space="preserve">                                    Number       Percentage        Total        Amounts         subject to    Number of    Percentage</w:t>
        <w:br/>
        <w:t>Member                             of shares      of total a    amounts a       paid in a,b      call a, b      votes       of total a</w:t>
        <w:br/>
        <w:t>Sierra Leone                           1,043             0.04 % $    125.8     $       4.6    $       121.2        1,885          0.07 %</w:t>
        <w:br/>
        <w:t>Singapore                              7,109             0.26        857.6            63.0            794.6        7,951          0.28</w:t>
        <w:br/>
        <w:t>Slovak Republic c                      4,785             0.18        577.2            41.0            536.2        5,627          0.20</w:t>
        <w:br/>
        <w:t>Slovenia c                             2,037             0.08        245.7            18.0            227.8        2,879          0.10</w:t>
        <w:br/>
        <w:t>Solomon Islands                          729             0.03         87.9             2.3             85.6        1,571          0.05</w:t>
        <w:br/>
        <w:t>Somalia, Federal Republic of             632             0.02         76.2             3.3             72.9        1,474          0.05</w:t>
        <w:br/>
        <w:t>South Africa                          20,793             0.77      2,508.4          180.0          2,328.4        21,635          0.75</w:t>
        <w:br/>
        <w:t>South Sudan                            1,437             0.05        173.4             8.6            164.8        2,279          0.08</w:t>
        <w:br/>
        <w:t>Spain c                               52,895             1.95      6,381.0          461.2          5,919.8        53,737          1.87</w:t>
        <w:br/>
        <w:t>Sri Lanka                              6,282             0.23        757.8            51.0            706.9        7,124          0.25</w:t>
        <w:br/>
        <w:t>Sudan                                  1,989             0.07        239.9            15.5            224.5        2,831          0.10</w:t>
        <w:br/>
        <w:t>Suriname                                 412             0.02         49.7             2.0             47.7        1,254          0.04</w:t>
        <w:br/>
        <w:t>Sweden c                              25,148             0.93      3,033.7          219.1          2,814.6        25,990          0.91</w:t>
        <w:br/>
        <w:t>Switzerland c                         40,889             1.51      4,932.6          357.9          4,574.7        41,731          1.45</w:t>
        <w:br/>
        <w:t>Syrian Arab Republic                   2,452             0.09        295.8            14.0            281.8        3,294           0.11</w:t>
        <w:br/>
        <w:t>Tajikistan                             1,204             0.04        145.2             5.3            139.9        2,046          0.07</w:t>
        <w:br/>
        <w:t>Tanzania                               1,295             0.05        156.2            10.0            146.2        2,137          0.07</w:t>
        <w:br/>
        <w:t>Thailand                              13,752             0.51      1,659.0          118.1          1,540.9        14,594          0.51</w:t>
        <w:br/>
        <w:t>Timor-Leste                              753             0.03         90.8             3.1             87.8        1,595          0.06</w:t>
        <w:br/>
        <w:t>Togo                                   1,598             0.06        192.8             8.1            184.7        2,440          0.09</w:t>
        <w:br/>
        <w:t>Tonga                                    796             0.03         96.0             3.5             92.5        1,638          0.06</w:t>
        <w:br/>
        <w:t>Trinidad and Tobago                    3,376             0.12        407.3            22.8            384.5        4,218          0.15</w:t>
        <w:br/>
        <w:t>Tunisia                                2,064             0.08        249.0            18.3            230.7        2,906          0.10</w:t>
        <w:br/>
        <w:t>Türkiye                               30,668             1.13      3,699.6          264.5          3,435.1        31,510          1.10</w:t>
        <w:br/>
        <w:t>Turkmenistan                             627             0.02         75.6             3.6             72.0        1,469          0.05</w:t>
        <w:br/>
        <w:t>Tuvalu                                   461             0.02         55.6             1.5             54.1        1,303          0.05</w:t>
        <w:br/>
        <w:t>Uganda                                 1,128             0.04        136.1             9.6            126.5        1,970          0.07</w:t>
        <w:br/>
        <w:t>Ukraine                               14,361             0.53      1,732.4          108.5          1,623.9        15,203          0.53</w:t>
        <w:br/>
        <w:t>United Arab Emirates                   7,043             0.26        849.6            66.2            783.4        7,885          0.27</w:t>
        <w:br/>
        <w:t>United Kingdom c                     108,611             4.01     13,102.3          975.7         12,126.6       109,453          3.82</w:t>
        <w:br/>
        <w:t>United States c                      451,968           16.68      54,523.2        3,896.0         50,627.1       452,810         15.79</w:t>
        <w:br/>
        <w:t>Uruguay                                3,732             0.14        450.2            28.1            422.1        4,574          0.16</w:t>
        <w:br/>
        <w:t>Uzbekistan                             4,238             0.16        511.3            32.9            478.4        5,080          0.18</w:t>
        <w:br/>
        <w:t>Vanuatu                                  765             0.03         92.3             3.1             89.2        1,607          0.06</w:t>
        <w:br/>
        <w:t>Venezuela, Republica</w:t>
        <w:br/>
        <w:t xml:space="preserve">                                        20,361          0.75       2,456.2          150.8          2,305.5        21,203         0.74</w:t>
        <w:br/>
        <w:t>Bolivariana de</w:t>
        <w:br/>
        <w:t>Viet Nam                                 5,311          0.20        640.7            47.0            593.7         6,153         0.21</w:t>
        <w:br/>
        <w:t>Yemen, Republic of                       2,212          0.08        266.8            14.0            252.8         3,054         0.11</w:t>
        <w:br/>
        <w:t>Zambia                                   4,727          0.17        570.2            38.7            531.5         5,569         0.19</w:t>
        <w:br/>
        <w:t>Zimbabwe                                 3,575          0.13        431.3            22.4            408.9         4,417         0.15</w:t>
        <w:br/>
        <w:t>Total - June 30, 2025              2,709,291            100 %     326,835          22,911         303,924      2,868,429          100 %</w:t>
        <w:br/>
        <w:br/>
        <w:br/>
        <w:t>Total - June 30, 2024              2,678,098                      323,072          22,452         300,620      2,835,535</w:t>
        <w:br/>
        <w:br/>
        <w:t>Notes</w:t>
        <w:br/>
        <w:t>a. May differ from the calculated figures or sum of individual figures shown due to rounding.</w:t>
        <w:br/>
        <w:t>b. See Notes to Financial Statements, Note B—Capital Stock, Maintenance of Value, and Membership.</w:t>
        <w:br/>
        <w:t>c. A member of the Development Assistance Committee of the Organization for Economic Cooperation and Development (OECD).</w:t>
        <w:br/>
        <w:t>* Indicates amount less than $0.5 million or 0.005%</w:t>
        <w:br/>
        <w:br/>
        <w:t xml:space="preserve">                      The Notes to Financial Statements are an integral part of these Statements.</w:t>
        <w:br/>
        <w:br/>
        <w:br/>
        <w:t>94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NOTES TO FINANCIAL STATEMENTS</w:t>
        <w:br/>
        <w:t>PURPOSE AND AFFILIATED ORGANIZATIONS</w:t>
        <w:br/>
        <w:t>The International Bank for Reconstruction and Development (IBRD) is an international organization which</w:t>
        <w:br/>
        <w:t>commenced operations in 1946. The principal purpose of IBRD is to promote sustainable economic</w:t>
        <w:br/>
        <w:t>development and reduce poverty in its member countries, primarily by providing loans, guarantees and</w:t>
        <w:br/>
        <w:t>related technical assistance for specific projects and for programs of economic reform in developing</w:t>
        <w:br/>
        <w:t>member countries. The activities of IBRD are complemented by those of three affiliated organizations, the</w:t>
        <w:br/>
        <w:t>International Development Association (IDA), the International Finance Corporation (IFC), and the</w:t>
        <w:br/>
        <w:t>Multilateral Investment Guarantee Agency (MIGA). Each of these organizations is legally and financially</w:t>
        <w:br/>
        <w:t>independent from IBRD, with separate assets and liabilities, and IBRD is not liable for their respective</w:t>
        <w:br/>
        <w:t>obligations. Transactions with these affiliated organizations are disclosed in the notes that follow.</w:t>
        <w:br/>
        <w:t>IBRD is immune from taxation pursuant to Article VII, Section 9, Immunities from Taxation, of IBRD’s</w:t>
        <w:br/>
        <w:t>Articles of Agreement.</w:t>
        <w:br/>
        <w:br/>
        <w:br/>
        <w:t>NOTE A—SUMMARY OF SIGNIFICANT ACCOUNTING AND RELATED</w:t>
        <w:br/>
        <w:t>POLICIES</w:t>
        <w:br/>
        <w:t>IBRD’s financial statements are prepared in conformity with accounting principles generally accepted in</w:t>
        <w:br/>
        <w:t>the United States of America (U.S. GAAP).</w:t>
        <w:br/>
        <w:t>The preparation of financial statements in conformity with U.S. GAAP requires management to make</w:t>
        <w:br/>
        <w:t>estimates and assumptions that affect the reported amounts of assets and liabilities and disclosure of</w:t>
        <w:br/>
        <w:t>contingent assets and liabilities at the date of the financial statements and the reported amounts of</w:t>
        <w:br/>
        <w:t>revenue and expenses during the reporting periods. Due to the inherent uncertainty involved in making</w:t>
        <w:br/>
        <w:t>these estimates, actual results could differ from these estimates. Significant judgment has been used in</w:t>
        <w:br/>
        <w:t>the valuation of certain financial instruments, the determination of the adequacy of the accumulated</w:t>
        <w:br/>
        <w:t>provisions for losses on loans and other exposures, the determination of the net periodic cost from</w:t>
        <w:br/>
        <w:t>pension and other postretirement benefits plans, and the present value of projected benefit obligations.</w:t>
        <w:br/>
        <w:t>Certain reclassifications of the prior year’s information have been made to conform with the current year’s</w:t>
        <w:br/>
        <w:t>presentation.</w:t>
        <w:br/>
        <w:t>Translation and Remeasurement of Currencies</w:t>
        <w:br/>
        <w:t>IBRD’s financial statements are expressed in terms of U.S. dollars for the purpose of reporting IBRD’s</w:t>
        <w:br/>
        <w:t>financial position and the results of its operations. IBRD’s functional currencies are the U.S. dollar and</w:t>
        <w:br/>
        <w:t>euro.</w:t>
        <w:br/>
        <w:t>Assets and liabilities are translated at market exchange rates in effect at the end of the reporting period.</w:t>
        <w:br/>
        <w:t>Revenue and expenses are translated at either the market exchange rates in effect on the dates on which</w:t>
        <w:br/>
        <w:t>they are recognized or at an average of the market exchange rates in effect during the month of the</w:t>
        <w:br/>
        <w:t>transaction. Remeasurement adjustments relating to non-functional currencies are reflected in the</w:t>
        <w:br/>
        <w:t>Statements of Income, while translation adjustments for assets and liabilities denominated in euro are</w:t>
        <w:br/>
        <w:t>reflected in the Statements of Comprehensive Income.</w:t>
        <w:br/>
        <w:t>Paid-In Capital</w:t>
        <w:br/>
        <w:t>Valuation of Capital Stock</w:t>
        <w:br/>
        <w:t>In the Articles of Agreement, the capital stock of IBRD is expressed in terms of “U.S. dollars of the weight</w:t>
        <w:br/>
        <w:t>and fineness in effect on July 1, 1944” (“1944 dollars”). Following the abolition of gold as a common</w:t>
        <w:br/>
        <w:t>denominator of the monetary system and the repeal of the provision of the U.S. law defining the par value</w:t>
        <w:br/>
        <w:t>of the U.S. dollar in terms of gold, the pre-existing basis for translating 1944 dollars into current dollars or</w:t>
        <w:br/>
        <w:br/>
        <w:br/>
        <w:t xml:space="preserve">                                                  IBRD FINANCIAL STATEMENTS: June 30, 2025                  95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into any other currency was eliminated. The Executive Directors of IBRD have decided, until such time as</w:t>
        <w:br/>
        <w:t>the relevant provisions of the Articles of Agreement are amended, that the words “U.S. dollars of the</w:t>
        <w:br/>
        <w:t>weight and fineness in effect on July 1, 1944” in Article II, Section 2(a) of the Articles of Agreement of</w:t>
        <w:br/>
        <w:t>IBRD are interpreted to mean the Special Drawing Right (SDR) introduced by the International Monetary</w:t>
        <w:br/>
        <w:t>Fund, as valued in terms of U.S. dollars immediately before the introduction of the basket method of</w:t>
        <w:br/>
        <w:t>valuing the SDR on July 1, 1974, such value being $1.20635 for one SDR (“1974 SDR”).</w:t>
        <w:br/>
        <w:t>Nonnegotiable, Noninterest-bearing Demand Obligations on Account of Subscribed</w:t>
        <w:br/>
        <w:t>Capital</w:t>
        <w:br/>
        <w:t>All demand obligations are held in bank accounts which bear IBRD’s name and are carried and reported</w:t>
        <w:br/>
        <w:t>at face value as a reduction to equity. Payments on some of these instruments are due to IBRD upon</w:t>
        <w:br/>
        <w:t>demand. Others are due to IBRD on demand, but only after IBRD’s callable subscribed capital has been</w:t>
        <w:br/>
        <w:t>entirely called pursuant to Article IV, Section 2 (a) of the Articles of Agreement.</w:t>
        <w:br/>
        <w:t>Receivable and deferred amounts to maintain value of currency holdings</w:t>
        <w:br/>
        <w:t>Article II, Section 9 of the Articles of Agreement provides for maintenance of value (MOV), at the time of</w:t>
        <w:br/>
        <w:t>subscription, of national currencies paid-in, which are subject to certain restrictions. MOV is determined</w:t>
        <w:br/>
        <w:t>by measuring the foreign exchange value of a member’s national currency against the standard of value</w:t>
        <w:br/>
        <w:t>of IBRD’s capital based on the 1974 SDR. MOV receivable are amounts due from members on account of</w:t>
        <w:br/>
        <w:t>movements in exchange rates from the date of initial subscription, resulting in the reduction in the value of</w:t>
        <w:br/>
        <w:t>their paid-in capital denominated in national currencies. Members are required to make payments to IBRD</w:t>
        <w:br/>
        <w:t>if their currencies depreciate significantly relative to the standard of value. These amounts may be settled</w:t>
        <w:br/>
        <w:t>either in cash or a nonnegotiable, noninterest-bearing note, which is due on demand. Furthermore, the</w:t>
        <w:br/>
        <w:t>Executive Directors have adopted a policy of reimbursing members whose national currencies appreciate</w:t>
        <w:br/>
        <w:t>significantly in terms of the standard of value.</w:t>
        <w:br/>
        <w:t>MOV is deferred when the restriction of national currencies paid-in is lifted and these currencies are being</w:t>
        <w:br/>
        <w:t>used in IBRD’s operations and/or are being invested, swapped, or loaned to members by IBRD or through</w:t>
        <w:br/>
        <w:t>IFC. Once these restricted currencies are no longer being used in operations, the related MOV is no</w:t>
        <w:br/>
        <w:t>longer deferred, but rather, becomes due on the same terms as other MOV obligations.</w:t>
        <w:br/>
        <w:t>All MOV receivable balances are shown as components of Equity, under Receivable amounts to maintain</w:t>
        <w:br/>
        <w:t>value of currency holdings. All MOV payable balances are included in Other liabilities – Accounts payable</w:t>
        <w:br/>
        <w:t>and miscellaneous liabilities on the Balance Sheets. The net receivable or payable MOV amounts relating</w:t>
        <w:br/>
        <w:t>to national currencies used in IBRD's lending and investing operations are also included as a component</w:t>
        <w:br/>
        <w:t>of Equity under Deferred amounts to maintain value of currency holdings.</w:t>
        <w:br/>
        <w:t>Withdrawal of Membership</w:t>
        <w:br/>
        <w:t>Under IBRD’s Articles of Agreement, in the event a member withdraws from IBRD, the withdrawing</w:t>
        <w:br/>
        <w:t>member is entitled to receive the value of its shares payable to the extent the member does not have any</w:t>
        <w:br/>
        <w:t>outstanding obligations to IBRD. IBRD’s Articles of Agreement also state that the former member has</w:t>
        <w:br/>
        <w:t>continuing obligations to IBRD after withdrawal. Specifically, the former member remains fully liable for its</w:t>
        <w:br/>
        <w:t>entire capital subscription, including both the previously paid-in portion and the callable portion, so long as</w:t>
        <w:br/>
        <w:t>any part of the loans or guarantees contracted before it ceased to be a member are outstanding.</w:t>
        <w:br/>
        <w:t>Transfers Approved by the Board of Governors</w:t>
        <w:br/>
        <w:t>In accordance with IBRD’s Articles of Agreement, as interpreted by the Executive Directors, the Board of</w:t>
        <w:br/>
        <w:t>Governors may exercise its reserved power to approve transfers to other entities for development</w:t>
        <w:br/>
        <w:t>purposes. When unconditional, these transfers, which are included in the Board of Governors-approved</w:t>
        <w:br/>
        <w:t>transfers line in the Statements of Income, are reported as expenses upon approval. If conditional, these</w:t>
        <w:br/>
        <w:t>transfers are expensed when the conditions specified for the use by the beneficiaries have been met. The</w:t>
        <w:br/>
        <w:t>transfers are funded from the preceding fiscal year’s Net Income, Surplus, Restricted Retained Earnings</w:t>
        <w:br/>
        <w:t>or Other Reserves.</w:t>
        <w:br/>
        <w:br/>
        <w:br/>
        <w:t>96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Retained Earnings</w:t>
        <w:br/>
        <w:t>Retained Earnings consist of allocated amounts (Special Reserve, General Reserve, Pension Reserve,</w:t>
        <w:br/>
        <w:t>Surplus, Cumulative Fair Value Adjustments, Restricted Retained Earnings, Other Reserves) and</w:t>
        <w:br/>
        <w:t>Unallocated Net Income (Loss).</w:t>
        <w:br/>
        <w:t>The Special Reserve consists of loan commissions set aside pursuant to Article IV, Section 6 of the</w:t>
        <w:br/>
        <w:t>Articles of Agreement, which are to be held in liquid assets. These assets may be used only for the</w:t>
        <w:br/>
        <w:t>purpose of meeting liabilities of IBRD on its borrowings and guarantees in the event of default on loans</w:t>
        <w:br/>
        <w:t>made, participated in, or guaranteed by IBRD. The Special Reserve assets are included under</w:t>
        <w:br/>
        <w:t>Investments-Trading, and comprise obligations of the United States Government, its agencies, and other</w:t>
        <w:br/>
        <w:t>official entities. The allocation of such commissions to the Special Reserve was discontinued in 1964 with</w:t>
        <w:br/>
        <w:t>respect to subsequent loans and no further additions are being made to it.</w:t>
        <w:br/>
        <w:t>The General Reserve consists of earnings from prior fiscal years which, in the judgment of the Executive</w:t>
        <w:br/>
        <w:t>Directors, should be retained in IBRD’s operations.</w:t>
        <w:br/>
        <w:t>The Pension Reserve consists of the difference between the cumulative actual funding of the Staff</w:t>
        <w:br/>
        <w:t>Retirement Plan and Trust (SRP) and other postretirement benefits plans, and the cumulative accounting</w:t>
        <w:br/>
        <w:t>income or expense for these plans, from prior fiscal years. This reserve is reduced when pension</w:t>
        <w:br/>
        <w:t>accounting expenses exceed the actual funding of these plans. In addition, the Pension Reserve also</w:t>
        <w:br/>
        <w:t>includes investment revenue earned on the Post-Employment Benefits Plan (PEBP) portfolio and Post</w:t>
        <w:br/>
        <w:t>Retirement Contribution Reserve Fund (PCRF), which is used to stabilize IBRD’s contributions to the</w:t>
        <w:br/>
        <w:t>pension plan.</w:t>
        <w:br/>
        <w:t>Surplus consists of earnings from prior fiscal years which are retained by IBRD until a further decision is</w:t>
        <w:br/>
        <w:t>made on their disposition. Allocations from Surplus are recorded when approved by the Board of</w:t>
        <w:br/>
        <w:t>Governors.</w:t>
        <w:br/>
        <w:t>Cumulative Fair Value Adjustments consist of the unrealized mark-to-market gains or losses on non-</w:t>
        <w:br/>
        <w:t>trading portfolios and certain positions in the trading portfolio.</w:t>
        <w:br/>
        <w:t>Restricted Retained Earnings consists of contributions or revenue from prior years which are contractually</w:t>
        <w:br/>
        <w:t>restricted as to their purpose.</w:t>
        <w:br/>
        <w:t>Other Reserves consist mainly of allocations from Surplus to certain funds and non-functional currency</w:t>
        <w:br/>
        <w:t>translation adjustment gains/losses from prior fiscal years.</w:t>
        <w:br/>
        <w:t>Unallocated Net Income (Loss) consists of the current fiscal year’s net income (loss) adjusted for Board of</w:t>
        <w:br/>
        <w:t>Governors-approved transfers made during the year.</w:t>
        <w:br/>
        <w:t>Accumulated other comprehensive income</w:t>
        <w:br/>
        <w:t>Comprehensive income or loss consists of net income (loss) and other gains and losses affecting equity</w:t>
        <w:br/>
        <w:t>that, under U.S. GAAP, are excluded from net income. Other comprehensive income (loss) comprises</w:t>
        <w:br/>
        <w:t>currency translation adjustments on assets and liabilities denominated in euro, DVA on Fair Value Option</w:t>
        <w:br/>
        <w:t>elected liabilities, and pension related items, as presented in Statement of Comprehensive income.</w:t>
        <w:br/>
        <w:t>Loans and Other Exposures</w:t>
        <w:br/>
        <w:t>Loans</w:t>
        <w:br/>
        <w:t>All IBRD loans are made to or guaranteed by countries that are members of IBRD, except for loans made</w:t>
        <w:br/>
        <w:t>to IFC. The majority of IBRD’s loans have repayment obligations based on specific currencies. IBRD also</w:t>
        <w:br/>
        <w:t>holds multicurrency loans which have repayment obligations in various currencies determined on the</w:t>
        <w:br/>
        <w:t>basis of a currency pooling system. Other exposures comprise signed commitments (including Deferred</w:t>
        <w:br/>
        <w:t>Drawdown Options (DDOs) that are effective, and irrevocable commitments), and guarantees.</w:t>
        <w:br/>
        <w:t>Generally, loans are reported on the Balance Sheets at amortized cost. Loans with embedded derivatives</w:t>
        <w:br/>
        <w:t>are assessed for fair value election, or bifurcation of the loan and derivative. Commitment charges on the</w:t>
        <w:br/>
        <w:t>undisbursed balance of loans are recognized in revenue as earned. Any loan origination fees</w:t>
        <w:br/>
        <w:br/>
        <w:br/>
        <w:t xml:space="preserve">                                               IBRD FINANCIAL STATEMENTS: June 30, 2025                97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incorporated in the terms of a loan are deferred and recognized over the life of the loan as an adjustment</w:t>
        <w:br/>
        <w:t>of the yield. The unamortized balance of loan origination fees is included as a reduction of the Loans</w:t>
        <w:br/>
        <w:t>outstanding on the Balance Sheets, and the amortization of loan origination fees are included in Interest</w:t>
        <w:br/>
        <w:t>revenue from Loans, net in the Statements of Income. Accrued interest is presented in the Balance</w:t>
        <w:br/>
        <w:t>Sheets line item Receivables - Accrued income on loans and guarantee fees receivable.</w:t>
        <w:br/>
        <w:t>It is IBRD’s practice not to reschedule interest or principal payments on its loans or participate in debt</w:t>
        <w:br/>
        <w:t>rescheduling agreements with respect to its loans, except for activation of a deferral under the Climate</w:t>
        <w:br/>
        <w:t>Resilient Debt Clause (CRDC). Should any other permissible modifications be made to the terms of</w:t>
        <w:br/>
        <w:t>existing loans, IBRD would perform an evaluation to determine the required accounting treatment,</w:t>
        <w:br/>
        <w:t>including whether the modification would result in the affected loans being accounted for as a new loan or</w:t>
        <w:br/>
        <w:t>as a continuation of the existing loan.</w:t>
        <w:br/>
        <w:t>It is IBRD’s policy to place all loans and other exposures (collectively “exposures”) made to or guaranteed</w:t>
        <w:br/>
        <w:t>by a member of IBRD into nonaccrual status if principal, interest, or other charges with respect to any</w:t>
        <w:br/>
        <w:t>such exposures are overdue by more than six months, unless IBRD’s management determines that the</w:t>
        <w:br/>
        <w:t>overdue amount will be collected in the immediate future. In addition, if loans and other exposures made</w:t>
        <w:br/>
        <w:t>by IDA to a member country are placed in nonaccrual status, all IBRD loans and other exposures made</w:t>
        <w:br/>
        <w:t>to, or guaranteed by, that member country will also be placed in nonaccrual status by IBRD. On the date a</w:t>
        <w:br/>
        <w:t>member’s exposures are placed into nonaccrual status, unpaid interest and other charges accrued on</w:t>
        <w:br/>
        <w:t>exposures to the member are deducted from the revenue of the current period.</w:t>
        <w:br/>
        <w:t>Interest and other charges on nonaccruing exposures are included in revenue only to the extent that</w:t>
        <w:br/>
        <w:t>payments have been received by IBRD. A decision on the restoration of accrual status is made upon</w:t>
        <w:br/>
        <w:t>arrears clearance. If collectability risk is considered to be particularly high at the time of arrears</w:t>
        <w:br/>
        <w:t>clearance, the member’s exposures may not automatically emerge from nonaccrual status until a suitable</w:t>
        <w:br/>
        <w:t>period of payment performance has passed.</w:t>
        <w:br/>
        <w:t>Loan Commitments</w:t>
        <w:br/>
        <w:t>Loan Commitments are undisbursed loans approved by the Executive Directors, for which disbursements</w:t>
        <w:br/>
        <w:t>are yet to be made. IBRD records a provision for expected losses on undisbursed loan commitments</w:t>
        <w:br/>
        <w:t>including DDOs, when signed by both parties. The signature of the loan agreement is a binding event that</w:t>
        <w:br/>
        <w:t>prevents IBRD from unconditionally withdrawing from the agreement.</w:t>
        <w:br/>
        <w:t>Guarantees provided</w:t>
        <w:br/>
        <w:t>Financial guarantees are commitments issued by IBRD to guarantee payment by a member country (the</w:t>
        <w:br/>
        <w:t>debtor) to a third party in the event that a member government (or a government-owned entity) fails to</w:t>
        <w:br/>
        <w:t>perform its contractual obligations to a third party.</w:t>
        <w:br/>
        <w:t>Guarantees provided are regarded as outstanding when the underlying financial obligation of the debtor is</w:t>
        <w:br/>
        <w:t>incurred, and called when a guaranteed party demands payment under the guarantee. IBRD would be</w:t>
        <w:br/>
        <w:t>required to perform under its guarantees if the payments guaranteed were not made by the debtor and</w:t>
        <w:br/>
        <w:t>the guaranteed party called the guarantee by demanding payment from IBRD in accordance with the</w:t>
        <w:br/>
        <w:t>terms of the guarantee. In the event that a guarantee of a member country is called, IBRD has the</w:t>
        <w:br/>
        <w:t>contractual right to require payment from the member country.</w:t>
        <w:br/>
        <w:t>IBRD records the fair value of the obligation to stand ready in Other Liabilities - Accounts payable and</w:t>
        <w:br/>
        <w:t>miscellaneous liabilities, and a corresponding fees receivable asset in the Receivables - Accrued income</w:t>
        <w:br/>
        <w:t>on loans and guarantee fees receivable line on IBRD’s Balance Sheets. Upfront guarantee fees received</w:t>
        <w:br/>
        <w:t>are deferred and amortized over the life of the guarantee.</w:t>
        <w:br/>
        <w:t>Guarantees Received</w:t>
        <w:br/>
        <w:t>IBRD receives third-party guarantees in the form of a credit enhancement to loan exposures. The credit</w:t>
        <w:br/>
        <w:t>enhancements that are contractually attached to the loan reduce the exposure at risk considered in</w:t>
        <w:br/>
        <w:t>computing the loan loss provisions.</w:t>
        <w:br/>
        <w:br/>
        <w:br/>
        <w:t>98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Financial guarantees that are not contractually attached to the loan are recorded as a recoverable asset</w:t>
        <w:br/>
        <w:t>and included in Other assets - Miscellaneous on the Balance Sheets. The change in value of the</w:t>
        <w:br/>
        <w:t>recoverable asset is recorded as Non-interest revenue - Other, net on the Statements of Income.</w:t>
        <w:br/>
        <w:t>Credit enhancements that do not meet the requirements to be accounted for as financial guarantees are</w:t>
        <w:br/>
        <w:t>recorded as derivatives.</w:t>
        <w:br/>
        <w:t>Accumulated Provision for Losses on Loans and Other Exposures</w:t>
        <w:br/>
        <w:t>Management determines the appropriate level of accumulated provisions for losses on exposures, which</w:t>
        <w:br/>
        <w:t>reflects the expected losses inherent in IBRD’s exposures.</w:t>
        <w:br/>
        <w:t>Loans</w:t>
        <w:br/>
        <w:t>Loan exposures are disaggregated into two groups: exposures in accrual status and exposures in</w:t>
        <w:br/>
        <w:t>nonaccrual status. In each group, a credit risk rating is assigned to exposures for each borrower.</w:t>
        <w:br/>
        <w:t>The total exposure for provisioning is the current exposure and the estimated future exposure, taking into</w:t>
        <w:br/>
        <w:t>account expected disbursements and repayments over the life of the instruments. The expected credit</w:t>
        <w:br/>
        <w:t>losses related to loans and other exposures are calculated over the life of the instruments based on the</w:t>
        <w:br/>
        <w:t>annual estimated exposures, the expected default frequency (probability of default to IBRD) and the</w:t>
        <w:br/>
        <w:t>estimated loss given default. The provision for expected losses is the sum of the expected annual losses</w:t>
        <w:br/>
        <w:t>over the life of the instruments.</w:t>
        <w:br/>
        <w:t>For countries in accrual status, these exposures are grouped in pools of borrowers with a similar risk</w:t>
        <w:br/>
        <w:t>rating. The determination of a borrower’s rating is based on various factors (see Note D—Loans and other</w:t>
        <w:br/>
        <w:t>exposures). Each risk rating is mapped to an expected default frequency using IBRD's credit migration</w:t>
        <w:br/>
        <w:t>matrix, based on historical observations of credit ratings at the beginning and at the end of each year.</w:t>
        <w:br/>
        <w:t>Expected losses on loan exposures comprise estimates of potential losses arising from the economic loss</w:t>
        <w:br/>
        <w:t>due to delays in receiving payments. The estimated loss given default is determined at each Balance</w:t>
        <w:br/>
        <w:t>Sheet date, based on IBRD’s historical experience, as well as parameters adjusted for current conditions</w:t>
        <w:br/>
        <w:t>during the reasonable and supportable forecast period of IBRD. The loss given default is based on the</w:t>
        <w:br/>
        <w:t>borrower’s eligibility, namely: IBRD, Blend (IBRD and IDA) and IDA, with the highest loss given default</w:t>
        <w:br/>
        <w:t>associated with IDA eligibility. The main factors used to determine the loss given default are the estimated</w:t>
        <w:br/>
        <w:t>length of delays in receiving loan payments, and the effective interest rate of the exposure. As the</w:t>
        <w:br/>
        <w:t>majority of IBRD’s loans carry a variable interest rate, the loss severity is impacted by the changes in</w:t>
        <w:br/>
        <w:t>forward looking market interest rates.</w:t>
        <w:br/>
        <w:t>For the calculation of expected credit losses, IBRD applies a three-year reasonable and supportable</w:t>
        <w:br/>
        <w:t>forecast period, representing the most reliable and available economic data during this period. IBRD also</w:t>
        <w:br/>
        <w:t>applies a ten-year straight-line reversion to the mean to reflect the historical pattern of rating migration to</w:t>
        <w:br/>
        <w:t>the mean of its loan portfolio.</w:t>
        <w:br/>
        <w:t>This methodology is also applied to countries with exposures in nonaccrual status, although the expected</w:t>
        <w:br/>
        <w:t>default frequency is equal to one hundred percent. At times, to reflect certain distinguishing circumstances</w:t>
        <w:br/>
        <w:t>of a particular nonaccrual situation, different input assumptions may be used for a specific country.</w:t>
        <w:br/>
        <w:t>All exposures for countries in nonaccrual status are individually assessed. Exposure for certain countries</w:t>
        <w:br/>
        <w:t>in accrual status may be individually assessed on the basis that they do not share common risk</w:t>
        <w:br/>
        <w:t>characteristics with an existing pool of exposures. It is IBRD’s practice not to write off loans. All</w:t>
        <w:br/>
        <w:t>contractual obligations associated with exposures in nonaccrual status have eventually been cleared, and</w:t>
        <w:br/>
        <w:t>borrowers have emerged from nonaccrual status. To date, no loans have been written off.</w:t>
        <w:br/>
        <w:t>Management reassesses the adequacy of the accumulated provision on a quarterly basis and</w:t>
        <w:br/>
        <w:t>adjustments to the accumulated provision are recorded as a charge to or release of provision in the</w:t>
        <w:br/>
        <w:t>Statements of Income. In addition, reasonableness of the inputs used is reassessed quarterly.</w:t>
        <w:br/>
        <w:br/>
        <w:br/>
        <w:t xml:space="preserve">                                                 IBRD FINANCIAL STATEMENTS: June 30, 2025                  99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Loan Commitments</w:t>
        <w:br/>
        <w:t>IBRD records the expected credit losses on loan commitments based on the projected disbursements of</w:t>
        <w:br/>
        <w:t>signed loan commitments (adjusted by cancellations based on historical experience), the expected</w:t>
        <w:br/>
        <w:t>probability of default and estimated loss given default. The provision is included in Other liabilities -</w:t>
        <w:br/>
        <w:t>Accounts payable and miscellaneous liabilities on the Balance Sheets.</w:t>
        <w:br/>
        <w:t>Guarantees provided</w:t>
        <w:br/>
        <w:t>IBRD records a contingent liability for the expected losses related to guarantees provided over the</w:t>
        <w:br/>
        <w:t>projected life of the instruments, that is determined based on the estimated exposure at default, multiplied</w:t>
        <w:br/>
        <w:t>by the corresponding loss given default and expected default probability for the projected life of the</w:t>
        <w:br/>
        <w:t>guarantee. This contingent liability as well as the unamortized balance of the deferred guarantee fees,</w:t>
        <w:br/>
        <w:t>and the unamortized balance of the obligation to stand-ready, are included in Other Liabilities - Accounts</w:t>
        <w:br/>
        <w:t>payable and miscellaneous liabilities on the Balance Sheets.</w:t>
        <w:br/>
        <w:t>Exposure Exchange Agreements (EEAs)</w:t>
        <w:br/>
        <w:t>IBRD executes EEAs with various organizations. While these agreements are not legally considered</w:t>
        <w:br/>
        <w:t>guarantees, in IBRD’s financial statements they are recognized as financial guarantees as they meet the</w:t>
        <w:br/>
        <w:t>accounting criteria for financial guarantees. Under an EEA, each party exchanges credit risk exposure of</w:t>
        <w:br/>
        <w:t>a portfolio supported by underlying loans to borrowers, by providing and receiving guarantees from each</w:t>
        <w:br/>
        <w:t>other, for the amounts specified. The guarantee provided and the guarantee received are two separate</w:t>
        <w:br/>
        <w:t>transactions; namely (a) the provision of a financial guarantee, and (b) the receipt of an asset. There is</w:t>
        <w:br/>
        <w:t>generally no exchange of cash between the organizations for these transactions.</w:t>
        <w:br/>
        <w:t>For a guarantee provided under an EEA, IBRD records a liability equivalent to the fair value of the</w:t>
        <w:br/>
        <w:t>obligation to stand ready. This liability is included in Other liabilities - Accounts payable and miscellaneous</w:t>
        <w:br/>
        <w:t>liabilities on the Balance Sheets and is amortized over the life of the EEA. IBRD also records a liability,</w:t>
        <w:br/>
        <w:t>and corresponding expense, in recognition of the risk coverage provided (provision). The change in the</w:t>
        <w:br/>
        <w:t>provision is recorded as Provision for losses on loans and other exposures on the Statements of Income.</w:t>
        <w:br/>
        <w:t>The value of this liability reflects the credit quality of the underlying loans in the portfolio and changes over</w:t>
        <w:br/>
        <w:t>the life of the EEA as the credit quality of these loans changes.</w:t>
        <w:br/>
        <w:t>For a guarantee received under an EEA, IBRD records an asset equivalent to the fair value of the right to</w:t>
        <w:br/>
        <w:t>be indemnified. This asset is included in Other assets – Miscellaneous on the Balance Sheets and is</w:t>
        <w:br/>
        <w:t>amortized over the life of the EEA. IBRD records corresponding income, in recognition of the risk</w:t>
        <w:br/>
        <w:t>coverage received (recoverable asset). The change in value of the recoverable asset is recorded as Non-</w:t>
        <w:br/>
        <w:t>interest revenue - Other, net on the Statements of Income. The value of this asset reflects the credit</w:t>
        <w:br/>
        <w:t>quality of the underlying loans in the portfolio and changes over the life of the EEA contract as the credit</w:t>
        <w:br/>
        <w:t>quality of these loans changes.</w:t>
        <w:br/>
        <w:t>Statements of Cash Flows</w:t>
        <w:br/>
        <w:t>For the purpose of IBRD's Statements of Cash Flows, cash is defined as the amount of Unrestricted cash</w:t>
        <w:br/>
        <w:t>and Restricted cash under the Due from banks line on the Balance Sheets.</w:t>
        <w:br/>
        <w:t>Restricted Cash</w:t>
        <w:br/>
        <w:t>This includes amounts which have been received from members as part of their capital subscriptions, as</w:t>
        <w:br/>
        <w:t>well as from donors and other sources, which are restricted for specified purposes. For capital</w:t>
        <w:br/>
        <w:t>subscriptions, a portion of these subscriptions have been paid to IBRD in the national currencies of the</w:t>
        <w:br/>
        <w:t>members. These amounts are usable by IBRD in its lending and investing operations, only with the</w:t>
        <w:br/>
        <w:t>consent of the respective members, and for administrative expenses incurred in national currencies.</w:t>
        <w:br/>
        <w:t>Investments</w:t>
        <w:br/>
        <w:t>Investment securities are classified based on Management’s intention on the date of purchase, their</w:t>
        <w:br/>
        <w:t>nature, and IBRD’s policies governing the level and use of such investments. As of June 30, 2025, all of</w:t>
        <w:br/>
        <w:br/>
        <w:br/>
        <w:t>100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financial instruments in IBRD’s investment portfolio were classified as trading. These securities are</w:t>
        <w:br/>
        <w:t>carried and reported at fair value, or at face value or net asset value (NAV), which approximate fair value.</w:t>
        <w:br/>
        <w:t>Where available, quoted market prices are used to determine the fair value of trading securities. These</w:t>
        <w:br/>
        <w:t>include most government, agency and corporate obligations, exchange-traded equity securities, Asset-</w:t>
        <w:br/>
        <w:t>backed Securities (ABS), and Mortgage-backed Securities (MBS). For instruments for which market</w:t>
        <w:br/>
        <w:t>quotations are not available, fair values are determined using model-based valuation techniques, whether</w:t>
        <w:br/>
        <w:t>internally-generated or vendor-supplied, that include the discounted cash flow method using observable</w:t>
        <w:br/>
        <w:t>market inputs such as yield curves, credit spreads, and conditional prepayment rates. Where applicable,</w:t>
        <w:br/>
        <w:t>unobservable inputs such as estimated conditional prepayment rates for illiquid instruments, probability of</w:t>
        <w:br/>
        <w:t>default and loss severity are used. Unless quoted prices are available, time deposits are reported at face</w:t>
        <w:br/>
        <w:t>value which approximates fair value, as they are short term in nature. Purchases and sales of securities</w:t>
        <w:br/>
        <w:t>are recorded on a trade-date basis. Time deposits and money market deposits are recorded at</w:t>
        <w:br/>
        <w:t>settlement. The first-in first-out method is used to determine the cost of securities sold in computing the</w:t>
        <w:br/>
        <w:t>realized gains and losses on these instruments. Derivative instruments used in liquidity management are</w:t>
        <w:br/>
        <w:t>not designated as hedging instruments for accounting purposes.</w:t>
        <w:br/>
        <w:t>Interest revenue is included in the Investments-Trading, net line in the Statements of Income. Unrealized</w:t>
        <w:br/>
        <w:t>gains and losses for investment securities and related financial instruments held in the trading portfolio</w:t>
        <w:br/>
        <w:t>are included in the Unrealized mark-to-market gains (losses) on Investments-Trading portfolio, net line in</w:t>
        <w:br/>
        <w:t>the Statements of Income. Realized gains and losses on trading securities are recognized in the</w:t>
        <w:br/>
        <w:t>Statements of Income when securities are sold.</w:t>
        <w:br/>
        <w:t>IBRD may require collateral in the form of approved liquid securities from individual counterparties or</w:t>
        <w:br/>
        <w:t>cash, under legal agreements that provide for collateralization, in order to mitigate its credit exposure to</w:t>
        <w:br/>
        <w:t>these counterparties. For collateral received in the form of cash from counterparties, IBRD invests the</w:t>
        <w:br/>
        <w:t>amounts received and records the investment and a corresponding obligation to return the cash.</w:t>
        <w:br/>
        <w:t>Collateral received in the form of liquid securities is only recorded on IBRD's Balance Sheets to the extent</w:t>
        <w:br/>
        <w:t>that it has been transferred under securities lending agreements in return for cash.</w:t>
        <w:br/>
        <w:t>Securities Purchased Under Resale Agreements, Securities Lent Under Securities</w:t>
        <w:br/>
        <w:t>Lending Agreements and Securities Sold Under Repurchase Agreements and</w:t>
        <w:br/>
        <w:t>Payable for Cash Collateral Received</w:t>
        <w:br/>
        <w:t>Securities purchased under resale agreements, securities lent under securities lending agreements,</w:t>
        <w:br/>
        <w:t>securities sold under repurchase agreements and payable for cash collateral received are reported at</w:t>
        <w:br/>
        <w:t>face value which approximates fair value, as they are short term in nature. IBRD receives securities</w:t>
        <w:br/>
        <w:t>purchased under resale agreements, monitors the fair value of the securities and, if necessary, closes out</w:t>
        <w:br/>
        <w:t>transactions and enters into new repriced transactions. The securities transferred to counterparties under</w:t>
        <w:br/>
        <w:t>repurchase and security lending arrangements and the securities transferred to IBRD under resale</w:t>
        <w:br/>
        <w:t>agreements have not met the accounting criteria for treatment as a sale. Therefore, securities transferred</w:t>
        <w:br/>
        <w:t>under repurchase agreements and security lending arrangements are retained as assets on the Balance</w:t>
        <w:br/>
        <w:t>Sheets, and securities received under resale agreements are not recorded on the Balance Sheets.</w:t>
        <w:br/>
        <w:t>Securities lent under securities lending agreements and sold under securities repurchase agreements as</w:t>
        <w:br/>
        <w:t>well as securities purchased under resale agreements are presented on a gross basis which is consistent</w:t>
        <w:br/>
        <w:t>with the manner in which these instruments are settled. The interest earned from securities purchased</w:t>
        <w:br/>
        <w:t>under resale agreements is included in Investments–Trading, net in the Statements of Income. The</w:t>
        <w:br/>
        <w:t>interest expense pertaining to the securities sold under repurchase agreements and security lending</w:t>
        <w:br/>
        <w:t>arrangements, is included in the Borrowing expenses, net line in the Statements of Income.</w:t>
        <w:br/>
        <w:t>Premises and Equipment</w:t>
        <w:br/>
        <w:t>Premises and equipment, including leasehold improvements, and information technology assets are</w:t>
        <w:br/>
        <w:t>carried at cost less accumulated depreciation and amortization. IBRD computes depreciation and</w:t>
        <w:br/>
        <w:t>amortization using the straight-line method over the estimated useful lives of the owned assets, which</w:t>
        <w:br/>
        <w:br/>
        <w:br/>
        <w:t xml:space="preserve">                                                IBRD FINANCIAL STATEMENTS: June 30, 2025               101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range between three and fifty years. For leasehold improvements, depreciation is computed over the</w:t>
        <w:br/>
        <w:t>lesser of the remaining term of the leased facility or the estimated economic life of the improvement.</w:t>
        <w:br/>
        <w:t>Maintenance and repairs are charged to expense as incurred, while major improvements are capitalized</w:t>
        <w:br/>
        <w:t>and amortized over the estimated useful life.</w:t>
        <w:br/>
        <w:t>Lessee Arrangements</w:t>
        <w:br/>
        <w:t>IBRD’s lessee arrangements are mostly real estate operating leases. Under these arrangements, IBRD</w:t>
        <w:br/>
        <w:t>records right-of-use assets and lease liabilities at lease commencement. Right-of-use assets are reported</w:t>
        <w:br/>
        <w:t>in Other assets - Premises and equipment, net and the related lease liabilities are reported in Other</w:t>
        <w:br/>
        <w:t>liabilities - Accounts payable and miscellaneous liabilities. IBRD has elected to account for the lease and</w:t>
        <w:br/>
        <w:t>non-lease components together as a single lease component. At lease commencement, lease liabilities</w:t>
        <w:br/>
        <w:t>are recognized based on the present value of the remaining lease payments and discounted using IBRD’s</w:t>
        <w:br/>
        <w:t>incremental borrowing rate. All leases are recorded on the Balance Sheets except short-term leases with</w:t>
        <w:br/>
        <w:t>an initial term of 12 months or less. Lease expense, including that for short-term leases, is recognized on</w:t>
        <w:br/>
        <w:t>a straight-line basis over the lease term and is recorded in Administrative expenses in the Statements of</w:t>
        <w:br/>
        <w:t>Income.</w:t>
        <w:br/>
        <w:t>Borrowings</w:t>
        <w:br/>
        <w:t>To ensure funds are available for lending and liquidity purposes, IBRD borrows in the international capital</w:t>
        <w:br/>
        <w:t>markets, offering its securities (discount notes, vanilla and structured bonds) to private and governmental</w:t>
        <w:br/>
        <w:t>buyers. IBRD issues debt instruments of varying maturities denominated in various currencies with both</w:t>
        <w:br/>
        <w:t>fixed and variable interest rates.</w:t>
        <w:br/>
        <w:t>IBRD has elected the fair value option for debt instruments issued in the capital markets. All changes in</w:t>
        <w:br/>
        <w:t>fair value are recognized in the related Unrealized mark-to-market gains and losses on non-trading</w:t>
        <w:br/>
        <w:t>portfolios, net, line in the Statements of Income, except for changes in the fair value related to IBRD’s own</w:t>
        <w:br/>
        <w:t>credit risk, which are reported in Other Comprehensive Income (OCI) as a Debit Valuation Adjustment</w:t>
        <w:br/>
        <w:t>(DVA). The DVA on fair value option elected liabilities is measured by revaluing each borrowing</w:t>
        <w:br/>
        <w:t>instrument to determine the changes in fair value of that instrument arising from changes in IBRD’s</w:t>
        <w:br/>
        <w:t>funding spread relative to the applicable reference rate.</w:t>
        <w:br/>
        <w:t>Structured bonds issued by IBRD have coupon or repayment terms linked to the level or the performance</w:t>
        <w:br/>
        <w:t>of interest rates, foreign exchange rates, equity indices, catastrophic events or commodities.</w:t>
        <w:br/>
        <w:t>For the purpose of the Statements of Cash Flows, short-term borrowings, if any, with original maturities</w:t>
        <w:br/>
        <w:t>less than 90 days, are presented net of new issuances and retirements. By contrast, short-term</w:t>
        <w:br/>
        <w:t>borrowings with original maturities greater than 90 days and up to one year are presented on a gross</w:t>
        <w:br/>
        <w:t>basis.</w:t>
        <w:br/>
        <w:t>Interest expense relating to all debt instruments in IBRD’s borrowing portfolio is measured on an effective</w:t>
        <w:br/>
        <w:t>yield basis and is reported as part of Borrowing expenses, net in the Statements of Income.</w:t>
        <w:br/>
        <w:t>Amortization of discounts and premiums is recorded using the effective interest method and is included in</w:t>
        <w:br/>
        <w:t>the Borrowing expenses, net line in the Statements of Income.</w:t>
        <w:br/>
        <w:t>Accounting for Borrowings at Amortized Cost</w:t>
        <w:br/>
        <w:t>In October 2024, IBRD issued hybrid capital in the legal form of debt, which has characteristics of both</w:t>
        <w:br/>
        <w:t>debt and equity. Hybrid capital is reported at amortized cost and included in Borrowings on the Balance</w:t>
        <w:br/>
        <w:t>Sheets. This financial instrument also contains interest cancellation and principal write down features.</w:t>
        <w:br/>
        <w:t>Currently, hybrid capital is available to IBRD’s shareholders, which may also enter into separate</w:t>
        <w:br/>
        <w:t>agreements with IBRD that allow them to redeem the hybrid capital to satisfy the payment condition for</w:t>
        <w:br/>
        <w:t>their paid-in portion of any future capital increase to which the shareholder has subscribed. In addition,</w:t>
        <w:br/>
        <w:t>certain agreements include an option, at IBRD's discretion, to redeem the instrument at par after an initial</w:t>
        <w:br/>
        <w:t>period of 5 years.</w:t>
        <w:br/>
        <w:br/>
        <w:br/>
        <w:t>102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Hybrid capital is subordinated to IBRD’s unsubordinated debt issuances, senior to IBRD equity and pari-</w:t>
        <w:br/>
        <w:t>passu with all other subordinated issuances. Hybrid capital carries interest rates similar to those of IBRD’s</w:t>
        <w:br/>
        <w:t>senior medium and long-term bonds. Interest on the hybrid capital is cancellable at the sole discretion of</w:t>
        <w:br/>
        <w:t>IBRD, or mandatorily upon the occurrence of a trigger event (linked to the ratio of non-performing loans</w:t>
        <w:br/>
        <w:t>over usable equity, and to the ratio of reported equity-to-assets).</w:t>
        <w:br/>
        <w:t>Hybrid capital principal is automatically cancelled in the event IBRD makes a call to its members for</w:t>
        <w:br/>
        <w:t>callable capital.</w:t>
        <w:br/>
        <w:t>Accounting for Derivatives</w:t>
        <w:br/>
        <w:t>IBRD has elected not to designate any hedging relationships for accounting purposes. Rather, all</w:t>
        <w:br/>
        <w:t>derivative instruments are reported at fair value on the Balance Sheets, with changes in fair values</w:t>
        <w:br/>
        <w:t>accounted for through the Statements of Income.</w:t>
        <w:br/>
        <w:t>The presentation of derivative instruments on IBRD’s Balance Sheets reflects the netting of derivative</w:t>
        <w:br/>
        <w:t>asset and liability positions and the related cash collateral received from the counterparty, when a legally</w:t>
        <w:br/>
        <w:t>enforceable master netting agreement exists, and the other requisite conditions are met. In addition, in</w:t>
        <w:br/>
        <w:t>the Notes to the financial statements, unless stated differently, derivatives are presented on a net basis by</w:t>
        <w:br/>
        <w:t>instrument.</w:t>
        <w:br/>
        <w:t>A master netting agreement is an industry standard agreement with a counterparty that permits multiple</w:t>
        <w:br/>
        <w:t>transactions governed by that agreement to be terminated or accelerated and settled through a single</w:t>
        <w:br/>
        <w:t>payment in a single currency in the event of a default (e.g., bankruptcy, failure to make a required</w:t>
        <w:br/>
        <w:t>payment or transfer security or deliver collateral when due). Obligations under master netting agreements</w:t>
        <w:br/>
        <w:t>are often secured by collateral posted under an industry standard credit support annex to the master</w:t>
        <w:br/>
        <w:t>netting agreement. Upon default by the counterparty, the collateral agreement grants an entity the right to</w:t>
        <w:br/>
        <w:t>set-off any amounts payable by the counterparty against any posted collateral.</w:t>
        <w:br/>
        <w:t>IBRD uses derivative instruments in its investment trading portfolio to manage interest rate and currency</w:t>
        <w:br/>
        <w:t>risks. These derivatives are carried and reported at fair value. Interest revenue/expenses are reflected as</w:t>
        <w:br/>
        <w:t>part of Interest revenue - Investments-Trading, net, while unrealized mark-to-market gains and losses on</w:t>
        <w:br/>
        <w:t>these derivatives are reflected as part of the Unrealized mark-to-market gains (losses) in Investments-</w:t>
        <w:br/>
        <w:t>Trading, net line in the Statements of Income.</w:t>
        <w:br/>
        <w:t>IBRD also uses derivatives in its loan, borrowing and asset/liability management activities. It also offers</w:t>
        <w:br/>
        <w:t>derivative intermediation services to clients. In the loan and borrowing portfolios, derivatives are used to</w:t>
        <w:br/>
        <w:t>modify the interest rate and/or currency characteristics of these portfolios. The interest component of</w:t>
        <w:br/>
        <w:t>these derivatives is recognized as an adjustment to the related loan revenue and borrowing costs over</w:t>
        <w:br/>
        <w:t>the life of the derivative contracts and is included in the related Interest revenue/expenses lines in the</w:t>
        <w:br/>
        <w:t>Statements of Income. Changes in fair values of these derivatives are recorded in the Statements of</w:t>
        <w:br/>
        <w:t>Income as Unrealized mark-to-market gains and losses in non-trading portfolios, net.</w:t>
        <w:br/>
        <w:t>For the purpose of the Statements of Cash Flows, IBRD has elected to report the cash flows associated</w:t>
        <w:br/>
        <w:t>with the derivative instruments that are used to economically hedge its loans, investments and</w:t>
        <w:br/>
        <w:t>borrowings, in a manner consistent with the presentation of the related loan, investment and borrowing</w:t>
        <w:br/>
        <w:t>cash flows.</w:t>
        <w:br/>
        <w:t>Derivative contracts include currency forward contracts, to-be-announced (TBA) securities, swaptions,</w:t>
        <w:br/>
        <w:t>exchange traded options and futures contracts, currency swaps and interest rate swaps. Currency swaps</w:t>
        <w:br/>
        <w:t>and interest rate swaps are either plain vanilla or structured. Currency forward contracts and plain vanilla</w:t>
        <w:br/>
        <w:t>currency and interest rate swaps are valued using the discounted cash flow methods using observable</w:t>
        <w:br/>
        <w:t>market inputs such as yield curves, foreign exchange rates, basis spreads and funding spreads. For</w:t>
        <w:br/>
        <w:t>structured currency and interest rate swaps, which primarily consist of callable swaps linked to interest</w:t>
        <w:br/>
        <w:t>rates, foreign exchange rates, and equity indices, valuation models and inputs similar to the ones</w:t>
        <w:br/>
        <w:t>applicable to structured bond valuations are used. Where applicable, the models also incorporate</w:t>
        <w:br/>
        <w:t>significant unobservable inputs such as correlations and long-dated interest rate volatilities.</w:t>
        <w:br/>
        <w:br/>
        <w:br/>
        <w:t xml:space="preserve">                                                IBRD FINANCIAL STATEMENTS: June 30, 2025                103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Most outstanding derivative positions are transacted over-the-counter and therefore valued using</w:t>
        <w:br/>
        <w:t>internally developed valuation models. For commercial and non-commercial counterparties where IBRD</w:t>
        <w:br/>
        <w:t>has a net receivable position, IBRD calculates a Credit Valuation Adjustment (CVA) to reflect credit risk.</w:t>
        <w:br/>
        <w:t>For net derivative positions with commercial and non-commercial counterparties where IBRD is in a net</w:t>
        <w:br/>
        <w:t>payable position, IBRD calculates a DVA to reflect its own credit risk. The CVA is calculated using future</w:t>
        <w:br/>
        <w:t>projected exposures of the derivative contracts, net of collateral received under credit support</w:t>
        <w:br/>
        <w:t>agreements, and the probability of counterparty default based on the Credit Default Swaps (CDS) spread</w:t>
        <w:br/>
        <w:t>and, where applicable, proxy CDS spreads. The DVA calculation is generally consistent with the CVA</w:t>
        <w:br/>
        <w:t>methodology and incorporates IBRD’s own credit spread as observed through the CDS market.</w:t>
        <w:br/>
        <w:t>Valuation of Financial Instruments</w:t>
        <w:br/>
        <w:t>IBRD has an established and documented process for determining fair values. Fair value is based upon</w:t>
        <w:br/>
        <w:t>quoted market prices for the same or similar securities, where available. Financial instruments for which</w:t>
        <w:br/>
        <w:t>quoted market prices are not readily available are valued based on discounted cash flow models and</w:t>
        <w:br/>
        <w:t>other established valuation models. These models primarily use market-based or independently-sourced</w:t>
        <w:br/>
        <w:t>market parameters such as yield curves, interest rates, volatilities, foreign exchange rates and credit</w:t>
        <w:br/>
        <w:t>curves, and may incorporate unobservable inputs, some of which may be significant. Selection of these</w:t>
        <w:br/>
        <w:t>inputs may involve some judgment. In instances where management relies on instrument valuations</w:t>
        <w:br/>
        <w:t>supplied by external pricing vendors, there are procedures in place to validate the appropriateness of the</w:t>
        <w:br/>
        <w:t>models used as well as inputs applied in determining those values. The fair value of certain investments</w:t>
        <w:br/>
        <w:t>is calculated using NAV as a practical expedient. To ensure that the valuations are appropriate where</w:t>
        <w:br/>
        <w:t>internally-developed models are used, IBRD has various controls in place, which include both internal and</w:t>
        <w:br/>
        <w:t>periodic external verification and review.</w:t>
        <w:br/>
        <w:t>Fair Value Hierarchy</w:t>
        <w:br/>
        <w:t>Financial instruments are categorized based on the priority of the inputs to the valuation technique. The</w:t>
        <w:br/>
        <w:t>fair value hierarchy gives the highest priority to quoted prices in active markets for identical assets or</w:t>
        <w:br/>
        <w:t>liabilities (Level 1), the next highest priority to observable market-based inputs or inputs that are</w:t>
        <w:br/>
        <w:t>corroborated by market data (Level 2) and the lowest priority to unobservable inputs that are not</w:t>
        <w:br/>
        <w:t>corroborated by market data (Level 3).</w:t>
        <w:br/>
        <w:t>Financial assets and liabilities recorded at fair value on the Balance Sheets are categorized based on the</w:t>
        <w:br/>
        <w:t>inputs to the valuation techniques as follows:</w:t>
        <w:br/>
        <w:t>Level 1: Financial assets and liabilities whose values are based on unadjusted quoted prices for identical</w:t>
        <w:br/>
        <w:t xml:space="preserve">        assets or liabilities in active markets.</w:t>
        <w:br/>
        <w:t>Level 2: Financial assets and liabilities whose values are based on quoted prices for similar assets or</w:t>
        <w:br/>
        <w:t xml:space="preserve">        liabilities in active markets; quoted prices for identical or similar assets or liabilities in markets that</w:t>
        <w:br/>
        <w:t xml:space="preserve">        are not active; or pricing models for which all significant inputs are observable, either directly or</w:t>
        <w:br/>
        <w:t xml:space="preserve">        indirectly for substantially the full term of the asset or liability.</w:t>
        <w:br/>
        <w:t>Level 3: Financial assets and liabilities whose values are based on prices or valuation techniques that</w:t>
        <w:br/>
        <w:t xml:space="preserve">        require inputs that are both unobservable and significant to the overall fair value measurement.</w:t>
        <w:br/>
        <w:t>IBRD’s policy is to recognize transfers in and transfers out of levels as of the end of the reporting period in</w:t>
        <w:br/>
        <w:t>which they occur.</w:t>
        <w:br/>
        <w:t>Investments measured at NAV (or its equivalent) are not classified in the fair value hierarchy.</w:t>
        <w:br/>
        <w:t>Accounting for Grant Expenses</w:t>
        <w:br/>
        <w:t>IBRD recognizes an expense for unconditional grants, such as Contributions to special programs and</w:t>
        <w:br/>
        <w:t>most Board of Governors-approved transfers, upon approval. IBRD recognizes an expense for conditional</w:t>
        <w:br/>
        <w:t>grants when the conditions specified for use by the beneficiaries have been met.</w:t>
        <w:br/>
        <w:br/>
        <w:br/>
        <w:t>104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Trust Funds</w:t>
        <w:br/>
        <w:t>To the extent that IBRD acts as an agent for, or controls Bank-executed activities for trust funds, assets</w:t>
        <w:br/>
        <w:t>held on behalf of specified beneficiaries are recorded on IBRD’s Balance Sheets, along with</w:t>
        <w:br/>
        <w:t>corresponding liabilities. Amounts disbursed from these trust funds are recorded as expenses with</w:t>
        <w:br/>
        <w:t>corresponding amounts recognized as revenues. For recipient-executed activities for trust funds, since</w:t>
        <w:br/>
        <w:t>IBRD acts as a trustee, no assets or liabilities relating to these activities are recorded on the Balance</w:t>
        <w:br/>
        <w:t>Sheets. In some trust funds, execution is split between recipient-executed and Bank-executed portions.</w:t>
        <w:br/>
        <w:t>Decisions on assignment of funding resources between the two types of execution may be made on an</w:t>
        <w:br/>
        <w:t>ongoing basis, therefore, the execution of a portion of these available resources may not yet be assigned.</w:t>
        <w:br/>
        <w:t>IBRD also acts as a financial intermediary to provide specific administrative or financial services with a</w:t>
        <w:br/>
        <w:t>limited fiduciary or operational role. These arrangements, referred to as Financial Intermediary Funds,</w:t>
        <w:br/>
        <w:t>include, for example, administration of debt service trust funds, financial intermediation and other more</w:t>
        <w:br/>
        <w:t>specialized limited fund management roles. For these arrangements, funds are held and disbursed in</w:t>
        <w:br/>
        <w:t>accordance with instructions from donors or, in some cases, an external governance structure or a body</w:t>
        <w:br/>
        <w:t>operating on behalf of donors. For Financial Intermediary Funds, since IBRD acts as a trustee, no assets</w:t>
        <w:br/>
        <w:t>or liabilities relating to these activities are recorded on the Balance Sheets.</w:t>
        <w:br/>
        <w:t>Accounting and Reporting Developments</w:t>
        <w:br/>
        <w:t>Evaluated Accounting Standards:</w:t>
        <w:br/>
        <w:t>In November 2023, the FASB issued ASU 2023-07, Segment Reporting (Topic 280): Improvements to</w:t>
        <w:br/>
        <w:t>Reportable Segment Disclosures, which requires additional segment disclosures for public entities,</w:t>
        <w:br/>
        <w:t>including those with a single reportable segment (such as IBRD). All existing annual disclosures about</w:t>
        <w:br/>
        <w:t>segment profit or loss must be provided on an interim basis in addition to disclosure of significant</w:t>
        <w:br/>
        <w:t>segment expenses. For IBRD, the ASU became effective for the annual period ended June 30, 2025, and</w:t>
        <w:br/>
        <w:t>the adoption of the ASU has resulted in additional disclosures (see Note M - Segment Reporting).</w:t>
        <w:br/>
        <w:t>In June 2022, the Financial Accounting Standards Board (FASB) issued Accounting Standard Update</w:t>
        <w:br/>
        <w:t>(ASU) 2022-03, Fair Value Measurement (Topic 820) Fair Value Measurement of Equity Securities</w:t>
        <w:br/>
        <w:t>Subject to Contractual Sale Restrictions, which clarifies that a contractual restriction on the sale of an</w:t>
        <w:br/>
        <w:t>equity security is not considered part of the unit of account of the equity security and should not be</w:t>
        <w:br/>
        <w:t>factored in when measuring fair value. The ASU also clarifies that an entity cannot, as a separate unit of</w:t>
        <w:br/>
        <w:t>account, recognize and measure a contractual sale restriction. The ASU requires certain disclosures for</w:t>
        <w:br/>
        <w:t>equity securities subject to contractual sale restrictions. For IBRD, the ASU became effective from the</w:t>
        <w:br/>
        <w:t>quarter ending September 30, 2024 (fiscal year 2025 for IBRD), and the adoption of the ASU did not have</w:t>
        <w:br/>
        <w:t>a material impact on IBRD's financial statements.</w:t>
        <w:br/>
        <w:t>Accounting Standards Under Evaluation:</w:t>
        <w:br/>
        <w:t>In November 2024, the FASB issued ASU 2024-03, Income Statement—Reporting Comprehensive</w:t>
        <w:br/>
        <w:t>Income—Expense Disaggregation Disclosures (Subtopic 220-40), which requires disaggregated</w:t>
        <w:br/>
        <w:t>disclosure of income statement expenses for public business entities. The ASU does not change the</w:t>
        <w:br/>
        <w:t>expense captions an entity presents on the face of the income statement; rather, it requires</w:t>
        <w:br/>
        <w:t>disaggregation of certain expense captions into specified categories in disclosures within the notes to the</w:t>
        <w:br/>
        <w:t>financial statements. In January 2025, the FASB issued ASU 2025-01, Income Statement—Reporting</w:t>
        <w:br/>
        <w:t>Comprehensive Income—Expense Disaggregation Disclosures (Subtopic 220-40): Clarifying the Effective</w:t>
        <w:br/>
        <w:t>Date which clarifies the effective date of ASU 2024-03. For IBRD, the ASUs will be effective for the annual</w:t>
        <w:br/>
        <w:t>period ending June 30, 2028 (annual statements of fiscal year 2028, and interim reporting periods</w:t>
        <w:br/>
        <w:t>thereafter). IBRD is currently evaluating the impact of the ASUs on its financial statements.</w:t>
        <w:br/>
        <w:t>In October 2023, the FASB issued ASU 2023-06, Disclosure Improvements: Codification Amendments in</w:t>
        <w:br/>
        <w:t>Response to the SEC’s Disclosure Update and Simplification Initiative. The new guidance is intended to</w:t>
        <w:br/>
        <w:t>align U.S. GAAP requirements with those of the SEC and to facilitate the application of U.S. GAAP for all</w:t>
        <w:br/>
        <w:t>entities. If by June 30, 2027, the SEC has not removed the related SEC requirement, the related ASU</w:t>
        <w:br/>
        <w:t>amendment will not become effective. IBRD is currently evaluating the impact of the ASU on its financial</w:t>
        <w:br/>
        <w:t>statements.</w:t>
        <w:br/>
        <w:br/>
        <w:br/>
        <w:t xml:space="preserve">                                               IBRD FINANCIAL STATEMENTS: June 30, 2025               105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B—CAPITAL STOCK, MAINTENANCE OF VALUE AND</w:t>
        <w:br/>
        <w:t>MEMBERSHIP</w:t>
        <w:br/>
        <w:t>The following table provides a summary of changes in IBRD’s authorized and subscribed shares:</w:t>
        <w:br/>
        <w:t>Table B1: IBRD's Shares</w:t>
        <w:br/>
        <w:t xml:space="preserve">                                                                                        Authorized shares       Subscribed shares</w:t>
        <w:br/>
        <w:t>As of June 30, 2023                                                                           2,783,873               2,634,728</w:t>
        <w:br/>
        <w:t xml:space="preserve">  General Capital Increase/Selective Capital Increase (GCI/SCI)                                        –                 43,370</w:t>
        <w:br/>
        <w:t>As of June 30, 2024                                                                           2,783,873               2,678,098</w:t>
        <w:br/>
        <w:t xml:space="preserve">  GCI/SCI                                                                                              –                 31,193</w:t>
        <w:br/>
        <w:t>As of June 30, 2025                                                                           2,783,873               2,709,291</w:t>
        <w:br/>
        <w:br/>
        <w:br/>
        <w:t>The following table provides a summary of the changes in subscribed capital, uncalled portion of</w:t>
        <w:br/>
        <w:t>subscriptions, and paid-in capital:</w:t>
        <w:br/>
        <w:t>Table B2: IBRD's Capital</w:t>
        <w:br/>
        <w:t>In millions of U.S. dollars</w:t>
        <w:br/>
        <w:t xml:space="preserve">                                                                                          Uncalled portion of</w:t>
        <w:br/>
        <w:t xml:space="preserve">                                                                   Subscribed capital       subscriptions          Paid-in capital</w:t>
        <w:br/>
        <w:t>As of June 30, 2023                                               $     317,840         $      (296,021)         $      21,819</w:t>
        <w:br/>
        <w:t xml:space="preserve">  GCI/SCI                                                                  5,232                  (4,599)                   633</w:t>
        <w:br/>
        <w:t>As of June 30, 2024                                                     323,072                (300,620)                22,452</w:t>
        <w:br/>
        <w:t xml:space="preserve">  GCI/SCI                                                                  3,763                  (3,304)                   459</w:t>
        <w:br/>
        <w:t>As of June 30, 2025                                               $     326,835         $      (303,924)         $      22,911</w:t>
        <w:br/>
        <w:br/>
        <w:br/>
        <w:t>The uncalled portion of subscriptions is subject to call only when required to meet the obligations incurred</w:t>
        <w:br/>
        <w:t>by IBRD as a result of borrowings (excluding hybrid capital) or guaranteeing loans.</w:t>
        <w:br/>
        <w:t>On October 1, 2018, IBRD’s Board of Governors approved two resolutions that increased IBRD’s</w:t>
        <w:br/>
        <w:t>authorized capital. The total increase in authorized capital was $57.5 billion, of which, $27.8 billion and</w:t>
        <w:br/>
        <w:t>$29.7 billion relate to the GCI and SCI, respectively. Under the terms of the 2018 GCI and SCI, paid-in</w:t>
        <w:br/>
        <w:t>capital is expected to increase by up to $7.5 billion. On May 23, 2023, the Board approved the extension</w:t>
        <w:br/>
        <w:t>of the subscription period for GCI and SCI from October 1, 2023 to October 1, 2025. As of June 30, 2025,</w:t>
        <w:br/>
        <w:t>the cumulative subscription payments received under the 2018 capital increases were $6.5 billion.</w:t>
        <w:br/>
        <w:t>Amounts to Maintain the Value of Currency Holdings</w:t>
        <w:br/>
        <w:t>The following table summarizes the amounts to Maintain the Value of Currency (MOV), classified as</w:t>
        <w:br/>
        <w:t>components of equity:</w:t>
        <w:br/>
        <w:t>Table B3: MOV balances</w:t>
        <w:br/>
        <w:t xml:space="preserve"> In millions of U.S. dollars</w:t>
        <w:br/>
        <w:t xml:space="preserve">                                                                              June 30, 2025                     June 30, 2024</w:t>
        <w:br/>
        <w:t xml:space="preserve"> MOV receivable                                                        $           (325)                $            (337)</w:t>
        <w:br/>
        <w:br/>
        <w:br/>
        <w:t xml:space="preserve"> Net Deferred MOV receivable                                                        (168)                            (428)</w:t>
        <w:br/>
        <w:t xml:space="preserve"> Deferred demand obligations                                                        (130)                            (130)</w:t>
        <w:br/>
        <w:t xml:space="preserve"> Deferred MOV receivable                                               $            (298)               $            (558)</w:t>
        <w:br/>
        <w:br/>
        <w:br/>
        <w:t>106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C—INVESTMENTS</w:t>
        <w:br/>
        <w:t>IBRD’s investments include the liquid asset portfolio, holdings relating to the Post Employment Benefit</w:t>
        <w:br/>
        <w:t>Plan (PEBP), the Post Retirement Contribution Reserve Fund (PCRF), the IBRD Surplus-Funded Livable</w:t>
        <w:br/>
        <w:t>Planet Fund (LPF1), and the Grant Facility for Project Preparation (GFPP).</w:t>
        <w:br/>
        <w:t>Investments held by IBRD are designated as trading and reported at fair value or at face value which</w:t>
        <w:br/>
        <w:t>approximates fair value. As of June 30, 2025, Investments were primarily comprised of government,</w:t>
        <w:br/>
        <w:t>agency and corporate obligations and time deposits (43% and 51%, respectively), with all of the</w:t>
        <w:br/>
        <w:t>instruments classified as Level 1 or Level 2 within the fair value hierarchy.</w:t>
        <w:br/>
        <w:t>A summary of IBRD’s Investments-Trading is as follows:</w:t>
        <w:br/>
        <w:t>Table C1: Investments - Trading composition</w:t>
        <w:br/>
        <w:t>In millions of U.S. dollars</w:t>
        <w:br/>
        <w:t xml:space="preserve">                                                                                     June 30, 2025          June 30, 2024</w:t>
        <w:br/>
        <w:t>Government, agency and corporate obligations                                       $       44,151         $       32,353</w:t>
        <w:br/>
        <w:t>Time deposits                                                                              52,283                 45,991</w:t>
        <w:br/>
        <w:t>Asset-backed Securities (ABS)                                                               3,210                  1,880</w:t>
        <w:br/>
        <w:t>Other fund investments a                                                                    2,775                  2,155</w:t>
        <w:br/>
        <w:t>Equity securities b                                                                           255                    349</w:t>
        <w:br/>
        <w:t>Total                                                                              $     102,674          $       82,728</w:t>
        <w:br/>
        <w:br/>
        <w:t>a. Includes PEBP holdings as investments in hedge funds, private equity funds, commingled funds, credit strategy funds and real</w:t>
        <w:br/>
        <w:t xml:space="preserve">   asset funds, at net asset value (NAV) and investments held by the IBRD Surplus-Funded Livable Planet Fund (LPF1) and the</w:t>
        <w:br/>
        <w:t xml:space="preserve">   Grant Facility for Project Preparation (GFPP) at fair value.</w:t>
        <w:br/>
        <w:t>b. Relates to PEBP holdings.</w:t>
        <w:br/>
        <w:br/>
        <w:br/>
        <w:t xml:space="preserve">                                                        IBRD FINANCIAL STATEMENTS: June 30, 2025                          107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manages its investments on a net portfolio basis. As of June 30, 2025, the largest holdings from a</w:t>
        <w:br/>
        <w:t>single counterparty within the net investment portfolio was the Government of Japan (7%). The following</w:t>
        <w:br/>
        <w:t>table summarizes IBRD’s net investment portfolio position:</w:t>
        <w:br/>
        <w:t>Table C2: Net investment portfolio</w:t>
        <w:br/>
        <w:t>In millions of U.S. dollars</w:t>
        <w:br/>
        <w:t xml:space="preserve">                                                                                             June 30, 2025           June 30, 2024</w:t>
        <w:br/>
        <w:t>Investments-Trading                                                                      $       102,674         $         82,728</w:t>
        <w:br/>
        <w:t>Securities purchased under resale agreements                                                           14                      79</w:t>
        <w:br/>
        <w:t>Securities sold under repurchase agreements, securities lent under</w:t>
        <w:br/>
        <w:t xml:space="preserve">  securities lending agreements, and payable for cash collateral received a                          (344)                    (277)</w:t>
        <w:br/>
        <w:t>Derivative assets</w:t>
        <w:br/>
        <w:t xml:space="preserve">  Currency swaps and forward contracts                                                                173                         812</w:t>
        <w:br/>
        <w:t xml:space="preserve">  Interest rate swaps                                                                                  88                          14</w:t>
        <w:br/>
        <w:t xml:space="preserve">  Other b                                                                                               2                           1</w:t>
        <w:br/>
        <w:t xml:space="preserve">   Total                                                                                              263                         827</w:t>
        <w:br/>
        <w:t>Derivative liabilities</w:t>
        <w:br/>
        <w:t xml:space="preserve">  Currency swaps and forward contracts                                                             (1,149)                     (68)</w:t>
        <w:br/>
        <w:t xml:space="preserve">  Interest rate swaps                                                                                 (57)                    (450)</w:t>
        <w:br/>
        <w:t xml:space="preserve">  Other b                                                                                               —                        —</w:t>
        <w:br/>
        <w:t xml:space="preserve">   Total                                                                                           (1,206)                    (518)</w:t>
        <w:br/>
        <w:t>Cash held in investment portfolio c                                                                   314                      308</w:t>
        <w:br/>
        <w:t>Receivable from investment securities traded and other assets                                          84                      438</w:t>
        <w:br/>
        <w:t>Payable for investment securities purchased d                                                        (199)                    (561)</w:t>
        <w:br/>
        <w:t>IFC PCRF payable e                                                                                   (502)                    (344)</w:t>
        <w:br/>
        <w:t>Net investment portfolio                                                                 $        101,098        $          82,680</w:t>
        <w:br/>
        <w:br/>
        <w:br/>
        <w:t>a. Includes $32 million cash collateral received from counterparties under derivative agreements ($21 million—June 30, 2024).</w:t>
        <w:br/>
        <w:t>b. Includes swaptions, options, and futures contracts.</w:t>
        <w:br/>
        <w:t>c. This amount is included in Unrestricted cash under Due from banks on the Balance Sheets.</w:t>
        <w:br/>
        <w:t>d. There were no liabilities related to short sales ($59 million—June 30, 2024).</w:t>
        <w:br/>
        <w:t>e. See Note H -Transactions with affiliated organizations, Liabilities are included in Other liabilities – Accounts payable and</w:t>
        <w:br/>
        <w:t xml:space="preserve">   miscellaneous liabilities on the Balance Sheets.</w:t>
        <w:br/>
        <w:br/>
        <w:t>Table C3: Net investment portfolio composition</w:t>
        <w:br/>
        <w:t>In millions of U.S. dollars</w:t>
        <w:br/>
        <w:t xml:space="preserve">                                                                                             June 30, 2025           June 30, 2024</w:t>
        <w:br/>
        <w:t>Net investment portfolio</w:t>
        <w:br/>
        <w:t xml:space="preserve">  Liquid assets                                                                          $         96,043        $          78,792</w:t>
        <w:br/>
        <w:t xml:space="preserve">  PEBP, PCRF and Other holdings                                                                     5,055                    3,888</w:t>
        <w:br/>
        <w:t>Total                                                                                    $        101,098        $          82,680</w:t>
        <w:br/>
        <w:br/>
        <w:br/>
        <w:t>IBRD uses derivative instruments to manage the associated currency and interest rate risks in the</w:t>
        <w:br/>
        <w:t>portfolio. For details of these instruments, see Note F—Derivative Instruments. After considering the</w:t>
        <w:br/>
        <w:t>effects of these derivatives, IBRD’s investment portfolio is predominantly denominated in U.S. dollars.</w:t>
        <w:br/>
        <w:t>Commercial Credit Risk</w:t>
        <w:br/>
        <w:t>For the purpose of risk management, IBRD is party to a variety of financial transactions, certain of which</w:t>
        <w:br/>
        <w:t>involve elements of credit risk. Credit risk exposure represents the maximum potential loss due to</w:t>
        <w:br/>
        <w:t>possible non-performance by obligors and counterparties under the terms of the contracts. For all</w:t>
        <w:br/>
        <w:t>securities, IBRD limits trading to a list of authorized dealers and counterparties. In addition, IBRD may</w:t>
        <w:br/>
        <w:t>require collateral in connection with resale agreements and swap agreements. The collateral serves to</w:t>
        <w:br/>
        <w:t>mitigate IBRD’s exposure to credit risk.</w:t>
        <w:br/>
        <w:br/>
        <w:br/>
        <w:t>108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Swap Agreements</w:t>
        <w:br/>
        <w:t>Credit risk is mitigated through the application of eligibility criteria and volume limits for transactions with</w:t>
        <w:br/>
        <w:t>individual counterparties and through the use of mark-to-market collateral arrangements for swap</w:t>
        <w:br/>
        <w:t>transactions. IBRD may require collateral in the form of cash or other approved liquid securities from</w:t>
        <w:br/>
        <w:t>individual counterparties in order to mitigate its credit exposure.</w:t>
        <w:br/>
        <w:t>IBRD has entered into master derivative agreements that contain legally enforceable close-out netting</w:t>
        <w:br/>
        <w:t>provisions. These agreements may further reduce the gross credit risk exposure related to the swaps.</w:t>
        <w:br/>
        <w:t>Credit risk with financial assets subject to a master derivatives arrangement is further reduced under</w:t>
        <w:br/>
        <w:t>these agreements to the extent that payments and receipts with the counterparty are netted at settlement.</w:t>
        <w:br/>
        <w:t>The reduction in exposure as a result of these netting provisions can vary due to the impact of changes in</w:t>
        <w:br/>
        <w:t>market conditions on existing and new transactions. For more information on netting and offsetting</w:t>
        <w:br/>
        <w:t>provisions, see Note F—Derivative Instruments.</w:t>
        <w:br/>
        <w:t>The following is a summary of the collateral received by IBRD for swap transactions:</w:t>
        <w:br/>
        <w:t>Table C4: Collateral received</w:t>
        <w:br/>
        <w:t>In millions of U.S. dollars</w:t>
        <w:br/>
        <w:t xml:space="preserve">                                                                             June 30, 2025       June 30, 2024</w:t>
        <w:br/>
        <w:t>Collateral received</w:t>
        <w:br/>
        <w:t xml:space="preserve">  Cash                                                                   $           32      $           21</w:t>
        <w:br/>
        <w:t xml:space="preserve">  Securities                                                                        488                 322</w:t>
        <w:br/>
        <w:t>Total collateral received                                                $          520      $          343</w:t>
        <w:br/>
        <w:t>Collateral permitted to be repledged                                     $          520      $          343</w:t>
        <w:br/>
        <w:t>Amount of collateral repledged                                                        –                   –</w:t>
        <w:br/>
        <w:t>Amount of cash collateral invested                                                   32                  21</w:t>
        <w:br/>
        <w:br/>
        <w:br/>
        <w:t>Securities Financing Activities</w:t>
        <w:br/>
        <w:t>IBRD may engage in securities lending and repurchases, against adequate collateral, as well as secured</w:t>
        <w:br/>
        <w:t>borrowing and reverse repurchases (resales) of government and agency obligations, corporate securities,</w:t>
        <w:br/>
        <w:t>ABS and Mortgage-backed securities (MBS). These transactions, if any, are conducted under legally</w:t>
        <w:br/>
        <w:t>enforceable master netting arrangements, which allow IBRD to reduce its gross credit exposure related to</w:t>
        <w:br/>
        <w:t>these transactions. IBRD presents its securities lending and repurchases, as well as resales, on a gross</w:t>
        <w:br/>
        <w:t>basis on the Balance Sheets. As of June 30, 2025, there were no amounts that could potentially be offset</w:t>
        <w:br/>
        <w:t>as a result of legally enforceable master netting arrangements ($59 million—June 30, 2024).</w:t>
        <w:br/>
        <w:t>Securities lending and repurchase agreements expose IBRD to several risks, including counterparty risk,</w:t>
        <w:br/>
        <w:t>reinvestment risk, and risk of a collateral gap (due to increases or decrease in the fair value of collateral</w:t>
        <w:br/>
        <w:t>pledged). IBRD has procedures in place to ensure that trading activity and balances under these</w:t>
        <w:br/>
        <w:t>agreements are below predefined counterparty and maturity limits, and to actively manage net</w:t>
        <w:br/>
        <w:t>counterparty exposure, after collateral, using daily market values. Whenever the collateral pledged by</w:t>
        <w:br/>
        <w:t>IBRD related to its borrowings under repurchase agreements and securities lending agreements declines</w:t>
        <w:br/>
        <w:t>in value, the transaction is re-priced as appropriate by returning cash or pledging additional collateral.</w:t>
        <w:br/>
        <w:t>Transfers of securities by IBRD to counterparties are not accounted for as sales as the accounting criteria</w:t>
        <w:br/>
        <w:t>for the treatment as a sale have not been met. Counterparties are permitted to repledge these securities</w:t>
        <w:br/>
        <w:t>until the repurchase date.</w:t>
        <w:br/>
        <w:t>As of June 30, 2025, liabilities relating to securities transferred under repurchase or securities lending</w:t>
        <w:br/>
        <w:t>agreements were $312 million ($256 million—June 30, 2024) and there were no unsettled trades relating</w:t>
        <w:br/>
        <w:t>to repurchase or securities lending agreements (Nil —June 30, 2024). There were no replacement trades</w:t>
        <w:br/>
        <w:t>entered into in anticipation of maturing trades of a similar amount (Nil—June 30, 2024). As of June 30,</w:t>
        <w:br/>
        <w:t>2025 and June 30, 2024, the remaining contractual maturity of these agreements was up to 30 days. The</w:t>
        <w:br/>
        <w:br/>
        <w:br/>
        <w:t xml:space="preserve">                                                  IBRD FINANCIAL STATEMENTS: June 30, 2025                    109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securities transferred were mainly comprised of government and agency obligations, equity securities and</w:t>
        <w:br/>
        <w:t>sovereign debt.</w:t>
        <w:br/>
        <w:t>In the case of resale agreements, IBRD receives collateral in the form of liquid securities and is permitted</w:t>
        <w:br/>
        <w:t>to repledge these securities. While these transactions are legally considered to be true purchases and</w:t>
        <w:br/>
        <w:t>sales, the securities received are not recorded on IBRD’s Balance Sheets as the accounting criteria for</w:t>
        <w:br/>
        <w:t>treatment as a sale have not been met. As of June 30, 2025 and June 30, 2024, there were no unsettled</w:t>
        <w:br/>
        <w:t>trades pertaining to securities purchased under resale agreements. For resale agreements, IBRD</w:t>
        <w:br/>
        <w:t>received securities with a fair value of $15 million as of June 30, 2025 ($79 million—June 30, 2024). As of</w:t>
        <w:br/>
        <w:t>June 30, 2025 and June 30, 2024, none of these securities had been transferred under repurchase or</w:t>
        <w:br/>
        <w:t>security lending agreements.</w:t>
        <w:br/>
        <w:br/>
        <w:br/>
        <w:t>NOTE D—LOANS AND OTHER EXPOSURES</w:t>
        <w:br/>
        <w:t>IBRD’s loans and other exposures (collectively, “exposures”) are generally made to, or guaranteed by,</w:t>
        <w:br/>
        <w:t>member countries of IBRD. In addition, IBRD may also make loans to the International Finance</w:t>
        <w:br/>
        <w:t>Corporation (IFC), an affiliated organization, without any guarantee. Other exposures include signed loan</w:t>
        <w:br/>
        <w:t>commitments such as Deferred Drawdown Options (DDOs) and irrevocable commitments and</w:t>
        <w:br/>
        <w:t>guarantees. As of June 30, 2025, all of IBRD’s loans were reported at amortized cost.</w:t>
        <w:br/>
        <w:t>IBRD uses derivatives to manage the currency risk and the interest rate risk between its loans and</w:t>
        <w:br/>
        <w:t>borrowings. For details regarding derivatives used in the loan portfolio, see Note F—Derivative</w:t>
        <w:br/>
        <w:t>Instruments.</w:t>
        <w:br/>
        <w:t>The majority of IBRD’s loans outstanding are denominated in U.S. dollars (78%) and euro (20%).</w:t>
        <w:br/>
        <w:t>IBRD excludes the interest receivable balance from the amortized cost basis and from the related</w:t>
        <w:br/>
        <w:t>disclosures. Accrued interest receivable on loans of $3,297 million June 30, 2025 ($3,706 million—</w:t>
        <w:br/>
        <w:t>June 30, 2024) is included in Receivables- Accrued income on loans and guarantee fees receivable in the</w:t>
        <w:br/>
        <w:t>Balance Sheets.</w:t>
        <w:br/>
        <w:t>As of June 30, 2025, 0.5% of IBRD’s loans were in nonaccrual status and related to two borrowers (see</w:t>
        <w:br/>
        <w:t>Table D6: Loans in nonaccrual status). The total accumulated provision for losses on loans in accrual</w:t>
        <w:br/>
        <w:t>status and nonaccrual status accounted for 0.8% of the total loan portfolio. Based on IBRD’s internal</w:t>
        <w:br/>
        <w:t>credit quality indicators, the majority of loans outstanding are in the medium-risk or high-risk classes.</w:t>
        <w:br/>
        <w:br/>
        <w:br/>
        <w:t>110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A summary of IBRD’s loans outstanding by currency and by interest rate characteristics (fixed or variable)</w:t>
        <w:br/>
        <w:t>is as follows:</w:t>
        <w:br/>
        <w:t>Table D1: Loans outstanding by currency and interest rate structure</w:t>
        <w:br/>
        <w:t>In millions of U.S. dollars, except as otherwise noted</w:t>
        <w:br/>
        <w:t xml:space="preserve">                                                                                                      June 30, 2025</w:t>
        <w:br/>
        <w:t xml:space="preserve">                                           U.S. dollars                     Euro                  Japanese Yen                      Others              Loans Outstanding</w:t>
        <w:br/>
        <w:t xml:space="preserve">                                        Fixed        Variable         Fixed     Variable        Fixed     Variable          Fixed        Variable       Fixed     Variable        Total</w:t>
        <w:br/>
        <w:br/>
        <w:t xml:space="preserve"> Multicurrency terms a          $               15    $    402    $        3   $        7   $        4   $       4     $        —       $      —    $        22   $   413     $     435</w:t>
        <w:br/>
        <w:t xml:space="preserve">    Weighted average rate (%) b               9.89         7.25         2.78         7.36         2.78        7.36              —              —           7.41       7.26          7.26</w:t>
        <w:br/>
        <w:t xml:space="preserve">                             c</w:t>
        <w:br/>
        <w:t xml:space="preserve">    Average Maturity (years)                  0.11           —          0.62           —          0.62          —               —              —           0.29         —           0.01</w:t>
        <w:br/>
        <w:br/>
        <w:t xml:space="preserve"> Variable-spread terms              $           —     $ 178,794   $       —    $ 36,763     $       —    $   1,869     $        —       $   2,133   $        —    $ 219,559   $ 219,559</w:t>
        <w:br/>
        <w:t xml:space="preserve">    Weighted average rate (%) b                 —          5.45           —        3.01             —         1.00              —            9.41            —         5.04        5.04</w:t>
        <w:br/>
        <w:t xml:space="preserve">    Average Maturity (years)                    —          8.74           —        8.55             —         8.17              —            6.28            —         8.68        8.68</w:t>
        <w:br/>
        <w:br/>
        <w:br/>
        <w:t xml:space="preserve"> Fixed-spread terms             $           17,250    $ 23,172    $ 13,147     $    8,074   $       —    $    690      $      380       $    383    $ 30,777      $ 32,319    $ 63,096</w:t>
        <w:br/>
        <w:t xml:space="preserve">    Weighted average rate (%) b               3.26        5.88        2.11           3.26           —         1.04            9.54           8.03       2.85          5.15        4.03</w:t>
        <w:br/>
        <w:t xml:space="preserve">    Average Maturity (years)                  7.10        8.40        9.10           6.62           —         3.76            9.13           6.67       7.98          7.83        7.90</w:t>
        <w:br/>
        <w:t xml:space="preserve"> Loans Outstanding                $     17,265 $ 202,368 $ 13,150              $ 44,844     $        4   $   2,563     $      380       $   2,516   $ 30,799      $ 252,291   $ 283,090</w:t>
        <w:br/>
        <w:t xml:space="preserve">    Weighted average rate (%) b           3.27         5.50        2.11            3.06           2.78        1.02            9.54           9.20       2.85           5.06        4.82</w:t>
        <w:br/>
        <w:t xml:space="preserve">    Average Maturity (years)              7.09         8.68        9.10            8.20           0.62        6.97            9.13           6.34       7.97           8.56        8.49</w:t>
        <w:br/>
        <w:t xml:space="preserve"> Loans Outstanding                                                                                                                                                            $ 283,090</w:t>
        <w:br/>
        <w:t xml:space="preserve"> Less accumulated provision for loan losses and deferred loan income                                                                                                              3,047</w:t>
        <w:br/>
        <w:t xml:space="preserve"> Net loans outstanding                                                                                                                                                        $ 280,043</w:t>
        <w:br/>
        <w:br/>
        <w:br/>
        <w:t>Table D1.1</w:t>
        <w:br/>
        <w:t>In millions of U.S. dollars, except as otherwise noted</w:t>
        <w:br/>
        <w:t xml:space="preserve">                                                                                                                      June 30, 2024</w:t>
        <w:br/>
        <w:t xml:space="preserve">                                               U.S. dollars                 Euro                  Japanese Yen                  Others                  Loans Outstanding</w:t>
        <w:br/>
        <w:t xml:space="preserve">                                            Fixed      Variable       Fixed     Variable        Fixed     Variable        Fixed      Variable           Fixed     Variable        Total</w:t>
        <w:br/>
        <w:br/>
        <w:t xml:space="preserve"> Multicurrency terms a                  $      21     $    402    $       8     $      7    $       4    $      3       $      —        $     —     $       33    $    412    $      445</w:t>
        <w:br/>
        <w:t xml:space="preserve">    Weighted average rate (%) b              8.37          6.38        2.78         6.43         2.78        6.43              —              —           6.32         6.38          6.38</w:t>
        <w:br/>
        <w:t xml:space="preserve">    Average Maturity (years) c               0.39            —         1.12           —          1.09          —               —              —           0.65           —           0.05</w:t>
        <w:br/>
        <w:br/>
        <w:t xml:space="preserve"> Variable-spread terms                  $      —      $ 167,948   $      —      $28,782     $      —     $   334        $      —        $ 2,544     $      —      $ 199,608   $ 199,608</w:t>
        <w:br/>
        <w:t xml:space="preserve">    Weighted average rate (%) b                —           6.35          —         4.40            —         0.84              —          10.13            —           6.11        6.11</w:t>
        <w:br/>
        <w:t xml:space="preserve">    Average Maturity (years)                   —           8.52          —         7.97            —         6.69              —           6.15            —           8.41        8.41</w:t>
        <w:br/>
        <w:br/>
        <w:t xml:space="preserve"> Fixed-spread terms                   $18,351    $ 23,792 $12,429               $ 7,132             *    $   711        $    297        $   425     $31,077       $ 32,060    $ 63,137</w:t>
        <w:br/>
        <w:t xml:space="preserve">    Weighted average rate (%) b          3.30          6.88       2.08             4.77            —        0.64             8.67         10.51        2.86            6.32        4.62</w:t>
        <w:br/>
        <w:t xml:space="preserve">    Average maturity (years)             7.63          8.96       9.59             7.14            —        4.18             8.27          7.17        8.42            8.43        8.43</w:t>
        <w:br/>
        <w:t xml:space="preserve"> Loans Outstanding                    $18,372    $ 192,142 $12,437              $35,921     $       4    $ 1,048        $    297        $ 2,969     $31,110       $ 232,080   $ 263,190</w:t>
        <w:br/>
        <w:t xml:space="preserve">    Weighted average rate (%) b          3.30          6.41       2.08             4.47          2.78       0.72             8.67         10.19        2.86            6.14        5.75</w:t>
        <w:br/>
        <w:t xml:space="preserve">    Average Maturity (years)             7.63          8.56       9.59             7.80          1.09       4.97             8.27          6.29        8.42            8.39        8.40</w:t>
        <w:br/>
        <w:t xml:space="preserve"> Loans Outstanding                                                                                                                                                            $263,190</w:t>
        <w:br/>
        <w:t xml:space="preserve"> Less accumulated provision for loan losses and deferred loan income                                                                                                              2,954</w:t>
        <w:br/>
        <w:t xml:space="preserve"> Net loans outstanding                                                                                                                                                        $260,236</w:t>
        <w:br/>
        <w:br/>
        <w:br/>
        <w:t xml:space="preserve"> a. Variable rates for multicurrency loans are based on the weighted average cost of allocated debt.</w:t>
        <w:br/>
        <w:t xml:space="preserve"> b. Excludes effects of any waivers of loan interest.</w:t>
        <w:br/>
        <w:t xml:space="preserve"> c. For loans past their repayment maturity, average maturity is not computed.</w:t>
        <w:br/>
        <w:t xml:space="preserve"> * Indicates amount less than $0.5 million.</w:t>
        <w:br/>
        <w:br/>
        <w:br/>
        <w:t xml:space="preserve">                                                                                    IBRD FINANCIAL STATEMENTS: June 30, 2025                                                        111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maturity structure of IBRD’s loans is as follows:</w:t>
        <w:br/>
        <w:t>Table D2: Loans maturity structure</w:t>
        <w:br/>
        <w:t>In millions of U.S. dollars</w:t>
        <w:br/>
        <w:t xml:space="preserve">                                                                    June 30, 2025</w:t>
        <w:br/>
        <w:br/>
        <w:t xml:space="preserve">                                                                                        Greater than 15</w:t>
        <w:br/>
        <w:t>Terms/Rate Type                   Up to 1 year       2 to 5 years        6-15 years         years              Total</w:t>
        <w:br/>
        <w:t xml:space="preserve"> Multicurrency terms</w:t>
        <w:br/>
        <w:t xml:space="preserve">    Fixed                     $          22      $           —      $            —      $        —        $       22</w:t>
        <w:br/>
        <w:t xml:space="preserve">    Variable                            413                  —                   —               —               413</w:t>
        <w:br/>
        <w:t xml:space="preserve"> Variable-spread terms</w:t>
        <w:br/>
        <w:t xml:space="preserve">    Fixed                                —                  —                   —               —                  —</w:t>
        <w:br/>
        <w:t xml:space="preserve">    Variable                         11,329             63,813             111,412          33,005            219,559</w:t>
        <w:br/>
        <w:t xml:space="preserve"> Fixed-spread terms</w:t>
        <w:br/>
        <w:t xml:space="preserve">    Fixed                             2,418              7,034              18,620           2,705             30,777</w:t>
        <w:br/>
        <w:t xml:space="preserve">    Variable                          2,527             10,729              15,004           4,059             32,319</w:t>
        <w:br/>
        <w:t xml:space="preserve"> All Loans</w:t>
        <w:br/>
        <w:t xml:space="preserve">    Fixed                             2,440              7,034              18,620           2,705             30,799</w:t>
        <w:br/>
        <w:t xml:space="preserve">    Variable                         14,269             74,542             126,416          37,064            252,291</w:t>
        <w:br/>
        <w:t xml:space="preserve"> Total loans outstanding      $      16,709      $      81,576      $      145,036      $   39,769        $   283,090</w:t>
        <w:br/>
        <w:br/>
        <w:br/>
        <w:t>Table D2.1</w:t>
        <w:br/>
        <w:t>In millions of U.S. dollars</w:t>
        <w:br/>
        <w:t xml:space="preserve">                                                                        June 30, 2024</w:t>
        <w:br/>
        <w:br/>
        <w:t xml:space="preserve">                                                                                        Greater than 15</w:t>
        <w:br/>
        <w:t>Terms/Rate Type                   Up to 1 year       2 to 5 years       6 to 15 years       years               Total</w:t>
        <w:br/>
        <w:t xml:space="preserve"> Multicurrency terms</w:t>
        <w:br/>
        <w:t xml:space="preserve">    Fixed                     $          24      $           9      $           —       $        —        $         33</w:t>
        <w:br/>
        <w:t xml:space="preserve">    Variable                            412                  —                  —                —                 412</w:t>
        <w:br/>
        <w:t xml:space="preserve"> Variable-spread terms</w:t>
        <w:br/>
        <w:t xml:space="preserve">    Fixed                                —                  —                   —                —                  —</w:t>
        <w:br/>
        <w:t xml:space="preserve">    Variable                         12,034             56,517             104,736           26,321            199,608</w:t>
        <w:br/>
        <w:t xml:space="preserve"> Fixed-spread terms</w:t>
        <w:br/>
        <w:t xml:space="preserve">    Fixed                             1,719              7,038              18,107            4,213             31,077</w:t>
        <w:br/>
        <w:t xml:space="preserve">    Variable                          2,018              9,391              16,040            4,611             32,060</w:t>
        <w:br/>
        <w:t xml:space="preserve"> All Loans</w:t>
        <w:br/>
        <w:t xml:space="preserve">    Fixed                             1,743              7,047              18,107            4,213             31,110</w:t>
        <w:br/>
        <w:t xml:space="preserve">    Variable                         14,464             65,908             120,776           30,932            232,080</w:t>
        <w:br/>
        <w:t xml:space="preserve"> Total loans outstanding      $      16,207      $      72,955      $      138,883      $    35,145       $    263,190</w:t>
        <w:br/>
        <w:br/>
        <w:br/>
        <w:t>Credit Quality of Sovereign Exposures</w:t>
        <w:br/>
        <w:t>Sovereign loans constitute the substantial majority of IBRD's exposures.</w:t>
        <w:br/>
        <w:t>IBRD’s country risk ratings are an assessment of its borrowers’ ability and willingness to repay IBRD on</w:t>
        <w:br/>
        <w:t>time and in full. These ratings are internal credit quality indicators. Individual country risk ratings are</w:t>
        <w:br/>
        <w:t>derived on the basis of both quantitative and qualitative analysis. The components considered in the</w:t>
        <w:br/>
        <w:t>analysis can be grouped broadly into eight categories: political risk, external debt and liquidity, fiscal</w:t>
        <w:br/>
        <w:t>policy and public debt burden, balance of payments risks, economic structure and growth prospects,</w:t>
        <w:br/>
        <w:t>monetary and exchange rate policy, financial sector risks, and corporate sector debt and vulnerabilities.</w:t>
        <w:br/>
        <w:t>The analysis also takes into account Environmental, Social, and Governance (ESG) factors.</w:t>
        <w:br/>
        <w:t>Based on the borrower risk ratings, IBRD classifies loans into three credit quality categories—Low Risk,</w:t>
        <w:br/>
        <w:t>Medium Risk, and High Risk. These categories, which are described below, are intended to differentiate</w:t>
        <w:br/>
        <w:t>between varying levels of borrower credit risk and the associated likelihood of non-timely debt service</w:t>
        <w:br/>
        <w:t>across IBRD’s loan portfolio.</w:t>
        <w:br/>
        <w:t>Low Risk: Exposures in this group generally exhibit strong credit characteristics with minimal uncertainty</w:t>
        <w:br/>
        <w:t>around repayment. Borrowers in this category typically demonstrate solid financial performance,</w:t>
        <w:br/>
        <w:t>consistent and stable cash flows, and a history of timely debt service. The likelihood of non-timely debt</w:t>
        <w:br/>
        <w:t>service is considered low.</w:t>
        <w:br/>
        <w:br/>
        <w:br/>
        <w:t>112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Medium Risk: Exposures in this group display satisfactory credit profiles, but may be subject to moderate</w:t>
        <w:br/>
        <w:t>risk factors, such as country-specific volatility or operational challenges. Borrowers in this category</w:t>
        <w:br/>
        <w:t>usually exhibit adequate financial performance, though their resilience to adverse conditions may be more</w:t>
        <w:br/>
        <w:t>limited. The likelihood of non-timely debt service is considered moderate to low.</w:t>
        <w:br/>
        <w:br/>
        <w:t>High Risk: Exposures in this category exhibit signs of elevated credit risk. Borrowers in this category may</w:t>
        <w:br/>
        <w:t>show weak or deteriorating financial indicators, irregular or delayed payment history, or limited capacity to</w:t>
        <w:br/>
        <w:t>absorb external shocks. While these loans remain on accrual status, the likelihood of non-timely debt</w:t>
        <w:br/>
        <w:t>service is considered heightened.</w:t>
        <w:br/>
        <w:br/>
        <w:t>IBRD’s borrowers’ country risk ratings are key determinants in the provision for losses. Country risk</w:t>
        <w:br/>
        <w:t>ratings are grouped in pools of borrowers with similar credit ratings for the purpose of the calculation of</w:t>
        <w:br/>
        <w:t>the expected credit losses. Exposure for certain countries in accrual status may be individually assessed</w:t>
        <w:br/>
        <w:t>on the basis that they do not share common risk characteristics with an existing pool of exposures. All</w:t>
        <w:br/>
        <w:t>exposures for countries in nonaccrual status are individually assessed. Country risk ratings are</w:t>
        <w:br/>
        <w:t>determined in review meetings that take place several times a year. All countries are reviewed at least</w:t>
        <w:br/>
        <w:t>once a year, or more frequently, if circumstances warrant, to determine the appropriate ratings.</w:t>
        <w:br/>
        <w:t>An assessment was also performed to determine whether a qualitative adjustment of the loan loss</w:t>
        <w:br/>
        <w:t>provision was needed as of June 30, 2025, including consideration of global and macroeconomic events.</w:t>
        <w:br/>
        <w:t>Management concluded that a qualitative adjustment beyond the regular application of IBRD’s loan loss</w:t>
        <w:br/>
        <w:t>provision framework was not warranted.</w:t>
        <w:br/>
        <w:t>Overdue Amounts</w:t>
        <w:br/>
        <w:t>IBRD considers loans to be past due when a borrower fails to make payment on any principal, interest or</w:t>
        <w:br/>
        <w:t>other charges due to IBRD on the dates provided in the contractual loan agreement.</w:t>
        <w:br/>
        <w:t>As of June 30, 2025, no principal or interest are overdue by more than three months for loans in accrual</w:t>
        <w:br/>
        <w:t>status.</w:t>
        <w:br/>
        <w:t>The following tables provide an aging analysis and amounts past due of the loans outstanding:</w:t>
        <w:br/>
        <w:t>Table D3: Loans outstanding aging structure</w:t>
        <w:br/>
        <w:t>In millions of U.S. dollars</w:t>
        <w:br/>
        <w:t xml:space="preserve">                                                                         June 30, 2025</w:t>
        <w:br/>
        <w:t xml:space="preserve">                                                                                           Total Past</w:t>
        <w:br/>
        <w:t>Days past due                   Up to 45       46-60       61-90       91-180   Over 180      Due       Current a       Total</w:t>
        <w:br/>
        <w:t>Risk Class</w:t>
        <w:br/>
        <w:t xml:space="preserve">  Low                          $     –     $      –    $      –    $      –     $     –    $     –      $  5,903    $  5,903</w:t>
        <w:br/>
        <w:t xml:space="preserve">  Medium                             –            –           –           –           –          –       130,396     130,396</w:t>
        <w:br/>
        <w:t xml:space="preserve">  High                              14            –           –           –           –         14       145,340     145,354</w:t>
        <w:br/>
        <w:t>Loans in accrual status             14            –           –           –           –         14       281,639     281,653</w:t>
        <w:br/>
        <w:t>Loans in nonaccrual status           –            1          42          22         794        859           578       1,437</w:t>
        <w:br/>
        <w:t xml:space="preserve">                                                                                                                                b</w:t>
        <w:br/>
        <w:t>Total                          $    14     $      1    $     42    $     22     $   794    $   873      $282,217    $283,090</w:t>
        <w:br/>
        <w:br/>
        <w:br/>
        <w:t>a. Represents the principal amounts not yet contractually due.</w:t>
        <w:br/>
        <w:t>b.The total amount of loans at amortized cost which contain principal past due amounts was $1,648 million.</w:t>
        <w:br/>
        <w:br/>
        <w:br/>
        <w:t xml:space="preserve">                                                           IBRD FINANCIAL STATEMENTS: June 30, 2025                             113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D3.1</w:t>
        <w:br/>
        <w:t>In millions of U.S. dollars</w:t>
        <w:br/>
        <w:t xml:space="preserve">                                                                        June 30, 2024</w:t>
        <w:br/>
        <w:t xml:space="preserve">                                                                                               Total Past</w:t>
        <w:br/>
        <w:t>Days past due                Up to 45        46-60        61-90       91-180    Over 180          Due        Current a        Total</w:t>
        <w:br/>
        <w:t>Risk Class</w:t>
        <w:br/>
        <w:t xml:space="preserve">  Low                      $       –     $      –     $      –    $       –     $     –        $     –      $   6,935     $   6,935</w:t>
        <w:br/>
        <w:t xml:space="preserve">  Medium                           –            –            –            –           –              –        124,106       124,106</w:t>
        <w:br/>
        <w:t xml:space="preserve">  High                             5            9            2            –           –             16        130,723       130,739</w:t>
        <w:br/>
        <w:t>Loans in accrual status            5            9            2            –           –             16        261,764       261,780</w:t>
        <w:br/>
        <w:t>Loans in nonaccrual status         –            1           40           24         661            726            684         1,410</w:t>
        <w:br/>
        <w:t xml:space="preserve">                                                                                                                                         b</w:t>
        <w:br/>
        <w:t>Total                      $       5     $     10     $     42    $      24     $   661        $   742      $ 262,448     $ 263,190</w:t>
        <w:br/>
        <w:br/>
        <w:br/>
        <w:t>a. Represents the principal amounts not yet contractually due.</w:t>
        <w:br/>
        <w:t>b.The total amount of loans at amortized cost which contain principal past due amounts was $1,621 million.</w:t>
        <w:br/>
        <w:br/>
        <w:t>The following tables provide a summary of selected financial information related to loans in nonaccrual</w:t>
        <w:br/>
        <w:t>status:</w:t>
        <w:br/>
        <w:t>Table D4: Loans in nonaccrual status</w:t>
        <w:br/>
        <w:t>In millions of U.S. dollars</w:t>
        <w:br/>
        <w:t xml:space="preserve">                                                            Accumulated           Average                   Overdue amounts</w:t>
        <w:br/>
        <w:t xml:space="preserve">                                           Recorded         Provision for        recorded                                Interest and</w:t>
        <w:br/>
        <w:t xml:space="preserve">    Borrower        Nonaccrual since      investment         loan losses        investment           Principal             Charges</w:t>
        <w:br/>
        <w:t>Belarus             October 2022                1,012                  99                989                 434                   136</w:t>
        <w:br/>
        <w:t>Zimbabwe            October 2000                  425                 213                426                 425                   715</w:t>
        <w:br/>
        <w:t>Total - June 30, 2025                    $      1,437       $         312      $       1,415       $         859         $         851</w:t>
        <w:br/>
        <w:t>Total - June 30, 2024                    $      1,410       $         324      $       1,418       $         726         $         767</w:t>
        <w:br/>
        <w:br/>
        <w:br/>
        <w:t>During the fiscal year ended June 30, 2025, no loans were placed in nonaccrual status or restored to</w:t>
        <w:br/>
        <w:t>accrual status.</w:t>
        <w:br/>
        <w:t>During the fiscal year ended June 30, 2025, interest and other revenue not recognized as a result of loans</w:t>
        <w:br/>
        <w:t>being in nonaccrual status was $79 million ($80 million– June 30, 2024 and $69 million – June 30, 2023).</w:t>
        <w:br/>
        <w:t>In addition, during the fiscal year ended June 30, 2025, no interest income was recognized on loans in</w:t>
        <w:br/>
        <w:t>nonaccrual status upon receipt of payment ($4 million —June 30, 2024 and $2 million—June 30, 2023).</w:t>
        <w:br/>
        <w:br/>
        <w:br/>
        <w:t>114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considers the signature date of a loan agreement as the best indicator of the decision point in the</w:t>
        <w:br/>
        <w:t>origination process, rather than the disbursement date. The tables below disclose the balances of IBRD’s</w:t>
        <w:br/>
        <w:t>Loans outstanding, classified by the year the loan agreement was signed.</w:t>
        <w:br/>
        <w:t>Table D5: Loans outstanding vintage disclosure</w:t>
        <w:br/>
        <w:t>In millions of U.S. dollars</w:t>
        <w:br/>
        <w:t xml:space="preserve">                                                                                 June 30, 2025</w:t>
        <w:br/>
        <w:t xml:space="preserve">                                                    Fiscal Year of Origination</w:t>
        <w:br/>
        <w:t xml:space="preserve">                                                                                                       CAT         CAT        Loans</w:t>
        <w:br/>
        <w:t xml:space="preserve">                                                                                                      DDOs        DDOs      outstanding</w:t>
        <w:br/>
        <w:t xml:space="preserve">                                                                                                    Disbursed   Converted      as of</w:t>
        <w:br/>
        <w:t xml:space="preserve">                                                                                           Prior       and       to Term     June 30,</w:t>
        <w:br/>
        <w:t xml:space="preserve">                                  2025       2024         2023       2022        2021      Years    Revolving     Loans        2025</w:t>
        <w:br/>
        <w:t>Risk Class</w:t>
        <w:br/>
        <w:t xml:space="preserve">  Low                         $   15     $  148       $    –     $    –     $    –       $ 5,740    $     –     $       –   $     5,903</w:t>
        <w:br/>
        <w:t xml:space="preserve">  Medium                       7,159      8,626        9,501      7,702     10,850         83,477       449         2,632       130,396</w:t>
        <w:br/>
        <w:t xml:space="preserve">  High                        11,095     14,781        8,294     13,031     11,124         86,124         1           904       145,354</w:t>
        <w:br/>
        <w:t>Loans in accrual status       18,269     23,555       17,795     20,733     21,974        175,341       450         3,536       281,653</w:t>
        <w:br/>
        <w:t>Loans in nonaccrual</w:t>
        <w:br/>
        <w:t xml:space="preserve">  status                           –          –            –          –          –          1,437         –             –       1,437</w:t>
        <w:br/>
        <w:t>Total                         $18,269    $23,555      $17,795    $20,733    $21,974      $176,778   $   450     $   3,536   $ 283,090</w:t>
        <w:br/>
        <w:br/>
        <w:br/>
        <w:t>Table D5.1</w:t>
        <w:br/>
        <w:t>In millions of U.S. dollars</w:t>
        <w:br/>
        <w:t xml:space="preserve">                                                                                 June 30, 2024</w:t>
        <w:br/>
        <w:t xml:space="preserve">                                                    Fiscal Year of Origination</w:t>
        <w:br/>
        <w:t xml:space="preserve">                                                                                                       CAT         CAT      Loans</w:t>
        <w:br/>
        <w:t xml:space="preserve">                                                                                                      DDOs        DDOs      outstanding</w:t>
        <w:br/>
        <w:t xml:space="preserve">                                                                                                    Disbursed   Converted   as        of</w:t>
        <w:br/>
        <w:t xml:space="preserve">                                                                                           Prior       and       to Term    June    30,</w:t>
        <w:br/>
        <w:t xml:space="preserve">                                  2024       2023         2022       2021        2020      Years    Revolving     Loans     2024</w:t>
        <w:br/>
        <w:t>Risk Class</w:t>
        <w:br/>
        <w:t xml:space="preserve">  Low                         $  150     $    –       $  250     $     –    $    –       $ 6,535    $     –     $       –   $     6,935</w:t>
        <w:br/>
        <w:t xml:space="preserve">  Medium                       7,885      8,445        6,893     10,126      8,421         79,700       302         2,334       124,106</w:t>
        <w:br/>
        <w:t xml:space="preserve">  High                        11,645      7,402       11,897       9,951     8,486         80,454         1           903       130,739</w:t>
        <w:br/>
        <w:t>Loans in accrual status       19,680     15,847       19,040     20,077     16,907        166,689       303         3,237       261,780</w:t>
        <w:br/>
        <w:t>Loans in nonaccrual</w:t>
        <w:br/>
        <w:t xml:space="preserve">  status                             –          –            –          –         115       1,295          –           –          1,410</w:t>
        <w:br/>
        <w:t>Total                         $19,680    $15,847      $19,040    $20,077    $17,022      $167,984   $   303     $   3,237   $ 263,190</w:t>
        <w:br/>
        <w:br/>
        <w:br/>
        <w:t>The Catastrophe Deferred Draw-Down Option (CAT-DDO) promotes countries' resilience to disasters and</w:t>
        <w:br/>
        <w:t>expands the range of IBRD's crisis instruments. It is a contingent credit line that provides immediate</w:t>
        <w:br/>
        <w:t>liquidity to countries in the aftermath of a catastrophe. The amount of Catastrophe Deferred Drawdown</w:t>
        <w:br/>
        <w:t>Option (CAT DDOs) converted to term loans during the fiscal year ended June 30, 2025, is $300 million</w:t>
        <w:br/>
        <w:t>($500 million—fiscal year ended June 30, 2024).</w:t>
        <w:br/>
        <w:t>Accumulated Provision for Losses on Loans and Other Exposures</w:t>
        <w:br/>
        <w:t>Management determines the appropriate level of accumulated provision for losses, which reflects the</w:t>
        <w:br/>
        <w:t>expected losses inherent in IBRD’s exposures.</w:t>
        <w:br/>
        <w:t>Delays in receiving loan payments result in economic losses to IBRD since it does not charge additional</w:t>
        <w:br/>
        <w:t>interest on any overdue interest or loan charges. These economic losses are estimated as the difference</w:t>
        <w:br/>
        <w:t>between the present value of payments of interest and charges made according to the related loan's</w:t>
        <w:br/>
        <w:br/>
        <w:br/>
        <w:t xml:space="preserve">                                                                 IBRD FINANCIAL STATEMENTS: June 30, 2025                           115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contractual terms and the present value of its expected future cash flows. It is IBRD’s practice not to write</w:t>
        <w:br/>
        <w:t>off its loans. Historically, all contractual obligations associated with exposures in nonaccrual status were</w:t>
        <w:br/>
        <w:t>eventually cleared, thereby allowing borrowers to emerge from nonaccrual status. To date, no loans have</w:t>
        <w:br/>
        <w:t>been written off by IBRD.</w:t>
        <w:br/>
        <w:t>Management reassesses the adequacy of the accumulated provision on a quarterly basis and</w:t>
        <w:br/>
        <w:t>adjustments to the accumulated provision are recorded as a charge to or release of provision in the</w:t>
        <w:br/>
        <w:t>Statements of Income.</w:t>
        <w:br/>
        <w:t>Changes to the accumulated provision for losses on loans and other exposures are summarized below:</w:t>
        <w:br/>
        <w:t>Table D6: Accumulated provision</w:t>
        <w:br/>
        <w:t>In millions of U.S. dollars</w:t>
        <w:br/>
        <w:t xml:space="preserve">                                                                                          June 30, 2025</w:t>
        <w:br/>
        <w:t xml:space="preserve">                                                              Loans outstanding       Loan commitments      Other a       Total</w:t>
        <w:br/>
        <w:t>Accumulated provision, beginning of the fiscal year           $          2,360        $            514    $     92    $    2,966</w:t>
        <w:br/>
        <w:t>Provision - release                                                        (44)                    (23)         (8)          (75)</w:t>
        <w:br/>
        <w:t>Translation adjustment                                                      50                      19            4           73</w:t>
        <w:br/>
        <w:t>Accumulated provision, end of the fiscal year                 $           2,366       $           510     $     88    $   2,964</w:t>
        <w:br/>
        <w:t>Composed of accumulated provision for losses on:</w:t>
        <w:br/>
        <w:t xml:space="preserve">      Loans in accrual status                                 $           2,054</w:t>
        <w:br/>
        <w:t xml:space="preserve">      Loans in nonaccrual status                                            312</w:t>
        <w:br/>
        <w:t>Total                                                         $           2,366</w:t>
        <w:br/>
        <w:t>Loans, end of the fiscal year:</w:t>
        <w:br/>
        <w:t xml:space="preserve">  Loans in accrual status                                     $        281,653</w:t>
        <w:br/>
        <w:t xml:space="preserve">  Loans in nonaccrual status                                             1,437</w:t>
        <w:br/>
        <w:t>Total loans outstanding                                       $        283,090</w:t>
        <w:br/>
        <w:br/>
        <w:br/>
        <w:t>Table D6.1:</w:t>
        <w:br/>
        <w:t>In millions of U.S. dollars</w:t>
        <w:br/>
        <w:t xml:space="preserve">                                                                                          June 30, 2024</w:t>
        <w:br/>
        <w:t xml:space="preserve">                                                              Loans outstanding       Loan commitments      Other a     Total</w:t>
        <w:br/>
        <w:t>Accumulated provision, beginning of the fiscal year           $          2,336        $            452    $     90    $  2,878</w:t>
        <w:br/>
        <w:t>Provision - charge                                                          29                      64            1         94</w:t>
        <w:br/>
        <w:t>Translation adjustment                                                      (5)                     (2)           1         (6)</w:t>
        <w:br/>
        <w:t>Accumulated provision, end of the fiscal year                 $          2,360        $            514    $     92    $ 2,966</w:t>
        <w:br/>
        <w:t>Composed of accumulated provision for losses on:</w:t>
        <w:br/>
        <w:t xml:space="preserve">     Loans in accrual status                                  $           2,036</w:t>
        <w:br/>
        <w:t xml:space="preserve">     Loans in nonaccrual status                                             324</w:t>
        <w:br/>
        <w:t>Total                                                         $           2,360</w:t>
        <w:br/>
        <w:t>Loans, end of the fiscal year:</w:t>
        <w:br/>
        <w:t xml:space="preserve">  Loans in accrual status                                     $        261,780</w:t>
        <w:br/>
        <w:t xml:space="preserve">  Loans in nonaccrual status                                             1,410</w:t>
        <w:br/>
        <w:t>Total loans outstanding                                       $        263,190</w:t>
        <w:br/>
        <w:br/>
        <w:br/>
        <w:t>a. Primarily relates to guarantees given. For more details, see Guarantees section.</w:t>
        <w:br/>
        <w:br/>
        <w:br/>
        <w:t>116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                                                             Reported as:</w:t>
        <w:br/>
        <w:t xml:space="preserve">                                                    Balance Sheets                               Statements of Income</w:t>
        <w:br/>
        <w:t>Accumulated Provision for Losses</w:t>
        <w:br/>
        <w:t>on:</w:t>
        <w:br/>
        <w:t xml:space="preserve"> Loans outstanding                        Accumulated provision for loan losses    Provision for losses on loans and other exposures</w:t>
        <w:br/>
        <w:t xml:space="preserve"> Loan commitments and other               Other liabilities                        Provision for losses on loans and other exposures</w:t>
        <w:br/>
        <w:t xml:space="preserve">  exposures</w:t>
        <w:br/>
        <w:br/>
        <w:br/>
        <w:t>The accumulated provision for losses on loan and other exposures as of June 30, 2025 was $2,964</w:t>
        <w:br/>
        <w:t>million, compared to $2,966 million as of June 30, 2024. The decrease of $2 million in the accumulated</w:t>
        <w:br/>
        <w:t>provision for losses on loan and other exposures is attributable to a release of $75 million primarily driven</w:t>
        <w:br/>
        <w:t>by a decrease in loss severity and expected default frequency offset by increase in exposure, and foreign</w:t>
        <w:br/>
        <w:t>currency translation losses of $73 million.</w:t>
        <w:br/>
        <w:t>IBRD considers loans to be past due when a borrower fails to make payment on any principal, interest or</w:t>
        <w:br/>
        <w:t>other charges due to IBRD on the dates provided in the contractual loan agreement.</w:t>
        <w:br/>
        <w:t>Guarantees</w:t>
        <w:br/>
        <w:t>Guarantees provided</w:t>
        <w:br/>
        <w:t>Guarantees of $7,465 million were outstanding as of June 30, 2025 ($7,168 million—June 30, 2024),</w:t>
        <w:br/>
        <w:t>including guarantees provided under the EEA. These amounts represent the maximum potential amount</w:t>
        <w:br/>
        <w:t>of undiscounted future payments that IBRD could be required to make under these guarantees, and are</w:t>
        <w:br/>
        <w:t>not included in the Balance Sheets. These guarantees have original maturities ranging between 10 and</w:t>
        <w:br/>
        <w:t>23 years and expire in decreasing amounts through 2047.</w:t>
        <w:br/>
        <w:t>As of June 30, 2025, liabilities related to IBRD's obligations under guarantees included the obligation to</w:t>
        <w:br/>
        <w:t>stand ready of $288 million ($296 million—June 30, 2024), and the accumulated provision for guarantee</w:t>
        <w:br/>
        <w:t>losses of $63 million ($71 million—June 30, 2024). These are included in Other liabilities - Accounts</w:t>
        <w:br/>
        <w:t>payable and miscellaneous liabilities on the Balance Sheets.</w:t>
        <w:br/>
        <w:t>During the fiscal year ended June 30, 2025 and June 30, 2024, no guarantees provided by IBRD were</w:t>
        <w:br/>
        <w:t>called.</w:t>
        <w:br/>
        <w:t>Exposure Exchange Agreements</w:t>
        <w:br/>
        <w:t>IBRD participates in Exposure Exchange Agreements (EEAs) which are recognized as financial</w:t>
        <w:br/>
        <w:t>guarantees in the financial statements. Information on the location and amounts associated with the EEAs</w:t>
        <w:br/>
        <w:t>executed with the African Development Bank and Inter-American Development Bank included in the</w:t>
        <w:br/>
        <w:t>Balance Sheets is presented in the following table:</w:t>
        <w:br/>
        <w:t>Table D7: Amounts associated with EEAs</w:t>
        <w:br/>
        <w:t>In millions of U.S. dollars</w:t>
        <w:br/>
        <w:t xml:space="preserve">                                           June 30, 2025                                June 30, 2024</w:t>
        <w:br/>
        <w:t xml:space="preserve">                                          (Stand ready      (Provision)                (Stand ready      (Provision)    Location on</w:t>
        <w:br/>
        <w:t xml:space="preserve">                               Notional     obligation)    Recoverable     Notional      obligation)    Recoverable     the Balance</w:t>
        <w:br/>
        <w:t xml:space="preserve">                               amount         Asset            asset       amount          Asset            asset         Sheets</w:t>
        <w:br/>
        <w:t>Guarantees provided           $ 3,609     $      (109)    $       (17)    $ 3,609      $      (129)    $       (25)    Other liabilities</w:t>
        <w:br/>
        <w:t>Guarantees received             (3,609)           109              13       (3,611)            129              19     Other assets</w:t>
        <w:br/>
        <w:t xml:space="preserve">                              $     —     $           –   $        (4)    $      (2)   $           –   $        (6)</w:t>
        <w:br/>
        <w:br/>
        <w:br/>
        <w:t>Guarantees received</w:t>
        <w:br/>
        <w:t>As of June 30, 2025, IBRD had received third-party financial guarantees, including guarantees received</w:t>
        <w:br/>
        <w:t>under the EEA, of $14,947 million ($12,461 million as of June 30, 2024). In addition, during the year,</w:t>
        <w:br/>
        <w:t>IBRD received a notional value of $1.1 billion of portfolio guarantees under PGP from its shareholders.</w:t>
        <w:br/>
        <w:br/>
        <w:br/>
        <w:t xml:space="preserve">                                                             IBRD FINANCIAL STATEMENTS: June 30, 2025                              117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Portfolio guarantees are accounted for as financial guarantees and the related recoverable asset of $136</w:t>
        <w:br/>
        <w:t>million as of June 30, 2025 (Nil- as of June 30, 2024) is presented as Other assets on the Balance</w:t>
        <w:br/>
        <w:t>Sheets. Financial guarantees received protect IBRD against the risk of loss related to loans in IBRD's</w:t>
        <w:br/>
        <w:t>portfolio and increase IBRD's lending capacity.</w:t>
        <w:br/>
        <w:t>Waivers of Loan Charges</w:t>
        <w:br/>
        <w:t>The Executive Directors have approved waivers of certain charges on eligible loans. These include a</w:t>
        <w:br/>
        <w:t>portion of interest on loans, a portion of the commitment charge on undisbursed balances, and a portion</w:t>
        <w:br/>
        <w:t>of the front-end fee. In addition, in October 2024, as part of the adjustments to IBRD's loan pricing, the</w:t>
        <w:br/>
        <w:t>Executive Directors approved the waiver of future prepayment premiums on existing loans, as applicable.</w:t>
        <w:br/>
        <w:t>The forgone income resulting from these waivers was $11 million for year ended June 30, 2025 ($9</w:t>
        <w:br/>
        <w:t>million— June 30, 2024 and $16 million —June 30, 2023).</w:t>
        <w:br/>
        <w:t>Concentration risk</w:t>
        <w:br/>
        <w:t>Loan revenue comprises interest, commitment fees, loan origination fees and prepayment premiums, net</w:t>
        <w:br/>
        <w:t>of waivers. For the fiscal year ended June 30, 2025, there was no country that contributed more than 10%</w:t>
        <w:br/>
        <w:t>to the total loan revenue.</w:t>
        <w:br/>
        <w:t>IBRD’s loan revenue and associated loans outstanding by geographic region is presented in the following</w:t>
        <w:br/>
        <w:t>table:</w:t>
        <w:br/>
        <w:t>Table D8: Loan revenue and associated outstanding loan balances by geographic region</w:t>
        <w:br/>
        <w:t>In millions of U.S. dollars                                              For the fiscal year ended and as of</w:t>
        <w:br/>
        <w:t xml:space="preserve">                                                               June 30, 2025                            June 30, 2024</w:t>
        <w:br/>
        <w:t xml:space="preserve">                                                                           Loans                                     Loans</w:t>
        <w:br/>
        <w:t>Region                                              Loan Revenue a       Outstanding         Loan Revenue a        Outstanding</w:t>
        <w:br/>
        <w:t>Latin America and the Caribbean                    $       4,481       $      83,935        $       4,674        $      80,934</w:t>
        <w:br/>
        <w:t>East Asia and Pacific                                      2,953              54,000                3,154               52,621</w:t>
        <w:br/>
        <w:t>Europe and Central Asia                                    2,790              62,017                2,769               54,838</w:t>
        <w:br/>
        <w:t>Middle East and North Africa                               1,811              39,180                1,860               35,300</w:t>
        <w:br/>
        <w:t>South Asia                                                 1,663              28,465                1,655               26,415</w:t>
        <w:br/>
        <w:t>Eastern and Southern Africa                                  623              12,124                  524               11,014</w:t>
        <w:br/>
        <w:t>Western and Central Africa                                   110               3,369                   76                2,068</w:t>
        <w:br/>
        <w:t>Total                                              $      14,431       $    283,090         $      14,712        $    263,190</w:t>
        <w:br/>
        <w:br/>
        <w:br/>
        <w:t>a. Excludes $1,022 million interest income from loan related derivatives for the fiscal year ended June 30, 2025 ($1,268 million—</w:t>
        <w:br/>
        <w:t xml:space="preserve">   fiscal year ended June 30, 2024). Includes commitment charges of $152 million for the fiscal year ended June 30, 2025 ($149</w:t>
        <w:br/>
        <w:t xml:space="preserve">   million—fiscal year ended June 30, 2024).</w:t>
        <w:br/>
        <w:br/>
        <w:t>For the fiscal year ended June 30, 2025, Interest revenue—Loans, net in the Statements of Income was</w:t>
        <w:br/>
        <w:t>$15,301 million ($15,831 million—June 30, 2024 and $10,522 million —June 30, 2023). This includes</w:t>
        <w:br/>
        <w:t>$1,022 million of interest income, net related to loan related derivatives associated with the Loan portfolio</w:t>
        <w:br/>
        <w:t>(interest income, net of $1,268 million June 30, 2024 and $367 million —June 30, 2023).</w:t>
        <w:br/>
        <w:br/>
        <w:t>NOTE E—BORROWINGS</w:t>
        <w:br/>
        <w:t>IBRD issues unsubordinated and unsecured fixed and variable rate debt in a variety of currencies. These</w:t>
        <w:br/>
        <w:t>borrowings are reported at fair value. IBRD has issued hybrid capital at variable rates to shareholders,</w:t>
        <w:br/>
        <w:t>which is subordinated to all other debt, and is reported at amortized cost. Variable rates are primarily</w:t>
        <w:br/>
        <w:t>based on exchange rates or market interest rates.</w:t>
        <w:br/>
        <w:t>As of June 30, 2025, 98% of the instruments were classified as Level 2 within the fair value hierarchy. In</w:t>
        <w:br/>
        <w:t>addition, most of these instruments were denominated in U.S. dollars and euro (62% and 16%,</w:t>
        <w:br/>
        <w:t>respectively, refer Table E3).</w:t>
        <w:br/>
        <w:br/>
        <w:br/>
        <w:t>118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IBRD uses derivatives, reported at fair value, to manage the currency risk and the interest rate risk</w:t>
        <w:br/>
        <w:t>between its loans and borrowings. For details regarding the derivatives used, see Note F—Derivative</w:t>
        <w:br/>
        <w:t>Instruments.</w:t>
        <w:br/>
        <w:t>After the effect of these derivatives, the borrowing portfolio carried variable interest rates, with a weighted</w:t>
        <w:br/>
        <w:t>average cost of 4.40% as of June 30, 2025 (5.54% as of June 30, 2024).</w:t>
        <w:br/>
        <w:t>A summary of IBRD’s borrowings at fair value, is as follows (for details on principal due upon maturity, see</w:t>
        <w:br/>
        <w:t>Note J—Fair Value Disclosures):</w:t>
        <w:br/>
        <w:t>Table E1: Borrowings and borrowing-related derivatives, at fair value</w:t>
        <w:br/>
        <w:t>In millions of U.S. dollars</w:t>
        <w:br/>
        <w:t xml:space="preserve">                                                                                   June 30, 2025      June 30, 2024</w:t>
        <w:br/>
        <w:t>Borrowings                                                                       $     305,679      $     261,790</w:t>
        <w:br/>
        <w:t>Currency swaps, net                                                                       1,788              7,427</w:t>
        <w:br/>
        <w:t>Interest rate swaps, net                                                                 12,277             17,900</w:t>
        <w:br/>
        <w:t>Total                                                                            $     319,744      $     287,117</w:t>
        <w:br/>
        <w:br/>
        <w:br/>
        <w:t>As of June 30, 2025, borrowings reported at amortized cost were $482 million related to IBRD's issuances</w:t>
        <w:br/>
        <w:t>of hybrid capital which represents the outstanding principal of these instruments. The majority of holders</w:t>
        <w:br/>
        <w:t>of hybrid capital as of June 30, 2025, entered into separate agreements with IBRD that allow them to</w:t>
        <w:br/>
        <w:t>redeem the hybrid capital to satisfy the payment condition for their paid-in portion of any future capital</w:t>
        <w:br/>
        <w:t>increase.</w:t>
        <w:br/>
        <w:t>For the fiscal year ended June 30, 2025, Borrowing expenses, net in the Statements of Income was</w:t>
        <w:br/>
        <w:t>$14,920 million ($15,215 million—June 30, 2024 and $9,562 million —June 30, 2023). This includes</w:t>
        <w:br/>
        <w:t>$6,470 million of interest expense, net related to derivatives associated with the borrowings (interest</w:t>
        <w:br/>
        <w:t>expense, net of $7,781 million— June 30, 2024 and interest expense, net of $4,237 million —June 30,</w:t>
        <w:br/>
        <w:t>2023).</w:t>
        <w:br/>
        <w:t>The following table provides a summary of the interest rate characteristics of IBRD’s borrowings:</w:t>
        <w:br/>
        <w:t>Table E2: Interest rate composition of Borrowings</w:t>
        <w:br/>
        <w:t>In millions of U.S. dollars, except as otherwise noted</w:t>
        <w:br/>
        <w:t xml:space="preserve">                                                             June 30, 2025    WAC a (%)   June 30, 2024   WAC a (%)</w:t>
        <w:br/>
        <w:t>Fixed                                                        $    288,323       2.81      $    253,337      2.42</w:t>
        <w:br/>
        <w:t>Variable                                                           32,843       6.61            29,494      8.40</w:t>
        <w:br/>
        <w:t>Borrowings b                                                 $    321,166       3.20%     $    282,831      3.04%</w:t>
        <w:br/>
        <w:t>Fair Value Adjustment                                             (15,005)                     (21,041)</w:t>
        <w:br/>
        <w:t>Total Borrowings                                             $    306,161                 $    261,790</w:t>
        <w:br/>
        <w:br/>
        <w:br/>
        <w:t>a. WAC refers to weighted average borrowings cost as of the reporting date.</w:t>
        <w:br/>
        <w:t>b. At amortized cost.</w:t>
        <w:br/>
        <w:br/>
        <w:t>The currency composition of IBRD’s borrowings before derivatives was as follows:</w:t>
        <w:br/>
        <w:t>Table E3: Currency composition of Borrowings (before derivatives)</w:t>
        <w:br/>
        <w:t xml:space="preserve">                                                                               June 30, 2025         June 30, 2024</w:t>
        <w:br/>
        <w:t>U.S. Dollar                                                                            62.1 %                62.6 %</w:t>
        <w:br/>
        <w:t>Euro                                                                                   16.3                  15.1</w:t>
        <w:br/>
        <w:t>Others                                                                                 21.6                  22.3</w:t>
        <w:br/>
        <w:t xml:space="preserve">                                                                                      100.0 %               100.0 %</w:t>
        <w:br/>
        <w:br/>
        <w:br/>
        <w:t xml:space="preserve">                                                         IBRD FINANCIAL STATEMENTS: June 30, 2025                 119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maturity structure of IBRD’s borrowings outstanding was as follows:</w:t>
        <w:br/>
        <w:t>Table E4: Maturity structure of Borrowings</w:t>
        <w:br/>
        <w:t>In millions of U.S. dollars</w:t>
        <w:br/>
        <w:t xml:space="preserve">                                                                                 June 30, 2025              June 30, 2024</w:t>
        <w:br/>
        <w:t>Less than 1 year                                                             $        47,162           $         41,955</w:t>
        <w:br/>
        <w:t>Between</w:t>
        <w:br/>
        <w:t xml:space="preserve">  1-2 years                                                                            37,482                     32,883</w:t>
        <w:br/>
        <w:t xml:space="preserve">  2-3 years                                                                            36,816                     31,082</w:t>
        <w:br/>
        <w:t xml:space="preserve">  3-4 years                                                                            32,710                     29,994</w:t>
        <w:br/>
        <w:t xml:space="preserve">  4-5 years                                                                            39,117                     32,042</w:t>
        <w:br/>
        <w:t>Thereafter a                                                                          112,874                     93,834</w:t>
        <w:br/>
        <w:t xml:space="preserve">                                                                             $        306,161          $         261,790</w:t>
        <w:br/>
        <w:br/>
        <w:t>a</w:t>
        <w:br/>
        <w:t xml:space="preserve">    Includes hybrid capital.</w:t>
        <w:br/>
        <w:br/>
        <w:t>IBRD’s borrowings at fair value have original maturities ranging from 20 days to 50 years, with the final</w:t>
        <w:br/>
        <w:t>maturity in 2073. Hybrid capital is a perpetual financial instrument, accounted for at amortized cost.</w:t>
        <w:br/>
        <w:br/>
        <w:t>NOTE F—DERIVATIVE INSTRUMENTS</w:t>
        <w:br/>
        <w:t>IBRD uses derivative instruments in its investment, loan and borrowing portfolios, and for asset/liability</w:t>
        <w:br/>
        <w:t>management purposes. It also offers derivative intermediation services to clients and, concurrently, enters</w:t>
        <w:br/>
        <w:t>into offsetting transactions with market counterparties.</w:t>
        <w:br/>
        <w:t>The following table summarizes IBRD’s use of derivatives in its various financial portfolios:</w:t>
        <w:br/>
        <w:t>Portfolio                             Derivative instruments used                    Purpose / Risk being managed</w:t>
        <w:br/>
        <w:t>Risk management purposes:</w:t>
        <w:br/>
        <w:t xml:space="preserve">   Investments                 Currency swaps, currency forward contracts,   Manage currency and interest rate risk</w:t>
        <w:br/>
        <w:t xml:space="preserve">                               interest rate swaps, options, swaptions and</w:t>
        <w:br/>
        <w:t xml:space="preserve">                               futures contracts, to-be-announced (TBA)</w:t>
        <w:br/>
        <w:t xml:space="preserve">                               securities</w:t>
        <w:br/>
        <w:t xml:space="preserve">      Loans                    Currency swaps and interest rate swaps        Manage currency risk and interest rate risk</w:t>
        <w:br/>
        <w:t xml:space="preserve">                                                                               between loans and borrowings</w:t>
        <w:br/>
        <w:t xml:space="preserve">      Borrowings               Currency swaps and interest rate swaps        Manage currency risk and interest rate risk</w:t>
        <w:br/>
        <w:t xml:space="preserve">                                                                               between loans and borrowings</w:t>
        <w:br/>
        <w:t xml:space="preserve">      Other asset/liability    Currency swaps and interest rate swaps        Manage currency risk and the duration of IBRD’s</w:t>
        <w:br/>
        <w:t xml:space="preserve">      management derivatives                                                   equity</w:t>
        <w:br/>
        <w:t>Other purposes:</w:t>
        <w:br/>
        <w:t xml:space="preserve">   Client operations           Currency swaps, currency forward contracts,   Assist clients in managing risks</w:t>
        <w:br/>
        <w:t xml:space="preserve">                               and interest rate swaps</w:t>
        <w:br/>
        <w:br/>
        <w:t>Under client operations, derivative intermediation services are provided to the following:</w:t>
        <w:br/>
        <w:t>Borrowing Countries: Currency and interest rate swap transactions are executed between IBRD and its</w:t>
        <w:br/>
        <w:t>borrowers under master derivatives agreements.</w:t>
        <w:br/>
        <w:t>Non-Affiliated Organizations: IBRD has a master derivatives agreement with the International Finance</w:t>
        <w:br/>
        <w:t>Facility for Immunisation (IFFIm), under which several transactions have been executed.</w:t>
        <w:br/>
        <w:t>Affiliated Organizations: Derivative contracts are executed between IBRD and IDA, under an agreement</w:t>
        <w:br/>
        <w:t>allowing IBRD to intermediate derivative contracts on behalf of IDA.</w:t>
        <w:br/>
        <w:t>The derivatives in the related tables of Note F are presented on a net basis by instrument. A reconciliation</w:t>
        <w:br/>
        <w:t>to the presentation in the Balance Sheets is shown in Table F1.</w:t>
        <w:br/>
        <w:br/>
        <w:br/>
        <w:t>120 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Offsetting assets and liabilities</w:t>
        <w:br/>
        <w:t>IBRD enters into International Swaps and Derivatives Association, Inc. (ISDA) master netting agreements</w:t>
        <w:br/>
        <w:t>with substantially all of its derivative counterparties. These legally enforceable master netting agreements</w:t>
        <w:br/>
        <w:t>give IBRD the right to liquidate securities held as collateral and to offset receivables and payables with</w:t>
        <w:br/>
        <w:t>the same counterparty in the event of default by the counterparty.</w:t>
        <w:br/>
        <w:t>The following tables summarize the gross and net derivative positions by instrument type. Instruments</w:t>
        <w:br/>
        <w:t>that are in a net asset position are included in the Derivative Assets columns and instruments that are in a</w:t>
        <w:br/>
        <w:t>net liability position are included in the Derivative Liabilities columns. The effects of the ISDA master</w:t>
        <w:br/>
        <w:t>netting agreements are applied on an aggregate basis to the total derivative asset and liability positions</w:t>
        <w:br/>
        <w:t>and are presented net of any cash collateral received on the Balance Sheets. The net derivative asset</w:t>
        <w:br/>
        <w:t>positions in the tables below have been further reduced by any securities received as collateral to show</w:t>
        <w:br/>
        <w:t>IBRD’s net exposure on its derivative asset positions.</w:t>
        <w:br/>
        <w:t>Table F1: Derivative assets and liabilities before and after netting adjustments</w:t>
        <w:br/>
        <w:t>In millions of U.S. dollars</w:t>
        <w:br/>
        <w:t xml:space="preserve">                                                                 June 30, 2025                              June 30, 2024</w:t>
        <w:br/>
        <w:t xml:space="preserve">                                                            Derivative            Derivative          Derivative            Derivative</w:t>
        <w:br/>
        <w:t xml:space="preserve">                                                             Assets               Liabilities          Assets               Liabilities</w:t>
        <w:br/>
        <w:t>Interest rate swaps                                       $     7,559           $    17,523         $      7,977          $     24,759</w:t>
        <w:br/>
        <w:t>Currency swaps a                                                5,115                 7,192                4,057                  9,907</w:t>
        <w:br/>
        <w:t>Other b                                                              2                      –                   1                       –</w:t>
        <w:br/>
        <w:t>Gross Total                                               $   12,676            $    24,715         $     12,035          $     34,666</w:t>
        <w:br/>
        <w:t>Less:</w:t>
        <w:br/>
        <w:t>Amounts subject to legally enforceable master netting                    ᵈ                      ᵉ                    ᵈ                      ᵉ</w:t>
        <w:br/>
        <w:t xml:space="preserve"> agreements                                                    11,978                12,261              11,558                   11,938</w:t>
        <w:br/>
        <w:t>Cash collateral received c                                         32                    —                   21                       —</w:t>
        <w:br/>
        <w:t>Net derivative position on the Balance Sheet              $       666           $    12,454         $       456           $       22,728</w:t>
        <w:br/>
        <w:t>Less:</w:t>
        <w:br/>
        <w:t>Securities collateral received c                                  442                                          298</w:t>
        <w:br/>
        <w:t>Net derivative exposure after collateral                  $       224                               $          158</w:t>
        <w:br/>
        <w:br/>
        <w:t>a. Includes forward contracts.</w:t>
        <w:br/>
        <w:t>b. Relate to swaptions, options and futures contracts.</w:t>
        <w:br/>
        <w:t>c. Does not include excess collateral received.</w:t>
        <w:br/>
        <w:t>d. Includes $36 million Credit Valuation Adjustment (CVA) ($29 million—June 30, 2024).</w:t>
        <w:br/>
        <w:t>e. Includes $319 million Debit Valuation Adjustment (DVA) ($409 million—June 30, 2024).</w:t>
        <w:br/>
        <w:br/>
        <w:t>The following tables provide information about the credit risk exposures at fair value of IBRD’s derivative</w:t>
        <w:br/>
        <w:t>instruments by portfolio, before the effects of master netting arrangements and collateral:</w:t>
        <w:br/>
        <w:t>Table F2: Credit risk exposure of the derivative instruments a</w:t>
        <w:br/>
        <w:t>In millions of U.S. dollars</w:t>
        <w:br/>
        <w:t xml:space="preserve">                                                                                    June 30, 2025</w:t>
        <w:br/>
        <w:t xml:space="preserve">                                                                             Currency swaps (including</w:t>
        <w:br/>
        <w:t>Portfolio                                         Interest rate swaps            forward contracts)                       Total</w:t>
        <w:br/>
        <w:t>Investments                                     $                  88        $                   173       $                261</w:t>
        <w:br/>
        <w:t>Loans                                                           4,986                          1,054                      6,040</w:t>
        <w:br/>
        <w:t>Client operations                                                 107                            352                        459</w:t>
        <w:br/>
        <w:t>Borrowings                                                      1,985                          3,536                      5,521</w:t>
        <w:br/>
        <w:t>Other asset/liability management derivatives                      393                               –                       393</w:t>
        <w:br/>
        <w:t xml:space="preserve">  Total Exposure                                $               7,559        $                 5,115       $             12,674</w:t>
        <w:br/>
        <w:br/>
        <w:br/>
        <w:t xml:space="preserve">                                                         IBRD FINANCIAL STATEMENTS: June 30, 2025                                     121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F2.1</w:t>
        <w:br/>
        <w:t>In millions of U.S. dollars</w:t>
        <w:br/>
        <w:t xml:space="preserve">                                                                                       June 30, 2024</w:t>
        <w:br/>
        <w:t xml:space="preserve">                                                                                Currency swaps (including</w:t>
        <w:br/>
        <w:t>Portfolio                                            Interest rate swaps            forward contracts)               Total</w:t>
        <w:br/>
        <w:t>Investments                                        $                  14        $                   812     $          826</w:t>
        <w:br/>
        <w:t>Loans                                                              5,893                          1,314              7,207</w:t>
        <w:br/>
        <w:t>Client operations                                                    274                            424                698</w:t>
        <w:br/>
        <w:t>Borrowings                                                         1,555                          1,507              3,062</w:t>
        <w:br/>
        <w:t>Other asset-liability management derivatives                         241                               –               241</w:t>
        <w:br/>
        <w:t xml:space="preserve">  Total Exposure                                   $               7,977        $                 4,057     $       12,034</w:t>
        <w:br/>
        <w:br/>
        <w:t>a. Excludes exchange traded instruments as they are generally subject to daily margin requirements and are deemed to have no</w:t>
        <w:br/>
        <w:t xml:space="preserve">   material credit risk.</w:t>
        <w:br/>
        <w:br/>
        <w:t>The volume of derivative contracts is measured using the U.S. dollar equivalent notional balance. The</w:t>
        <w:br/>
        <w:t>notional balance represents the face value or reference value on which the calculations of payments on</w:t>
        <w:br/>
        <w:t>the derivative instruments are determined. As of June 30, 2025, the notional amounts of IBRD’s derivative</w:t>
        <w:br/>
        <w:t>contracts outstanding were as follows: interest rate swaps $445,827 million ($436,783 million—June 30,</w:t>
        <w:br/>
        <w:t>2024), currency swaps $129,923 million ($120,483 million—June 30, 2024), long positions of other</w:t>
        <w:br/>
        <w:t>derivatives $304 million ($280 million—June 30, 2024), and short positions of other derivatives $115</w:t>
        <w:br/>
        <w:t>million ($201 million—June 30, 2024).</w:t>
        <w:br/>
        <w:t>IBRD is not required to post collateral under its derivative agreements as long as it maintains a triple-A</w:t>
        <w:br/>
        <w:t>credit rating. The aggregate fair value of all derivative instruments with credit-risk related contingent</w:t>
        <w:br/>
        <w:t>features that were in a liability position as of June 30, 2025 was $12,627 million ($22,858 million—</w:t>
        <w:br/>
        <w:t>June 30, 2024). IBRD has not posted any collateral with these counterparties due to its triple-A credit</w:t>
        <w:br/>
        <w:t>rating.</w:t>
        <w:br/>
        <w:t>If the credit risk related contingent features underlying these agreements were triggered to the extent that</w:t>
        <w:br/>
        <w:t>IBRD would be required to post collateral as of June 30, 2025, the amount of collateral that would need to</w:t>
        <w:br/>
        <w:t>be posted would be $9,241 million ($18,593 million—June 30, 2024). Subsequent triggers of contingent</w:t>
        <w:br/>
        <w:t>features would require posting of additional collateral, up to a maximum of $12,627 million ($22,858</w:t>
        <w:br/>
        <w:t>million—June 30, 2024). IBRD received collateral totaling $520 million as of June 30, 2025 ($343 million</w:t>
        <w:br/>
        <w:t>—June 30, 2024), in relation to swap transactions (see Note C—Investments).</w:t>
        <w:br/>
        <w:t>The following table provides information on the unrealized mark-to-market gains and losses on the non-</w:t>
        <w:br/>
        <w:t>trading derivatives and their location on the Statements of Income:</w:t>
        <w:br/>
        <w:t>Table F3: Unrealized mark-to-market gains or losses on non-trading derivatives</w:t>
        <w:br/>
        <w:t>In millions of U.S. dollars</w:t>
        <w:br/>
        <w:t>Type of instrument a                                    Reported as:                   2025            2024          2023</w:t>
        <w:br/>
        <w:t>Interest rate swaps                            Unrealized mark-to-market          $     6,283     $     3,324   $   (4,948)</w:t>
        <w:br/>
        <w:t>Currency swaps (including forward                gains (losses) on non-</w:t>
        <w:br/>
        <w:t xml:space="preserve"> contracts )                                     trading portfolios, net                1,897          1,145          (867)</w:t>
        <w:br/>
        <w:t>Total                                                                             $     8,180     $    4,469    $   (5,815)</w:t>
        <w:br/>
        <w:br/>
        <w:t>a. For disclosures related to derivatives in trading portfolio, see Table F4.</w:t>
        <w:br/>
        <w:br/>
        <w:t>All of the instruments in IBRD’s investment portfolio are held for trading purposes. Within the investment</w:t>
        <w:br/>
        <w:t>portfolio, IBRD holds highly rated fixed income securities, equity securities and derivatives. The trading</w:t>
        <w:br/>
        <w:t>portfolio is primarily held to ensure the availability of funds to meet future cash flow requirements and for</w:t>
        <w:br/>
        <w:t>liquidity management purposes.</w:t>
        <w:br/>
        <w:br/>
        <w:br/>
        <w:t>122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information on the amount of unrealized mark-to-market gains and losses on</w:t>
        <w:br/>
        <w:t>the net Investment–Trading portfolio and their location on the Statements of Income:</w:t>
        <w:br/>
        <w:t>Table F4: Unrealized mark-to-market gains or losses on net investment-trading portfolio</w:t>
        <w:br/>
        <w:t>In millions of U.S. dollars</w:t>
        <w:br/>
        <w:t xml:space="preserve">                                                 Reported as:                           2025                 2024                2023</w:t>
        <w:br/>
        <w:t>Type of instrument a</w:t>
        <w:br/>
        <w:t xml:space="preserve">  Fixed income                                                                    $          92       $         7           $      10</w:t>
        <w:br/>
        <w:t xml:space="preserve">                                 Unrealized mark-to-market gains (losses) on</w:t>
        <w:br/>
        <w:t xml:space="preserve">  Equity and other fund              Investments-Trading portfolio, net</w:t>
        <w:br/>
        <w:t xml:space="preserve">  investments b                                                                           122                  84                  74</w:t>
        <w:br/>
        <w:t>Total                                                                             $       214         $        91           $      84</w:t>
        <w:br/>
        <w:br/>
        <w:br/>
        <w:t>a. Amounts associated with each type of instrument include gains and losses on both derivative instruments and investment</w:t>
        <w:br/>
        <w:t xml:space="preserve">   securities.</w:t>
        <w:br/>
        <w:t>b. Related to PEBP holdings and investments related to LPF1 and GFPP.</w:t>
        <w:br/>
        <w:br/>
        <w:br/>
        <w:t>NOTE G — RETAINED EARNINGS AND BOARD OF GOVERNORS</w:t>
        <w:br/>
        <w:t>APPROVED TRANSFERS</w:t>
        <w:br/>
        <w:t>Retained earnings are comprised of the following components:</w:t>
        <w:br/>
        <w:br/>
        <w:t>Table G1: Retained earnings composition</w:t>
        <w:br/>
        <w:t>In millions of U.S. dollars</w:t>
        <w:br/>
        <w:t xml:space="preserve">                                                                                           June 30, 2025              June 30, 2024</w:t>
        <w:br/>
        <w:t>Special reserve                                                                          $            293           $            293</w:t>
        <w:br/>
        <w:t>General reserve                                                                                   34,058                     33,224</w:t>
        <w:br/>
        <w:t>Pension reserve                                                                                       987                        681</w:t>
        <w:br/>
        <w:t>Surplus                                                                                                —                         100</w:t>
        <w:br/>
        <w:t>Cumulative fair value adjustments a                                                                 1,390                      1,103</w:t>
        <w:br/>
        <w:t>Unallocated net income                                                                              2,915                      2,513</w:t>
        <w:br/>
        <w:t>Restricted retained earnings                                                                           11                         11</w:t>
        <w:br/>
        <w:t>Other reserves b                                                                                      729                        358</w:t>
        <w:br/>
        <w:t>Total                                                                                    $        40,383            $        38,283</w:t>
        <w:br/>
        <w:br/>
        <w:br/>
        <w:t>a. Unrealized mark-to-market gains (losses), net related to non-trading portfolios reported at fair value.</w:t>
        <w:br/>
        <w:t>b. Comprised of $324 million of currency remeasurement gains/losses, net ($251 million - June 30, 2024), $301 million ( $101</w:t>
        <w:br/>
        <w:t xml:space="preserve">   million - June 30, 2024) and $100 million ( Nil- June 30, 2024) balances available for LPF1 and the GFPP, respectively, and $4</w:t>
        <w:br/>
        <w:t xml:space="preserve">   million revenue from prior years which is set aside for a dedicated purpose ( $6 million - June 30, 2024).</w:t>
        <w:br/>
        <w:br/>
        <w:br/>
        <w:t>Board of Governors-approved transfers that were expensed during the stated fiscal years are included in</w:t>
        <w:br/>
        <w:t>the following table:</w:t>
        <w:br/>
        <w:br/>
        <w:t>Table G2: Board of Governors-approved transfers expensed</w:t>
        <w:br/>
        <w:t>In millions of U.S. dollars</w:t>
        <w:br/>
        <w:t>Transfers funded from:                                                           2025                 2024                      2023</w:t>
        <w:br/>
        <w:t xml:space="preserve">   IDA                                                                    $       515             $    291              $        117</w:t>
        <w:br/>
        <w:t xml:space="preserve">   Trust fund for Gaza and West Bank                                              300                   80                        80</w:t>
        <w:br/>
        <w:t xml:space="preserve">   LPF1                                                                            *                    —                         24</w:t>
        <w:br/>
        <w:t>Total                                                                     $       815             $    371              $        221</w:t>
        <w:br/>
        <w:br/>
        <w:br/>
        <w:t>* Indicates amount less than $0.5 million.</w:t>
        <w:br/>
        <w:br/>
        <w:br/>
        <w:t xml:space="preserve">                                                            IBRD FINANCIAL STATEMENTS: June 30, 2025                                    123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On September 9, 2024, IBRD’s Board of Governors approved transfers from Surplus of $100 million to</w:t>
        <w:br/>
        <w:t>the Trust Fund for Gaza and the West Bank. On September 18, 2024, IBRD's Board of Governors</w:t>
        <w:br/>
        <w:t>approved an additional transfer of $200 million from Surplus to the Trust Fund for Gaza and the West</w:t>
        <w:br/>
        <w:t>Bank.</w:t>
        <w:br/>
        <w:t>On September 18, 2024, IBRD’s Board of Governors approved a transfer of $515 million to the</w:t>
        <w:br/>
        <w:t>International Development Association (IDA).</w:t>
        <w:br/>
        <w:t>There were no amounts payable for the transfers approved by the Board of Governors as of June 30,</w:t>
        <w:br/>
        <w:t>2025, and June 30, 2024.</w:t>
        <w:br/>
        <w:br/>
        <w:br/>
        <w:t>NOTE H—TRANSACTIONS WITH AFFILIATED ORGANIZATIONS</w:t>
        <w:br/>
        <w:t>IBRD transacts with affiliated organizations by providing loans, administrative, derivative and investment</w:t>
        <w:br/>
        <w:t>intermediation services, and through its pension and other postretirement benefit plans.</w:t>
        <w:br/>
        <w:t>In addition, IBRD provides transfers to IDA out of its net income, upon approval by the Board of</w:t>
        <w:br/>
        <w:t>Governors (see Note G—Board of Governors approved transfers).</w:t>
        <w:br/>
        <w:t>IBRD had the following receivables from (payables to) its affiliated organizations:</w:t>
        <w:br/>
        <w:t>Table H1: IBRD’s receivables and payables with affiliated organizations</w:t>
        <w:br/>
        <w:t>In millions of U.S. dollars</w:t>
        <w:br/>
        <w:t xml:space="preserve">                                                       June 30, 2025                                 June 30, 2024</w:t>
        <w:br/>
        <w:t xml:space="preserve">                                            IDA       IFC        MIGA          Total      IDA       IFC        MIGA        Total</w:t>
        <w:br/>
        <w:t xml:space="preserve"> Receivable (payable) for</w:t>
        <w:br/>
        <w:t xml:space="preserve">  administrative services, net         $      631 $     (64) $        17   $      584 $     279 $       1 $       16   $      296</w:t>
        <w:br/>
        <w:t xml:space="preserve"> Payable for PCRF investments                (721)     (502)          —        (1,223)     (489)     (344)        —          (833)</w:t>
        <w:br/>
        <w:t xml:space="preserve"> Pension and other postretirement</w:t>
        <w:br/>
        <w:t xml:space="preserve">  benefits                               (1,086)     (859)           (34)   (1,979)     (906)     (774)          (30)   (1,710)</w:t>
        <w:br/>
        <w:t xml:space="preserve"> Total                                 $ (1,176) $ (1,425) $         (17) $ (2,618) $ (1,116) $ (1,117) $        (14) $ (2,247)</w:t>
        <w:br/>
        <w:br/>
        <w:br/>
        <w:t>The receivables from (payables to) these affiliated organizations are reported on the Balance Sheets as</w:t>
        <w:br/>
        <w:t>follows:</w:t>
        <w:br/>
        <w:t>Receivables / Payables related to:                               Reported as:</w:t>
        <w:br/>
        <w:t>Administrative services                                          Other assets</w:t>
        <w:br/>
        <w:t>PCRF investments                                                 Other liabilities</w:t>
        <w:br/>
        <w:t>Pension and other postretirement benefits                        Other liabilities</w:t>
        <w:br/>
        <w:br/>
        <w:t>Administrative Services</w:t>
        <w:br/>
        <w:t>Expenses</w:t>
        <w:br/>
        <w:t>Expenses jointly incurred by IBRD and IDA are allocated based on an agreed cost-sharing methodology,</w:t>
        <w:br/>
        <w:t>and amounts are settled quarterly. For the fiscal year ended June 30, 2025, IBRD’s administrative</w:t>
        <w:br/>
        <w:t>expenses exclude the share of expenses allocated to IDA of $1,989 million ($1,750 million—fiscal year</w:t>
        <w:br/>
        <w:t>ended June 30, 2024 and $1,744 million fiscal year ended June 30, 2023).</w:t>
        <w:br/>
        <w:t>Revenue</w:t>
        <w:br/>
        <w:t>Revenue jointly earned by IBRD and IDA is allocated based on an agreed revenue-sharing methodology</w:t>
        <w:br/>
        <w:t>and amounts are settled quarterly. For the fiscal year ended June 30, 2025, IBRD’s Non-interest revenue</w:t>
        <w:br/>
        <w:t>excludes revenue allocated to IDA of $330 million ($326 million—fiscal year ended June 30, 2024 and</w:t>
        <w:br/>
        <w:t>$280 million fiscal year ended June 30, 2023). IBRD's share of revenue jointly earned is included in</w:t>
        <w:br/>
        <w:t>Revenue from externally funded activities on the Statements of Income. This revenue also includes</w:t>
        <w:br/>
        <w:t>revenue from contracts with clients that are not affiliated with IBRD and are as follows:</w:t>
        <w:br/>
        <w:br/>
        <w:br/>
        <w:t>124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H2: Revenue from contracts with clients</w:t>
        <w:br/>
        <w:t>In millions of U.S. dollars</w:t>
        <w:br/>
        <w:t xml:space="preserve">                                                                 2025               2024                 2023</w:t>
        <w:br/>
        <w:t>Trust fund fees                                              $   179       $        192            $     119</w:t>
        <w:br/>
        <w:t>Reimbursable advisory services                                    96                 91                   99</w:t>
        <w:br/>
        <w:t>Asset management services                                         35                 33                   31</w:t>
        <w:br/>
        <w:t>Total                                                        $   310       $        316            $     249</w:t>
        <w:br/>
        <w:t xml:space="preserve">  Of which:</w:t>
        <w:br/>
        <w:t xml:space="preserve">    IBRD’s share                                             $   157       $        163            $     130</w:t>
        <w:br/>
        <w:t xml:space="preserve">    IDA’s share                                                  153                153                  119</w:t>
        <w:br/>
        <w:br/>
        <w:br/>
        <w:t>Each revenue stream represents compensation for services provided and the related revenue is</w:t>
        <w:br/>
        <w:t>recognized over time.</w:t>
        <w:br/>
        <w:t>When IBRD performs services, its rights to consideration are deemed unconditional and are classified as</w:t>
        <w:br/>
        <w:t>receivables. IBRD also has an obligation to provide certain services for which it has received</w:t>
        <w:br/>
        <w:t>consideration in advance. Such consideration is presented as a contract liability and is subsequently</w:t>
        <w:br/>
        <w:t>recognized as revenue when the related performance obligation is satisfied.</w:t>
        <w:br/>
        <w:t>The following table shows IBRD’s receivables and contract liabilities related to revenue from contracts</w:t>
        <w:br/>
        <w:t>with clients:</w:t>
        <w:br/>
        <w:t>Table H3: Receivables and contract liabilities related to revenue from contracts with clients</w:t>
        <w:br/>
        <w:t>In millions of U.S. dollars</w:t>
        <w:br/>
        <w:t xml:space="preserve">                                                                                   June 30, 2025       June 30, 2024</w:t>
        <w:br/>
        <w:t>Receivables                                                                    $          137          $         111</w:t>
        <w:br/>
        <w:t>Contract liabilities                                                                      158                    185</w:t>
        <w:br/>
        <w:br/>
        <w:br/>
        <w:t>The amount of fee revenue associated with services provided to affiliated organizations that is included in</w:t>
        <w:br/>
        <w:t>Revenue from externally funded activities in the Statements of Income, is as follows:</w:t>
        <w:br/>
        <w:t>Table H4: Fee revenue from affiliated organizations</w:t>
        <w:br/>
        <w:t>In millions of U.S. dollars</w:t>
        <w:br/>
        <w:t xml:space="preserve">                                                      2025                 2024                        2023</w:t>
        <w:br/>
        <w:t>Fees charged to IFC                           $        109             $    105              $          102</w:t>
        <w:br/>
        <w:t>Fees charged to MIGA                                     7                    7                           7</w:t>
        <w:br/>
        <w:br/>
        <w:br/>
        <w:t>Investments</w:t>
        <w:br/>
        <w:t>These relate to investments that IBRD has made on behalf of IFC associated with the PCRF and are</w:t>
        <w:br/>
        <w:t>included in Investments-Trading on IBRD’s Balance Sheets. The corresponding payable to IFC is</w:t>
        <w:br/>
        <w:t>included in Other liabilities – Accounts payable and miscellaneous liabilities on IBRD’s Balance Sheets.</w:t>
        <w:br/>
        <w:t>As a result, there is no impact on IBRD’s net asset value from these transactions.</w:t>
        <w:br/>
        <w:t>Pension and Other Postretirement Benefits</w:t>
        <w:br/>
        <w:t>The payable to IDA represents IDA’s net share of prepaid costs for pension and other postretirement</w:t>
        <w:br/>
        <w:t>benefit plans and PEBP assets. These will be realized over the life of the pension plan participants. The</w:t>
        <w:br/>
        <w:t>payables to IFC and MIGA represent their respective share of PEBP assets.</w:t>
        <w:br/>
        <w:t>The PEBP assets are managed by IBRD and are part of the investment portfolio. For Pension and Other</w:t>
        <w:br/>
        <w:t>Postretirement Benefits related disclosures, see Note K—Pension and Other Postretirement Benefits.</w:t>
        <w:br/>
        <w:br/>
        <w:br/>
        <w:t xml:space="preserve">                                                  IBRD FINANCIAL STATEMENTS: June 30, 2025                      125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I—ACCUMULATED OTHER COMPREHENSIVE INCOME</w:t>
        <w:br/>
        <w:t>Comprehensive income or loss consists of net income and other gains and losses affecting equity that,</w:t>
        <w:br/>
        <w:t>under U.S. GAAP, are excluded from net income. Other comprehensive income (loss) comprises currency</w:t>
        <w:br/>
        <w:t>translation adjustments on assets and liabilities denominated in euro, DVA on Fair Value Option elected</w:t>
        <w:br/>
        <w:t>liabilities, and pension related items. These items are presented in the Statements of Comprehensive</w:t>
        <w:br/>
        <w:t>Income.</w:t>
        <w:br/>
        <w:t>The following tables present the changes in Accumulated Other Comprehensive Income (AOCI):</w:t>
        <w:br/>
        <w:t>Table I1: AOCI/AOCL changes</w:t>
        <w:br/>
        <w:t>In millions of U.S. dollars</w:t>
        <w:br/>
        <w:t xml:space="preserve">                                                                                        2025</w:t>
        <w:br/>
        <w:t xml:space="preserve">                                                                                      Amounts</w:t>
        <w:br/>
        <w:t xml:space="preserve">                                                   Balance,                          reclassified    Net Changes   Balance, end</w:t>
        <w:br/>
        <w:t xml:space="preserve">                                                 beginning of         Changes          into net       during the    of the fiscal</w:t>
        <w:br/>
        <w:t xml:space="preserve">                                                the fiscal year       in AOCI          income           period          year</w:t>
        <w:br/>
        <w:br/>
        <w:br/>
        <w:t>Cumulative Translation Adjustments              $       (445)     $      1,281   $            —      $    1,281    $       836</w:t>
        <w:br/>
        <w:t>DVA on Fair Value Option elected liabilities             673             1,009              (18)            991          1,664</w:t>
        <w:br/>
        <w:t>Unrecognized Net Actuarial Gains (Losses) on</w:t>
        <w:br/>
        <w:t xml:space="preserve">  Benefit Plans                                        3,741             3,484              (64) ᵃ        3,420          7,161</w:t>
        <w:br/>
        <w:t>Unrecognized Prior Service (Costs) Credits on</w:t>
        <w:br/>
        <w:t xml:space="preserve">  Benefit Plans                                          (15)                –                8 ᵃ             8             (7)</w:t>
        <w:br/>
        <w:t>Total AOCI                                      $      3,954      $      5,774   $          (74)     $    5,700    $     9,654</w:t>
        <w:br/>
        <w:br/>
        <w:br/>
        <w:t>Table I1.1:</w:t>
        <w:br/>
        <w:t>In millions of U.S. dollars</w:t>
        <w:br/>
        <w:t xml:space="preserve">                                                                                        2024</w:t>
        <w:br/>
        <w:t xml:space="preserve">                                                                                      Amounts</w:t>
        <w:br/>
        <w:t xml:space="preserve">                                                   Balance,                          reclassified    Net Changes   Balance, end</w:t>
        <w:br/>
        <w:t xml:space="preserve">                                                 beginning of         Changes          into net       during the    of the fiscal</w:t>
        <w:br/>
        <w:t xml:space="preserve">                                                the fiscal year       in AOCL          income           period          year</w:t>
        <w:br/>
        <w:br/>
        <w:br/>
        <w:t>Cumulative Translation Adjustments              $       (295)     $      (150)   $           —       $      (150) $        (445)</w:t>
        <w:br/>
        <w:t>DVA on Fair Value Option elected liabilities             351              321                1               322            673</w:t>
        <w:br/>
        <w:t>Unrecognized Net Actuarial Gains (Losses) on</w:t>
        <w:br/>
        <w:t xml:space="preserve">  Benefit Plans                                        3,490              318               (67) ᵃ           251          3,741</w:t>
        <w:br/>
        <w:t>Unrecognized Prior Service (Costs) Credits on</w:t>
        <w:br/>
        <w:t xml:space="preserve">  Benefit Plans                                          (23)                –                8 ᵃ              8            (15)</w:t>
        <w:br/>
        <w:t>Total AOCI                                      $      3,523      $       489    $          (58)     $       431   $      3,954</w:t>
        <w:br/>
        <w:br/>
        <w:br/>
        <w:t>126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I1.2:</w:t>
        <w:br/>
        <w:t>In millions of U.S. dollars</w:t>
        <w:br/>
        <w:t xml:space="preserve">                                                                                             2023</w:t>
        <w:br/>
        <w:t xml:space="preserve">                                                                                           Amounts</w:t>
        <w:br/>
        <w:t xml:space="preserve">                                                        Balance,                          reclassified      Net Changes   Balance, end</w:t>
        <w:br/>
        <w:t xml:space="preserve">                                                      beginning of         Changes          into net         during the    of the fiscal</w:t>
        <w:br/>
        <w:t xml:space="preserve">                                                     the fiscal year       in AOCL          income             period          year</w:t>
        <w:br/>
        <w:br/>
        <w:br/>
        <w:t>Cumulative Translation Adjustments                   $       (790)     $      495     $             —       $    495      $      (295)</w:t>
        <w:br/>
        <w:t>DVA on Fair Value Option elected liabilities                  364              (60)                 47            (13)            351</w:t>
        <w:br/>
        <w:t>Unrecognized Net Actuarial Gains (Losses) on</w:t>
        <w:br/>
        <w:t xml:space="preserve">  Benefit Plans                                             1,387             2,131                 (28)ᵃ        2,103          3,490</w:t>
        <w:br/>
        <w:t>Unrecognized Prior Service (Costs) Credits on</w:t>
        <w:br/>
        <w:t xml:space="preserve">  Benefit Plans                                               (43)                –                 20 ᵃ            20            (23)</w:t>
        <w:br/>
        <w:t>Total AOCI                                           $        918      $      2,566   $             39   $       2,605    $     3,523</w:t>
        <w:br/>
        <w:br/>
        <w:t>a. See Note K—Pension and Other Post Retirement Benefits.</w:t>
        <w:br/>
        <w:br/>
        <w:br/>
        <w:t>NOTE J— FAIR VALUE DISCLOSURES</w:t>
        <w:br/>
        <w:t>Valuation Methods and Assumptions</w:t>
        <w:br/>
        <w:t>As of June 30, 2025 and June 30, 2024, IBRD had no assets or liabilities measured at fair value on a non-</w:t>
        <w:br/>
        <w:t>recurring basis.</w:t>
        <w:br/>
        <w:t>Due from Banks</w:t>
        <w:br/>
        <w:t>The carrying amount of unrestricted and restricted cash is considered a reasonable estimate of the fair</w:t>
        <w:br/>
        <w:t>value of these positions.</w:t>
        <w:br/>
        <w:t>Loans and Loan commitments</w:t>
        <w:br/>
        <w:t>There were no loans carried at fair value as of June 30, 2025 or June 30, 2024. IBRD’s loans and loan</w:t>
        <w:br/>
        <w:t>commitments would be classified as Level 3 within the fair value hierarchy.</w:t>
        <w:br/>
        <w:t>Summarized below are the techniques applied in determining the fair values of IBRD’s financial</w:t>
        <w:br/>
        <w:t>instruments.</w:t>
        <w:br/>
        <w:t>Investment securities</w:t>
        <w:br/>
        <w:t>Investment securities are classified based on management’s intention on the date of purchase, their</w:t>
        <w:br/>
        <w:t>nature, and IBRD’s policies governing the level and use of such investments. As of June 30, 2025, all of</w:t>
        <w:br/>
        <w:t>the financial instruments in IBRD’s investment portfolio were classified as trading. These securities are</w:t>
        <w:br/>
        <w:t>carried and reported at fair value, or at face value or NAV, which approximates fair value. Where</w:t>
        <w:br/>
        <w:t>available, quoted market prices are used to determine the fair value of trading securities. Examples</w:t>
        <w:br/>
        <w:t>include most government and agency securities, mutual funds, exchange-traded equity securities and</w:t>
        <w:br/>
        <w:t>ABS.</w:t>
        <w:br/>
        <w:t>For instruments for which market quotations are not available, fair values are determined using model-</w:t>
        <w:br/>
        <w:t>based valuation techniques, whether internally generated or vendor-supplied, that include the standard</w:t>
        <w:br/>
        <w:t>discounted cash flow method using observable market inputs such as yield curves, credit spreads, and</w:t>
        <w:br/>
        <w:t>conditional prepayment rates. Where applicable, unobservable inputs such as conditional prepayment</w:t>
        <w:br/>
        <w:t>rates, probability of default and loss severity are used. Unless quoted prices are available, time deposits</w:t>
        <w:br/>
        <w:t>are reported at face value, which approximates fair value, as they are short term in nature.</w:t>
        <w:br/>
        <w:br/>
        <w:br/>
        <w:t xml:space="preserve">                                                             IBRD FINANCIAL STATEMENTS: June 30, 2025                               127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Securities purchased under resale agreements, Securities sold under repurchase</w:t>
        <w:br/>
        <w:t>agreements, and Securities lent under securities lending agreements</w:t>
        <w:br/>
        <w:t>These securities are of a short-term nature and reported at face value, which approximates fair value.</w:t>
        <w:br/>
        <w:t>Borrowings</w:t>
        <w:br/>
        <w:t>(i) Discount notes and vanilla bonds</w:t>
        <w:br/>
        <w:t>Discount notes and vanilla bonds issued by IBRD are valued using the standard discounted cash flow</w:t>
        <w:br/>
        <w:t>method, which relies on observable market inputs such as yield curves, foreign exchange rates, basis</w:t>
        <w:br/>
        <w:t>spreads and funding spreads.</w:t>
        <w:br/>
        <w:t>(ii) Structured bonds</w:t>
        <w:br/>
        <w:t>Structured bonds issued by IBRD have coupon or repayment terms linked to the level or the performance</w:t>
        <w:br/>
        <w:t>of interest rates, foreign exchange rates, equity indices, catastrophic events, or commodities. The fair</w:t>
        <w:br/>
        <w:t>value of the structured bonds is generally derived using the discounted cash flow method based on</w:t>
        <w:br/>
        <w:t>estimated future pay-offs determined by applicable models and computation of embedded optionality</w:t>
        <w:br/>
        <w:t>such as caps, floors and calls. A wide range of industry standard models such as one factor Hull-White,</w:t>
        <w:br/>
        <w:t>Generalized Forward Market Model and Black-Scholes are used depending on the specific structure.</w:t>
        <w:br/>
        <w:t>These models incorporate observable market inputs, such as yield curves, foreign exchange rates, basis</w:t>
        <w:br/>
        <w:t>spreads, funding spreads, interest rate volatilities, equity index volatilities and equity indices. Where</w:t>
        <w:br/>
        <w:t>applicable, the models also incorporate significant unobservable inputs such as correlations between</w:t>
        <w:br/>
        <w:t>relevant market data and long-dated interest rate volatilities. Generally, the movements in correlations are</w:t>
        <w:br/>
        <w:t>considered to be independent of movements in long-dated interest rate volatilities.</w:t>
        <w:br/>
        <w:t>(iii) Borrowings, at amortized cost</w:t>
        <w:br/>
        <w:t>The fair value of borrowings measured at amortized cost would be classified as Level 3 within the fair</w:t>
        <w:br/>
        <w:t>value hierarchy.</w:t>
        <w:br/>
        <w:t>Derivative instruments</w:t>
        <w:br/>
        <w:t>Derivative contracts include currency forward contracts, TBA securities, swaptions, options and futures</w:t>
        <w:br/>
        <w:t>contracts, currency swaps and interest rate swaps. Currency swaps and interest rate swaps are either</w:t>
        <w:br/>
        <w:t>plain vanilla or structured. Currency forward contracts and plain vanilla currency and interest rate swaps</w:t>
        <w:br/>
        <w:t>are valued using the standard discounted cash flow methods using observable market inputs such as</w:t>
        <w:br/>
        <w:t>yield curves, foreign exchange rates, basis spreads and funding spreads. For structured currency and</w:t>
        <w:br/>
        <w:t>interest rate swaps, which primarily consist of callable swaps linked to interest rates, foreign exchange</w:t>
        <w:br/>
        <w:t>rates, and equity indices, valuation models and inputs similar to the ones applicable to the valuation of</w:t>
        <w:br/>
        <w:t>structured bonds are used. Where applicable, the models also incorporate significant unobservable inputs</w:t>
        <w:br/>
        <w:t>such as correlations and long-dated interest rate volatilities.</w:t>
        <w:br/>
        <w:t>Valuation adjustments on fair value option elected liabilities</w:t>
        <w:br/>
        <w:t>The DVA on fair value option elected liabilities is measured by revaluing each liability to determine the</w:t>
        <w:br/>
        <w:t>changes in fair value of that liability arising from changes in IBRD’s funding spread applicable to the</w:t>
        <w:br/>
        <w:t>relevant reference rate.</w:t>
        <w:br/>
        <w:br/>
        <w:br/>
        <w:t>128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 below presents IBRD’s estimates of fair value of its financial assets and liabilities along with</w:t>
        <w:br/>
        <w:t>their respective carrying amounts:</w:t>
        <w:br/>
        <w:t>Table J1: Fair value and carrying amount of financial assets and liabilities</w:t>
        <w:br/>
        <w:t>In millions of U.S. dollars</w:t>
        <w:br/>
        <w:t xml:space="preserve">                                                      June 30, 2025                      June 30, 2024</w:t>
        <w:br/>
        <w:t xml:space="preserve">                                             Carrying Value       Fair Value    Carrying Value       Fair Value</w:t>
        <w:br/>
        <w:t>Assets</w:t>
        <w:br/>
        <w:t>Due from banks                               $         485    $           485   $         490    $           490</w:t>
        <w:br/>
        <w:t>Investments-Trading (including Securities</w:t>
        <w:br/>
        <w:t xml:space="preserve">   purchased under resale agreements)              102,688            102,688          82,807             82,807</w:t>
        <w:br/>
        <w:t>Net loans outstanding                              280,043            278,883         260,236            257,415</w:t>
        <w:br/>
        <w:t>Derivative assets, net                                 666                666             456                456</w:t>
        <w:br/>
        <w:t>Miscellaneous assets                                   115                115              88                 88</w:t>
        <w:br/>
        <w:br/>
        <w:br/>
        <w:t>Liabilities</w:t>
        <w:br/>
        <w:t>Borrowings, at fair value                    $     305,679    $       305,679   $     261,790    $       261,790</w:t>
        <w:br/>
        <w:t>Borrowings, at amortized cost                          482                489              —                  —</w:t>
        <w:br/>
        <w:t>Securities sold/lent under repurchase</w:t>
        <w:br/>
        <w:t xml:space="preserve">  agreements/securities lending agreements</w:t>
        <w:br/>
        <w:t xml:space="preserve">  and payable for cash collateral received             312                312             256                256</w:t>
        <w:br/>
        <w:t>Derivative liabilities, net                         12,454             12,454          22,728             22,728</w:t>
        <w:br/>
        <w:br/>
        <w:br/>
        <w:t>As of June 30, 2025, IBRD’s signed loan commitments were $77 billion ($67 billion—June 30, 2024) and</w:t>
        <w:br/>
        <w:t>had a fair value of $(0.014) billion ($0.3 billion—June 30, 2024).</w:t>
        <w:br/>
        <w:br/>
        <w:br/>
        <w:t xml:space="preserve">                                                   IBRD FINANCIAL STATEMENTS: June 30, 2025                   129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present IBRD’s fair value hierarchy for assets and liabilities measured at fair value on</w:t>
        <w:br/>
        <w:t>a recurring basis. The fair value of the investments included in the Other fund investments that are</w:t>
        <w:br/>
        <w:t>measured using the NAV as a practical expedient are included in the table below but excluded from the</w:t>
        <w:br/>
        <w:t>fair value hierarchy.</w:t>
        <w:br/>
        <w:t>Table J2: Fair value hierarchy of IBRD’s assets and liabilities</w:t>
        <w:br/>
        <w:t>In millions of U.S. dollars</w:t>
        <w:br/>
        <w:t xml:space="preserve">                                                                              Fair Value Measurements on a Recurring Basis</w:t>
        <w:br/>
        <w:t xml:space="preserve">                                                                                             June 30, 2025</w:t>
        <w:br/>
        <w:t xml:space="preserve">                                                                             Level 1      Level 2      Level 3       Total</w:t>
        <w:br/>
        <w:t>Assets:</w:t>
        <w:br/>
        <w:t xml:space="preserve">  Investments–Trading</w:t>
        <w:br/>
        <w:t xml:space="preserve">     Government, agency and corporate obligations                        $    15,957    $   28,194    $     —     $      44,151</w:t>
        <w:br/>
        <w:t xml:space="preserve">     Time deposits                                                             2,750        49,533          —            52,283</w:t>
        <w:br/>
        <w:t xml:space="preserve">     ABS                                                                          —          3,210          —             3,210</w:t>
        <w:br/>
        <w:t xml:space="preserve">     Other fund investments a                                                     —            416          —             2,775</w:t>
        <w:br/>
        <w:t xml:space="preserve">     Equity securities                                                           255            —           —               255</w:t>
        <w:br/>
        <w:t xml:space="preserve">  Total Investments–Trading                                              $    18,962    $   81,353    $     —     $   102,674</w:t>
        <w:br/>
        <w:t xml:space="preserve">  Securities purchased under resale agreements                           $        14    $       —     $     —     $        14</w:t>
        <w:br/>
        <w:t xml:space="preserve">  Derivative assets</w:t>
        <w:br/>
        <w:t xml:space="preserve">    Currency swaps b                                                     $        —     $    4,926    $   189     $       5,115</w:t>
        <w:br/>
        <w:t xml:space="preserve">    Interest rate swaps                                                           —          7,392        167             7,559</w:t>
        <w:br/>
        <w:t xml:space="preserve">    Other c                                                                       2             —          —                  2</w:t>
        <w:br/>
        <w:t xml:space="preserve">  Gross Total                                                            $        2     $   12,318    $   356     $      12,676</w:t>
        <w:br/>
        <w:br/>
        <w:br/>
        <w:t xml:space="preserve">  Miscellaneous assets                                                   $        —     $      115    $     —     $        115</w:t>
        <w:br/>
        <w:br/>
        <w:br/>
        <w:t>Liabilities:</w:t>
        <w:br/>
        <w:t xml:space="preserve">  Borrowings, at fair value                                              $        —     $ 300,845     $ 4,834     $   305,679</w:t>
        <w:br/>
        <w:t xml:space="preserve">  Securities sold under repurchase agreements and securities lent under</w:t>
        <w:br/>
        <w:t xml:space="preserve">    securities lending agreements d                                     $         —     $      312    $     —     $        312</w:t>
        <w:br/>
        <w:t xml:space="preserve">  Derivative liabilities</w:t>
        <w:br/>
        <w:t xml:space="preserve">    Currency swaps b                                                    $         —     $    7,097    $    95     $       7,192</w:t>
        <w:br/>
        <w:t xml:space="preserve">    Interest rate swaps                                                           —         17,331        192            17,523</w:t>
        <w:br/>
        <w:t xml:space="preserve">    Other c                                                                       —             —          —                 —</w:t>
        <w:br/>
        <w:t xml:space="preserve">  Gross Total                                                           $         —     $   24,428    $   287     $      24,715</w:t>
        <w:br/>
        <w:br/>
        <w:br/>
        <w:t xml:space="preserve">  Accounts payable and miscellaneous liabilities                         $        —     $        5    $     —     $          5</w:t>
        <w:br/>
        <w:br/>
        <w:br/>
        <w:t>a. Includes Investments held by LPF1 and GFPP of $416 million, which are carried at fair value and investments in PEBP</w:t>
        <w:br/>
        <w:t xml:space="preserve">   holdings of $2,359 million, which are carried at NAV and excluded from the fair value hierarchy.</w:t>
        <w:br/>
        <w:t>b. Includes forward contracts.</w:t>
        <w:br/>
        <w:t>c. Includes swaptions, options, and futures contracts.</w:t>
        <w:br/>
        <w:t>d. Excludes payable for cash collateral received.</w:t>
        <w:br/>
        <w:br/>
        <w:br/>
        <w:t>130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J2.1:</w:t>
        <w:br/>
        <w:t>In millions of U.S. dollars</w:t>
        <w:br/>
        <w:t xml:space="preserve">                                                                                Fair Value Measurements on a Recurring Basis</w:t>
        <w:br/>
        <w:t xml:space="preserve">                                                                                               June 30, 2024</w:t>
        <w:br/>
        <w:t xml:space="preserve">                                                                               Level 1      Level 2      Level 3       Total</w:t>
        <w:br/>
        <w:t>Assets:</w:t>
        <w:br/>
        <w:t xml:space="preserve">  Investments–Trading</w:t>
        <w:br/>
        <w:t xml:space="preserve">     Government agency and corporate obligations                           $    12,940      $   19,413   $     —     $    32,353</w:t>
        <w:br/>
        <w:t xml:space="preserve">     Time deposits                                                               3,517          42,474         —          45,991</w:t>
        <w:br/>
        <w:t xml:space="preserve">     ABS                                                                            —            1,880         —           1,880</w:t>
        <w:br/>
        <w:t xml:space="preserve">     Other fund investments a                                                       —               —          —           2,155</w:t>
        <w:br/>
        <w:t xml:space="preserve">     Equity securities                                                             349              —          —             349</w:t>
        <w:br/>
        <w:t xml:space="preserve">  Total Investments–Trading                                                $    16,806      $   63,767   $     —     $    82,728</w:t>
        <w:br/>
        <w:t xml:space="preserve">  Securities purchased under resale agreements                             $        20      $       59   $     —     $        79</w:t>
        <w:br/>
        <w:t xml:space="preserve">  Derivative assets</w:t>
        <w:br/>
        <w:t xml:space="preserve">     Currency swaps b                                                      $        —       $    3,935   $    122    $     4,057</w:t>
        <w:br/>
        <w:t xml:space="preserve">     Interest rate swaps                                                            —            7,836   $    141          7,977</w:t>
        <w:br/>
        <w:t xml:space="preserve">     Other c                                                                        1               —         —                1</w:t>
        <w:br/>
        <w:t xml:space="preserve">  Gross Total                                                              $        1       $   11,771   $   263     $    12,035</w:t>
        <w:br/>
        <w:br/>
        <w:t xml:space="preserve">  Miscellaneous assets                                                     $        —       $      88    $   —       $         88</w:t>
        <w:br/>
        <w:br/>
        <w:t>Liabilities:</w:t>
        <w:br/>
        <w:t xml:space="preserve">  Borrowings, at fair value                                                $        —       $ 257,735    $   4,055   $   261,790</w:t>
        <w:br/>
        <w:t xml:space="preserve">  Securities sold under repurchase agreements and securities lent under</w:t>
        <w:br/>
        <w:t xml:space="preserve">   securities lending agreements d                                         $        —       $     256    $     —     $      256</w:t>
        <w:br/>
        <w:t xml:space="preserve">  Derivative liabilities</w:t>
        <w:br/>
        <w:t xml:space="preserve">     Currency swaps b                                                      $        —       $    9,816   $     91    $     9,907</w:t>
        <w:br/>
        <w:t xml:space="preserve">     Interest rate swaps                                                            —           24,556        203         24,759</w:t>
        <w:br/>
        <w:t xml:space="preserve">     Other c                                                                        —               —    $    —      $        —</w:t>
        <w:br/>
        <w:t xml:space="preserve">  Gross Total                                                              $        —       $   34,372   $    294    $    34,666</w:t>
        <w:br/>
        <w:br/>
        <w:t xml:space="preserve">  Accounts payable and miscellaneous liabilities                           $         —      $        2   $       —   $         2</w:t>
        <w:br/>
        <w:br/>
        <w:t>a. Investments at NAV related to PEBP holdings, not included in the fair value hierarchy.</w:t>
        <w:br/>
        <w:t>b. Includes forward contracts.</w:t>
        <w:br/>
        <w:t>c. Includes swaptions, options, and futures contracts.</w:t>
        <w:br/>
        <w:t>d. Excludes payable for cash collateral received.</w:t>
        <w:br/>
        <w:br/>
        <w:t>IBRD’s Level 3 borrowings primarily relate to structured bonds. The fair value of these bonds is estimated</w:t>
        <w:br/>
        <w:t>using discounted cash flow valuation models that incorporate model parameters, observable market</w:t>
        <w:br/>
        <w:t>inputs, and unobservable inputs. The significant unobservable inputs used in the fair value measurement</w:t>
        <w:br/>
        <w:t>of structured bonds and swaps are correlations and long-dated market interest rate volatilities. Generally,</w:t>
        <w:br/>
        <w:t>the movements in correlations are considered to be independent of the movements in long-dated interest</w:t>
        <w:br/>
        <w:t>rate volatilities.</w:t>
        <w:br/>
        <w:br/>
        <w:br/>
        <w:t xml:space="preserve">                                                           IBRD FINANCIAL STATEMENTS: June 30, 2025                         131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Correlation is the statistical measurement of the relationship between two variables. For contracts where</w:t>
        <w:br/>
        <w:t>the holder benefits from the convergence of the underlying index prices (e.g., market interest rates and</w:t>
        <w:br/>
        <w:t>foreign exchange rates), an increase in correlation would generally result in an increase in the fair value</w:t>
        <w:br/>
        <w:t>of the instrument. The magnitude and direction of the fair value adjustment would depend on whether the</w:t>
        <w:br/>
        <w:t>holder is short or long the option.</w:t>
        <w:br/>
        <w:t>Interest rate volatility is the extent to which the level of interest rates change over time. For purchased</w:t>
        <w:br/>
        <w:t>options, an increase in volatility will generally result in an increase in the fair value. In general, the</w:t>
        <w:br/>
        <w:t>volatility used to price the option depends on the maturity of the underlying instrument and the option</w:t>
        <w:br/>
        <w:t>strike price. During the fiscal year ended June 30, 2025 and the fiscal year ended June 30, 2024, the</w:t>
        <w:br/>
        <w:t>interest rate volatilities for certain currencies were extrapolated for certain tenors and, thus, are</w:t>
        <w:br/>
        <w:t>considered an unobservable input.</w:t>
        <w:br/>
        <w:t>IBRD entered into transactions which have an embedded option associated with an equity index.</w:t>
        <w:br/>
        <w:t>Valuation inputs of such transactions include, among other valuation inputs, volatilities of the equity</w:t>
        <w:br/>
        <w:t>indices, that are the extent to which the level of equity index changes over time. These index volatility</w:t>
        <w:br/>
        <w:t>levels are consistent with the respective index construction methodologies and historical movements.</w:t>
        <w:br/>
        <w:t>Similar to the impact of the volatility of the other asset classes described above, an increase in the equity</w:t>
        <w:br/>
        <w:t>index volatility will result in an increase in the value of the purchase option and vice versa.</w:t>
        <w:br/>
        <w:t>In certain instances, particularly for instruments with coupon or repayment terms linked to catastrophic</w:t>
        <w:br/>
        <w:t>events, management relies on instrument valuations supplied by external pricing vendors.</w:t>
        <w:br/>
        <w:t>The following table provides a summary of the valuation technique applied in determining fair values of</w:t>
        <w:br/>
        <w:t>these Level 3 instruments and quantitative information regarding the significant unobservable inputs used.</w:t>
        <w:br/>
        <w:t>Level 3 instruments represent 2% of IBRD’s borrowings.</w:t>
        <w:br/>
        <w:t>Table J3: Level 3 Borrowings and derivatives valuation technique and quantitative information</w:t>
        <w:br/>
        <w:t>regarding the significant unobservable inputs:</w:t>
        <w:br/>
        <w:t>In millions of U.S. dollars</w:t>
        <w:br/>
        <w:t xml:space="preserve">                        Fair Value as   Fair Value as</w:t>
        <w:br/>
        <w:t xml:space="preserve">                                                        Valuation    Unobservable    Range (average),    Range (average),</w:t>
        <w:br/>
        <w:t>Portfolio                of June 30,     of June 30,</w:t>
        <w:br/>
        <w:t xml:space="preserve">                                                        Technique       input         June 30, 2025       June 30, 2024</w:t>
        <w:br/>
        <w:t xml:space="preserve">                             2025            2024</w:t>
        <w:br/>
        <w:t xml:space="preserve">                                                                     Correlations    -14% to 80% (10%)   -11% to 84% (7%)</w:t>
        <w:br/>
        <w:t xml:space="preserve">                                                                     Interest rate</w:t>
        <w:br/>
        <w:t xml:space="preserve">                                                        Discounted                   66% to 72% (70%)    65% to 77% (73%)</w:t>
        <w:br/>
        <w:t>Borrowings              $     4,834     $   4,055                     volatilities</w:t>
        <w:br/>
        <w:t xml:space="preserve">                                                        Cash Flow</w:t>
        <w:br/>
        <w:t xml:space="preserve">                                                                     Equity index</w:t>
        <w:br/>
        <w:t xml:space="preserve">                                                                                     5% to 15% (10%)      5% to 15% (9%)</w:t>
        <w:br/>
        <w:t xml:space="preserve">                                                                      volatilities</w:t>
        <w:br/>
        <w:t xml:space="preserve">                                                                     Correlations    -14% to 80% (10%)   -11% to 84% (7%)</w:t>
        <w:br/>
        <w:t>Derivative                                                           Interest rate</w:t>
        <w:br/>
        <w:t xml:space="preserve">                                                        Discounted                   66% to 72% (70%)    65% to 77% (73%)</w:t>
        <w:br/>
        <w:t>assets/(liabilities),   $       69      $     (31)                    volatilities</w:t>
        <w:br/>
        <w:t xml:space="preserve">                                                        Cash Flow</w:t>
        <w:br/>
        <w:t>net                                                                  Equity index</w:t>
        <w:br/>
        <w:t xml:space="preserve">                                                                                     5% to 15% (10%)      5% to 15% (9%)</w:t>
        <w:br/>
        <w:t xml:space="preserve">                                                                      volatilities</w:t>
        <w:br/>
        <w:br/>
        <w:br/>
        <w:t>132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tables below provide the details of transfers between Level 2 and Level 3 that are due to changes in</w:t>
        <w:br/>
        <w:t>observable inputs.</w:t>
        <w:br/>
        <w:t>Table J4: Borrowings and derivatives inter level transfers</w:t>
        <w:br/>
        <w:t>In millions of U.S. dollars</w:t>
        <w:br/>
        <w:t xml:space="preserve">                                                              2025                                         2024</w:t>
        <w:br/>
        <w:t xml:space="preserve">                                             Level 2                     Level 3               Level 2              Level 3</w:t>
        <w:br/>
        <w:t>Borrowings</w:t>
        <w:br/>
        <w:t xml:space="preserve">   Transfer into (out of)             $             91           $            (91)        $          90      $           (90)</w:t>
        <w:br/>
        <w:t xml:space="preserve">   Transfer (out of) into                         (103)          $            103                   (46)     $            46</w:t>
        <w:br/>
        <w:t xml:space="preserve">                                      $            (12)          $             12         $          44      $           (44)</w:t>
        <w:br/>
        <w:t>Derivative assets, net</w:t>
        <w:br/>
        <w:t xml:space="preserve">   Transfer into (out of)             $             10           $            (10)        $          96      $           (96)</w:t>
        <w:br/>
        <w:t xml:space="preserve">   Transfer (out of) into                           (3)          $               3                   (1)     $             1</w:t>
        <w:br/>
        <w:t xml:space="preserve">                                                     7           $              (7)                  95      $           (95)</w:t>
        <w:br/>
        <w:t>Derivative liabilities, net</w:t>
        <w:br/>
        <w:t xml:space="preserve">   Transfer (into) out of             $             (1)          $                 1      $         (63)     $               63</w:t>
        <w:br/>
        <w:t xml:space="preserve">   Transfer out of (into)             $             21                        (21)        $            7                  (7)</w:t>
        <w:br/>
        <w:t xml:space="preserve">                                                    20           $            (20)                  (56)     $            56</w:t>
        <w:br/>
        <w:t>Total Derivative Transfers, net       $             27           $             (27)       $           39     $           (39)</w:t>
        <w:br/>
        <w:br/>
        <w:br/>
        <w:t>The following tables provide a summary of changes in the fair value of IBRD’s Level 3 borrowings and</w:t>
        <w:br/>
        <w:t>derivatives:</w:t>
        <w:br/>
        <w:t>Table J5: Borrowings Level 3 changes</w:t>
        <w:br/>
        <w:t>In millions of U.S. dollars</w:t>
        <w:br/>
        <w:t xml:space="preserve">                                                                             June 30, 2025                  June 30, 2024</w:t>
        <w:br/>
        <w:t>Beginning of the fiscal year                                         $               4,055           $             3,607</w:t>
        <w:br/>
        <w:t>Issuances                                                                              796                         1,054</w:t>
        <w:br/>
        <w:t>Settlements                                                                           (430)                          (831)</w:t>
        <w:br/>
        <w:t>Total realized/unrealized mark-to-market losses (gains) in:</w:t>
        <w:br/>
        <w:t xml:space="preserve">      Net income                                                                         335                         352</w:t>
        <w:br/>
        <w:t xml:space="preserve">      Other comprehensive income                                                          66                          (83)</w:t>
        <w:br/>
        <w:t>Transfers (from) to Level 3, net                                                          12                          (44)</w:t>
        <w:br/>
        <w:t>End of the fiscal year                                               $                 4,834         $              4,055</w:t>
        <w:br/>
        <w:br/>
        <w:br/>
        <w:t xml:space="preserve">                                                              IBRD FINANCIAL STATEMENTS: June 30, 2025                            133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J6: Derivatives Level 3 changes</w:t>
        <w:br/>
        <w:t>In millions of U.S. dollars</w:t>
        <w:br/>
        <w:t xml:space="preserve">                                                              2025                                                 2024</w:t>
        <w:br/>
        <w:t xml:space="preserve">                                                 Derivatives, Assets/(Liabilities)                    Derivatives, Assets/(Liabilities)</w:t>
        <w:br/>
        <w:t xml:space="preserve">                                              Currency         Interest                            Currency       Interest</w:t>
        <w:br/>
        <w:t xml:space="preserve">                                               Swaps         Rate Swaps           Total             Swaps       Rate Swaps            Total</w:t>
        <w:br/>
        <w:br/>
        <w:br/>
        <w:t>Beginning of the fiscal year              $        31        $        (62)    $      (31)     $          13    $         (134)   $        (121)</w:t>
        <w:br/>
        <w:t>Issuances                                          —                   —              —                  —                (78)             (78)</w:t>
        <w:br/>
        <w:t>Settlements                                        44                 (53)            (9)                52                13               65</w:t>
        <w:br/>
        <w:t>Total realized/unrealized mark-to-</w:t>
        <w:br/>
        <w:t>market gains (losses) in:</w:t>
        <w:br/>
        <w:t>Net income                                         27                  96            123                162                76               238</w:t>
        <w:br/>
        <w:t>Other comprehensive income                         18                  (5)            13                (96)               —                (96)</w:t>
        <w:br/>
        <w:t>Transfers (from) to Level 3, net                  (27)                 —             (27)              (100)               61               (39)</w:t>
        <w:br/>
        <w:t>End of the fiscal year                    $        93        $        (24)    $       69      $          31    $          (62)   $          (31)</w:t>
        <w:br/>
        <w:br/>
        <w:br/>
        <w:t>Information on the unrealized gains or losses included in the Statements of Income and Statements of</w:t>
        <w:br/>
        <w:t>Comprehensive Income relating to IBRD’s Level 3 borrowings and derivatives that are still held at the</w:t>
        <w:br/>
        <w:t>reporting dates, is presented in the following table:</w:t>
        <w:br/>
        <w:t>Table J7: Unrealized gains or losses relating to IBRD’s Level 3 borrowings and derivatives</w:t>
        <w:br/>
        <w:t>In millions of U.S. dollars</w:t>
        <w:br/>
        <w:t xml:space="preserve">                                                                                            2025               2024                  2023</w:t>
        <w:br/>
        <w:t>Reported as:</w:t>
        <w:br/>
        <w:t xml:space="preserve">  Borrowings</w:t>
        <w:br/>
        <w:t xml:space="preserve">    Net (loss) income a                                                             $        (302)                 210       $         56</w:t>
        <w:br/>
        <w:t xml:space="preserve">    Other Comprehensive income (loss) b                                                       (66)                  83                (53)</w:t>
        <w:br/>
        <w:t xml:space="preserve">  Derivatives</w:t>
        <w:br/>
        <w:t xml:space="preserve">    Net income (loss ) a                                                            $         316        $      (107)        $        (54)</w:t>
        <w:br/>
        <w:t xml:space="preserve">    Other Comprehensive (loss) income c                                                        11                 (91)                  5</w:t>
        <w:br/>
        <w:br/>
        <w:t>a. Amounts are included in Unrealized mark-to-market gains (losses) on non-trading portfolios, net on the Statements of Income.</w:t>
        <w:br/>
        <w:t>b. Amounts are included in Currency translation adjustment on functional currency and Net Change in DVA on fair value option</w:t>
        <w:br/>
        <w:t xml:space="preserve">   elected liabilities, in the Statements of Comprehensive Income.</w:t>
        <w:br/>
        <w:t>c. Amounts are included in Currency translation adjustment on functional currency, in the Statements of Comprehensive Income.</w:t>
        <w:br/>
        <w:br/>
        <w:t>Table J8: Borrowings fair value and contractual principal balance</w:t>
        <w:br/>
        <w:t>In millions of U.S. dollars</w:t>
        <w:br/>
        <w:t xml:space="preserve">                                                                                      Principal Amount Due</w:t>
        <w:br/>
        <w:t xml:space="preserve">                                                                 Fair Value               Upon Maturity                    Difference</w:t>
        <w:br/>
        <w:t>June 30, 2025                                            $         305,679           $         325,327              $         (19,648)</w:t>
        <w:br/>
        <w:t>June 30, 2024                                            $         261,790           $         285,322              $         (23,532)</w:t>
        <w:br/>
        <w:br/>
        <w:br/>
        <w:t>134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tables provide information on the changes in fair value due to the change in IBRD’s own</w:t>
        <w:br/>
        <w:t>credit risk for financial liabilities measured under the fair value option, included in the Statements of Other</w:t>
        <w:br/>
        <w:t>Comprehensive Income:</w:t>
        <w:br/>
        <w:t>Table J9: Changes in fair value due to IBRD’s own credit risk</w:t>
        <w:br/>
        <w:t>In millions of U.S. dollars</w:t>
        <w:br/>
        <w:t>Unrealized mark-to-market gains (losses) due to DVA on fair value option</w:t>
        <w:br/>
        <w:t xml:space="preserve"> elected liabilities                                                                     2025                     2024</w:t>
        <w:br/>
        <w:t>DVA on Fair Value Option Elected Liabilities                                     $       1,009               $      321</w:t>
        <w:br/>
        <w:t>Amounts reclassified to net income upon derecognition of a liability                      (18)                       1</w:t>
        <w:br/>
        <w:t>Net change in DVA on Fair Value Option Elected Liabilities                       $         991               $      322</w:t>
        <w:br/>
        <w:br/>
        <w:br/>
        <w:t>As of June 30, 2025, IBRD’s Balance Sheets included a DVA of $1,664 million cumulative gains ($673</w:t>
        <w:br/>
        <w:t>million cumulative gain—June 30, 2024) in Accumulated other comprehensive income, associated with</w:t>
        <w:br/>
        <w:t>the changes in IBRD’s own credit for financial liabilities measured under the fair value option.</w:t>
        <w:br/>
        <w:t>Table J10: Unrealized mark-to-market gains or losses on investments-trading, and non-trading</w:t>
        <w:br/>
        <w:t>portfolios, net</w:t>
        <w:br/>
        <w:t>In millions of U.S. dollars</w:t>
        <w:br/>
        <w:t xml:space="preserve">                                                                                        2025</w:t>
        <w:br/>
        <w:t xml:space="preserve">                                                                                   Unrealized gains</w:t>
        <w:br/>
        <w:t xml:space="preserve">                                                            Realized gains        (losses) excluding       Unrealized gains</w:t>
        <w:br/>
        <w:t xml:space="preserve">                                                              (losses)            realized amounts a           (losses)</w:t>
        <w:br/>
        <w:t>Investments-Trading, net                                $             (343)     $                557     $              214</w:t>
        <w:br/>
        <w:t>Non trading portfolios, net</w:t>
        <w:br/>
        <w:t xml:space="preserve">  Loan-related derivatives—Note F                                          4                   (1,376)              (1,372)</w:t>
        <w:br/>
        <w:t xml:space="preserve">  Other assets/liabilities management</w:t>
        <w:br/>
        <w:t xml:space="preserve">   derivatives, net                                                        —                   1,839                 1,839</w:t>
        <w:br/>
        <w:t xml:space="preserve">  Borrowings, including derivatives</w:t>
        <w:br/>
        <w:t xml:space="preserve">     —Notes E and F                                                        —                     (234)               (234) ᵇ</w:t>
        <w:br/>
        <w:t xml:space="preserve">  Client operations and other derivatives, net                             —                       23                   23</w:t>
        <w:br/>
        <w:t xml:space="preserve">   Total                                                $                  4    $                 252    $             256</w:t>
        <w:br/>
        <w:br/>
        <w:br/>
        <w:t>Table J10.1:</w:t>
        <w:br/>
        <w:t>In millions of U.S. dollars</w:t>
        <w:br/>
        <w:t xml:space="preserve">                                                                                        2024</w:t>
        <w:br/>
        <w:t xml:space="preserve">                                                                                   Unrealized gains</w:t>
        <w:br/>
        <w:t xml:space="preserve">                                                            Realized gains        (losses) excluding       Unrealized gains</w:t>
        <w:br/>
        <w:t xml:space="preserve">                                                              (losses)            realized amounts a           (losses)</w:t>
        <w:br/>
        <w:t>Investments-Trading, net                                $                 113   $                 (22)   $              91</w:t>
        <w:br/>
        <w:t>Non trading portfolios, net</w:t>
        <w:br/>
        <w:t xml:space="preserve">  Loan-related derivatives—Note F                                          —                     (458)               (458)</w:t>
        <w:br/>
        <w:t xml:space="preserve">  Other assets/liabilities management</w:t>
        <w:br/>
        <w:t xml:space="preserve">   derivatives, net                                                        —                      708                  708</w:t>
        <w:br/>
        <w:t xml:space="preserve">  Borrowings, including derivatives</w:t>
        <w:br/>
        <w:t xml:space="preserve">     —Notes E and F                                                        2                        7                    9ᵇ</w:t>
        <w:br/>
        <w:t xml:space="preserve">  Client operations and other derivatives, net                             —                       30                   30</w:t>
        <w:br/>
        <w:t xml:space="preserve">   Total                                                $                   2   $                 287    $             289</w:t>
        <w:br/>
        <w:br/>
        <w:br/>
        <w:t xml:space="preserve">                                                         IBRD FINANCIAL STATEMENTS: June 30, 2025                         135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J10.2:</w:t>
        <w:br/>
        <w:t>In millions of U.S. dollars</w:t>
        <w:br/>
        <w:t xml:space="preserve">                                                                                             2023</w:t>
        <w:br/>
        <w:t xml:space="preserve">                                                                                       Unrealized gains</w:t>
        <w:br/>
        <w:t xml:space="preserve">                                                               Realized gains         (losses) excluding       Unrealized gains</w:t>
        <w:br/>
        <w:t xml:space="preserve">                                                                 (losses)             realized amounts a           (losses)</w:t>
        <w:br/>
        <w:t>Investments-Trading, net                                   $              (42)      $               126      $               84</w:t>
        <w:br/>
        <w:t>Non trading portfolios, net</w:t>
        <w:br/>
        <w:t xml:space="preserve">  Loan-related derivatives—Note F                                            4                      1,673                   1,677</w:t>
        <w:br/>
        <w:t xml:space="preserve">  Other assets/liabilities management</w:t>
        <w:br/>
        <w:t xml:space="preserve">   derivatives, net                                                         —                    (1,642)                   (1,642)</w:t>
        <w:br/>
        <w:t xml:space="preserve">  Borrowings, including derivatives</w:t>
        <w:br/>
        <w:t xml:space="preserve">     —Notes E and F                                                          8                      (198)                    (190) ᵇ</w:t>
        <w:br/>
        <w:t xml:space="preserve">  Client operations and other derivatives, net                              —                          —                       —</w:t>
        <w:br/>
        <w:t xml:space="preserve">   Total                                                   $                12      $               (167)                    (155)</w:t>
        <w:br/>
        <w:br/>
        <w:br/>
        <w:t>a. Adjusted to exclude amounts reclassified to realized gains (losses).</w:t>
        <w:br/>
        <w:t>b. Includes $7,714 million of unrealized mark-to-market gains related to derivatives associated with borrowings for fiscal year</w:t>
        <w:br/>
        <w:t xml:space="preserve">   ended June 30, 2025 (unrealized mark-to-market gains of $4,220 million—fiscal year ended June 30, 2024 and unrealized</w:t>
        <w:br/>
        <w:t xml:space="preserve">   mark-to-market losses of $5,851 million—fiscal year ended June 30, 2023).</w:t>
        <w:br/>
        <w:br/>
        <w:br/>
        <w:t>NOTE K—PENSION AND OTHER POSTRETIREMENT BENEFITS</w:t>
        <w:br/>
        <w:t>IBRD, IFC and MIGA participate in the defined benefit Staff Retirement Plan (SRP), a Retired Staff</w:t>
        <w:br/>
        <w:t>Benefits Plan (RSBP) and PEBP (collectively "the Pension Plans") that cover substantially all of their staff</w:t>
        <w:br/>
        <w:t>members.</w:t>
        <w:br/>
        <w:t>The SRP provides pension benefits and includes a cash balance plan. The RSBP provides certain health</w:t>
        <w:br/>
        <w:t>and life insurance benefits to eligible retirees. The PEBP provides certain pension benefits administered</w:t>
        <w:br/>
        <w:t>outside the SRP.</w:t>
        <w:br/>
        <w:t>IBRD uses a June 30th measurement date for its pension and other postretirement benefit plans.</w:t>
        <w:br/>
        <w:t>All costs, assets and liabilities associated with these plans are allocated between IBRD, IFC, and MIGA</w:t>
        <w:br/>
        <w:t>based upon their employees’ respective participation in the Pension Plans. Costs allocated to IBRD are</w:t>
        <w:br/>
        <w:t>then shared between IBRD and IDA based on an agreed cost-sharing methodology. IDA, IFC and MIGA</w:t>
        <w:br/>
        <w:t>reimburse IBRD for their proportionate share of any contributions made to these plans by IBRD.</w:t>
        <w:br/>
        <w:t>Contributions to the Pension Plans are calculated as a percentage of salary.</w:t>
        <w:br/>
        <w:br/>
        <w:br/>
        <w:t>136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the benefit costs associated with the SRP, RSBP, and PEBP for IBRD</w:t>
        <w:br/>
        <w:t>and IDA:</w:t>
        <w:br/>
        <w:t>Table K1: Pension Plan benefit costs</w:t>
        <w:br/>
        <w:t>In millions of U.S. dollars</w:t>
        <w:br/>
        <w:t xml:space="preserve">                                              SRP                                      RSBP                                   PEBP</w:t>
        <w:br/>
        <w:t xml:space="preserve">                                2025          2024          2023           2025        2024        2023        2025           2024             2023</w:t>
        <w:br/>
        <w:t>Service cost                  $    424      $    401      $   511        $   111     $   112     $   139     $    77        $    82        $      93</w:t>
        <w:br/>
        <w:t>Interest cost                    1,152         1,011          944            180         162         162         110             99               92</w:t>
        <w:br/>
        <w:t>Expected return on plan</w:t>
        <w:br/>
        <w:t xml:space="preserve">  assets                          (1,492)       (1,377)       (1,386)        (266)       (243)       (238)          —              —              —</w:t>
        <w:br/>
        <w:t>Amortization of</w:t>
        <w:br/>
        <w:t xml:space="preserve">  unrecognized prior</w:t>
        <w:br/>
        <w:t xml:space="preserve">  service costs a                      3             3             3            2           2          14               3              3              3</w:t>
        <w:br/>
        <w:t>Amortization of</w:t>
        <w:br/>
        <w:t xml:space="preserve">  unrecognized net</w:t>
        <w:br/>
        <w:t xml:space="preserve">  actuarial (gains)</w:t>
        <w:br/>
        <w:t xml:space="preserve">  losses a                            —             —             —          (64)         (67)       (28)           —              —              —</w:t>
        <w:br/>
        <w:t>Net periodic pension</w:t>
        <w:br/>
        <w:t>cost                          $       87    $       38    $       72     $   (37)    $   (34)    $     49    $     190      $     184      $     188</w:t>
        <w:br/>
        <w:t xml:space="preserve">  of which:</w:t>
        <w:br/>
        <w:t xml:space="preserve">     IBRD’s share             $       41    $       18    $       34     $   (18)    $   (16)    $     23    $     89 $            88      $      89</w:t>
        <w:br/>
        <w:t xml:space="preserve">     IDA’s share                      46            20            38         (19)        (18)          26          101             96             99</w:t>
        <w:br/>
        <w:br/>
        <w:br/>
        <w:t xml:space="preserve">                                                                                                                 2025           2024           2023</w:t>
        <w:br/>
        <w:t>Net periodic pension cost (all three plans combined)</w:t>
        <w:br/>
        <w:t xml:space="preserve">     IBRD’s share                                                                                            $     112      $      90      $     146</w:t>
        <w:br/>
        <w:t xml:space="preserve">     IDA’s share                                                                                                   128             98            163</w:t>
        <w:br/>
        <w:br/>
        <w:br/>
        <w:t>a. Included in Amounts reclassified into net income in Note I—Accumulated Other Comprehensive Income.</w:t>
        <w:br/>
        <w:br/>
        <w:t>IDA’s share of benefit costs is included as a payable to/receivable from IDA in Other liabilities – Accounts</w:t>
        <w:br/>
        <w:t>payable and miscellaneous liabilities on the Balance Sheets (see Note H—Transactions with Affiliated</w:t>
        <w:br/>
        <w:t>Organizations).</w:t>
        <w:br/>
        <w:t>The components of net periodic pension cost, other than the service cost component, are included in the</w:t>
        <w:br/>
        <w:t>Non-interest expenses – Other line item in the Statements of Income. The service cost component is</w:t>
        <w:br/>
        <w:t>included in the line item Non-interest expenses – Administrative expenses.</w:t>
        <w:br/>
        <w:br/>
        <w:br/>
        <w:t xml:space="preserve">                                                                        IBRD FINANCIAL STATEMENTS: June 30, 2025                                  137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provides details of the Pension service cost:</w:t>
        <w:br/>
        <w:t>Table K2: Pension service cost</w:t>
        <w:br/>
        <w:t>In millions of U.S. dollars</w:t>
        <w:br/>
        <w:t xml:space="preserve">                                                                               2025</w:t>
        <w:br/>
        <w:t xml:space="preserve">                                                             SRP        RSBP          PEBP       Total</w:t>
        <w:br/>
        <w:t>Service cost                                             $    424   $    111     $      77   $    612</w:t>
        <w:br/>
        <w:t xml:space="preserve">  Of which:</w:t>
        <w:br/>
        <w:t xml:space="preserve">     IBRD’s share                                        $    199   $     52     $      36   $    287</w:t>
        <w:br/>
        <w:t xml:space="preserve">     IDA’s share                                              225         59            41        325</w:t>
        <w:br/>
        <w:br/>
        <w:t>In millions of U.S. dollars</w:t>
        <w:br/>
        <w:t xml:space="preserve">                                                                               2024</w:t>
        <w:br/>
        <w:t xml:space="preserve">                                                             SRP        RSBP          PEBP       Total</w:t>
        <w:br/>
        <w:t>Service cost                                             $    401   $    112     $      82   $    595</w:t>
        <w:br/>
        <w:t xml:space="preserve">  Of which:</w:t>
        <w:br/>
        <w:t xml:space="preserve">     IBRD’s share                                        $    191   $     53     $      40   $    284</w:t>
        <w:br/>
        <w:t xml:space="preserve">     IDA’s share                                              210         59            42        311</w:t>
        <w:br/>
        <w:br/>
        <w:t>In millions of U.S. dollars</w:t>
        <w:br/>
        <w:t xml:space="preserve">                                                                               2023</w:t>
        <w:br/>
        <w:t xml:space="preserve">                                                             SRP        RSBP          PEBP       Total</w:t>
        <w:br/>
        <w:t>Service cost                                             $    511   $    139     $      93   $    743</w:t>
        <w:br/>
        <w:t xml:space="preserve">  Of which:</w:t>
        <w:br/>
        <w:t xml:space="preserve">     IBRD’s share                                        $    241   $     66     $      44   $    351</w:t>
        <w:br/>
        <w:t xml:space="preserve">     IDA’s share                                              270         73            49        392</w:t>
        <w:br/>
        <w:br/>
        <w:br/>
        <w:t>138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the Projected Benefit Obligations (PBO), fair value of plan assets, and</w:t>
        <w:br/>
        <w:t>funded status associated with the SRP, RSBP, and PEBP for IBRD and IDA. The SRP and RSBP assets</w:t>
        <w:br/>
        <w:t>are held in separate trusts and the PEBP assets are included in IBRD's investment portfolio. The assets</w:t>
        <w:br/>
        <w:t>of the PEBP are mostly invested in fixed income, equity instruments and other fund investments.</w:t>
        <w:br/>
        <w:t>Table K3: PBO, funded status and accumulated benefit obligations</w:t>
        <w:br/>
        <w:t>In millions of U.S. dollars</w:t>
        <w:br/>
        <w:t xml:space="preserve">                                                  SRP                          RSBP                                      PEBP</w:t>
        <w:br/>
        <w:t xml:space="preserve">                                       2025             2024           2025                   2024                2025           2024</w:t>
        <w:br/>
        <w:t>Projected Benefit Obligations</w:t>
        <w:br/>
        <w:t xml:space="preserve">  Beginning of year                $     22,166     $   21,208     $       3,408      $         3,341     $         2,097    $     2,057</w:t>
        <w:br/>
        <w:t xml:space="preserve">  Service cost                              424            401               111                  112                  77             82</w:t>
        <w:br/>
        <w:t xml:space="preserve">  Interest cost                           1,152          1,011               180                  162                 110             99</w:t>
        <w:br/>
        <w:t xml:space="preserve">  Participant contributions                 193            181                34                   33                   5              4</w:t>
        <w:br/>
        <w:t xml:space="preserve">  Benefits paid                          (1,073)          (961)             (126)                (117)                (58)           (57)</w:t>
        <w:br/>
        <w:t xml:space="preserve">  Actuarial loss (gain)                  (1,307)           326              (882)                (123)               (161)           (88)</w:t>
        <w:br/>
        <w:t xml:space="preserve">  End of year                            21,555         22,166             2,725                3,408               2,070          2,097</w:t>
        <w:br/>
        <w:t>Fair value of plan assets</w:t>
        <w:br/>
        <w:t xml:space="preserve">  Beginning of year                      25,689          24,565            4,540                4,281</w:t>
        <w:br/>
        <w:t xml:space="preserve">  Participant contributions                 193             181               34                   33</w:t>
        <w:br/>
        <w:t xml:space="preserve">  Actual return on assets                 2,454           1,749              438                  303</w:t>
        <w:br/>
        <w:t xml:space="preserve">  Employer contributions                    137             155               35                   40</w:t>
        <w:br/>
        <w:t xml:space="preserve">  Benefits paid                          (1,073)           (961)            (126)                (117)</w:t>
        <w:br/>
        <w:t xml:space="preserve">  End of year                            27,400          25,689            4,921                4,540</w:t>
        <w:br/>
        <w:t>Funded Status-Over (Under) a       $      5,845     $     3,523    $       2,196      $         1,132     $        (2,070)   $    (2,097)</w:t>
        <w:br/>
        <w:t>Accumulated Benefit</w:t>
        <w:br/>
        <w:t>Obligations                        $     20,506     $    20,968    $       2,725      $         3,408     $        1,925     $    1,931</w:t>
        <w:br/>
        <w:br/>
        <w:br/>
        <w:t>a. Over-Funded status is included in Other Assets – Assets under retirement benefits plans on the Balance Sheets and Under -</w:t>
        <w:br/>
        <w:t xml:space="preserve">   Funded status Other liabilities – Liabilities under retirement benefits plans on the Balance Sheets.</w:t>
        <w:br/>
        <w:br/>
        <w:t>As of June 30, 2025, the SRP and RSBP were overfunded by $5,845 million and $2,196 million,</w:t>
        <w:br/>
        <w:t>respectively. The PEBP, after reflecting IBRD and IDA’s share of assets which totals $2,359 million, within</w:t>
        <w:br/>
        <w:t>IBRD’s investment portfolio, was overfunded by $289 million.</w:t>
        <w:br/>
        <w:t>During the fiscal years ended June 30, 2025 and June 30, 2024, there were no amendments made to the</w:t>
        <w:br/>
        <w:t>retirement benefit plans.</w:t>
        <w:br/>
        <w:t>The following tables present the amounts included in Accumulated Other Comprehensive Income/Loss</w:t>
        <w:br/>
        <w:t>relating to Pension and Other Postretirement Benefits:</w:t>
        <w:br/>
        <w:t>Table K4: Amounts included in Accumulated Other Comprehensive Income as of June 30, 2025</w:t>
        <w:br/>
        <w:t>In millions of U.S. dollars</w:t>
        <w:br/>
        <w:t xml:space="preserve">                                                                           SRP                 RSBP               PEBP           Total</w:t>
        <w:br/>
        <w:t>Net actuarial (gains)                                                  $   (4,491)        $     (2,424)       $     (246)    $   (7,161)</w:t>
        <w:br/>
        <w:t>Prior service cost                                                             —                     7                —                7</w:t>
        <w:br/>
        <w:t xml:space="preserve">  Net amount recognized in Accumulated Other Comprehensive</w:t>
        <w:br/>
        <w:t xml:space="preserve">  Income                                                               $    (4,491)       $     (2,417)       $      (246)   $   (7,154)</w:t>
        <w:br/>
        <w:br/>
        <w:br/>
        <w:t xml:space="preserve">                                                         IBRD FINANCIAL STATEMENTS: June 30, 2025                                    139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K4.1: Amounts included in Accumulated Other Comprehensive Income as of June 30, 2024</w:t>
        <w:br/>
        <w:t>In millions of U.S. dollars</w:t>
        <w:br/>
        <w:t xml:space="preserve">                                                                       SRP           RSBP           PEBP           Total</w:t>
        <w:br/>
        <w:t>Net actuarial (gains)                                              $   (2,222)   $    (1,434)   $      (85)    $   (3,741)</w:t>
        <w:br/>
        <w:t>Prior service cost                                                          3              9              3            15</w:t>
        <w:br/>
        <w:t xml:space="preserve">  Net amount recognized in Accumulated Other Comprehensive</w:t>
        <w:br/>
        <w:t xml:space="preserve">  Income                                                           $   (2,219)   $   (1,425)    $      (82)    $   (3,726)</w:t>
        <w:br/>
        <w:br/>
        <w:br/>
        <w:t>Assumptions</w:t>
        <w:br/>
        <w:t>The actuarial assumptions used are based on financial market interest rates, inflation expectations, past</w:t>
        <w:br/>
        <w:t>experience, and Management’s best estimate of future benefit changes and economic conditions.</w:t>
        <w:br/>
        <w:t>Changes in these assumptions will impact future benefit costs and obligations.</w:t>
        <w:br/>
        <w:t>The expected long-term rate of return for the SRP assets is a weighted average of the expected long-term</w:t>
        <w:br/>
        <w:t>(10 years or more) returns for the various asset classes, weighted by the portfolio allocation. Asset class</w:t>
        <w:br/>
        <w:t>returns are developed using a forward-looking building block approach. Equity returns are generally</w:t>
        <w:br/>
        <w:t>developed as the sum of expected inflation, expected real earnings growth and expected long-term</w:t>
        <w:br/>
        <w:t>dividend yield. Bond returns are generally developed as the sum of expected inflation, real bond yield,</w:t>
        <w:br/>
        <w:t>duration-adjusted change in yields and risk premium/spread (as appropriate). Other asset class returns</w:t>
        <w:br/>
        <w:t>are derived from their relationship to equity and bond markets. The expected long-term rate of return for</w:t>
        <w:br/>
        <w:t>the RSBP is computed using procedures similar to those used for the SRP. The discount rate used in</w:t>
        <w:br/>
        <w:t>determining the benefit obligation is selected by reference to the year-end yield of AA corporate bonds.</w:t>
        <w:br/>
        <w:t>Actuarial gains and losses occur when actual results are different from expected results. Amortization of</w:t>
        <w:br/>
        <w:t>these unrecognized gains and losses will be included in income if, at the beginning of the fiscal year, they</w:t>
        <w:br/>
        <w:t>exceed 10% of the greater of the projected benefit obligation or the market-related value of plan assets. If</w:t>
        <w:br/>
        <w:t>required, the unrecognized gains and losses are amortized over the expected average remaining service</w:t>
        <w:br/>
        <w:t>lives of the employee group.</w:t>
        <w:br/>
        <w:t>The following tables present the weighted-average assumptions used in determining the projected benefit</w:t>
        <w:br/>
        <w:t>obligations and the net periodic pension costs:</w:t>
        <w:br/>
        <w:t>Table K5: Weighted average assumptions used to determine projected benefit obligations</w:t>
        <w:br/>
        <w:t>In percent, except years</w:t>
        <w:br/>
        <w:t xml:space="preserve">                                                     SRP                     RSBP                          PEBP</w:t>
        <w:br/>
        <w:t xml:space="preserve">                                             2025          2024         2025      2024                2025      2024</w:t>
        <w:br/>
        <w:t>Discount rate                                 5.50          5.30          5.60     5.40                 5.50      5.30</w:t>
        <w:br/>
        <w:t>Rate of compensation increase                 4.80          5.20                                        4.80      5.20</w:t>
        <w:br/>
        <w:t>Health care growth rates</w:t>
        <w:br/>
        <w:t xml:space="preserve">   – at end of fiscal year                                               6.00        5.40</w:t>
        <w:br/>
        <w:t>Ultimate health care growth rate                                         4.00        4.40</w:t>
        <w:br/>
        <w:t>Year in which ultimate rate is reached                                   2033        2031</w:t>
        <w:br/>
        <w:t>Interest crediting rate                       5.00          5.40           n.a         n.a              5.00         5.40</w:t>
        <w:br/>
        <w:br/>
        <w:br/>
        <w:t>140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Table K6: Weighted average assumptions used to determine net periodic pension cost</w:t>
        <w:br/>
        <w:t>In percent, except years</w:t>
        <w:br/>
        <w:t xml:space="preserve">                                                SRP                   RSBP                   PEBP</w:t>
        <w:br/>
        <w:t xml:space="preserve">                                         2025   2024   2023   2025    2024    2023    2025   2024   2023</w:t>
        <w:br/>
        <w:t>Discount rate                            5.30   4.90   4.40   5.40    4.90    4.50    5.30   4.90   4.50</w:t>
        <w:br/>
        <w:t>Expected return on plan assets           5.90   5.70   5.90   5.90    5.70    5.90</w:t>
        <w:br/>
        <w:t>Rate of compensation increase            5.20   5.10   5.30                           5.20   5.10   5.30</w:t>
        <w:br/>
        <w:t>Health care growth rates</w:t>
        <w:br/>
        <w:t xml:space="preserve">   – at end of fiscal year                                    5.40    5.40    5.80</w:t>
        <w:br/>
        <w:t>Ultimate health care growth rate                              4.40    4.20    4.40</w:t>
        <w:br/>
        <w:t>Year in which ultimate rate is reached                        2031    2031    2031</w:t>
        <w:br/>
        <w:t>Interest crediting rate                  5.40   5.20   5.40     n.a     n.a     n.a   5.40   5.20   5.40</w:t>
        <w:br/>
        <w:br/>
        <w:t>The medical cost trend rate can significantly affect the reported postretirement benefit income or costs</w:t>
        <w:br/>
        <w:t>and benefit obligations for the RSBP. For the fiscal year ended June 30, 2025, the net actuarial gains</w:t>
        <w:br/>
        <w:t>were primarily attributable to the decrease in the expected inflation assumption and an increase in the</w:t>
        <w:br/>
        <w:t>nominal discount rate, offset by changes in demographic experience. In addition, there was an increase in</w:t>
        <w:br/>
        <w:t>the value of the plan assets that exceeded the expected asset returns. For the fiscal year ended June 30,</w:t>
        <w:br/>
        <w:t>2024, the actuarial gains were primarily due to an increase in the value of the plan assets in excess of</w:t>
        <w:br/>
        <w:t>expected asset returns which was partially offset by the actuarial losses attributable to the increase in</w:t>
        <w:br/>
        <w:t>inflation assumptions and demographic experience.</w:t>
        <w:br/>
        <w:t>Investment Strategy</w:t>
        <w:br/>
        <w:t>The investment policies establish the framework for investment of the plan assets based on long-term</w:t>
        <w:br/>
        <w:t>investment objectives and the trade-offs inherent in seeking adequate investment returns within</w:t>
        <w:br/>
        <w:t>acceptable risk parameters. A key component of the investment policy is to establish a Strategic Asset</w:t>
        <w:br/>
        <w:t>Allocation (SAA) representing the policy portfolio (i.e., policy mix of assets) around which the SRP and</w:t>
        <w:br/>
        <w:t>RSBP (the Plans) are invested. The SAA is derived using a mix of quantitative analysis that incorporates</w:t>
        <w:br/>
        <w:t>expected returns and volatilities by asset class as well as correlations across the asset classes, and</w:t>
        <w:br/>
        <w:t>qualitative considerations such as the liquidity needs of the Plans. The SAA for the Plans is reviewed in</w:t>
        <w:br/>
        <w:t>detail and reset about every three to five years, with more frequent reviews and changes if and as needed</w:t>
        <w:br/>
        <w:t>based on market conditions.</w:t>
        <w:br/>
        <w:t>The key long-term objective is to generate asset performance that is reasonable in relation to the growth</w:t>
        <w:br/>
        <w:t>rate of the underlying liabilities and the assumed sponsor contribution rates, without taking undue risks.</w:t>
        <w:br/>
        <w:t>Given the relatively long investment horizons of the SRP and RSBP, and the relatively modest liquidity</w:t>
        <w:br/>
        <w:t>needs over the short-term to pay benefits and meet other cash requirements, the focus of the investment</w:t>
        <w:br/>
        <w:t>strategy is on generating sustainable long-term investment returns through a globally diversified set of</w:t>
        <w:br/>
        <w:t>strategies including fixed income, public and private equity and real assets. The last SAA review effective</w:t>
        <w:br/>
        <w:t>July 1, 2024 resulted in an increased allocation to Credit Strategies from 6% to 7% and Real Assets from</w:t>
        <w:br/>
        <w:t>13% to 15% while reducing the Public Equities allocation from 31% to 29% and Market Neutral Hedge</w:t>
        <w:br/>
        <w:t>Funds from 10% to 9%.</w:t>
        <w:br/>
        <w:br/>
        <w:br/>
        <w:t xml:space="preserve">                                                   IBRD FINANCIAL STATEMENTS: June 30, 2025           141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presents the policy asset allocation and the actual asset allocations by asset category</w:t>
        <w:br/>
        <w:t>for the SRP and RSBP:</w:t>
        <w:br/>
        <w:t>Table K7: Policy and actual asset allocations</w:t>
        <w:br/>
        <w:t xml:space="preserve">                                                     SRP                                                RSBP</w:t>
        <w:br/>
        <w:t xml:space="preserve">                                   Policy allocation  Actual Allocation (%)           Policy allocation    Actual Allocation (%)</w:t>
        <w:br/>
        <w:t>Asset class                           2025 (%)         2025         2024                 2025 (%)           2025         2024</w:t>
        <w:br/>
        <w:t>Fixed income and Cash                     20             19           19                     20               20           19</w:t>
        <w:br/>
        <w:t>Credit Strategies                           7             8            8                       7               7            8</w:t>
        <w:br/>
        <w:t>Public equity                             29             25           22                     29               25           23</w:t>
        <w:br/>
        <w:t>Private equity                            20             24           27                     20               23           26</w:t>
        <w:br/>
        <w:t>Market neutral hedge funds                  9             9           9                        9               9           8</w:t>
        <w:br/>
        <w:t>Real assets a                             15             14           14                     15               15           15</w:t>
        <w:br/>
        <w:t>Other b                                   —               1            1                     —                 1            1</w:t>
        <w:br/>
        <w:t>Total                                    100            100          100                    100              100          100</w:t>
        <w:br/>
        <w:br/>
        <w:br/>
        <w:t>a. Includes public and private real estate, infrastructure and timber.</w:t>
        <w:br/>
        <w:t>b. Includes authorized investments that are outside the policy allocations primarily in hedge funds.</w:t>
        <w:br/>
        <w:br/>
        <w:t>Significant Concentrations of Risk in Plan Assets</w:t>
        <w:br/>
        <w:t>The assets of the SRP and RSBP are diversified across a variety of asset classes. Investments in these</w:t>
        <w:br/>
        <w:t>asset classes are further diversified across funds, managers, strategies, geographies and sectors, to limit</w:t>
        <w:br/>
        <w:t>the impact of any individual investment. In spite of such level of diversification, equity market risk remains</w:t>
        <w:br/>
        <w:t>the primary source of the overall return volatility of the Plans. As of June 30, 2025, the largest exposure to</w:t>
        <w:br/>
        <w:t>a single counterparty was 12% and 13% of the plan assets in SRP and RSBP, respectively (10% and</w:t>
        <w:br/>
        <w:t>12%, respectively—June 30, 2024).</w:t>
        <w:br/>
        <w:t>Risk Management Practices</w:t>
        <w:br/>
        <w:t>Managing investment risk is an integral part of managing the assets of the Plans. Asset diversification is</w:t>
        <w:br/>
        <w:t>central to the overall investment strategy and risk management approach for the Plans. Absolute risk</w:t>
        <w:br/>
        <w:t>indicators such as the overall return volatility and drawdown of the Plans are the primary measures used</w:t>
        <w:br/>
        <w:t>to define the risk tolerance level and establish the overall level of investment risk. In addition, the level of</w:t>
        <w:br/>
        <w:t>active risk (defined as the annualized standard deviation of portfolio returns relative to those of the policy</w:t>
        <w:br/>
        <w:t>portfolio) is closely monitored and managed on an ongoing basis.</w:t>
        <w:br/>
        <w:t>Market risk is regularly monitored at the absolute level, as well as at the relative levels with respect to the</w:t>
        <w:br/>
        <w:t>investment policy, manager benchmarks, and liabilities of the Plans. Stress tests are performed</w:t>
        <w:br/>
        <w:t>periodically using relevant market scenarios to assess the impact of extreme market events.</w:t>
        <w:br/>
        <w:t>Monitoring of performance (at both manager and asset class levels) against benchmarks, and compliance</w:t>
        <w:br/>
        <w:t>with investment guidelines, are carried out on a regular basis which provides helpful information for</w:t>
        <w:br/>
        <w:t>assessing the impact on the portfolios caused by market risk factors. Risk management for different asset</w:t>
        <w:br/>
        <w:t>classes is tailored to their specific characteristics and is an integral part of the external managers’ due</w:t>
        <w:br/>
        <w:t>diligence and monitoring processes.</w:t>
        <w:br/>
        <w:t>Credit risk is monitored on a regular basis and assessed for possible credit event impacts. The liquidity</w:t>
        <w:br/>
        <w:t>position of the Plans is analyzed at regular intervals and periodically tested using various stress scenarios</w:t>
        <w:br/>
        <w:t>to ensure that the Plans have sufficient liquidity to meet all cash flow requirements. In addition, the long-</w:t>
        <w:br/>
        <w:t>term cash flow needs of the Plans are considered during the SAA exercise and are one of the main</w:t>
        <w:br/>
        <w:t>drivers in determining maximum allocation to the illiquid investment vehicles.</w:t>
        <w:br/>
        <w:br/>
        <w:br/>
        <w:t>142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Fair Value Measurements and Disclosures</w:t>
        <w:br/>
        <w:t>All plan assets are measured at fair value on a recurring basis. The following tables present the fair value</w:t>
        <w:br/>
        <w:t>hierarchy of major categories of plan assets:</w:t>
        <w:br/>
        <w:t>Table K8: Plan assets fair value hierarchy</w:t>
        <w:br/>
        <w:t>In millions of U.S. dollars</w:t>
        <w:br/>
        <w:t xml:space="preserve">                                                                                                June 30, 2025</w:t>
        <w:br/>
        <w:t xml:space="preserve">                                                                          SRP                                                    RSBP</w:t>
        <w:br/>
        <w:t xml:space="preserve">                                                  Level 1       Level 2         Level 3       Total        Level 1        Level 2    Level 3       Total</w:t>
        <w:br/>
        <w:t>Debt securities</w:t>
        <w:br/>
        <w:t xml:space="preserve">   Short-term investments                     $         9   $         8     $        —    $      17    $          4   $        4   $      —    $           8</w:t>
        <w:br/>
        <w:t xml:space="preserve">   Securities purchased under resale</w:t>
        <w:br/>
        <w:t xml:space="preserve">    agreements                                       150             —               —          150              35            —          —            35</w:t>
        <w:br/>
        <w:t xml:space="preserve">   Government and agency securities                 3,434           461              —        3,895             666           94          —           760</w:t>
        <w:br/>
        <w:t xml:space="preserve">   Corporate and convertible bonds                     —            385              —          385              —            73          —            73</w:t>
        <w:br/>
        <w:t xml:space="preserve">   ABS                                                 —            199              —          199              —            37          —            37</w:t>
        <w:br/>
        <w:t xml:space="preserve">   MBS                                                 —            618              —          618              —           106          —           106</w:t>
        <w:br/>
        <w:t>Total debt securities                               3,593         1,671              —        5,264             705          314          —         1,019</w:t>
        <w:br/>
        <w:t>Equity securities</w:t>
        <w:br/>
        <w:t xml:space="preserve">   Stocks                                           2,607            —               —        2,607             485            —          —          485</w:t>
        <w:br/>
        <w:t xml:space="preserve">   Real estate investment trusts (REITs)              184            —               —          184              27            —          —           27</w:t>
        <w:br/>
        <w:t>Total equity securities                             2,791            —               —        2,791             512            —          —          512</w:t>
        <w:br/>
        <w:t>Other funds at NAV a</w:t>
        <w:br/>
        <w:t xml:space="preserve">   Commingled funds                                    —             —               —        4,365              —             —          —           746</w:t>
        <w:br/>
        <w:t xml:space="preserve">   Private equity funds                                —             —               —        6,459              —             —          —         1,126</w:t>
        <w:br/>
        <w:t xml:space="preserve">   Private credit funds                                —             —               —        2,072              —             —          —           352</w:t>
        <w:br/>
        <w:t xml:space="preserve">   Real asset funds (including infrastructure</w:t>
        <w:br/>
        <w:t xml:space="preserve">    and timber)                                        —             —               —        3,680              —             —          —          703</w:t>
        <w:br/>
        <w:t xml:space="preserve">   Hedge funds                                         —              —              —       2,590              —             —           —           444</w:t>
        <w:br/>
        <w:t>Total other funds                                      —              —              —      19,166              —             —           —         3,371</w:t>
        <w:br/>
        <w:t>Derivative assets/liabilities                           8            (1)             —           7               3            —           —            3</w:t>
        <w:br/>
        <w:t>Other assets/liabilities, net b                        —              —              —         172              —             —           —            16</w:t>
        <w:br/>
        <w:t>Total assets                                  $     6,392   $     1,670     $        —    $ 27,400     $     1,220    $      314   $      —    $    4,921</w:t>
        <w:br/>
        <w:br/>
        <w:t>a. Investments measured at fair value using NAV as a practical expedient have not been included under the fair value hierarchy.</w:t>
        <w:br/>
        <w:t>b. Includes receivables and payables carried at amounts that approximate fair value.</w:t>
        <w:br/>
        <w:br/>
        <w:br/>
        <w:t xml:space="preserve">                                                                      IBRD FINANCIAL STATEMENTS: June 30, 2025                                         143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K8.1</w:t>
        <w:br/>
        <w:t>In millions of U.S. dollars</w:t>
        <w:br/>
        <w:t xml:space="preserve">                                                                                                  June 30, 2024</w:t>
        <w:br/>
        <w:t xml:space="preserve">                                                                            SRP                                                   RSBP</w:t>
        <w:br/>
        <w:t xml:space="preserve">                                                    Level 1       Level 2         Level 3       Total        Level 1        Level 2       Level 3       Total</w:t>
        <w:br/>
        <w:t>Debt securities</w:t>
        <w:br/>
        <w:t xml:space="preserve">   Short-term investments                       $        11   $        37     $        —    $       48   $          5   $         8   $        —    $       13</w:t>
        <w:br/>
        <w:t xml:space="preserve">   Securities purchased under resale</w:t>
        <w:br/>
        <w:t xml:space="preserve">    agreements                                          218            —               —           218             37            —             —            37</w:t>
        <w:br/>
        <w:t xml:space="preserve">   Government and agency securities                   2,515           273              —         2,788            540            48            —           588</w:t>
        <w:br/>
        <w:t xml:space="preserve">   Corporate and convertible bonds                       —            366              —           366             —             71            —            71</w:t>
        <w:br/>
        <w:t xml:space="preserve">   ABS                                                   —            165              —           165             —             35            —            35</w:t>
        <w:br/>
        <w:t xml:space="preserve">   MBS                                                   —            410              —           410             —             78            —            78</w:t>
        <w:br/>
        <w:t>Total debt securities                                 2,744         1,251              —         3,995            582           240            —           822</w:t>
        <w:br/>
        <w:t>Equity securities</w:t>
        <w:br/>
        <w:t xml:space="preserve">   Stocks                                             2,680            —               —         2,680            423            —             —           423</w:t>
        <w:br/>
        <w:t xml:space="preserve">   Real estate investment trusts (REITs)                176            —               —           176             26            —             —            26</w:t>
        <w:br/>
        <w:t>Total equity securities                               2,856            —               —         2,856            449            —             —           449</w:t>
        <w:br/>
        <w:t>Other funds at NAV a</w:t>
        <w:br/>
        <w:t xml:space="preserve">   Commingled funds                                      —             —               —         3,729             —             —             —           651</w:t>
        <w:br/>
        <w:t xml:space="preserve">   Private equity funds                                  —             —               —         6,935             —             —             —         1,160</w:t>
        <w:br/>
        <w:t xml:space="preserve">   Private credit funds                                  —             —               —         2,118             —             —             —           354</w:t>
        <w:br/>
        <w:t xml:space="preserve">   Real asset funds (including infrastructure</w:t>
        <w:br/>
        <w:t xml:space="preserve">     and timber)                                         —             —               —         3,423             —             —             —           653</w:t>
        <w:br/>
        <w:t xml:space="preserve">   Hedge funds                                           —             —               —         2,539             —             —             —           431</w:t>
        <w:br/>
        <w:t>Total other funds                                        —             —               —        18,744             —             —             —         3,249</w:t>
        <w:br/>
        <w:t>Derivative assets/liabilities                             9             2              —            11             1             —             —                1</w:t>
        <w:br/>
        <w:t>Other assets/liabilities, net b                          —             —               —            83             —             —             —            19</w:t>
        <w:br/>
        <w:t>Total assets                                    $     5,609   $     1,253     $        —    $ 25,689     $     1,032    $       240   $        —    $    4,540</w:t>
        <w:br/>
        <w:br/>
        <w:br/>
        <w:t>a. Investments measured at fair value using NAV as a practical expedient have not been included under the fair value hierarchy.</w:t>
        <w:br/>
        <w:t>b. Includes receivables and payables carried at amounts that approximate fair value.</w:t>
        <w:br/>
        <w:br/>
        <w:br/>
        <w:t>Valuation Methods and Assumptions</w:t>
        <w:br/>
        <w:t>The following are general descriptions of asset categories, as well as the valuation methodologies and</w:t>
        <w:br/>
        <w:t>inputs used to determine the fair value of each major category of plan assets. Investment amounts in the</w:t>
        <w:br/>
        <w:t>asset categories shown in the table above may be different from the asset category allocation shown in</w:t>
        <w:br/>
        <w:t>the Investment Strategy section of the note. Asset classes in the table above are grouped by the</w:t>
        <w:br/>
        <w:t>characteristics of the investments held. The asset class break-down in the Investment Strategy section is</w:t>
        <w:br/>
        <w:t>based on Management’s view of the economic exposures after considering the impact of derivatives and</w:t>
        <w:br/>
        <w:t>certain trading strategies.</w:t>
        <w:br/>
        <w:t>Debt securities</w:t>
        <w:br/>
        <w:t>Debt securities include discount notes, securities purchased under resale agreements, U.S. treasuries</w:t>
        <w:br/>
        <w:t>and agencies, debt obligations of foreign governments, sub-sovereigns and domestic and foreign</w:t>
        <w:br/>
        <w:t>corporations. Debt securities also include investments in ABS such as collateralized mortgage obligations</w:t>
        <w:br/>
        <w:t>and MBS. These securities are valued by independent pricing vendors either at quoted prices in active</w:t>
        <w:br/>
        <w:t>markets or valuation techniques incorporating observable market inputs such as dealer quotes, yield</w:t>
        <w:br/>
        <w:t>curves, interest rates, volatilities, foreign exchange rates, credit curves and other market data for the</w:t>
        <w:br/>
        <w:t>same or similar securities., Some debt securities require significant unobservable inputs, involving</w:t>
        <w:br/>
        <w:t>judgment in their valuation. Management believes its estimates of fair value are reasonable based on</w:t>
        <w:br/>
        <w:t>sourcing securities prices from multiple independent third-party vendors and periodic reviews over</w:t>
        <w:br/>
        <w:t>valuation. Money market instruments and securities purchased under resale agreements are reported at</w:t>
        <w:br/>
        <w:t>discounted face value which approximates fair value.</w:t>
        <w:br/>
        <w:br/>
        <w:br/>
        <w:t>144  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Equity securities</w:t>
        <w:br/>
        <w:t>Equity securities (including REITs) represent investments in entities in various industries and countries.</w:t>
        <w:br/>
        <w:t>Investments in public equity listed on securities exchanges are valued at the quoted closing price on the</w:t>
        <w:br/>
        <w:t>last business day of the reporting period.</w:t>
        <w:br/>
        <w:t>Commingled funds</w:t>
        <w:br/>
        <w:t>Commingled funds are typically collective investment vehicles, such as trusts that are reported at NAV as</w:t>
        <w:br/>
        <w:t>provided by the investment manager or sponsor of the fund based on the valuation of underlying</w:t>
        <w:br/>
        <w:t>investments.</w:t>
        <w:br/>
        <w:t>Private equity funds</w:t>
        <w:br/>
        <w:t>Private equity funds include investments primarily in buyout, venture, growth capital, and secondary funds</w:t>
        <w:br/>
        <w:t>across North America, Europe and Asia in a variety of sectors. Many of these funds are in the investment</w:t>
        <w:br/>
        <w:t>phase of their life-cycle. Private Equity investments do not have a readily determinable fair market value</w:t>
        <w:br/>
        <w:t>and are reported at NAV provided by the fund managers, taking into consideration the latest audited</w:t>
        <w:br/>
        <w:t>financial statements of the funds.</w:t>
        <w:br/>
        <w:br/>
        <w:t>Private credit funds</w:t>
        <w:br/>
        <w:t>Private credit funds include investments primarily in several direct lending funds that provide private</w:t>
        <w:br/>
        <w:t>financing to medium-sized companies, and funds focused on opportunistic credit, specialty financing and</w:t>
        <w:br/>
        <w:t>asset-based lending. The funds with these strategies offer attractive yields with downside protection</w:t>
        <w:br/>
        <w:t>compared to public credit markets. Many of these funds are in the investment phase of their life cycle.</w:t>
        <w:br/>
        <w:t>Private credit investments do not have a readily determinable fair value and are reported at NAV provided</w:t>
        <w:br/>
        <w:t>by the fund managers, taking into consideration the latest audited financial statements of the funds.</w:t>
        <w:br/>
        <w:br/>
        <w:t>Real asset funds (including real estate, infrastructure and timber)</w:t>
        <w:br/>
        <w:t>Real asset funds include investments in core real estate, non-core real estate investments (such as debt,</w:t>
        <w:br/>
        <w:t>value add, and opportunistic equity investments) and infrastructure. Real asset investments do not have a</w:t>
        <w:br/>
        <w:t>readily determinable fair market value and are reported at NAV provided by the fund managers, taking</w:t>
        <w:br/>
        <w:t>into consideration the latest audited financial statements of the funds.</w:t>
        <w:br/>
        <w:t>Hedge funds</w:t>
        <w:br/>
        <w:t>Hedge funds consist of investments in equity fundamental, equity quantitative, fixed income arbitrage,</w:t>
        <w:br/>
        <w:t>multi strategy, macro discretionary, macro quantitative, volatility arbitrage, and merger arbitrage</w:t>
        <w:br/>
        <w:t>strategies. These investments do not have a readily determinable fair market value and are reported at</w:t>
        <w:br/>
        <w:t>NAV provided by external managers or fund administrators (based on the valuations of underlying</w:t>
        <w:br/>
        <w:t>investments) monthly, taking into consideration the latest audited financial statements of the funds.</w:t>
        <w:br/>
        <w:br/>
        <w:t>Investments in hedge funds and commingled funds can typically be redeemed at NAV within the near</w:t>
        <w:br/>
        <w:t>term while investments in private equity and most real estate are inherently long term and illiquid in nature</w:t>
        <w:br/>
        <w:t>with a quarter lag in reporting by the fund managers. Since the reporting of those asset classes is done</w:t>
        <w:br/>
        <w:t>with a lag, management estimates are based on the latest available information considering underlying</w:t>
        <w:br/>
        <w:t>market fundamentals and significant events through the Balance Sheet date.</w:t>
        <w:br/>
        <w:t>Investment in derivatives</w:t>
        <w:br/>
        <w:t>Investment in derivatives such as equity or bond futures, swaps, options and currency forwards are used</w:t>
        <w:br/>
        <w:t>to achieve a variety of objectives that include hedging interest rates and currency risks, gaining desired</w:t>
        <w:br/>
        <w:t>market exposure of a security, an index or currency exposure and rebalancing the portfolio. Over-the-</w:t>
        <w:br/>
        <w:t>counter derivatives are reported using valuations based on discounted cash flow methods incorporating</w:t>
        <w:br/>
        <w:t>observable market inputs.</w:t>
        <w:br/>
        <w:br/>
        <w:br/>
        <w:t xml:space="preserve">                                                IBRD FINANCIAL STATEMENTS: June 30, 2025                145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Estimated Future Benefit Payments</w:t>
        <w:br/>
        <w:t>The following table shows the benefit payments expected to be paid in each of the next five years and</w:t>
        <w:br/>
        <w:t>subsequent five years. The expected benefit payments are based on the same assumptions used to</w:t>
        <w:br/>
        <w:t>measure the benefit obligation:</w:t>
        <w:br/>
        <w:t>Table K9: Expected benefit payments</w:t>
        <w:br/>
        <w:t>In millions of U.S. dollars</w:t>
        <w:br/>
        <w:t xml:space="preserve">                                                    SRP                 RSBP                  PEBP</w:t>
        <w:br/>
        <w:t>July 1, 2025 - June 30, 2026                $      1,166         $        92           $        87</w:t>
        <w:br/>
        <w:t>July 1, 2026 - June 30, 2027                       1,203                  99                    92</w:t>
        <w:br/>
        <w:t>July 1, 2027 - June 30, 2028                       1,246                 106                    98</w:t>
        <w:br/>
        <w:t>July 1, 2028 - June 30, 2029                       1,289                 113                   105</w:t>
        <w:br/>
        <w:t>July 1, 2029 - June 30, 2030                       1,335                 120                   112</w:t>
        <w:br/>
        <w:t>July 1, 2030 - June 30, 2035                       7,345                 713                   662</w:t>
        <w:br/>
        <w:br/>
        <w:br/>
        <w:t>Expected Contributions</w:t>
        <w:br/>
        <w:t>IBRD’s contribution to the SRP and RSBP varies from year to year, as determined by the Pension</w:t>
        <w:br/>
        <w:t>Finance Committee (PFC), which bases its judgment on the results of annual actuarial valuations of the</w:t>
        <w:br/>
        <w:t>assets and liabilities of the SRP and RSBP. The best estimate of the amount of contributions expected to</w:t>
        <w:br/>
        <w:t>be paid to the SRP and RSBP by IBRD and IDA during the fiscal year beginning July 1, 2025 is $140</w:t>
        <w:br/>
        <w:t>million and $26 million, respectively.</w:t>
        <w:br/>
        <w:br/>
        <w:br/>
        <w:t>NOTE L—TRUST FUNDS ADMINISTRATION AND OTHER SERVICES</w:t>
        <w:br/>
        <w:t>Trust Funds</w:t>
        <w:br/>
        <w:t>IBRD, alone or jointly with one or more of its affiliated organizations, administers on behalf of donors,</w:t>
        <w:br/>
        <w:t>including members, their agencies and other entities, funds restricted for specific uses in accordance with</w:t>
        <w:br/>
        <w:t>administration agreements with donors. Specified uses could include co-financing of IBRD lending</w:t>
        <w:br/>
        <w:t>projects, debt reduction operations, technical assistance including feasibility studies and project</w:t>
        <w:br/>
        <w:t>preparation, global and regional programs, and research and training programs. These funds are held in</w:t>
        <w:br/>
        <w:t>trust with IBRD and/or IDA, and are held in a separate investment portfolio which is not commingled with</w:t>
        <w:br/>
        <w:t>IBRD and/or IDA funds.</w:t>
        <w:br/>
        <w:t>Trust fund execution may be carried out in one of two ways: recipient-executed or Bank-executed</w:t>
        <w:br/>
        <w:t>activities.</w:t>
        <w:br/>
        <w:t>Recipient-executed activities for trust funds involve activities carried out by a recipient third-party</w:t>
        <w:br/>
        <w:t>executing agency. IBRD enters into agreements with and disburses funds to those recipients, who then</w:t>
        <w:br/>
        <w:t>exercise spending authority to meet the objectives and comply with terms stipulated in the agreements.</w:t>
        <w:br/>
        <w:t>Bank-executed activities for trust funds involve IBRD execution of activities as described in relevant</w:t>
        <w:br/>
        <w:t>administration agreements with donors, which define the terms and conditions for use of the funds.</w:t>
        <w:br/>
        <w:t>Spending authority is exercised by IBRD, under the terms of the administration agreements. The</w:t>
        <w:br/>
        <w:t>executing agency services provided by IBRD vary and include for example, activity preparation, analytical</w:t>
        <w:br/>
        <w:t>and advisory activities and project-related activities, including procurement of goods and services.</w:t>
        <w:br/>
        <w:br/>
        <w:br/>
        <w:t>146         IBRD FINANCIAL STATEMENTS: June 30, 2025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The following table summarizes the expenses pertaining to Bank-executed activities for trust funds:</w:t>
        <w:br/>
        <w:t>Table L1: Expenses for Bank-executed activities for trust funds</w:t>
        <w:br/>
        <w:t>In millions of U.S. dollars</w:t>
        <w:br/>
        <w:t xml:space="preserve">                                                                    2025           2024             2023</w:t>
        <w:br/>
        <w:t>Expenses for Bank-executed activities for trust funds           $    604     $      612       $      570</w:t>
        <w:br/>
        <w:br/>
        <w:br/>
        <w:t>These amounts are included in Administrative expenses and the corresponding revenue is included in</w:t>
        <w:br/>
        <w:t>Revenue from externally funded activities in the Statements of Income. Administrative expenses primarily</w:t>
        <w:br/>
        <w:t>relate to staff costs, travel and consultant fees.</w:t>
        <w:br/>
        <w:t>The following table summarizes all undisbursed contributions made by third party donors to Bank-</w:t>
        <w:br/>
        <w:t>executed activities for trust funds, recognized on the Balance Sheets:</w:t>
        <w:br/>
        <w:t>Table L2: Undisbursed contributions by third party donors to Bank-executed activities for trust</w:t>
        <w:br/>
        <w:t>funds</w:t>
        <w:br/>
        <w:t>In millions of U.S. dollars</w:t>
        <w:br/>
        <w:t xml:space="preserve">                                                                            2025                  2024</w:t>
        <w:br/>
        <w:t>Bank-executed activities for trust funds                              $      575          $        637</w:t>
        <w:br/>
        <w:br/>
        <w:br/>
        <w:t>These amounts are included in Other assets - Miscellaneous and the corresponding liabilities are</w:t>
        <w:br/>
        <w:t>included in Other liabilities – Accounts payable and miscellaneous liabilities on the Balance Sheets.</w:t>
        <w:br/>
        <w:t>Revenues</w:t>
        <w:br/>
        <w:t>IBRD’s revenues for the administration of trust fund operations were as follows:</w:t>
        <w:br/>
        <w:t>Table L3: Trust fund administration revenues</w:t>
        <w:br/>
        <w:t>In millions of U.S. dollars</w:t>
        <w:br/>
        <w:t xml:space="preserve">                                                                    2025           2024             2023</w:t>
        <w:br/>
        <w:t>Revenues                                                        $    91      $      99        $      62</w:t>
        <w:br/>
        <w:br/>
        <w:br/>
        <w:t>These amounts are included in Revenue from externally funded activities in the Statements of Income.</w:t>
        <w:br/>
        <w:t>Revenue collected from donor contributions for trust fund administration fees, but not yet earned by IBRD</w:t>
        <w:br/>
        <w:t>totaling $87 million as of June 30, 2025 ($101 million—June 30, 2024) is included in Other assets -</w:t>
        <w:br/>
        <w:t>Miscellaneous and in Other liabilities – Accounts payable and miscellaneous liabilities, respectively on the</w:t>
        <w:br/>
        <w:t>Balance Sheets.</w:t>
        <w:br/>
        <w:t>Investment Management Services</w:t>
        <w:br/>
        <w:t>IBRD offers treasury and investment management services to affiliated and non-affiliated organizations.</w:t>
        <w:br/>
        <w:t>In addition, IBRD offers asset management and technical advisory services to central banks of member</w:t>
        <w:br/>
        <w:t>countries, under the Reserves Advisory and Management Program, for capacity building and other</w:t>
        <w:br/>
        <w:t>development purposes, and receives a fee for these services.</w:t>
        <w:br/>
        <w:t>During the fiscal year ended June 30, 2025, IBRD's fee revenue from investment management activities</w:t>
        <w:br/>
        <w:t>totaled $18 million ($17 million –June 30, 2024 and $16 million – June 30, 2023) and is included in</w:t>
        <w:br/>
        <w:t>Revenue from externally funded activities in the Statements of Income.</w:t>
        <w:br/>
        <w:br/>
        <w:br/>
        <w:t xml:space="preserve">                                                        IBRD FINANCIAL STATEMENTS: June 30, 2025           147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NOTE M—SEGMENT REPORTING</w:t>
        <w:br/>
        <w:t>IBRD has determined that it has a single reportable operating segment. The President is the Chief</w:t>
        <w:br/>
        <w:t>Operating Decision Maker (CODM), who regularly reviews operational performance and financial</w:t>
        <w:br/>
        <w:t>measures of IBRD to assess performance and allocate resources.</w:t>
        <w:br/>
        <w:t>The Administrative budget for IBRD and IDA is approved and managed as a single resource. The CODM</w:t>
        <w:br/>
        <w:t>receives expense information on the combined basis for IBRD and IDA. As a result, no significant</w:t>
        <w:br/>
        <w:t>segment expense amounts are presented separately for IBRD to the CODM. The measure of segment</w:t>
        <w:br/>
        <w:t>profit or loss is at the entity level and is reported on the Statements of Income as Net (loss) income. The</w:t>
        <w:br/>
        <w:t>measure of segment assets is reported on the Balance Sheets as Total assets.</w:t>
        <w:br/>
        <w:t>The following table presents IBRD’s revenues by products/services:</w:t>
        <w:br/>
        <w:t>Table M1: Revenues by products/services</w:t>
        <w:br/>
        <w:t>In millions of U.S. dollars                                                               Fiscal Year Ended June 30,</w:t>
        <w:br/>
        <w:t>Revenue                                                                            2025             2024               2023</w:t>
        <w:br/>
        <w:br/>
        <w:t>Loan Revenue a                                                                $      14,431    $      14,712    $       10,279</w:t>
        <w:br/>
        <w:t>Revenue from externally funded activities                                               947              960               878</w:t>
        <w:br/>
        <w:t>Guarantee fees b                                                                         41               42                37</w:t>
        <w:br/>
        <w:t xml:space="preserve">    Total                                                                     $      15,419    $      15,714    $       11,194</w:t>
        <w:br/>
        <w:br/>
        <w:t>a. For the fiscal year ended June 30, 2025 includes commitment charges of $152 million ($149 million –June 30, 2024 and $124</w:t>
        <w:br/>
        <w:t xml:space="preserve">   million – June 30, 2023) and excludes interest from loan related derivatives of $1,022 million ($1,268 million –June 30, 2024</w:t>
        <w:br/>
        <w:t xml:space="preserve">   and $367 million – June 30, 2023)</w:t>
        <w:br/>
        <w:t>b. Included in Non-interest revenue-Other,net on the Statements of Income and excludes recoverable asset related to guarantees</w:t>
        <w:br/>
        <w:t xml:space="preserve">   received and other miscellaneous income of $129 million for the fiscal year ended June 30, 2025 (Nil –June 30, 2024 and $6</w:t>
        <w:br/>
        <w:t xml:space="preserve">   million – June 30, 2023)</w:t>
        <w:br/>
        <w:br/>
        <w:br/>
        <w:t>NOTE N—CONTINGENCIES</w:t>
        <w:br/>
        <w:t>From time to time, IBRD may be named as a defendant or co-defendant in legal actions on different</w:t>
        <w:br/>
        <w:t>grounds in various jurisdictions. The outcome of any existing legal action, in which IBRD has been named</w:t>
        <w:br/>
        <w:t>as a defendant or co-defendant, as of and for the fiscal year ended June 30, 2025, is not expected to</w:t>
        <w:br/>
        <w:t>have a material adverse effect on IBRD's financial position, results of operations or cash flows.</w:t>
        <w:br/>
        <w:br/>
        <w:br/>
        <w:t>148         IBRD FINANCIAL STATEMENTS: June 30, 2025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