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182"/>
        <w:ind w:left="0" w:right="0"/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48"/>
        </w:rPr>
        <w:t>International Development Association</w:t>
      </w:r>
    </w:p>
    <w:p>
      <w:pPr>
        <w:autoSpaceDN w:val="0"/>
        <w:autoSpaceDE w:val="0"/>
        <w:widowControl/>
        <w:spacing w:line="240" w:lineRule="auto" w:before="7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95500" cy="2181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181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696" w:lineRule="exact" w:before="440" w:after="0"/>
        <w:ind w:left="864" w:right="864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Management’s Discussion &amp; Analysis 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and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 Financial Statements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June 30, 2025</w:t>
      </w: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80"/>
      </w:tblGrid>
      <w:tr>
        <w:trPr>
          <w:trHeight w:hRule="exact" w:val="256"/>
        </w:trPr>
        <w:tc>
          <w:tcPr>
            <w:tcW w:type="dxa" w:w="3960"/>
            <w:tcBorders/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</w:tr>
    </w:tbl>
    <w:p>
      <w:pPr>
        <w:autoSpaceDN w:val="0"/>
        <w:autoSpaceDE w:val="0"/>
        <w:widowControl/>
        <w:spacing w:line="314" w:lineRule="exact" w:before="4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Contents</w:t>
      </w:r>
    </w:p>
    <w:p>
      <w:pPr>
        <w:autoSpaceDN w:val="0"/>
        <w:tabs>
          <w:tab w:pos="4658" w:val="left"/>
          <w:tab w:pos="9218" w:val="left"/>
        </w:tabs>
        <w:autoSpaceDE w:val="0"/>
        <w:widowControl/>
        <w:spacing w:line="178" w:lineRule="exact" w:before="21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Section I: Overview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IDA Replenishment </w:t>
      </w:r>
      <w:r>
        <w:rPr>
          <w:rFonts w:ascii="ArialMT" w:hAnsi="ArialMT" w:eastAsia="ArialMT"/>
          <w:b w:val="0"/>
          <w:i w:val="0"/>
          <w:color w:val="000000"/>
          <w:sz w:val="16"/>
        </w:rPr>
        <w:t>4</w:t>
      </w:r>
    </w:p>
    <w:p>
      <w:pPr>
        <w:autoSpaceDN w:val="0"/>
        <w:tabs>
          <w:tab w:pos="9218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Twentieth Replenishment of Resources (IDA20)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</w:t>
      </w:r>
    </w:p>
    <w:p>
      <w:pPr>
        <w:autoSpaceDN w:val="0"/>
        <w:tabs>
          <w:tab w:pos="9218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IDA Crisis Facility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</w:t>
      </w:r>
    </w:p>
    <w:p>
      <w:pPr>
        <w:autoSpaceDN w:val="0"/>
        <w:tabs>
          <w:tab w:pos="9218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Twenty-First Replenishment of Resources (IDA21)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</w:t>
      </w:r>
    </w:p>
    <w:p>
      <w:pPr>
        <w:autoSpaceDN w:val="0"/>
        <w:tabs>
          <w:tab w:pos="9218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Financial Business Model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</w:t>
      </w:r>
    </w:p>
    <w:p>
      <w:pPr>
        <w:autoSpaceDN w:val="0"/>
        <w:tabs>
          <w:tab w:pos="9218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Basis of Reporting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</w:t>
      </w:r>
    </w:p>
    <w:p>
      <w:pPr>
        <w:autoSpaceDN w:val="0"/>
        <w:tabs>
          <w:tab w:pos="4658" w:val="left"/>
          <w:tab w:pos="9218" w:val="left"/>
        </w:tabs>
        <w:autoSpaceDE w:val="0"/>
        <w:widowControl/>
        <w:spacing w:line="178" w:lineRule="exact" w:before="302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Section II: Executive Summary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Summary of Financial Results </w:t>
      </w:r>
      <w:r>
        <w:rPr>
          <w:rFonts w:ascii="ArialMT" w:hAnsi="ArialMT" w:eastAsia="ArialMT"/>
          <w:b w:val="0"/>
          <w:i w:val="0"/>
          <w:color w:val="000000"/>
          <w:sz w:val="16"/>
        </w:rPr>
        <w:t>8</w:t>
      </w:r>
    </w:p>
    <w:p>
      <w:pPr>
        <w:autoSpaceDN w:val="0"/>
        <w:tabs>
          <w:tab w:pos="4658" w:val="left"/>
          <w:tab w:pos="9130" w:val="left"/>
        </w:tabs>
        <w:autoSpaceDE w:val="0"/>
        <w:widowControl/>
        <w:spacing w:line="178" w:lineRule="exact" w:before="302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Section III: IDA's Financial Resources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IDA20 Funding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10</w:t>
      </w:r>
    </w:p>
    <w:p>
      <w:pPr>
        <w:autoSpaceDN w:val="0"/>
        <w:tabs>
          <w:tab w:pos="9142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IDA21 Funding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11</w:t>
      </w:r>
    </w:p>
    <w:p>
      <w:pPr>
        <w:autoSpaceDN w:val="0"/>
        <w:tabs>
          <w:tab w:pos="4658" w:val="left"/>
          <w:tab w:pos="9130" w:val="left"/>
        </w:tabs>
        <w:autoSpaceDE w:val="0"/>
        <w:widowControl/>
        <w:spacing w:line="178" w:lineRule="exact" w:before="302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Section IV: Financial Results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Financial Results and Portfolio Performance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17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302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Section V: Development Activities, Products and Programs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Lending Framework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28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Financial Terms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29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Loans, Grants and Guarantee Activity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31</w:t>
      </w:r>
    </w:p>
    <w:p>
      <w:pPr>
        <w:autoSpaceDN w:val="0"/>
        <w:tabs>
          <w:tab w:pos="4658" w:val="left"/>
          <w:tab w:pos="9130" w:val="left"/>
        </w:tabs>
        <w:autoSpaceDE w:val="0"/>
        <w:widowControl/>
        <w:spacing w:line="178" w:lineRule="exact" w:before="302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Section VI: Other Development Activities and Programs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Guarantees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34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Other Financial Products and Services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35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Grant Making Facilities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35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Debt Relief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35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Externally-Funded Activities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36</w:t>
      </w:r>
    </w:p>
    <w:p>
      <w:pPr>
        <w:autoSpaceDN w:val="0"/>
        <w:tabs>
          <w:tab w:pos="4658" w:val="left"/>
          <w:tab w:pos="9130" w:val="left"/>
        </w:tabs>
        <w:autoSpaceDE w:val="0"/>
        <w:widowControl/>
        <w:spacing w:line="178" w:lineRule="exact" w:before="348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Section VII: Investment Activities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Investments - Trading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38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Investments - Non-Trading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39</w:t>
      </w:r>
    </w:p>
    <w:p>
      <w:pPr>
        <w:autoSpaceDN w:val="0"/>
        <w:tabs>
          <w:tab w:pos="4658" w:val="left"/>
          <w:tab w:pos="9130" w:val="left"/>
        </w:tabs>
        <w:autoSpaceDE w:val="0"/>
        <w:widowControl/>
        <w:spacing w:line="178" w:lineRule="exact" w:before="302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Section VIII: Borrowing Activities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Market Debt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40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Concessional Partner Loans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40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Other Short-Term Borrowings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41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Contractual Obligations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41</w:t>
      </w:r>
    </w:p>
    <w:p>
      <w:pPr>
        <w:autoSpaceDN w:val="0"/>
        <w:tabs>
          <w:tab w:pos="4658" w:val="left"/>
          <w:tab w:pos="9130" w:val="left"/>
        </w:tabs>
        <w:autoSpaceDE w:val="0"/>
        <w:widowControl/>
        <w:spacing w:line="178" w:lineRule="exact" w:before="302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Section IX: Risk Management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Risk Governance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42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Risk Oversight and Coverage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42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Management of IDA's Risks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44</w:t>
      </w:r>
    </w:p>
    <w:p>
      <w:pPr>
        <w:autoSpaceDN w:val="0"/>
        <w:tabs>
          <w:tab w:pos="4658" w:val="left"/>
          <w:tab w:pos="9130" w:val="left"/>
        </w:tabs>
        <w:autoSpaceDE w:val="0"/>
        <w:widowControl/>
        <w:spacing w:line="178" w:lineRule="exact" w:before="302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Section X: Critical Accounting Policies and the Use of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Fair Value of Financial Instruments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58</w:t>
      </w:r>
    </w:p>
    <w:p>
      <w:pPr>
        <w:autoSpaceDN w:val="0"/>
        <w:tabs>
          <w:tab w:pos="4658" w:val="left"/>
          <w:tab w:pos="9130" w:val="left"/>
        </w:tabs>
        <w:autoSpaceDE w:val="0"/>
        <w:widowControl/>
        <w:spacing w:line="192" w:lineRule="exact" w:before="0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Estimates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Provision for Losses on Loans and Other Exposures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58</w:t>
      </w:r>
    </w:p>
    <w:p>
      <w:pPr>
        <w:autoSpaceDN w:val="0"/>
        <w:tabs>
          <w:tab w:pos="4658" w:val="left"/>
          <w:tab w:pos="9130" w:val="left"/>
        </w:tabs>
        <w:autoSpaceDE w:val="0"/>
        <w:widowControl/>
        <w:spacing w:line="178" w:lineRule="exact" w:before="302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Section XI: Governance and Internal Controls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Business Conduct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59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General Governance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59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Audit Committee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60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External Auditors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61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Senior Management Changes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61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46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Internal Controls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62</w:t>
      </w:r>
    </w:p>
    <w:p>
      <w:pPr>
        <w:autoSpaceDN w:val="0"/>
        <w:tabs>
          <w:tab w:pos="4658" w:val="left"/>
          <w:tab w:pos="9130" w:val="left"/>
        </w:tabs>
        <w:autoSpaceDE w:val="0"/>
        <w:widowControl/>
        <w:spacing w:line="178" w:lineRule="exact" w:before="37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Appendix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Glossary of Terms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63</w:t>
      </w:r>
    </w:p>
    <w:p>
      <w:pPr>
        <w:autoSpaceDN w:val="0"/>
        <w:tabs>
          <w:tab w:pos="9248" w:val="left"/>
        </w:tabs>
        <w:autoSpaceDE w:val="0"/>
        <w:widowControl/>
        <w:spacing w:line="224" w:lineRule="exact" w:before="1638" w:after="0"/>
        <w:ind w:left="348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</w:t>
      </w:r>
    </w:p>
    <w:p>
      <w:pPr>
        <w:sectPr>
          <w:pgSz w:w="12240" w:h="15840"/>
          <w:pgMar w:top="360" w:right="142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256"/>
        </w:trPr>
        <w:tc>
          <w:tcPr>
            <w:tcW w:type="dxa" w:w="3960"/>
            <w:tcBorders/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</w:tr>
    </w:tbl>
    <w:p>
      <w:pPr>
        <w:autoSpaceDN w:val="0"/>
        <w:autoSpaceDE w:val="0"/>
        <w:widowControl/>
        <w:spacing w:line="314" w:lineRule="exact" w:before="7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List of Tables, Figures and Boxes</w:t>
      </w:r>
    </w:p>
    <w:p>
      <w:pPr>
        <w:autoSpaceDN w:val="0"/>
        <w:autoSpaceDE w:val="0"/>
        <w:widowControl/>
        <w:spacing w:line="268" w:lineRule="exact" w:before="15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Tables</w:t>
      </w:r>
    </w:p>
    <w:p>
      <w:pPr>
        <w:autoSpaceDN w:val="0"/>
        <w:tabs>
          <w:tab w:pos="9218" w:val="left"/>
        </w:tabs>
        <w:autoSpaceDE w:val="0"/>
        <w:widowControl/>
        <w:spacing w:line="178" w:lineRule="exact" w:before="1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1: Selected Financial Data </w:t>
      </w:r>
      <w:r>
        <w:rPr>
          <w:rFonts w:ascii="ArialMT" w:hAnsi="ArialMT" w:eastAsia="ArialMT"/>
          <w:b w:val="0"/>
          <w:i w:val="0"/>
          <w:color w:val="000000"/>
          <w:sz w:val="16"/>
        </w:rPr>
        <w:t>7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2: IDA20 Uses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10</w:t>
      </w:r>
    </w:p>
    <w:p>
      <w:pPr>
        <w:autoSpaceDN w:val="0"/>
        <w:tabs>
          <w:tab w:pos="9142" w:val="left"/>
        </w:tabs>
        <w:autoSpaceDE w:val="0"/>
        <w:widowControl/>
        <w:spacing w:line="186" w:lineRule="exact" w:before="54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3: Cumulative Net Commitments under IDA20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11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4: Allocation of IDA21 resources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12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5: Condensed Balance Sheets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17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6: Change in Total Equity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17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7: Condensed Statements of Income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18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8: Statement of Adjusted Net Income (Non-GAAP Measure)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19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9: Reconciliation of Net Income to Adjusted Net Income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20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10: Net Non-Interest Expenses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25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11: Budget Anchor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12: Other Revenue (Expenses), Net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13: Unrealized Mark-to-Market Gains (Losses) on Non-trading Portfolios, Net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27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14: Net Commitments of Loans and Guarantees by Region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31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15: Net Commitments of Grants by Region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32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16: Gross Disbursements of Loans and Grants by Region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32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17: Revenue and Loan Balances by Product Category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33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18: Funds Held in Trust by IDA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37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19: Borrowings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40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20: Concessional Partner Loans Terms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40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21: Effect of Derivatives on Currency Composition of the Borrowing Portfolio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41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22: Medium- and Long-Term Borrowings Issued by Currency During the Year, Excluding Derivatives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41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23: Short-Term Borrowings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41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24: Deployable Strategic Capital Ratio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46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25: Commercial Credit Exposure, Net of Collateral Held, by Counterparty Rating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52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26: Effect of Credit on IDA's Portfolios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53</w:t>
      </w:r>
    </w:p>
    <w:p>
      <w:pPr>
        <w:autoSpaceDN w:val="0"/>
        <w:tabs>
          <w:tab w:pos="9130" w:val="left"/>
        </w:tabs>
        <w:autoSpaceDE w:val="0"/>
        <w:widowControl/>
        <w:spacing w:line="186" w:lineRule="exact" w:before="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27: Effect of Interest Rates on IDA's Portfolios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55</w:t>
      </w:r>
    </w:p>
    <w:p>
      <w:pPr>
        <w:autoSpaceDN w:val="0"/>
        <w:autoSpaceDE w:val="0"/>
        <w:widowControl/>
        <w:spacing w:line="268" w:lineRule="exact" w:before="14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Figures</w:t>
      </w:r>
    </w:p>
    <w:p>
      <w:pPr>
        <w:autoSpaceDN w:val="0"/>
        <w:tabs>
          <w:tab w:pos="9142" w:val="left"/>
        </w:tabs>
        <w:autoSpaceDE w:val="0"/>
        <w:widowControl/>
        <w:spacing w:line="178" w:lineRule="exact" w:before="154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1: Funding Allocation During IDA20 Replenishment Period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11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2: IDA21 Windows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12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3: IDA21 Financing Terms for Country Allocation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4: Net Loans Outstanding Activity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5: Net Loans Outstanding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6: Investment Interest Revenue, Net of Derivatives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7: Investments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8: Borrowing Expenses, Net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9: Borrowings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10: Net Non-Interest Expenses (Reported Basis)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24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11: Percentage Share of Lending Categories for Annual Net Commitments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29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12: Investments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38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13: Management Risk Committee Structure for Financial and Operational Risks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43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14: Country Exposures as of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48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15: Use of Derivatives for Market Borrowings at Fair Value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54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16: Sensitivity to Interest Rates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55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17: Governance Structure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59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131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360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80"/>
      </w:tblGrid>
      <w:tr>
        <w:trPr>
          <w:trHeight w:hRule="exact" w:val="256"/>
        </w:trPr>
        <w:tc>
          <w:tcPr>
            <w:tcW w:type="dxa" w:w="3960"/>
            <w:tcBorders/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</w:tr>
    </w:tbl>
    <w:p>
      <w:pPr>
        <w:autoSpaceDN w:val="0"/>
        <w:autoSpaceDE w:val="0"/>
        <w:widowControl/>
        <w:spacing w:line="268" w:lineRule="exact" w:before="4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Boxes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214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Box 1: Countries Eligible to Borrow from IDA on Concessional terms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10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Box 2: Financing Principles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28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Box 3: Summary of Financial Terms for IDA Lending Products, Effective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30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Box 4: Types of Guarantees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34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Box 5: Summary of IDA's Specific Risk Categories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45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Box 6: Treatment of Overdue Payments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49</w:t>
      </w:r>
    </w:p>
    <w:p>
      <w:pPr>
        <w:autoSpaceDN w:val="0"/>
        <w:tabs>
          <w:tab w:pos="9130" w:val="left"/>
        </w:tabs>
        <w:autoSpaceDE w:val="0"/>
        <w:widowControl/>
        <w:spacing w:line="178" w:lineRule="exact" w:before="6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Box 7: Eligibility Criteria for IDA’s Investments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51</w:t>
      </w:r>
    </w:p>
    <w:p>
      <w:pPr>
        <w:autoSpaceDN w:val="0"/>
        <w:tabs>
          <w:tab w:pos="9248" w:val="left"/>
        </w:tabs>
        <w:autoSpaceDE w:val="0"/>
        <w:widowControl/>
        <w:spacing w:line="224" w:lineRule="exact" w:before="11398" w:after="0"/>
        <w:ind w:left="348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3</w:t>
      </w:r>
    </w:p>
    <w:p>
      <w:pPr>
        <w:sectPr>
          <w:pgSz w:w="12240" w:h="15840"/>
          <w:pgMar w:top="360" w:right="142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I: Overview</w:t>
            </w:r>
          </w:p>
        </w:tc>
      </w:tr>
    </w:tbl>
    <w:p>
      <w:pPr>
        <w:autoSpaceDN w:val="0"/>
        <w:autoSpaceDE w:val="0"/>
        <w:widowControl/>
        <w:spacing w:line="402" w:lineRule="exact" w:before="74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>Section I: Overview</w:t>
      </w:r>
    </w:p>
    <w:p>
      <w:pPr>
        <w:autoSpaceDN w:val="0"/>
        <w:autoSpaceDE w:val="0"/>
        <w:widowControl/>
        <w:spacing w:line="312" w:lineRule="exact" w:before="21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Introduction</w:t>
      </w:r>
    </w:p>
    <w:p>
      <w:pPr>
        <w:autoSpaceDN w:val="0"/>
        <w:autoSpaceDE w:val="0"/>
        <w:widowControl/>
        <w:spacing w:line="240" w:lineRule="exact" w:before="14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>IDA, an international organization owned by its 175</w:t>
      </w:r>
      <w:r>
        <w:rPr>
          <w:rFonts w:ascii="ArialMT" w:hAnsi="ArialMT" w:eastAsia="ArialMT"/>
          <w:b w:val="0"/>
          <w:i w:val="0"/>
          <w:color w:val="000000"/>
          <w:sz w:val="13"/>
        </w:rPr>
        <w:t>1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member countries, is one of the five institutions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World Bank Group (WBG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). Each WBG organization is legally and financially independent from IDA,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>separate assets and liabilities. IDA is not liable for the obligations of the other institutions.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IDA's mission is to end extreme poverty and boost shared prosperity on a livable planet. With its many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years of experience and its depth of knowledge in international development, IDA plays a key role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achieving the WBG’s goal of helping client countries achieve better development outcomes with a vision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create a world free of poverty on a livable planet. IDA provides loans, grants, guarantees,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products to the poorest and most vulnerable countries to help meet their development needs,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technical assistance and policy advice by leveraging its experience and expertise. It also supports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countries with disaster risk financing and insurance against natural disasters and health-related crises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facilitates financing through trust fund partnerships.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and its affiliated institutions seek to help countries in reducing poverty and inequality, and achieve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progress towards development objectives, including economic growth, job creation, governance, human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capital, infrastructure, and debt transparency. To meet its development goals, the WBG supports client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countries' efforts to implement programs to improve growth and development outcomes. Further, new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ongoing factors continue to influence the global outlook, including: global market uncertainties, migration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surges, youth unemployment, energy access, climate adaptation and mitigation, and growing fragility. IDA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continues to work with partners at global and country levels and its borrowing countries to maximize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impact for development by efficiently channeling resources into projects that create jobs, drive growth,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reduce poverty, and improve living standards. To further support these efforts, the Boards of Directors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have been reforming the WBG and are working to better address the scale of development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needs. This process includes initiatives to increase impact, expand financing capacity, support projects </w:t>
      </w:r>
      <w:r>
        <w:rPr>
          <w:rFonts w:ascii="ArialMT" w:hAnsi="ArialMT" w:eastAsia="ArialMT"/>
          <w:b w:val="0"/>
          <w:i w:val="0"/>
          <w:color w:val="000000"/>
          <w:sz w:val="20"/>
        </w:rPr>
        <w:t>that address cross-border externalities, and modernize the approach to delivery.</w:t>
      </w:r>
    </w:p>
    <w:p>
      <w:pPr>
        <w:autoSpaceDN w:val="0"/>
        <w:autoSpaceDE w:val="0"/>
        <w:widowControl/>
        <w:spacing w:line="312" w:lineRule="exact" w:before="12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IDA Replenishment 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>Generally, every three years, representatives of IDA’s members</w:t>
      </w:r>
      <w:r>
        <w:rPr>
          <w:rFonts w:ascii="ArialMT" w:hAnsi="ArialMT" w:eastAsia="ArialMT"/>
          <w:b w:val="0"/>
          <w:i w:val="0"/>
          <w:color w:val="000000"/>
          <w:sz w:val="13"/>
        </w:rPr>
        <w:t>3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meet to assess IDA’s financial capacity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the medium-term demand for new IDA financing. Members decide on the policy framework, agree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upon the amount of financing to be made available for the replenishment period, and commit to additional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contributions of equity that are required to meet these goals. The meetings culminate in a replenishment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agreement that determines the size, sources (both internal and external), and uses of funds for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replenishment period.</w:t>
      </w:r>
    </w:p>
    <w:p>
      <w:pPr>
        <w:autoSpaceDN w:val="0"/>
        <w:autoSpaceDE w:val="0"/>
        <w:widowControl/>
        <w:spacing w:line="312" w:lineRule="exact" w:before="12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Twentieth Replenishment of Resources (IDA20) 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IDA20 operating and financing framework reflects an agreed resource envelope of $93.0 billion in USD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equivalent over the three-year replenishment period from July 1, 2022, through June 30, 2025. IDA20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supports the world’s poorest and most vulnerable countries to emerge on a development path in line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Green, Resilient and Inclusive Development (GRID) framework. In addition, IDA20’s policy package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incorporates four cross-cutting issues: crisis preparedness (introduced in IDA20), governance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institutions, debt, and technology.</w:t>
      </w:r>
    </w:p>
    <w:p>
      <w:pPr>
        <w:autoSpaceDN w:val="0"/>
        <w:autoSpaceDE w:val="0"/>
        <w:widowControl/>
        <w:spacing w:line="176" w:lineRule="exact" w:before="576" w:after="0"/>
        <w:ind w:left="10" w:right="0" w:firstLine="0"/>
        <w:jc w:val="left"/>
      </w:pPr>
      <w:r>
        <w:rPr>
          <w:w w:val="101.11111534966363"/>
          <w:rFonts w:ascii="Arial" w:hAnsi="Arial" w:eastAsia="Arial"/>
          <w:b w:val="0"/>
          <w:i/>
          <w:color w:val="000000"/>
          <w:sz w:val="9"/>
        </w:rPr>
        <w:t>1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 On October 18, 2024, the Republic of Suriname became the 175th member country of IDA.</w:t>
      </w:r>
    </w:p>
    <w:p>
      <w:pPr>
        <w:autoSpaceDN w:val="0"/>
        <w:autoSpaceDE w:val="0"/>
        <w:widowControl/>
        <w:spacing w:line="168" w:lineRule="exact" w:before="44" w:after="0"/>
        <w:ind w:left="100" w:right="32" w:hanging="90"/>
        <w:jc w:val="both"/>
      </w:pPr>
      <w:r>
        <w:rPr>
          <w:w w:val="101.11111534966363"/>
          <w:rFonts w:ascii="Arial" w:hAnsi="Arial" w:eastAsia="Arial"/>
          <w:b w:val="0"/>
          <w:i/>
          <w:color w:val="000000"/>
          <w:sz w:val="9"/>
        </w:rPr>
        <w:t>2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The other WBG institutions are the International Bank for Reconstruction and Development (IBRD), the International Finance Corporation (IFC), the 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Multilateral Investment Guarantee Agency (MIGA), and the International Centre for Settlement of Investment Disputes (ICSID). The World Bank </w:t>
      </w:r>
      <w:r>
        <w:rPr>
          <w:rFonts w:ascii="Arial" w:hAnsi="Arial" w:eastAsia="Arial"/>
          <w:b w:val="0"/>
          <w:i/>
          <w:color w:val="000000"/>
          <w:sz w:val="14"/>
        </w:rPr>
        <w:t>consists of IBRD and IDA.</w:t>
      </w:r>
    </w:p>
    <w:p>
      <w:pPr>
        <w:autoSpaceDN w:val="0"/>
        <w:autoSpaceDE w:val="0"/>
        <w:widowControl/>
        <w:spacing w:line="156" w:lineRule="exact" w:before="20" w:after="0"/>
        <w:ind w:left="100" w:right="32" w:hanging="90"/>
        <w:jc w:val="both"/>
      </w:pPr>
      <w:r>
        <w:rPr>
          <w:w w:val="101.11111534966363"/>
          <w:rFonts w:ascii="Arial" w:hAnsi="Arial" w:eastAsia="Arial"/>
          <w:b w:val="0"/>
          <w:i/>
          <w:color w:val="000000"/>
          <w:sz w:val="9"/>
        </w:rPr>
        <w:t>3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 IDA’s members are owners and hold voting rights in IDA. Members do not, however, hold shares in IDA and are therefore not referred to as 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shareholders. Payments for subscriptions and contributions from members increase IDA’s paid-in equity and are financially equivalent to paid-in 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capital in multilateral development organizations that issue shares, IDA members have the same ownership rights as shareholders in other MDBs. For 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example, should IDA ever permanently suspend its operations, each member would receive a pro rata share of IDA’s net assets in proportion to the </w:t>
      </w:r>
      <w:r>
        <w:rPr>
          <w:rFonts w:ascii="Arial" w:hAnsi="Arial" w:eastAsia="Arial"/>
          <w:b w:val="0"/>
          <w:i/>
          <w:color w:val="000000"/>
          <w:sz w:val="14"/>
        </w:rPr>
        <w:t>amounts it originally paid in and invested in IDA.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52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I: Overview</w:t>
            </w:r>
          </w:p>
        </w:tc>
      </w:tr>
    </w:tbl>
    <w:p>
      <w:pPr>
        <w:autoSpaceDN w:val="0"/>
        <w:autoSpaceDE w:val="0"/>
        <w:widowControl/>
        <w:spacing w:line="314" w:lineRule="exact" w:before="70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IDA Crisis Facility</w:t>
      </w:r>
    </w:p>
    <w:p>
      <w:pPr>
        <w:autoSpaceDN w:val="0"/>
        <w:autoSpaceDE w:val="0"/>
        <w:widowControl/>
        <w:spacing w:line="240" w:lineRule="exact" w:before="14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July 2023, IDA's Board of Governors adopted a Resolution to establish a Crisis Facility to scale up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support for the world’s poorest countries to address worsening development challenges due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overlapping global crises, particularly food insecurity and extreme climate events. The Crisis Facility has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two objectives: i) to provide additional resources to IDA countries affected by Russia’s invasion of Ukraine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 a time of compounding, overlapping global crises; and ii) to provide a mechanism for pooling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leveraging contributions to support Ukraine, and to neighboring Moldova. This facility is supported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member contributions and was one of the measures to enhance IDA's financing capacity in the IDA20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period. As of June 30, 2025, $2.4 billion of member contributions had been received by the facility,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>was fully paid as cash contributions. As of June 30, 2025, IDA concluded its Crisis Facility.</w:t>
      </w:r>
    </w:p>
    <w:p>
      <w:pPr>
        <w:autoSpaceDN w:val="0"/>
        <w:autoSpaceDE w:val="0"/>
        <w:widowControl/>
        <w:spacing w:line="314" w:lineRule="exact" w:before="1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Twenty-First Replenishment of Resources (IDA21)</w:t>
      </w:r>
    </w:p>
    <w:p>
      <w:pPr>
        <w:autoSpaceDN w:val="0"/>
        <w:autoSpaceDE w:val="0"/>
        <w:widowControl/>
        <w:spacing w:line="240" w:lineRule="exact" w:before="14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April 25, 2025, the IDA21 Resolution was approved by IDA’s Board of Governors. IDA 21 recognizes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need to help address the profound challenges faced by IDA countries and to support the world’s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poorest countries. IDA21 builds on earlier replenishment cycles, with the continuation of five focus areas: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people, prosperity, infrastructure, digital transformation and planet, and four lenses that address priorities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across these topics: gender, jobs, private investment, and fragility, conflict and violence (FCV). As part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IDA21, IDA’s continued innovation has introduced hybrid capital and a portfolio guarantee platform as new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instruments for members to support IDA, where hybrid capital will enhance IDA's capital base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portfolio guarantee platform will help reduce IDA's credit risk.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this agenda in the forefront, IDA's members agreed on the operational and financing framework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reflects an IDA21 financing envelope of up to $100.0 billion over the three-year replenishment period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July 1, 2025, through June 30, 2028. The IDA21 financing envelope is expected to be supported by up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$23.7 billion of member contributions, while contributions for Multilateral Debt Relief Initiative (MDRI),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financing raised in the capital markets, internal resources (e.g., loan repayments), and transfers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IBRD, in addition to capital support on IFC's balance sheet for the Private Sector Window (PSW), make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up the remainder. </w:t>
      </w:r>
    </w:p>
    <w:p>
      <w:pPr>
        <w:autoSpaceDN w:val="0"/>
        <w:autoSpaceDE w:val="0"/>
        <w:widowControl/>
        <w:spacing w:line="314" w:lineRule="exact" w:before="1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Financial Business Model</w:t>
      </w:r>
    </w:p>
    <w:p>
      <w:pPr>
        <w:autoSpaceDN w:val="0"/>
        <w:autoSpaceDE w:val="0"/>
        <w:widowControl/>
        <w:spacing w:line="240" w:lineRule="exact" w:before="14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has financed its operations over the years with its own equity, including regular additions to equity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provided by member countries as part of the replenishment process. As a result of the strong support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member countries, IDA has built up a substantial equity base of $204.2 billion as of June 30, 2025. Since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FY18, IDA has shifted to a hybrid financial model by introducing market debt into its business model.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prudently leveraging its equity and blending market debt with equity contributions from members, IDA has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increased its financial efficiency, and scaled up its financing to support the escalating demand for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to deliver on the following priorities: 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Provide concessional financing on terms that respond to clients’ needs; and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Ensure long-term financial sustainability of IDA’s financial model through a prudent risk management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framework.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Currently, IDA's non-concessional and concessional lending, including grants, is primarily financed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equity. As IDA’s funding program expands under the hybrid financial model, a larger portion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lending will be funded by market debt, together with member countries’ contributions (equity). Funds not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deployed for lending and grant operations are maintained in IDA’s investment portfolio to supply liquidity </w:t>
      </w:r>
      <w:r>
        <w:rPr>
          <w:rFonts w:ascii="ArialMT" w:hAnsi="ArialMT" w:eastAsia="ArialMT"/>
          <w:b w:val="0"/>
          <w:i w:val="0"/>
          <w:color w:val="000000"/>
          <w:sz w:val="20"/>
        </w:rPr>
        <w:t>for its operations, which will also be increasingly funded with debt.</w:t>
      </w:r>
    </w:p>
    <w:p>
      <w:pPr>
        <w:autoSpaceDN w:val="0"/>
        <w:tabs>
          <w:tab w:pos="9248" w:val="left"/>
        </w:tabs>
        <w:autoSpaceDE w:val="0"/>
        <w:widowControl/>
        <w:spacing w:line="224" w:lineRule="exact" w:before="2180" w:after="0"/>
        <w:ind w:left="348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5</w:t>
      </w: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I: Overview</w:t>
            </w:r>
          </w:p>
        </w:tc>
      </w:tr>
    </w:tbl>
    <w:p>
      <w:pPr>
        <w:autoSpaceDN w:val="0"/>
        <w:autoSpaceDE w:val="0"/>
        <w:widowControl/>
        <w:spacing w:line="314" w:lineRule="exact" w:before="70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Basis of Reporting</w:t>
      </w:r>
    </w:p>
    <w:p>
      <w:pPr>
        <w:autoSpaceDN w:val="0"/>
        <w:autoSpaceDE w:val="0"/>
        <w:widowControl/>
        <w:spacing w:line="268" w:lineRule="exact" w:before="15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Reported Basis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financial statements are prepared in accordance with accounting principles generally accepted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United States of America (U.S. GAAP) and are independently audited on an annual basis. Generally,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Investments, Borrowings, and Derivatives are reported at fair value in the Balance Sheets, with changes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fair value reported in the Statements of Income. Changes in IDA’s own credit are reflected in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Comprehensive Income. Concessional Partner Loans (CPL), certain market debt and IDA’s loans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>reported at amortized cost in the Balance Sheets.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variability in IDA’s net income is inherently driven by the grant activity and unrealized mark-to-market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gains and losses in IDA’s non-trading portfolios, as not all financial instruments are reported on the same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measurement basis. IDA’s risk management strategy entails the use of derivatives to manage market risk.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derivatives are primarily used to align the interest rate and currency bases of its assets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liabilities. IDA has not elected to designate any hedging relationships for accounting purposes.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Non-GAAP Measures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uses certain non-GAAP financial measures to evaluate the underlying operations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performance of IDA. A non-GAAP financial measure is a measure that is adjusted to exclude,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include, or reclassify certain items or components from the most directly comparable measure calculated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>in accordance with U.S. GAAP and reported in the audited financial statements.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F"/>
          <w:sz w:val="22"/>
        </w:rPr>
        <w:t>Adjusted Net Income</w:t>
      </w:r>
    </w:p>
    <w:p>
      <w:pPr>
        <w:autoSpaceDN w:val="0"/>
        <w:autoSpaceDE w:val="0"/>
        <w:widowControl/>
        <w:spacing w:line="240" w:lineRule="exact" w:before="126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Adjusted Net Income (ANI) reflects the economic results of IDA’s operations and is used by IDA’s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and the Board as a financial sustainability measure. ANI is defined as IDA’s net income,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adjusted to exclude certain items. After the effects of these adjustments, ANI generally reflects amounts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are realized, not restricted for specific uses, and not directly funded by members.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See Section IV: Financial Results and Table 9, for details of the adjustments to reported net income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calculate ANI. 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F"/>
          <w:sz w:val="22"/>
        </w:rPr>
        <w:t xml:space="preserve">Deployable Strategic Capital Ratio 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capital adequacy model mandates that IDA hold capital for credit risk, market risk and operational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 covering all activities and assets on its books. The Deployable Strategic Capital (DSC) represents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capital available to support future commitments, over and above the current portfolio. </w:t>
      </w:r>
    </w:p>
    <w:p>
      <w:pPr>
        <w:autoSpaceDN w:val="0"/>
        <w:autoSpaceDE w:val="0"/>
        <w:widowControl/>
        <w:spacing w:line="224" w:lineRule="exact" w:before="13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See Section IX: Risk Management and Table 24 for more details of the DSC.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F"/>
          <w:sz w:val="22"/>
        </w:rPr>
        <w:t xml:space="preserve">Budget Anchor Ratio </w:t>
      </w:r>
    </w:p>
    <w:p>
      <w:pPr>
        <w:autoSpaceDN w:val="0"/>
        <w:autoSpaceDE w:val="0"/>
        <w:widowControl/>
        <w:spacing w:line="240" w:lineRule="exact" w:before="12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anchor is an efficiency metric to monitor the coverage of IDA's net administrative expenses by </w:t>
      </w:r>
      <w:r>
        <w:rPr>
          <w:rFonts w:ascii="ArialMT" w:hAnsi="ArialMT" w:eastAsia="ArialMT"/>
          <w:b w:val="0"/>
          <w:i w:val="0"/>
          <w:color w:val="000000"/>
          <w:sz w:val="20"/>
        </w:rPr>
        <w:t>its loan revenue, net of associated borrowing expenses.</w:t>
      </w:r>
    </w:p>
    <w:p>
      <w:pPr>
        <w:autoSpaceDN w:val="0"/>
        <w:autoSpaceDE w:val="0"/>
        <w:widowControl/>
        <w:spacing w:line="224" w:lineRule="exact" w:before="13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See Section IV: Financial Results and Table 11 for more details of the budget anchor ratio. 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340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II: Executive Summary</w:t>
            </w:r>
          </w:p>
        </w:tc>
      </w:tr>
    </w:tbl>
    <w:p>
      <w:pPr>
        <w:autoSpaceDN w:val="0"/>
        <w:autoSpaceDE w:val="0"/>
        <w:widowControl/>
        <w:spacing w:line="402" w:lineRule="exact" w:before="74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>Section II: Executive Summary</w:t>
      </w:r>
    </w:p>
    <w:p>
      <w:pPr>
        <w:autoSpaceDN w:val="0"/>
        <w:autoSpaceDE w:val="0"/>
        <w:widowControl/>
        <w:spacing w:line="240" w:lineRule="exact" w:before="212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Management’s Discussion &amp; Analysis (MD&amp;A) reflects the results of the International Development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Association’s (IDA) financial performance for the fiscal year ended June 30, 2025 (FY25). IDA undertakes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 obligation to update any forward-looking statements. Certain reclassifications of prior years’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information have been made to conform with the current year’s presentation. For discussion of IDA’s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results for the previous year ended June 30, 2024, as compared to the year ended 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2023, see Section IV – Financial Results in IDA’s MD&amp;A and Financial Statements for the fiscal year </w:t>
      </w:r>
      <w:r>
        <w:rPr>
          <w:rFonts w:ascii="ArialMT" w:hAnsi="ArialMT" w:eastAsia="ArialMT"/>
          <w:b w:val="0"/>
          <w:i w:val="0"/>
          <w:color w:val="000000"/>
          <w:sz w:val="20"/>
        </w:rPr>
        <w:t>ended June 30, 2024 (FY24).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1: Selected Financial Data</w:t>
      </w:r>
    </w:p>
    <w:p>
      <w:pPr>
        <w:autoSpaceDN w:val="0"/>
        <w:autoSpaceDE w:val="0"/>
        <w:widowControl/>
        <w:spacing w:line="180" w:lineRule="exact" w:before="84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ratios which are in percentages</w:t>
      </w:r>
    </w:p>
    <w:p>
      <w:pPr>
        <w:autoSpaceDN w:val="0"/>
        <w:autoSpaceDE w:val="0"/>
        <w:widowControl/>
        <w:spacing w:line="192" w:lineRule="exact" w:before="118" w:after="34"/>
        <w:ind w:left="6048" w:right="864" w:firstLine="0"/>
        <w:jc w:val="center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As of and for the fiscal year ended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June 30,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1"/>
        <w:gridCol w:w="2361"/>
        <w:gridCol w:w="2361"/>
        <w:gridCol w:w="2361"/>
      </w:tblGrid>
      <w:tr>
        <w:trPr>
          <w:trHeight w:hRule="exact" w:val="240"/>
        </w:trPr>
        <w:tc>
          <w:tcPr>
            <w:tcW w:type="dxa" w:w="5282"/>
            <w:tcBorders>
              <w:end w:sz="41.59999999999991" w:val="single" w:color="#FFFFFF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41.59999999999991" w:val="single" w:color="#FFFFFF"/>
              <w:top w:sz="8.0" w:val="single" w:color="#929292"/>
              <w:end w:sz="48.0" w:val="single" w:color="#FFFFFF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50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1380"/>
            <w:tcBorders>
              <w:start w:sz="48.0" w:val="single" w:color="#FFFFFF"/>
              <w:top w:sz="8.0" w:val="single" w:color="#929292"/>
              <w:end w:sz="48.0" w:val="single" w:color="#FFFFFF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346"/>
            <w:tcBorders>
              <w:start w:sz="48.0" w:val="single" w:color="#FFFFFF"/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178" w:lineRule="exact" w:before="28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Lending Highlights (Sections IV &amp; V)</w:t>
      </w:r>
    </w:p>
    <w:p>
      <w:pPr>
        <w:autoSpaceDN w:val="0"/>
        <w:autoSpaceDE w:val="0"/>
        <w:widowControl/>
        <w:spacing w:line="178" w:lineRule="exact" w:before="62" w:after="34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Loans, Grants and Guarantees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198"/>
        </w:trPr>
        <w:tc>
          <w:tcPr>
            <w:tcW w:type="dxa" w:w="3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commitments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64"/>
            <w:tcBorders>
              <w:end w:sz="48.0" w:val="single" w:color="#FFFF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39,866 </w:t>
            </w:r>
          </w:p>
        </w:tc>
        <w:tc>
          <w:tcPr>
            <w:tcW w:type="dxa" w:w="416"/>
            <w:vMerge w:val="restart"/>
            <w:tcBorders>
              <w:start w:sz="48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64"/>
            <w:tcBorders>
              <w:end w:sz="4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31,195 </w:t>
            </w:r>
          </w:p>
        </w:tc>
        <w:tc>
          <w:tcPr>
            <w:tcW w:type="dxa" w:w="436"/>
            <w:vMerge w:val="restart"/>
            <w:tcBorders>
              <w:start w:sz="48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2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34,245 </w:t>
            </w:r>
          </w:p>
        </w:tc>
      </w:tr>
      <w:tr>
        <w:trPr>
          <w:trHeight w:hRule="exact" w:val="240"/>
        </w:trPr>
        <w:tc>
          <w:tcPr>
            <w:tcW w:type="dxa" w:w="3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Gross disbursements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964"/>
            <w:tcBorders>
              <w:end w:sz="4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33,123 </w:t>
            </w:r>
          </w:p>
        </w:tc>
        <w:tc>
          <w:tcPr>
            <w:tcW w:type="dxa" w:w="1349"/>
            <w:vMerge/>
            <w:tcBorders>
              <w:start w:sz="48.0" w:val="single" w:color="#FFFFFF"/>
            </w:tcBorders>
          </w:tcPr>
          <w:p/>
        </w:tc>
        <w:tc>
          <w:tcPr>
            <w:tcW w:type="dxa" w:w="964"/>
            <w:tcBorders>
              <w:end w:sz="4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28,247 </w:t>
            </w:r>
          </w:p>
        </w:tc>
        <w:tc>
          <w:tcPr>
            <w:tcW w:type="dxa" w:w="1349"/>
            <w:vMerge/>
            <w:tcBorders>
              <w:start w:sz="48.0" w:val="single" w:color="#FFFFFF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2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27,718 </w:t>
            </w:r>
          </w:p>
        </w:tc>
      </w:tr>
      <w:tr>
        <w:trPr>
          <w:trHeight w:hRule="exact" w:val="282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disbursements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964"/>
            <w:tcBorders>
              <w:end w:sz="4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24,257 </w:t>
            </w:r>
          </w:p>
        </w:tc>
        <w:tc>
          <w:tcPr>
            <w:tcW w:type="dxa" w:w="1349"/>
            <w:vMerge/>
            <w:tcBorders>
              <w:start w:sz="48.0" w:val="single" w:color="#FFFFFF"/>
            </w:tcBorders>
          </w:tcPr>
          <w:p/>
        </w:tc>
        <w:tc>
          <w:tcPr>
            <w:tcW w:type="dxa" w:w="964"/>
            <w:tcBorders>
              <w:end w:sz="4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20,062 </w:t>
            </w:r>
          </w:p>
        </w:tc>
        <w:tc>
          <w:tcPr>
            <w:tcW w:type="dxa" w:w="1349"/>
            <w:vMerge/>
            <w:tcBorders>
              <w:start w:sz="48.0" w:val="single" w:color="#FFFFFF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2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19,968 </w:t>
            </w:r>
          </w:p>
        </w:tc>
      </w:tr>
    </w:tbl>
    <w:p>
      <w:pPr>
        <w:autoSpaceDN w:val="0"/>
        <w:autoSpaceDE w:val="0"/>
        <w:widowControl/>
        <w:spacing w:line="178" w:lineRule="exact" w:before="268" w:after="34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Balance Sheet (Section IV)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198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assets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04"/>
            <w:tcBorders>
              <w:end w:sz="48.0" w:val="single" w:color="#FFFF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280,869 </w:t>
            </w:r>
          </w:p>
        </w:tc>
        <w:tc>
          <w:tcPr>
            <w:tcW w:type="dxa" w:w="376"/>
            <w:vMerge w:val="restart"/>
            <w:tcBorders>
              <w:start w:sz="48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04"/>
            <w:tcBorders>
              <w:end w:sz="4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241,350 </w:t>
            </w:r>
          </w:p>
        </w:tc>
        <w:tc>
          <w:tcPr>
            <w:tcW w:type="dxa" w:w="396"/>
            <w:vMerge w:val="restart"/>
            <w:tcBorders>
              <w:start w:sz="48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227,482 </w:t>
            </w:r>
          </w:p>
        </w:tc>
      </w:tr>
      <w:tr>
        <w:trPr>
          <w:trHeight w:hRule="exact" w:val="240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Investments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04"/>
            <w:tcBorders>
              <w:end w:sz="4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47,272 </w:t>
            </w:r>
          </w:p>
        </w:tc>
        <w:tc>
          <w:tcPr>
            <w:tcW w:type="dxa" w:w="1349"/>
            <w:vMerge/>
            <w:tcBorders>
              <w:start w:sz="48.0" w:val="single" w:color="#FFFFFF"/>
            </w:tcBorders>
          </w:tcPr>
          <w:p/>
        </w:tc>
        <w:tc>
          <w:tcPr>
            <w:tcW w:type="dxa" w:w="1004"/>
            <w:tcBorders>
              <w:end w:sz="4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34,377 </w:t>
            </w:r>
          </w:p>
        </w:tc>
        <w:tc>
          <w:tcPr>
            <w:tcW w:type="dxa" w:w="1349"/>
            <w:vMerge/>
            <w:tcBorders>
              <w:start w:sz="48.0" w:val="single" w:color="#FFFFFF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31,822 </w:t>
            </w:r>
          </w:p>
        </w:tc>
      </w:tr>
      <w:tr>
        <w:trPr>
          <w:trHeight w:hRule="exact" w:val="240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loans outstanding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04"/>
            <w:tcBorders>
              <w:end w:sz="4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223,232 </w:t>
            </w:r>
          </w:p>
        </w:tc>
        <w:tc>
          <w:tcPr>
            <w:tcW w:type="dxa" w:w="1349"/>
            <w:vMerge/>
            <w:tcBorders>
              <w:start w:sz="48.0" w:val="single" w:color="#FFFFFF"/>
            </w:tcBorders>
          </w:tcPr>
          <w:p/>
        </w:tc>
        <w:tc>
          <w:tcPr>
            <w:tcW w:type="dxa" w:w="1004"/>
            <w:tcBorders>
              <w:end w:sz="4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198,457 </w:t>
            </w:r>
          </w:p>
        </w:tc>
        <w:tc>
          <w:tcPr>
            <w:tcW w:type="dxa" w:w="1349"/>
            <w:vMerge/>
            <w:tcBorders>
              <w:start w:sz="48.0" w:val="single" w:color="#FFFFFF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187,669 </w:t>
            </w:r>
          </w:p>
        </w:tc>
      </w:tr>
      <w:tr>
        <w:trPr>
          <w:trHeight w:hRule="exact" w:val="240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Borrowings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04"/>
            <w:tcBorders>
              <w:end w:sz="4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70,832 </w:t>
            </w:r>
          </w:p>
        </w:tc>
        <w:tc>
          <w:tcPr>
            <w:tcW w:type="dxa" w:w="1349"/>
            <w:vMerge/>
            <w:tcBorders>
              <w:start w:sz="48.0" w:val="single" w:color="#FFFFFF"/>
            </w:tcBorders>
          </w:tcPr>
          <w:p/>
        </w:tc>
        <w:tc>
          <w:tcPr>
            <w:tcW w:type="dxa" w:w="1004"/>
            <w:tcBorders>
              <w:end w:sz="4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44,923 </w:t>
            </w:r>
          </w:p>
        </w:tc>
        <w:tc>
          <w:tcPr>
            <w:tcW w:type="dxa" w:w="1349"/>
            <w:vMerge/>
            <w:tcBorders>
              <w:start w:sz="48.0" w:val="single" w:color="#FFFFFF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32,567 </w:t>
            </w:r>
          </w:p>
        </w:tc>
      </w:tr>
      <w:tr>
        <w:trPr>
          <w:trHeight w:hRule="exact" w:val="282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equity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04"/>
            <w:tcBorders>
              <w:end w:sz="4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204,171 </w:t>
            </w:r>
          </w:p>
        </w:tc>
        <w:tc>
          <w:tcPr>
            <w:tcW w:type="dxa" w:w="1349"/>
            <w:vMerge/>
            <w:tcBorders>
              <w:start w:sz="48.0" w:val="single" w:color="#FFFFFF"/>
            </w:tcBorders>
          </w:tcPr>
          <w:p/>
        </w:tc>
        <w:tc>
          <w:tcPr>
            <w:tcW w:type="dxa" w:w="1004"/>
            <w:tcBorders>
              <w:end w:sz="4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190,301 </w:t>
            </w:r>
          </w:p>
        </w:tc>
        <w:tc>
          <w:tcPr>
            <w:tcW w:type="dxa" w:w="1349"/>
            <w:vMerge/>
            <w:tcBorders>
              <w:start w:sz="48.0" w:val="single" w:color="#FFFFFF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185,782 </w:t>
            </w:r>
          </w:p>
        </w:tc>
      </w:tr>
    </w:tbl>
    <w:p>
      <w:pPr>
        <w:autoSpaceDN w:val="0"/>
        <w:autoSpaceDE w:val="0"/>
        <w:widowControl/>
        <w:spacing w:line="178" w:lineRule="exact" w:before="268" w:after="34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Income Statement (Section IV)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198"/>
        </w:trPr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revenue, net of borrowing expenses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4"/>
            <w:tcBorders>
              <w:end w:sz="48.0" w:val="single" w:color="#FFFF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2,366 </w:t>
            </w:r>
          </w:p>
        </w:tc>
        <w:tc>
          <w:tcPr>
            <w:tcW w:type="dxa" w:w="436"/>
            <w:vMerge w:val="restart"/>
            <w:tcBorders>
              <w:start w:sz="48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4"/>
            <w:tcBorders>
              <w:end w:sz="4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2,398 </w:t>
            </w:r>
          </w:p>
        </w:tc>
        <w:tc>
          <w:tcPr>
            <w:tcW w:type="dxa" w:w="456"/>
            <w:vMerge w:val="restart"/>
            <w:tcBorders>
              <w:start w:sz="48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2,367 </w:t>
            </w:r>
          </w:p>
        </w:tc>
      </w:tr>
      <w:tr>
        <w:trPr>
          <w:trHeight w:hRule="exact" w:val="240"/>
        </w:trPr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Transfers from affiliated organizations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944"/>
            <w:tcBorders>
              <w:end w:sz="4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515 </w:t>
            </w:r>
          </w:p>
        </w:tc>
        <w:tc>
          <w:tcPr>
            <w:tcW w:type="dxa" w:w="1349"/>
            <w:vMerge/>
            <w:tcBorders>
              <w:start w:sz="48.0" w:val="single" w:color="#FFFFFF"/>
            </w:tcBorders>
          </w:tcPr>
          <w:p/>
        </w:tc>
        <w:tc>
          <w:tcPr>
            <w:tcW w:type="dxa" w:w="944"/>
            <w:tcBorders>
              <w:end w:sz="4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291 </w:t>
            </w:r>
          </w:p>
        </w:tc>
        <w:tc>
          <w:tcPr>
            <w:tcW w:type="dxa" w:w="1349"/>
            <w:vMerge/>
            <w:tcBorders>
              <w:start w:sz="48.0" w:val="single" w:color="#FFFFFF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117 </w:t>
            </w:r>
          </w:p>
        </w:tc>
      </w:tr>
      <w:tr>
        <w:trPr>
          <w:trHeight w:hRule="exact" w:val="240"/>
        </w:trPr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Development grants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944"/>
            <w:tcBorders>
              <w:end w:sz="4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(7,200) </w:t>
            </w:r>
          </w:p>
        </w:tc>
        <w:tc>
          <w:tcPr>
            <w:tcW w:type="dxa" w:w="1349"/>
            <w:vMerge/>
            <w:tcBorders>
              <w:start w:sz="48.0" w:val="single" w:color="#FFFFFF"/>
            </w:tcBorders>
          </w:tcPr>
          <w:p/>
        </w:tc>
        <w:tc>
          <w:tcPr>
            <w:tcW w:type="dxa" w:w="944"/>
            <w:tcBorders>
              <w:end w:sz="4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(5,291) </w:t>
            </w:r>
          </w:p>
        </w:tc>
        <w:tc>
          <w:tcPr>
            <w:tcW w:type="dxa" w:w="1349"/>
            <w:vMerge/>
            <w:tcBorders>
              <w:start w:sz="48.0" w:val="single" w:color="#FFFFFF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(3,946) </w:t>
            </w:r>
          </w:p>
        </w:tc>
      </w:tr>
      <w:tr>
        <w:trPr>
          <w:trHeight w:hRule="exact" w:val="282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loss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944"/>
            <w:tcBorders>
              <w:end w:sz="4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(5,524) </w:t>
            </w:r>
          </w:p>
        </w:tc>
        <w:tc>
          <w:tcPr>
            <w:tcW w:type="dxa" w:w="1349"/>
            <w:vMerge/>
            <w:tcBorders>
              <w:start w:sz="48.0" w:val="single" w:color="#FFFFFF"/>
            </w:tcBorders>
          </w:tcPr>
          <w:p/>
        </w:tc>
        <w:tc>
          <w:tcPr>
            <w:tcW w:type="dxa" w:w="944"/>
            <w:tcBorders>
              <w:end w:sz="4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(3,573) </w:t>
            </w:r>
          </w:p>
        </w:tc>
        <w:tc>
          <w:tcPr>
            <w:tcW w:type="dxa" w:w="1349"/>
            <w:vMerge/>
            <w:tcBorders>
              <w:start w:sz="48.0" w:val="single" w:color="#FFFFFF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(3,262) </w:t>
            </w:r>
          </w:p>
        </w:tc>
      </w:tr>
    </w:tbl>
    <w:p>
      <w:pPr>
        <w:autoSpaceDN w:val="0"/>
        <w:autoSpaceDE w:val="0"/>
        <w:widowControl/>
        <w:spacing w:line="178" w:lineRule="exact" w:before="268" w:after="16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Non-GAAP Measures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1188"/>
        </w:trPr>
        <w:tc>
          <w:tcPr>
            <w:tcW w:type="dxa" w:w="44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2" w:val="left"/>
              </w:tabs>
              <w:autoSpaceDE w:val="0"/>
              <w:widowControl/>
              <w:spacing w:line="228" w:lineRule="exact" w:before="0" w:after="0"/>
              <w:ind w:left="302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Adjusted Net Income (Section IV)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Deployable Strategic Capital Ratio (Section IX)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Current Approach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d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Previous Approach</w:t>
            </w:r>
          </w:p>
        </w:tc>
        <w:tc>
          <w:tcPr>
            <w:tcW w:type="dxa" w:w="497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72.0000000000005" w:type="dxa"/>
            </w:tblPr>
            <w:tblGrid>
              <w:gridCol w:w="1657"/>
              <w:gridCol w:w="1657"/>
              <w:gridCol w:w="1657"/>
            </w:tblGrid>
            <w:tr>
              <w:trPr>
                <w:trHeight w:hRule="exact" w:val="750"/>
              </w:trPr>
              <w:tc>
                <w:tcPr>
                  <w:tcW w:type="dxa" w:w="1372"/>
                  <w:tcBorders>
                    <w:start w:sz="41.59999999999991" w:val="single" w:color="#FFFFFF"/>
                    <w:end w:sz="48.0" w:val="single" w:color="#FFFFFF"/>
                    <w:bottom w:sz="48.0" w:val="single" w:color="#FFFF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3.9999999999997726" w:type="dxa"/>
                  </w:tblPr>
                  <w:tblGrid>
                    <w:gridCol w:w="686"/>
                    <w:gridCol w:w="686"/>
                  </w:tblGrid>
                  <w:tr>
                    <w:trPr>
                      <w:trHeight w:hRule="exact" w:val="252"/>
                    </w:trPr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4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$ </w:t>
                        </w:r>
                      </w:p>
                    </w:tc>
                    <w:tc>
                      <w:tcPr>
                        <w:tcW w:type="dxa" w:w="72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4" w:after="0"/>
                          <w:ind w:left="0" w:right="10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427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78" w:lineRule="exact" w:before="220" w:after="0"/>
                    <w:ind w:left="0" w:right="1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30.8 %</w:t>
                  </w:r>
                </w:p>
              </w:tc>
              <w:tc>
                <w:tcPr>
                  <w:tcW w:type="dxa" w:w="1380"/>
                  <w:tcBorders>
                    <w:start w:sz="48.0" w:val="single" w:color="#FFFFFF"/>
                    <w:end w:sz="48.0" w:val="single" w:color="#FFFFFF"/>
                    <w:bottom w:sz="48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3.9999999999997726" w:type="dxa"/>
                  </w:tblPr>
                  <w:tblGrid>
                    <w:gridCol w:w="690"/>
                    <w:gridCol w:w="690"/>
                  </w:tblGrid>
                  <w:tr>
                    <w:trPr>
                      <w:trHeight w:hRule="exact" w:val="254"/>
                    </w:trPr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6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$ </w:t>
                        </w:r>
                      </w:p>
                    </w:tc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6" w:after="0"/>
                          <w:ind w:left="0" w:right="10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780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78" w:lineRule="exact" w:before="216" w:after="0"/>
                    <w:ind w:left="0" w:right="1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34.8 %</w:t>
                  </w:r>
                </w:p>
              </w:tc>
              <w:tc>
                <w:tcPr>
                  <w:tcW w:type="dxa" w:w="1336"/>
                  <w:tcBorders>
                    <w:start w:sz="48.0" w:val="single" w:color="#FFFFFF"/>
                    <w:bottom w:sz="48.0" w:val="single" w:color="#FFFF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3.9999999999997726" w:type="dxa"/>
                  </w:tblPr>
                  <w:tblGrid>
                    <w:gridCol w:w="668"/>
                    <w:gridCol w:w="668"/>
                  </w:tblGrid>
                  <w:tr>
                    <w:trPr>
                      <w:trHeight w:hRule="exact" w:val="252"/>
                    </w:trPr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4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$ </w:t>
                        </w:r>
                      </w:p>
                    </w:tc>
                    <w:tc>
                      <w:tcPr>
                        <w:tcW w:type="dxa" w:w="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4" w:after="0"/>
                          <w:ind w:left="0" w:right="66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193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78" w:lineRule="exact" w:before="220" w:after="0"/>
                    <w:ind w:left="0" w:right="23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N/A</w:t>
                  </w:r>
                </w:p>
              </w:tc>
            </w:tr>
            <w:tr>
              <w:trPr>
                <w:trHeight w:hRule="exact" w:val="100"/>
              </w:trPr>
              <w:tc>
                <w:tcPr>
                  <w:tcW w:type="dxa" w:w="1372"/>
                  <w:tcBorders>
                    <w:start w:sz="41.59999999999991" w:val="single" w:color="#FFFFFF"/>
                    <w:top w:sz="48.0" w:val="single" w:color="#FFFFFF"/>
                    <w:end w:sz="48.0" w:val="single" w:color="#FFFFFF"/>
                    <w:bottom w:sz="48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0" w:after="0"/>
                    <w:ind w:left="0" w:right="1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N/A</w:t>
                  </w:r>
                </w:p>
              </w:tc>
              <w:tc>
                <w:tcPr>
                  <w:tcW w:type="dxa" w:w="1380"/>
                  <w:tcBorders>
                    <w:start w:sz="48.0" w:val="single" w:color="#FFFFFF"/>
                    <w:top w:sz="48.0" w:val="single" w:color="#FFFFFF"/>
                    <w:end w:sz="48.0" w:val="single" w:color="#FFFFFF"/>
                    <w:bottom w:sz="48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0" w:after="0"/>
                    <w:ind w:left="0" w:right="1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21.1 %</w:t>
                  </w:r>
                </w:p>
              </w:tc>
              <w:tc>
                <w:tcPr>
                  <w:tcW w:type="dxa" w:w="1336"/>
                  <w:tcBorders>
                    <w:start w:sz="48.0" w:val="single" w:color="#FFFFFF"/>
                    <w:top w:sz="48.0" w:val="single" w:color="#FFFFFF"/>
                    <w:bottom w:sz="48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0" w:after="0"/>
                    <w:ind w:left="0" w:right="1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24.1 %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92" w:lineRule="exact" w:before="40" w:after="0"/>
        <w:ind w:left="242" w:right="144" w:hanging="18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Commitments that have been approved by the Executive Directors (referred to as “the Board” in this document) and are net of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full cancellations and terminations relating to commitments approved in the same fiscal year. Commitments and disbursements </w:t>
      </w:r>
      <w:r>
        <w:rPr>
          <w:rFonts w:ascii="Arial" w:hAnsi="Arial" w:eastAsia="Arial"/>
          <w:b w:val="0"/>
          <w:i/>
          <w:color w:val="000000"/>
          <w:sz w:val="16"/>
        </w:rPr>
        <w:t>exclude IDA- IFC-MIGA Private Sector Window (PSW) activities.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See Notes to Financial Statements, Note C - Investments, Note E - Borrowings.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For adjustments relating to adjusted net income, See Table 9 in Section IV: Financial Results.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0" w:after="2214"/>
        <w:ind w:left="62" w:right="432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d. Since June 30, 2024, the ratio has been calculated using an enhanced Board-approved methodology. See Section IX: Risk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Management.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30.0" w:type="dxa"/>
      </w:tblPr>
      <w:tblGrid>
        <w:gridCol w:w="4723"/>
        <w:gridCol w:w="4723"/>
      </w:tblGrid>
      <w:tr>
        <w:trPr>
          <w:trHeight w:hRule="exact" w:val="264"/>
        </w:trPr>
        <w:tc>
          <w:tcPr>
            <w:tcW w:type="dxa" w:w="7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17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IDA Management's Discussion and Analysis: June 30, 2025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II: Executive Summary</w:t>
            </w:r>
          </w:p>
        </w:tc>
      </w:tr>
    </w:tbl>
    <w:p>
      <w:pPr>
        <w:autoSpaceDN w:val="0"/>
        <w:autoSpaceDE w:val="0"/>
        <w:widowControl/>
        <w:spacing w:line="314" w:lineRule="exact" w:before="70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Summary of Financial Results</w:t>
      </w:r>
    </w:p>
    <w:p>
      <w:pPr>
        <w:autoSpaceDN w:val="0"/>
        <w:autoSpaceDE w:val="0"/>
        <w:widowControl/>
        <w:spacing w:line="268" w:lineRule="exact" w:before="210" w:after="2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Net Loss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rHeight w:hRule="exact" w:val="1380"/>
        </w:trPr>
        <w:tc>
          <w:tcPr>
            <w:tcW w:type="dxa" w:w="4800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42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IDA reported a net loss of $5,524 million in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FY25, compared to a net loss of $3,573 million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 FY24. The higher net loss was primarily driven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by an increase in development grant expenses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(Section IV).</w:t>
            </w:r>
          </w:p>
        </w:tc>
        <w:tc>
          <w:tcPr>
            <w:tcW w:type="dxa" w:w="45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6" w:val="left"/>
                <w:tab w:pos="1620" w:val="left"/>
              </w:tabs>
              <w:autoSpaceDE w:val="0"/>
              <w:widowControl/>
              <w:spacing w:line="256" w:lineRule="exact" w:before="0" w:after="0"/>
              <w:ind w:left="510" w:right="72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 millions of U.S. dollars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Adjusted Net Income (Loss) 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Net Income (Loss)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8,000</w:t>
            </w:r>
          </w:p>
          <w:p>
            <w:pPr>
              <w:autoSpaceDN w:val="0"/>
              <w:autoSpaceDE w:val="0"/>
              <w:widowControl/>
              <w:spacing w:line="178" w:lineRule="exact" w:before="272" w:after="0"/>
              <w:ind w:left="5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4,000</w:t>
            </w:r>
          </w:p>
        </w:tc>
      </w:tr>
      <w:tr>
        <w:trPr>
          <w:trHeight w:hRule="exact" w:val="196"/>
        </w:trPr>
        <w:tc>
          <w:tcPr>
            <w:tcW w:type="dxa" w:w="4800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Adjusted Net Income </w:t>
            </w:r>
          </w:p>
          <w:p>
            <w:pPr>
              <w:autoSpaceDN w:val="0"/>
              <w:autoSpaceDE w:val="0"/>
              <w:widowControl/>
              <w:spacing w:line="240" w:lineRule="exact" w:before="130" w:after="0"/>
              <w:ind w:left="0" w:right="42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IDA’s adjusted net income was $427 million in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FY25, compared to $780 million in FY24.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decrease was primarily due to higher borrowing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expenses, higher net non-interest expenses and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higher provision expense for losses on loans </w:t>
            </w:r>
          </w:p>
        </w:tc>
        <w:tc>
          <w:tcPr>
            <w:tcW w:type="dxa" w:w="8088"/>
            <w:gridSpan w:val="6"/>
            <w:vMerge/>
            <w:tcBorders/>
          </w:tcPr>
          <w:p/>
        </w:tc>
      </w:tr>
      <w:tr>
        <w:trPr>
          <w:trHeight w:hRule="exact" w:val="960"/>
        </w:trPr>
        <w:tc>
          <w:tcPr>
            <w:tcW w:type="dxa" w:w="1348"/>
            <w:vMerge/>
            <w:tcBorders>
              <w:top w:sz="6.0" w:val="single" w:color="#E5E6E5"/>
            </w:tcBorders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440" w:right="0" w:firstLine="41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(4,000)</w:t>
            </w:r>
          </w:p>
        </w:tc>
        <w:tc>
          <w:tcPr>
            <w:tcW w:type="dxa" w:w="3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20900" cy="482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0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80"/>
        </w:trPr>
        <w:tc>
          <w:tcPr>
            <w:tcW w:type="dxa" w:w="1348"/>
            <w:vMerge/>
            <w:tcBorders>
              <w:top w:sz="6.0" w:val="single" w:color="#E5E6E5"/>
            </w:tcBorders>
          </w:tcPr>
          <w:p/>
        </w:tc>
        <w:tc>
          <w:tcPr>
            <w:tcW w:type="dxa" w:w="45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" w:after="0"/>
              <w:ind w:left="4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(8,000)</w:t>
            </w:r>
          </w:p>
        </w:tc>
      </w:tr>
      <w:tr>
        <w:trPr>
          <w:trHeight w:hRule="exact" w:val="228"/>
        </w:trPr>
        <w:tc>
          <w:tcPr>
            <w:tcW w:type="dxa" w:w="1348"/>
            <w:vMerge/>
            <w:tcBorders>
              <w:top w:sz="6.0" w:val="single" w:color="#E5E6E5"/>
            </w:tcBorders>
          </w:tcPr>
          <w:p/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FY21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FY22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FY23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FY24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0" w:right="50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other exposures, partially offset by higher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net loans interest revenue and higher revenue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>from investments (Section IV).</w:t>
      </w:r>
    </w:p>
    <w:p>
      <w:pPr>
        <w:autoSpaceDN w:val="0"/>
        <w:autoSpaceDE w:val="0"/>
        <w:widowControl/>
        <w:spacing w:line="268" w:lineRule="exact" w:before="19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Loans and Grants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net commitments in FY25 were $39.9 billion, $8.7 billion higher than FY24, supported by loan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commitments made in FY25 under the IDA Crisis Facility. Out of the total net commitments, $31.7 billion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were loan and guarantee commitments and $8.2 billion were grant commitments (See Table 14 and Table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15).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net loans outstanding increased by $24.7 billion to $223.2 billion as of June 30, 2025, from $198.5 </w:t>
      </w:r>
      <w:r>
        <w:rPr>
          <w:rFonts w:ascii="ArialMT" w:hAnsi="ArialMT" w:eastAsia="ArialMT"/>
          <w:b w:val="0"/>
          <w:i w:val="0"/>
          <w:color w:val="000000"/>
          <w:sz w:val="20"/>
        </w:rPr>
        <w:t>billion as of June 30, 2024 (Section IV).</w:t>
      </w:r>
    </w:p>
    <w:p>
      <w:pPr>
        <w:autoSpaceDN w:val="0"/>
        <w:autoSpaceDE w:val="0"/>
        <w:widowControl/>
        <w:spacing w:line="240" w:lineRule="exact" w:before="120" w:after="444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Development grant expenses were $7.2 billion in FY25 compared to $5.3 billion in FY24 due to higher </w:t>
      </w:r>
      <w:r>
        <w:rPr>
          <w:rFonts w:ascii="ArialMT" w:hAnsi="ArialMT" w:eastAsia="ArialMT"/>
          <w:b w:val="0"/>
          <w:i w:val="0"/>
          <w:color w:val="000000"/>
          <w:sz w:val="20"/>
        </w:rPr>
        <w:t>disbursements of conditional grants during the year as the conditions for expense recognition were met.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</w:tblGrid>
      <w:tr>
        <w:trPr>
          <w:trHeight w:hRule="exact" w:val="308"/>
        </w:trPr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 In billions of U.S. dollars </w:t>
            </w:r>
          </w:p>
        </w:tc>
        <w:tc>
          <w:tcPr>
            <w:tcW w:type="dxa" w:w="380"/>
            <w:vMerge w:val="restart"/>
            <w:tcBorders>
              <w:bottom w:sz="6.01175642013549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9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 In billions of U.S. dollars </w:t>
            </w:r>
          </w:p>
        </w:tc>
        <w:tc>
          <w:tcPr>
            <w:tcW w:type="dxa" w:w="299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 In billions of U.S. dollars</w:t>
            </w:r>
          </w:p>
        </w:tc>
      </w:tr>
      <w:tr>
        <w:trPr>
          <w:trHeight w:hRule="exact" w:val="278"/>
        </w:trPr>
        <w:tc>
          <w:tcPr>
            <w:tcW w:type="dxa" w:w="2700"/>
            <w:gridSpan w:val="2"/>
            <w:tcBorders>
              <w:bottom w:sz="6.01175642013549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0" w:after="0"/>
              <w:ind w:left="6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Commitments ᵃ</w:t>
            </w:r>
          </w:p>
        </w:tc>
        <w:tc>
          <w:tcPr>
            <w:tcW w:type="dxa" w:w="674"/>
            <w:vMerge/>
            <w:tcBorders>
              <w:bottom w:sz="6.011756420135498" w:val="single" w:color="#E5E6E5"/>
            </w:tcBorders>
          </w:tcPr>
          <w:p/>
        </w:tc>
        <w:tc>
          <w:tcPr>
            <w:tcW w:type="dxa" w:w="3094"/>
            <w:gridSpan w:val="5"/>
            <w:tcBorders>
              <w:bottom w:sz="12.02051067352295" w:val="single" w:color="#00497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5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Loans Outstanding</w:t>
            </w:r>
          </w:p>
        </w:tc>
        <w:tc>
          <w:tcPr>
            <w:tcW w:type="dxa" w:w="2994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2" w:after="0"/>
              <w:ind w:left="0" w:right="28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Grant Commitments</w:t>
            </w:r>
          </w:p>
        </w:tc>
      </w:tr>
      <w:tr>
        <w:trPr>
          <w:trHeight w:hRule="exact" w:val="42"/>
        </w:trPr>
        <w:tc>
          <w:tcPr>
            <w:tcW w:type="dxa" w:w="2700"/>
            <w:gridSpan w:val="2"/>
            <w:vMerge w:val="restart"/>
            <w:tcBorders>
              <w:top w:sz="6.01175642013549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6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Gross Disbursements</w:t>
            </w:r>
          </w:p>
        </w:tc>
        <w:tc>
          <w:tcPr>
            <w:tcW w:type="dxa" w:w="380"/>
            <w:vMerge w:val="restart"/>
            <w:tcBorders>
              <w:top w:sz="6.011756420135498" w:val="single" w:color="#E5E6E5"/>
              <w:bottom w:sz="12.036293029785156" w:val="single" w:color="#4B80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250</w:t>
            </w:r>
          </w:p>
        </w:tc>
        <w:tc>
          <w:tcPr>
            <w:tcW w:type="dxa" w:w="3094"/>
            <w:gridSpan w:val="5"/>
            <w:vMerge w:val="restart"/>
            <w:tcBorders>
              <w:top w:sz="12.02051067352295" w:val="single" w:color="#004972"/>
              <w:bottom w:sz="6.01025533676147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2159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15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44"/>
            <w:gridSpan w:val="6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1348"/>
            <w:gridSpan w:val="2"/>
            <w:vMerge/>
            <w:tcBorders>
              <w:top w:sz="6.011756420135498" w:val="single" w:color="#E5E6E5"/>
            </w:tcBorders>
          </w:tcPr>
          <w:p/>
        </w:tc>
        <w:tc>
          <w:tcPr>
            <w:tcW w:type="dxa" w:w="674"/>
            <w:vMerge/>
            <w:tcBorders>
              <w:top w:sz="6.011756420135498" w:val="single" w:color="#E5E6E5"/>
              <w:bottom w:sz="12.036293029785156" w:val="single" w:color="#4B809C"/>
            </w:tcBorders>
          </w:tcPr>
          <w:p/>
        </w:tc>
        <w:tc>
          <w:tcPr>
            <w:tcW w:type="dxa" w:w="3370"/>
            <w:gridSpan w:val="5"/>
            <w:vMerge/>
            <w:tcBorders>
              <w:top w:sz="12.02051067352295" w:val="single" w:color="#004972"/>
              <w:bottom w:sz="6.010255336761475" w:val="single" w:color="#E5E6E5"/>
            </w:tcBorders>
          </w:tcPr>
          <w:p/>
        </w:tc>
        <w:tc>
          <w:tcPr>
            <w:tcW w:type="dxa" w:w="2994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9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Grant Expense</w:t>
            </w:r>
          </w:p>
        </w:tc>
      </w:tr>
      <w:tr>
        <w:trPr>
          <w:trHeight w:hRule="exact" w:val="58"/>
        </w:trPr>
        <w:tc>
          <w:tcPr>
            <w:tcW w:type="dxa" w:w="1348"/>
            <w:gridSpan w:val="2"/>
            <w:vMerge/>
            <w:tcBorders>
              <w:top w:sz="6.011756420135498" w:val="single" w:color="#E5E6E5"/>
            </w:tcBorders>
          </w:tcPr>
          <w:p/>
        </w:tc>
        <w:tc>
          <w:tcPr>
            <w:tcW w:type="dxa" w:w="380"/>
            <w:vMerge w:val="restart"/>
            <w:tcBorders>
              <w:top w:sz="12.036293029785156" w:val="single" w:color="#4B809C"/>
              <w:bottom w:sz="6.01025533676147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3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200</w:t>
            </w:r>
          </w:p>
        </w:tc>
        <w:tc>
          <w:tcPr>
            <w:tcW w:type="dxa" w:w="3370"/>
            <w:gridSpan w:val="5"/>
            <w:vMerge/>
            <w:tcBorders>
              <w:top w:sz="12.02051067352295" w:val="single" w:color="#004972"/>
              <w:bottom w:sz="6.010255336761475" w:val="single" w:color="#E5E6E5"/>
            </w:tcBorders>
          </w:tcPr>
          <w:p/>
        </w:tc>
        <w:tc>
          <w:tcPr>
            <w:tcW w:type="dxa" w:w="4044"/>
            <w:gridSpan w:val="6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2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Disbursements</w:t>
            </w:r>
          </w:p>
        </w:tc>
        <w:tc>
          <w:tcPr>
            <w:tcW w:type="dxa" w:w="674"/>
            <w:vMerge/>
            <w:tcBorders>
              <w:top w:sz="12.036293029785156" w:val="single" w:color="#4B809C"/>
              <w:bottom w:sz="6.010255336761475" w:val="single" w:color="#E5E6E5"/>
            </w:tcBorders>
          </w:tcPr>
          <w:p/>
        </w:tc>
        <w:tc>
          <w:tcPr>
            <w:tcW w:type="dxa" w:w="3370"/>
            <w:gridSpan w:val="5"/>
            <w:vMerge/>
            <w:tcBorders>
              <w:top w:sz="12.02051067352295" w:val="single" w:color="#004972"/>
              <w:bottom w:sz="6.010255336761475" w:val="single" w:color="#E5E6E5"/>
            </w:tcBorders>
          </w:tcPr>
          <w:p/>
        </w:tc>
        <w:tc>
          <w:tcPr>
            <w:tcW w:type="dxa" w:w="4044"/>
            <w:gridSpan w:val="6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348"/>
            <w:gridSpan w:val="2"/>
            <w:vMerge/>
            <w:tcBorders/>
          </w:tcPr>
          <w:p/>
        </w:tc>
        <w:tc>
          <w:tcPr>
            <w:tcW w:type="dxa" w:w="674"/>
            <w:vMerge/>
            <w:tcBorders>
              <w:top w:sz="12.036293029785156" w:val="single" w:color="#4B809C"/>
              <w:bottom w:sz="6.010255336761475" w:val="single" w:color="#E5E6E5"/>
            </w:tcBorders>
          </w:tcPr>
          <w:p/>
        </w:tc>
        <w:tc>
          <w:tcPr>
            <w:tcW w:type="dxa" w:w="3370"/>
            <w:gridSpan w:val="5"/>
            <w:vMerge/>
            <w:tcBorders>
              <w:top w:sz="12.02051067352295" w:val="single" w:color="#004972"/>
              <w:bottom w:sz="6.010255336761475" w:val="single" w:color="#E5E6E5"/>
            </w:tcBorders>
          </w:tcPr>
          <w:p/>
        </w:tc>
        <w:tc>
          <w:tcPr>
            <w:tcW w:type="dxa" w:w="299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4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Grant Disbursements</w:t>
            </w:r>
          </w:p>
        </w:tc>
      </w:tr>
      <w:tr>
        <w:trPr>
          <w:trHeight w:hRule="exact" w:val="120"/>
        </w:trPr>
        <w:tc>
          <w:tcPr>
            <w:tcW w:type="dxa" w:w="380"/>
            <w:vMerge w:val="restart"/>
            <w:tcBorders>
              <w:bottom w:sz="6.01175642013549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40</w:t>
            </w:r>
          </w:p>
        </w:tc>
        <w:tc>
          <w:tcPr>
            <w:tcW w:type="dxa" w:w="2320"/>
            <w:vMerge w:val="restart"/>
            <w:tcBorders>
              <w:bottom w:sz="6.01175642013549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0800" cy="457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4"/>
            <w:vMerge/>
            <w:tcBorders>
              <w:top w:sz="12.036293029785156" w:val="single" w:color="#4B809C"/>
              <w:bottom w:sz="6.010255336761475" w:val="single" w:color="#E5E6E5"/>
            </w:tcBorders>
          </w:tcPr>
          <w:p/>
        </w:tc>
        <w:tc>
          <w:tcPr>
            <w:tcW w:type="dxa" w:w="3370"/>
            <w:gridSpan w:val="5"/>
            <w:vMerge/>
            <w:tcBorders>
              <w:top w:sz="12.02051067352295" w:val="single" w:color="#004972"/>
              <w:bottom w:sz="6.010255336761475" w:val="single" w:color="#E5E6E5"/>
            </w:tcBorders>
          </w:tcPr>
          <w:p/>
        </w:tc>
        <w:tc>
          <w:tcPr>
            <w:tcW w:type="dxa" w:w="2994"/>
            <w:gridSpan w:val="6"/>
            <w:vMerge w:val="restart"/>
            <w:tcBorders>
              <w:bottom w:sz="6.01175642013549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2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24</w:t>
            </w:r>
          </w:p>
        </w:tc>
      </w:tr>
      <w:tr>
        <w:trPr>
          <w:trHeight w:hRule="exact" w:val="116"/>
        </w:trPr>
        <w:tc>
          <w:tcPr>
            <w:tcW w:type="dxa" w:w="674"/>
            <w:vMerge/>
            <w:tcBorders>
              <w:bottom w:sz="6.011756420135498" w:val="single" w:color="#E5E6E5"/>
            </w:tcBorders>
          </w:tcPr>
          <w:p/>
        </w:tc>
        <w:tc>
          <w:tcPr>
            <w:tcW w:type="dxa" w:w="674"/>
            <w:vMerge/>
            <w:tcBorders>
              <w:bottom w:sz="6.011756420135498" w:val="single" w:color="#E5E6E5"/>
            </w:tcBorders>
          </w:tcPr>
          <w:p/>
        </w:tc>
        <w:tc>
          <w:tcPr>
            <w:tcW w:type="dxa" w:w="380"/>
            <w:tcBorders>
              <w:top w:sz="6.010255336761475" w:val="single" w:color="#E5E6E5"/>
              <w:bottom w:sz="6.011756420135498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94"/>
            <w:gridSpan w:val="5"/>
            <w:tcBorders>
              <w:top w:sz="6.010255336761475" w:val="single" w:color="#E5E6E5"/>
              <w:bottom w:sz="6.01175642013549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44"/>
            <w:gridSpan w:val="6"/>
            <w:vMerge/>
            <w:tcBorders>
              <w:bottom w:sz="6.011756420135498" w:val="single" w:color="#E5E6E5"/>
            </w:tcBorders>
          </w:tcPr>
          <w:p/>
        </w:tc>
      </w:tr>
      <w:tr>
        <w:trPr>
          <w:trHeight w:hRule="exact" w:val="154"/>
        </w:trPr>
        <w:tc>
          <w:tcPr>
            <w:tcW w:type="dxa" w:w="380"/>
            <w:tcBorders>
              <w:top w:sz="6.011756420135498" w:val="single" w:color="#E5E6E5"/>
              <w:bottom w:sz="6.01025533676147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tcW w:type="dxa" w:w="674"/>
            <w:vMerge/>
            <w:tcBorders>
              <w:bottom w:sz="6.011756420135498" w:val="single" w:color="#E5E6E5"/>
            </w:tcBorders>
          </w:tcPr>
          <w:p/>
        </w:tc>
        <w:tc>
          <w:tcPr>
            <w:tcW w:type="dxa" w:w="380"/>
            <w:tcBorders>
              <w:top w:sz="6.011756420135498" w:val="single" w:color="#E5E6E5"/>
              <w:bottom w:sz="6.01025533676147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150</w:t>
            </w:r>
          </w:p>
        </w:tc>
        <w:tc>
          <w:tcPr>
            <w:tcW w:type="dxa" w:w="3094"/>
            <w:gridSpan w:val="5"/>
            <w:tcBorders>
              <w:top w:sz="6.011756420135498" w:val="single" w:color="#E5E6E5"/>
              <w:bottom w:sz="6.01025533676147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994"/>
            <w:gridSpan w:val="6"/>
            <w:vMerge w:val="restart"/>
            <w:tcBorders>
              <w:top w:sz="6.011756420135498" w:val="single" w:color="#E5E6E5"/>
              <w:bottom w:sz="6.01175642013549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4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18</w:t>
            </w:r>
          </w:p>
        </w:tc>
      </w:tr>
      <w:tr>
        <w:trPr>
          <w:trHeight w:hRule="exact" w:val="148"/>
        </w:trPr>
        <w:tc>
          <w:tcPr>
            <w:tcW w:type="dxa" w:w="380"/>
            <w:vMerge w:val="restart"/>
            <w:tcBorders>
              <w:top w:sz="6.010255336761475" w:val="single" w:color="#E5E6E5"/>
              <w:bottom w:sz="6.01175642013549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tcW w:type="dxa" w:w="674"/>
            <w:vMerge/>
            <w:tcBorders>
              <w:bottom w:sz="6.011756420135498" w:val="single" w:color="#E5E6E5"/>
            </w:tcBorders>
          </w:tcPr>
          <w:p/>
        </w:tc>
        <w:tc>
          <w:tcPr>
            <w:tcW w:type="dxa" w:w="380"/>
            <w:tcBorders>
              <w:top w:sz="6.010255336761475" w:val="single" w:color="#E5E6E5"/>
              <w:bottom w:sz="6.011756420135498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94"/>
            <w:gridSpan w:val="5"/>
            <w:tcBorders>
              <w:top w:sz="6.010255336761475" w:val="single" w:color="#E5E6E5"/>
              <w:bottom w:sz="6.01175642013549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44"/>
            <w:gridSpan w:val="6"/>
            <w:vMerge/>
            <w:tcBorders>
              <w:top w:sz="6.011756420135498" w:val="single" w:color="#E5E6E5"/>
              <w:bottom w:sz="6.011756420135498" w:val="single" w:color="#E5E6E5"/>
            </w:tcBorders>
          </w:tcPr>
          <w:p/>
        </w:tc>
      </w:tr>
      <w:tr>
        <w:trPr>
          <w:trHeight w:hRule="exact" w:val="162"/>
        </w:trPr>
        <w:tc>
          <w:tcPr>
            <w:tcW w:type="dxa" w:w="674"/>
            <w:vMerge/>
            <w:tcBorders>
              <w:top w:sz="6.010255336761475" w:val="single" w:color="#E5E6E5"/>
              <w:bottom w:sz="6.011756420135498" w:val="single" w:color="#E5E6E5"/>
            </w:tcBorders>
          </w:tcPr>
          <w:p/>
        </w:tc>
        <w:tc>
          <w:tcPr>
            <w:tcW w:type="dxa" w:w="674"/>
            <w:vMerge/>
            <w:tcBorders>
              <w:bottom w:sz="6.011756420135498" w:val="single" w:color="#E5E6E5"/>
            </w:tcBorders>
          </w:tcPr>
          <w:p/>
        </w:tc>
        <w:tc>
          <w:tcPr>
            <w:tcW w:type="dxa" w:w="380"/>
            <w:tcBorders>
              <w:top w:sz="6.011756420135498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100</w:t>
            </w:r>
          </w:p>
        </w:tc>
        <w:tc>
          <w:tcPr>
            <w:tcW w:type="dxa" w:w="3094"/>
            <w:gridSpan w:val="5"/>
            <w:vMerge w:val="restart"/>
            <w:tcBorders>
              <w:top w:sz="6.011756420135498" w:val="single" w:color="#E5E6E5"/>
              <w:bottom w:sz="6.01175642013549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6"/>
            <w:vMerge w:val="restart"/>
            <w:tcBorders>
              <w:top w:sz="6.011756420135498" w:val="single" w:color="#E5E6E5"/>
              <w:bottom w:sz="6.01175642013549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tcW w:type="dxa" w:w="2448"/>
            <w:gridSpan w:val="5"/>
            <w:vMerge w:val="restart"/>
            <w:tcBorders>
              <w:top w:sz="6.01175642013549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73200" cy="330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0" cy="33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52"/>
        </w:trPr>
        <w:tc>
          <w:tcPr>
            <w:tcW w:type="dxa" w:w="674"/>
            <w:vMerge/>
            <w:tcBorders>
              <w:top w:sz="6.010255336761475" w:val="single" w:color="#E5E6E5"/>
              <w:bottom w:sz="6.011756420135498" w:val="single" w:color="#E5E6E5"/>
            </w:tcBorders>
          </w:tcPr>
          <w:p/>
        </w:tc>
        <w:tc>
          <w:tcPr>
            <w:tcW w:type="dxa" w:w="674"/>
            <w:vMerge/>
            <w:tcBorders>
              <w:bottom w:sz="6.011756420135498" w:val="single" w:color="#E5E6E5"/>
            </w:tcBorders>
          </w:tcPr>
          <w:p/>
        </w:tc>
        <w:tc>
          <w:tcPr>
            <w:tcW w:type="dxa" w:w="380"/>
            <w:tcBorders>
              <w:bottom w:sz="6.011756420135498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0"/>
            <w:gridSpan w:val="5"/>
            <w:vMerge/>
            <w:tcBorders>
              <w:top w:sz="6.011756420135498" w:val="single" w:color="#E5E6E5"/>
              <w:bottom w:sz="6.011756420135498" w:val="single" w:color="#E5E6E5"/>
            </w:tcBorders>
          </w:tcPr>
          <w:p/>
        </w:tc>
        <w:tc>
          <w:tcPr>
            <w:tcW w:type="dxa" w:w="674"/>
            <w:vMerge/>
            <w:tcBorders>
              <w:top w:sz="6.011756420135498" w:val="single" w:color="#E5E6E5"/>
              <w:bottom w:sz="6.011756420135498" w:val="single" w:color="#E5E6E5"/>
            </w:tcBorders>
          </w:tcPr>
          <w:p/>
        </w:tc>
        <w:tc>
          <w:tcPr>
            <w:tcW w:type="dxa" w:w="3370"/>
            <w:gridSpan w:val="5"/>
            <w:vMerge/>
            <w:tcBorders>
              <w:top w:sz="6.011756420135498" w:val="single" w:color="#E5E6E5"/>
            </w:tcBorders>
          </w:tcPr>
          <w:p/>
        </w:tc>
      </w:tr>
      <w:tr>
        <w:trPr>
          <w:trHeight w:hRule="exact" w:val="90"/>
        </w:trPr>
        <w:tc>
          <w:tcPr>
            <w:tcW w:type="dxa" w:w="2700"/>
            <w:gridSpan w:val="2"/>
            <w:vMerge w:val="restart"/>
            <w:tcBorders>
              <w:top w:sz="6.01175642013549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380"/>
            <w:tcBorders>
              <w:top w:sz="6.011756420135498" w:val="single" w:color="#E5E6E5"/>
              <w:bottom w:sz="6.018146514892578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50</w:t>
            </w:r>
          </w:p>
        </w:tc>
        <w:tc>
          <w:tcPr>
            <w:tcW w:type="dxa" w:w="3094"/>
            <w:gridSpan w:val="5"/>
            <w:tcBorders>
              <w:top w:sz="6.011756420135498" w:val="single" w:color="#E5E6E5"/>
              <w:bottom w:sz="6.01814651489257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6"/>
            <w:vMerge w:val="restart"/>
            <w:tcBorders>
              <w:top w:sz="6.01175642013549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3370"/>
            <w:gridSpan w:val="5"/>
            <w:vMerge/>
            <w:tcBorders>
              <w:top w:sz="6.011756420135498" w:val="single" w:color="#E5E6E5"/>
            </w:tcBorders>
          </w:tcPr>
          <w:p/>
        </w:tc>
      </w:tr>
      <w:tr>
        <w:trPr>
          <w:trHeight w:hRule="exact" w:val="138"/>
        </w:trPr>
        <w:tc>
          <w:tcPr>
            <w:tcW w:type="dxa" w:w="1348"/>
            <w:gridSpan w:val="2"/>
            <w:vMerge/>
            <w:tcBorders>
              <w:top w:sz="6.011756420135498" w:val="single" w:color="#E5E6E5"/>
            </w:tcBorders>
          </w:tcPr>
          <w:p/>
        </w:tc>
        <w:tc>
          <w:tcPr>
            <w:tcW w:type="dxa" w:w="380"/>
            <w:vMerge w:val="restart"/>
            <w:tcBorders>
              <w:top w:sz="6.01814651489257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780"/>
            <w:vMerge w:val="restart"/>
            <w:tcBorders>
              <w:top w:sz="6.01814651489257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3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Jun 21</w:t>
            </w:r>
          </w:p>
        </w:tc>
        <w:tc>
          <w:tcPr>
            <w:tcW w:type="dxa" w:w="580"/>
            <w:vMerge w:val="restart"/>
            <w:tcBorders>
              <w:top w:sz="6.01814651489257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Jun 22</w:t>
            </w:r>
          </w:p>
        </w:tc>
        <w:tc>
          <w:tcPr>
            <w:tcW w:type="dxa" w:w="560"/>
            <w:vMerge w:val="restart"/>
            <w:tcBorders>
              <w:top w:sz="6.01814651489257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Jun 23</w:t>
            </w:r>
          </w:p>
        </w:tc>
        <w:tc>
          <w:tcPr>
            <w:tcW w:type="dxa" w:w="580"/>
            <w:vMerge w:val="restart"/>
            <w:tcBorders>
              <w:top w:sz="6.01814651489257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Jun 24</w:t>
            </w:r>
          </w:p>
        </w:tc>
        <w:tc>
          <w:tcPr>
            <w:tcW w:type="dxa" w:w="594"/>
            <w:vMerge w:val="restart"/>
            <w:tcBorders>
              <w:top w:sz="6.01814651489257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Jun 25</w:t>
            </w:r>
          </w:p>
        </w:tc>
        <w:tc>
          <w:tcPr>
            <w:tcW w:type="dxa" w:w="674"/>
            <w:vMerge/>
            <w:tcBorders>
              <w:top w:sz="6.011756420135498" w:val="single" w:color="#E5E6E5"/>
            </w:tcBorders>
          </w:tcPr>
          <w:p/>
        </w:tc>
        <w:tc>
          <w:tcPr>
            <w:tcW w:type="dxa" w:w="3370"/>
            <w:gridSpan w:val="5"/>
            <w:vMerge/>
            <w:tcBorders>
              <w:top w:sz="6.011756420135498" w:val="single" w:color="#E5E6E5"/>
            </w:tcBorders>
          </w:tcPr>
          <w:p/>
        </w:tc>
      </w:tr>
      <w:tr>
        <w:trPr>
          <w:trHeight w:hRule="exact" w:val="160"/>
        </w:trPr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674"/>
            <w:vMerge/>
            <w:tcBorders>
              <w:top w:sz="6.018146514892578" w:val="single" w:color="#E5E6E5"/>
            </w:tcBorders>
          </w:tcPr>
          <w:p/>
        </w:tc>
        <w:tc>
          <w:tcPr>
            <w:tcW w:type="dxa" w:w="674"/>
            <w:vMerge/>
            <w:tcBorders>
              <w:top w:sz="6.018146514892578" w:val="single" w:color="#E5E6E5"/>
            </w:tcBorders>
          </w:tcPr>
          <w:p/>
        </w:tc>
        <w:tc>
          <w:tcPr>
            <w:tcW w:type="dxa" w:w="674"/>
            <w:vMerge/>
            <w:tcBorders>
              <w:top w:sz="6.018146514892578" w:val="single" w:color="#E5E6E5"/>
            </w:tcBorders>
          </w:tcPr>
          <w:p/>
        </w:tc>
        <w:tc>
          <w:tcPr>
            <w:tcW w:type="dxa" w:w="674"/>
            <w:vMerge/>
            <w:tcBorders>
              <w:top w:sz="6.018146514892578" w:val="single" w:color="#E5E6E5"/>
            </w:tcBorders>
          </w:tcPr>
          <w:p/>
        </w:tc>
        <w:tc>
          <w:tcPr>
            <w:tcW w:type="dxa" w:w="674"/>
            <w:vMerge/>
            <w:tcBorders>
              <w:top w:sz="6.018146514892578" w:val="single" w:color="#E5E6E5"/>
            </w:tcBorders>
          </w:tcPr>
          <w:p/>
        </w:tc>
        <w:tc>
          <w:tcPr>
            <w:tcW w:type="dxa" w:w="674"/>
            <w:vMerge/>
            <w:tcBorders>
              <w:top w:sz="6.018146514892578" w:val="single" w:color="#E5E6E5"/>
            </w:tcBorders>
          </w:tcPr>
          <w:p/>
        </w:tc>
        <w:tc>
          <w:tcPr>
            <w:tcW w:type="dxa" w:w="299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3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0</w:t>
            </w:r>
          </w:p>
        </w:tc>
      </w:tr>
      <w:tr>
        <w:trPr>
          <w:trHeight w:hRule="exact" w:val="264"/>
        </w:trPr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5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FY25</w:t>
            </w:r>
          </w:p>
        </w:tc>
        <w:tc>
          <w:tcPr>
            <w:tcW w:type="dxa" w:w="674"/>
            <w:vMerge/>
            <w:tcBorders>
              <w:top w:sz="6.018146514892578" w:val="single" w:color="#E5E6E5"/>
            </w:tcBorders>
          </w:tcPr>
          <w:p/>
        </w:tc>
        <w:tc>
          <w:tcPr>
            <w:tcW w:type="dxa" w:w="674"/>
            <w:vMerge/>
            <w:tcBorders>
              <w:top w:sz="6.018146514892578" w:val="single" w:color="#E5E6E5"/>
            </w:tcBorders>
          </w:tcPr>
          <w:p/>
        </w:tc>
        <w:tc>
          <w:tcPr>
            <w:tcW w:type="dxa" w:w="674"/>
            <w:vMerge/>
            <w:tcBorders>
              <w:top w:sz="6.018146514892578" w:val="single" w:color="#E5E6E5"/>
            </w:tcBorders>
          </w:tcPr>
          <w:p/>
        </w:tc>
        <w:tc>
          <w:tcPr>
            <w:tcW w:type="dxa" w:w="674"/>
            <w:vMerge/>
            <w:tcBorders>
              <w:top w:sz="6.018146514892578" w:val="single" w:color="#E5E6E5"/>
            </w:tcBorders>
          </w:tcPr>
          <w:p/>
        </w:tc>
        <w:tc>
          <w:tcPr>
            <w:tcW w:type="dxa" w:w="674"/>
            <w:vMerge/>
            <w:tcBorders>
              <w:top w:sz="6.018146514892578" w:val="single" w:color="#E5E6E5"/>
            </w:tcBorders>
          </w:tcPr>
          <w:p/>
        </w:tc>
        <w:tc>
          <w:tcPr>
            <w:tcW w:type="dxa" w:w="674"/>
            <w:vMerge/>
            <w:tcBorders>
              <w:top w:sz="6.018146514892578" w:val="single" w:color="#E5E6E5"/>
            </w:tcBorders>
          </w:tcPr>
          <w:p/>
        </w:tc>
        <w:tc>
          <w:tcPr>
            <w:tcW w:type="dxa" w:w="11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FY21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FY22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FY23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FY24</w:t>
            </w:r>
          </w:p>
        </w:tc>
        <w:tc>
          <w:tcPr>
            <w:tcW w:type="dxa" w:w="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178" w:lineRule="exact" w:before="206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loans, grants and guarantees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286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5"/>
        <w:gridCol w:w="4695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II: Executive Summary</w:t>
            </w:r>
          </w:p>
        </w:tc>
      </w:tr>
    </w:tbl>
    <w:p>
      <w:pPr>
        <w:autoSpaceDN w:val="0"/>
        <w:autoSpaceDE w:val="0"/>
        <w:widowControl/>
        <w:spacing w:line="268" w:lineRule="exact" w:before="712" w:after="86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588"/>
        </w:trPr>
        <w:tc>
          <w:tcPr>
            <w:tcW w:type="dxa" w:w="4780"/>
            <w:vMerge w:val="restart"/>
            <w:tcBorders>
              <w:bottom w:sz="6.000003337860107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40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As of June 30, 2025, investments were $47.3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billion, compared with $34.4 billion as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June 30, 2024. The increase was primarily due 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440" w:right="216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 billions of U.S. dollars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  <w:u w:val="single"/>
              </w:rPr>
              <w:t>Investments</w:t>
            </w:r>
          </w:p>
        </w:tc>
      </w:tr>
      <w:tr>
        <w:trPr>
          <w:trHeight w:hRule="exact" w:val="168"/>
        </w:trPr>
        <w:tc>
          <w:tcPr>
            <w:tcW w:type="dxa" w:w="1341"/>
            <w:vMerge/>
            <w:tcBorders>
              <w:bottom w:sz="6.000003337860107" w:val="single" w:color="#E5E6E5"/>
            </w:tcBorders>
          </w:tcPr>
          <w:p/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458" w:right="10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36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95500" cy="355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35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772"/>
        </w:trPr>
        <w:tc>
          <w:tcPr>
            <w:tcW w:type="dxa" w:w="4780"/>
            <w:vMerge w:val="restart"/>
            <w:tcBorders>
              <w:top w:sz="6.000003337860107" w:val="single" w:color="#E5E6E5"/>
              <w:bottom w:sz="6.000003337860107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0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to net cash inflows from new issuances of debt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and subscriptions and contributions paid-in,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exceeding net loan and grant disbursements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during the year (Section VII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. The primary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objective of IDA’s investment strategy is principal 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6705"/>
            <w:gridSpan w:val="5"/>
            <w:vMerge/>
            <w:tcBorders/>
          </w:tcPr>
          <w:p/>
        </w:tc>
      </w:tr>
      <w:tr>
        <w:trPr>
          <w:trHeight w:hRule="exact" w:val="444"/>
        </w:trPr>
        <w:tc>
          <w:tcPr>
            <w:tcW w:type="dxa" w:w="1341"/>
            <w:vMerge/>
            <w:tcBorders>
              <w:top w:sz="6.000003337860107" w:val="single" w:color="#E5E6E5"/>
              <w:bottom w:sz="6.000003337860107" w:val="single" w:color="#E5E6E5"/>
            </w:tcBorders>
          </w:tcPr>
          <w:p/>
        </w:tc>
        <w:tc>
          <w:tcPr>
            <w:tcW w:type="dxa" w:w="43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432" w:right="3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396"/>
        </w:trPr>
        <w:tc>
          <w:tcPr>
            <w:tcW w:type="dxa" w:w="4780"/>
            <w:vMerge w:val="restart"/>
            <w:tcBorders>
              <w:top w:sz="6.000003337860107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40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protection. As of June 30, 2025, 78% of IDA’s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investment portfolio was held in instruments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rated AA or above (77% as of June 30, 2024) </w:t>
            </w:r>
          </w:p>
        </w:tc>
        <w:tc>
          <w:tcPr>
            <w:tcW w:type="dxa" w:w="8046"/>
            <w:gridSpan w:val="6"/>
            <w:vMerge/>
            <w:tcBorders/>
          </w:tcPr>
          <w:p/>
        </w:tc>
      </w:tr>
      <w:tr>
        <w:trPr>
          <w:trHeight w:hRule="exact" w:val="324"/>
        </w:trPr>
        <w:tc>
          <w:tcPr>
            <w:tcW w:type="dxa" w:w="1341"/>
            <w:vMerge/>
            <w:tcBorders>
              <w:top w:sz="6.000003337860107" w:val="single" w:color="#E5E6E5"/>
            </w:tcBorders>
          </w:tcPr>
          <w:p/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25</w:t>
            </w:r>
          </w:p>
        </w:tc>
      </w:tr>
    </w:tbl>
    <w:p>
      <w:pPr>
        <w:autoSpaceDN w:val="0"/>
        <w:autoSpaceDE w:val="0"/>
        <w:widowControl/>
        <w:spacing w:line="224" w:lineRule="exact" w:before="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(Table 25).</w:t>
      </w:r>
    </w:p>
    <w:p>
      <w:pPr>
        <w:autoSpaceDN w:val="0"/>
        <w:autoSpaceDE w:val="0"/>
        <w:widowControl/>
        <w:spacing w:line="268" w:lineRule="exact" w:before="19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Borrowings </w:t>
      </w:r>
    </w:p>
    <w:p>
      <w:pPr>
        <w:autoSpaceDN w:val="0"/>
        <w:autoSpaceDE w:val="0"/>
        <w:widowControl/>
        <w:spacing w:line="224" w:lineRule="exact" w:before="146" w:after="16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borrowings at fair value: As of June 30, </w:t>
      </w:r>
    </w:p>
    <w:p>
      <w:pPr>
        <w:sectPr>
          <w:pgSz w:w="12240" w:h="15840"/>
          <w:pgMar w:top="216" w:right="141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2025, the market borrowings reported at fair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 were $45.1 billion, an increase of $18.7 </w:t>
      </w:r>
    </w:p>
    <w:p>
      <w:pPr>
        <w:sectPr>
          <w:type w:val="continuous"/>
          <w:pgSz w:w="12240" w:h="15840"/>
          <w:pgMar w:top="216" w:right="1410" w:bottom="360" w:left="1440" w:header="720" w:footer="720" w:gutter="0"/>
          <w:cols w:num="2" w:equalWidth="0">
            <w:col w:w="4796" w:space="0"/>
            <w:col w:w="4594" w:space="0"/>
          </w:cols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102"/>
        <w:ind w:left="424" w:right="2448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billions of U.S. dollars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Borrowings</w:t>
      </w:r>
    </w:p>
    <w:p>
      <w:pPr>
        <w:sectPr>
          <w:type w:val="nextColumn"/>
          <w:pgSz w:w="12240" w:h="15840"/>
          <w:pgMar w:top="216" w:right="1410" w:bottom="360" w:left="1440" w:header="720" w:footer="720" w:gutter="0"/>
          <w:cols w:num="2" w:equalWidth="0">
            <w:col w:w="4796" w:space="0"/>
            <w:col w:w="459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40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billion from June 30, 2024,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primarily due to net </w:t>
            </w:r>
          </w:p>
        </w:tc>
        <w:tc>
          <w:tcPr>
            <w:tcW w:type="dxa" w:w="8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3300"/>
            <w:gridSpan w:val="5"/>
            <w:vMerge w:val="restart"/>
            <w:tcBorders>
              <w:bottom w:sz="6.000003337860107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95500" cy="533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28"/>
        </w:trPr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new debt issuances of $16.9 billion during the 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6705"/>
            <w:gridSpan w:val="5"/>
            <w:vMerge/>
            <w:tcBorders>
              <w:bottom w:sz="6.000003337860107" w:val="single" w:color="#E5E6E5"/>
            </w:tcBorders>
          </w:tcPr>
          <w:p/>
        </w:tc>
      </w:tr>
      <w:tr>
        <w:trPr>
          <w:trHeight w:hRule="exact" w:val="104"/>
        </w:trPr>
        <w:tc>
          <w:tcPr>
            <w:tcW w:type="dxa" w:w="1341"/>
            <w:vMerge/>
            <w:tcBorders/>
          </w:tcPr>
          <w:p/>
        </w:tc>
        <w:tc>
          <w:tcPr>
            <w:tcW w:type="dxa" w:w="8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6705"/>
            <w:gridSpan w:val="5"/>
            <w:vMerge/>
            <w:tcBorders>
              <w:bottom w:sz="6.000003337860107" w:val="single" w:color="#E5E6E5"/>
            </w:tcBorders>
          </w:tcPr>
          <w:p/>
        </w:tc>
      </w:tr>
      <w:tr>
        <w:trPr>
          <w:trHeight w:hRule="exact" w:val="288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year. 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6705"/>
            <w:gridSpan w:val="5"/>
            <w:vMerge/>
            <w:tcBorders>
              <w:bottom w:sz="6.000003337860107" w:val="single" w:color="#E5E6E5"/>
            </w:tcBorders>
          </w:tcPr>
          <w:p/>
        </w:tc>
      </w:tr>
      <w:tr>
        <w:trPr>
          <w:trHeight w:hRule="exact" w:val="300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Market borrowings at amortized cost: As of 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6705"/>
            <w:gridSpan w:val="5"/>
            <w:vMerge/>
            <w:tcBorders>
              <w:bottom w:sz="6.000003337860107" w:val="single" w:color="#E5E6E5"/>
            </w:tcBorders>
          </w:tcPr>
          <w:p/>
        </w:tc>
      </w:tr>
      <w:tr>
        <w:trPr>
          <w:trHeight w:hRule="exact" w:val="238"/>
        </w:trPr>
        <w:tc>
          <w:tcPr>
            <w:tcW w:type="dxa" w:w="4800"/>
            <w:tcBorders>
              <w:bottom w:sz="6.000003337860107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June 30, 2025, the market borrowings reported </w:t>
            </w:r>
          </w:p>
        </w:tc>
        <w:tc>
          <w:tcPr>
            <w:tcW w:type="dxa" w:w="848"/>
            <w:tcBorders>
              <w:bottom w:sz="6.000003337860107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5"/>
            <w:gridSpan w:val="5"/>
            <w:vMerge/>
            <w:tcBorders>
              <w:bottom w:sz="6.000003337860107" w:val="single" w:color="#E5E6E5"/>
            </w:tcBorders>
          </w:tcPr>
          <w:p/>
        </w:tc>
      </w:tr>
      <w:tr>
        <w:trPr>
          <w:trHeight w:hRule="exact" w:val="242"/>
        </w:trPr>
        <w:tc>
          <w:tcPr>
            <w:tcW w:type="dxa" w:w="4800"/>
            <w:tcBorders>
              <w:top w:sz="6.000003337860107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at amortized cost were $18.1 billion, an increase </w:t>
            </w:r>
          </w:p>
        </w:tc>
        <w:tc>
          <w:tcPr>
            <w:tcW w:type="dxa" w:w="848"/>
            <w:tcBorders>
              <w:top w:sz="6.000003337860107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632"/>
            <w:vMerge w:val="restart"/>
            <w:tcBorders>
              <w:top w:sz="6.000003337860107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660"/>
            <w:vMerge w:val="restart"/>
            <w:tcBorders>
              <w:top w:sz="6.000003337860107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660"/>
            <w:vMerge w:val="restart"/>
            <w:tcBorders>
              <w:top w:sz="6.000003337860107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660"/>
            <w:vMerge w:val="restart"/>
            <w:tcBorders>
              <w:top w:sz="6.000003337860107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  <w:tc>
          <w:tcPr>
            <w:tcW w:type="dxa" w:w="688"/>
            <w:vMerge w:val="restart"/>
            <w:tcBorders>
              <w:top w:sz="6.000003337860107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25</w:t>
            </w:r>
          </w:p>
        </w:tc>
      </w:tr>
      <w:tr>
        <w:trPr>
          <w:trHeight w:hRule="exact" w:val="240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of $6.6 billion from June 30, 2024, primarily due </w:t>
            </w:r>
          </w:p>
        </w:tc>
        <w:tc>
          <w:tcPr>
            <w:tcW w:type="dxa" w:w="8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341"/>
            <w:vMerge/>
            <w:tcBorders>
              <w:top w:sz="6.000003337860107" w:val="single" w:color="#E5E6E5"/>
            </w:tcBorders>
          </w:tcPr>
          <w:p/>
        </w:tc>
        <w:tc>
          <w:tcPr>
            <w:tcW w:type="dxa" w:w="1341"/>
            <w:vMerge/>
            <w:tcBorders>
              <w:top w:sz="6.000003337860107" w:val="single" w:color="#E5E6E5"/>
            </w:tcBorders>
          </w:tcPr>
          <w:p/>
        </w:tc>
        <w:tc>
          <w:tcPr>
            <w:tcW w:type="dxa" w:w="1341"/>
            <w:vMerge/>
            <w:tcBorders>
              <w:top w:sz="6.000003337860107" w:val="single" w:color="#E5E6E5"/>
            </w:tcBorders>
          </w:tcPr>
          <w:p/>
        </w:tc>
        <w:tc>
          <w:tcPr>
            <w:tcW w:type="dxa" w:w="1341"/>
            <w:vMerge/>
            <w:tcBorders>
              <w:top w:sz="6.000003337860107" w:val="single" w:color="#E5E6E5"/>
            </w:tcBorders>
          </w:tcPr>
          <w:p/>
        </w:tc>
        <w:tc>
          <w:tcPr>
            <w:tcW w:type="dxa" w:w="1341"/>
            <w:vMerge/>
            <w:tcBorders>
              <w:top w:sz="6.000003337860107" w:val="single" w:color="#E5E6E5"/>
            </w:tcBorders>
          </w:tcPr>
          <w:p/>
        </w:tc>
      </w:tr>
      <w:tr>
        <w:trPr>
          <w:trHeight w:hRule="exact" w:val="252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to net new debt issuances of $5.2 billion during 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>
              <w:top w:sz="6.000003337860107" w:val="single" w:color="#E5E6E5"/>
            </w:tcBorders>
          </w:tcPr>
          <w:p/>
        </w:tc>
        <w:tc>
          <w:tcPr>
            <w:tcW w:type="dxa" w:w="1341"/>
            <w:vMerge/>
            <w:tcBorders>
              <w:top w:sz="6.000003337860107" w:val="single" w:color="#E5E6E5"/>
            </w:tcBorders>
          </w:tcPr>
          <w:p/>
        </w:tc>
        <w:tc>
          <w:tcPr>
            <w:tcW w:type="dxa" w:w="1341"/>
            <w:vMerge/>
            <w:tcBorders>
              <w:top w:sz="6.000003337860107" w:val="single" w:color="#E5E6E5"/>
            </w:tcBorders>
          </w:tcPr>
          <w:p/>
        </w:tc>
        <w:tc>
          <w:tcPr>
            <w:tcW w:type="dxa" w:w="1341"/>
            <w:vMerge/>
            <w:tcBorders>
              <w:top w:sz="6.000003337860107" w:val="single" w:color="#E5E6E5"/>
            </w:tcBorders>
          </w:tcPr>
          <w:p/>
        </w:tc>
        <w:tc>
          <w:tcPr>
            <w:tcW w:type="dxa" w:w="1341"/>
            <w:vMerge/>
            <w:tcBorders>
              <w:top w:sz="6.000003337860107" w:val="single" w:color="#E5E6E5"/>
            </w:tcBorders>
          </w:tcPr>
          <w:p/>
        </w:tc>
      </w:tr>
    </w:tbl>
    <w:p>
      <w:pPr>
        <w:autoSpaceDN w:val="0"/>
        <w:autoSpaceDE w:val="0"/>
        <w:widowControl/>
        <w:spacing w:line="224" w:lineRule="exact" w:before="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year. </w:t>
      </w:r>
    </w:p>
    <w:p>
      <w:pPr>
        <w:autoSpaceDN w:val="0"/>
        <w:autoSpaceDE w:val="0"/>
        <w:widowControl/>
        <w:spacing w:line="240" w:lineRule="exact" w:before="120" w:after="0"/>
        <w:ind w:left="0" w:right="50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Concessional Partner Loans (CPL) at amortized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cost: As of June 30, 2025, CPL at amortized cost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were $7.6 billion, an increase of $0.6 billion from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>June 30, 2024 (Section VIII).</w:t>
      </w:r>
    </w:p>
    <w:p>
      <w:pPr>
        <w:autoSpaceDN w:val="0"/>
        <w:autoSpaceDE w:val="0"/>
        <w:widowControl/>
        <w:spacing w:line="268" w:lineRule="exact" w:before="190" w:after="146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Total Equity and Capital Adequacy</w:t>
      </w:r>
    </w:p>
    <w:p>
      <w:pPr>
        <w:sectPr>
          <w:type w:val="continuous"/>
          <w:pgSz w:w="12240" w:h="15840"/>
          <w:pgMar w:top="216" w:right="141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IDA’s total equity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$204.2 billion, an increase of $13.9 billion from </w:t>
      </w:r>
    </w:p>
    <w:p>
      <w:pPr>
        <w:sectPr>
          <w:type w:val="continuous"/>
          <w:pgSz w:w="12240" w:h="15840"/>
          <w:pgMar w:top="216" w:right="1410" w:bottom="360" w:left="1440" w:header="720" w:footer="720" w:gutter="0"/>
          <w:cols w:num="2" w:equalWidth="0">
            <w:col w:w="4798" w:space="0"/>
            <w:col w:w="4592" w:space="0"/>
          </w:cols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102"/>
        <w:ind w:left="422" w:right="2448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Total Equity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billions of U.S. dollars</w:t>
      </w:r>
    </w:p>
    <w:p>
      <w:pPr>
        <w:sectPr>
          <w:type w:val="nextColumn"/>
          <w:pgSz w:w="12240" w:h="15840"/>
          <w:pgMar w:top="216" w:right="1410" w:bottom="360" w:left="1440" w:header="720" w:footer="720" w:gutter="0"/>
          <w:cols w:num="2" w:equalWidth="0">
            <w:col w:w="4798" w:space="0"/>
            <w:col w:w="459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52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June 30, 2024. The increase was primarily due </w:t>
            </w:r>
          </w:p>
        </w:tc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225</w:t>
            </w:r>
          </w:p>
        </w:tc>
        <w:tc>
          <w:tcPr>
            <w:tcW w:type="dxa" w:w="3210"/>
            <w:gridSpan w:val="5"/>
            <w:vMerge w:val="restart"/>
            <w:tcBorders>
              <w:bottom w:sz="6.017104148864746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38300" cy="889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92"/>
        </w:trPr>
        <w:tc>
          <w:tcPr>
            <w:tcW w:type="dxa" w:w="4800"/>
            <w:tcBorders>
              <w:bottom w:sz="6.017104148864746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to subscriptions and contributions paid in and </w:t>
            </w:r>
          </w:p>
        </w:tc>
        <w:tc>
          <w:tcPr>
            <w:tcW w:type="dxa" w:w="938"/>
            <w:tcBorders>
              <w:bottom w:sz="6.017104148864746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5"/>
            <w:gridSpan w:val="5"/>
            <w:vMerge/>
            <w:tcBorders>
              <w:bottom w:sz="6.017104148864746" w:val="single" w:color="#E5E6E5"/>
            </w:tcBorders>
          </w:tcPr>
          <w:p/>
        </w:tc>
      </w:tr>
      <w:tr>
        <w:trPr>
          <w:trHeight w:hRule="exact" w:val="148"/>
        </w:trPr>
        <w:tc>
          <w:tcPr>
            <w:tcW w:type="dxa" w:w="4800"/>
            <w:vMerge w:val="restart"/>
            <w:tcBorders>
              <w:top w:sz="6.017104148864746" w:val="single" w:color="#E5E6E5"/>
              <w:bottom w:sz="6.017104148864746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currency translation gains as the Special </w:t>
            </w:r>
          </w:p>
        </w:tc>
        <w:tc>
          <w:tcPr>
            <w:tcW w:type="dxa" w:w="938"/>
            <w:tcBorders>
              <w:top w:sz="6.017104148864746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150</w:t>
            </w:r>
          </w:p>
        </w:tc>
        <w:tc>
          <w:tcPr>
            <w:tcW w:type="dxa" w:w="622"/>
            <w:vMerge w:val="restart"/>
            <w:tcBorders>
              <w:top w:sz="6.017104148864746" w:val="single" w:color="#E5E6E5"/>
              <w:bottom w:sz="6.017104148864746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vMerge w:val="restart"/>
            <w:tcBorders>
              <w:top w:sz="6.017104148864746" w:val="single" w:color="#E5E6E5"/>
              <w:bottom w:sz="6.017104148864746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vMerge w:val="restart"/>
            <w:tcBorders>
              <w:top w:sz="6.017104148864746" w:val="single" w:color="#E5E6E5"/>
              <w:bottom w:sz="6.017104148864746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vMerge w:val="restart"/>
            <w:tcBorders>
              <w:top w:sz="6.017104148864746" w:val="single" w:color="#E5E6E5"/>
              <w:bottom w:sz="6.017104148864746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8"/>
            <w:vMerge w:val="restart"/>
            <w:tcBorders>
              <w:top w:sz="6.017104148864746" w:val="single" w:color="#E5E6E5"/>
              <w:bottom w:sz="6.017104148864746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0"/>
        </w:trPr>
        <w:tc>
          <w:tcPr>
            <w:tcW w:type="dxa" w:w="1341"/>
            <w:vMerge/>
            <w:tcBorders>
              <w:top w:sz="6.017104148864746" w:val="single" w:color="#E5E6E5"/>
              <w:bottom w:sz="6.017104148864746" w:val="single" w:color="#E5E6E5"/>
            </w:tcBorders>
          </w:tcPr>
          <w:p/>
        </w:tc>
        <w:tc>
          <w:tcPr>
            <w:tcW w:type="dxa" w:w="938"/>
            <w:tcBorders>
              <w:bottom w:sz="6.017104148864746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1"/>
            <w:vMerge/>
            <w:tcBorders>
              <w:top w:sz="6.017104148864746" w:val="single" w:color="#E5E6E5"/>
              <w:bottom w:sz="6.017104148864746" w:val="single" w:color="#E5E6E5"/>
            </w:tcBorders>
          </w:tcPr>
          <w:p/>
        </w:tc>
        <w:tc>
          <w:tcPr>
            <w:tcW w:type="dxa" w:w="1341"/>
            <w:vMerge/>
            <w:tcBorders>
              <w:top w:sz="6.017104148864746" w:val="single" w:color="#E5E6E5"/>
              <w:bottom w:sz="6.017104148864746" w:val="single" w:color="#E5E6E5"/>
            </w:tcBorders>
          </w:tcPr>
          <w:p/>
        </w:tc>
        <w:tc>
          <w:tcPr>
            <w:tcW w:type="dxa" w:w="1341"/>
            <w:vMerge/>
            <w:tcBorders>
              <w:top w:sz="6.017104148864746" w:val="single" w:color="#E5E6E5"/>
              <w:bottom w:sz="6.017104148864746" w:val="single" w:color="#E5E6E5"/>
            </w:tcBorders>
          </w:tcPr>
          <w:p/>
        </w:tc>
        <w:tc>
          <w:tcPr>
            <w:tcW w:type="dxa" w:w="1341"/>
            <w:vMerge/>
            <w:tcBorders>
              <w:top w:sz="6.017104148864746" w:val="single" w:color="#E5E6E5"/>
              <w:bottom w:sz="6.017104148864746" w:val="single" w:color="#E5E6E5"/>
            </w:tcBorders>
          </w:tcPr>
          <w:p/>
        </w:tc>
        <w:tc>
          <w:tcPr>
            <w:tcW w:type="dxa" w:w="1341"/>
            <w:vMerge/>
            <w:tcBorders>
              <w:top w:sz="6.017104148864746" w:val="single" w:color="#E5E6E5"/>
              <w:bottom w:sz="6.017104148864746" w:val="single" w:color="#E5E6E5"/>
            </w:tcBorders>
          </w:tcPr>
          <w:p/>
        </w:tc>
      </w:tr>
      <w:tr>
        <w:trPr>
          <w:trHeight w:hRule="exact" w:val="200"/>
        </w:trPr>
        <w:tc>
          <w:tcPr>
            <w:tcW w:type="dxa" w:w="4800"/>
            <w:tcBorders>
              <w:top w:sz="6.017104148864746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Drawing Rights (SDR) appreciated against the </w:t>
            </w:r>
          </w:p>
        </w:tc>
        <w:tc>
          <w:tcPr>
            <w:tcW w:type="dxa" w:w="938"/>
            <w:tcBorders>
              <w:top w:sz="6.017104148864746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75</w:t>
            </w:r>
          </w:p>
        </w:tc>
        <w:tc>
          <w:tcPr>
            <w:tcW w:type="dxa" w:w="622"/>
            <w:vMerge w:val="restart"/>
            <w:tcBorders>
              <w:top w:sz="6.017104148864746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9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620"/>
            <w:vMerge w:val="restart"/>
            <w:tcBorders>
              <w:top w:sz="6.017104148864746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9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660"/>
            <w:vMerge w:val="restart"/>
            <w:tcBorders>
              <w:top w:sz="6.017104148864746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9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640"/>
            <w:vMerge w:val="restart"/>
            <w:tcBorders>
              <w:top w:sz="6.017104148864746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9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  <w:tc>
          <w:tcPr>
            <w:tcW w:type="dxa" w:w="668"/>
            <w:vMerge w:val="restart"/>
            <w:tcBorders>
              <w:top w:sz="6.017104148864746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9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25</w:t>
            </w:r>
          </w:p>
        </w:tc>
      </w:tr>
      <w:tr>
        <w:trPr>
          <w:trHeight w:hRule="exact" w:val="260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U.S dollar. This was partially offset by the net </w:t>
            </w:r>
          </w:p>
        </w:tc>
        <w:tc>
          <w:tcPr>
            <w:tcW w:type="dxa" w:w="9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341"/>
            <w:vMerge/>
            <w:tcBorders>
              <w:top w:sz="6.017104148864746" w:val="single" w:color="#E5E6E5"/>
            </w:tcBorders>
          </w:tcPr>
          <w:p/>
        </w:tc>
        <w:tc>
          <w:tcPr>
            <w:tcW w:type="dxa" w:w="1341"/>
            <w:vMerge/>
            <w:tcBorders>
              <w:top w:sz="6.017104148864746" w:val="single" w:color="#E5E6E5"/>
            </w:tcBorders>
          </w:tcPr>
          <w:p/>
        </w:tc>
        <w:tc>
          <w:tcPr>
            <w:tcW w:type="dxa" w:w="1341"/>
            <w:vMerge/>
            <w:tcBorders>
              <w:top w:sz="6.017104148864746" w:val="single" w:color="#E5E6E5"/>
            </w:tcBorders>
          </w:tcPr>
          <w:p/>
        </w:tc>
        <w:tc>
          <w:tcPr>
            <w:tcW w:type="dxa" w:w="1341"/>
            <w:vMerge/>
            <w:tcBorders>
              <w:top w:sz="6.017104148864746" w:val="single" w:color="#E5E6E5"/>
            </w:tcBorders>
          </w:tcPr>
          <w:p/>
        </w:tc>
        <w:tc>
          <w:tcPr>
            <w:tcW w:type="dxa" w:w="1341"/>
            <w:vMerge/>
            <w:tcBorders>
              <w:top w:sz="6.017104148864746" w:val="single" w:color="#E5E6E5"/>
            </w:tcBorders>
          </w:tcPr>
          <w:p/>
        </w:tc>
      </w:tr>
      <w:tr>
        <w:trPr>
          <w:trHeight w:hRule="exact" w:val="212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loss during the year. (Section IV).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>
              <w:top w:sz="6.017104148864746" w:val="single" w:color="#E5E6E5"/>
            </w:tcBorders>
          </w:tcPr>
          <w:p/>
        </w:tc>
        <w:tc>
          <w:tcPr>
            <w:tcW w:type="dxa" w:w="1341"/>
            <w:vMerge/>
            <w:tcBorders>
              <w:top w:sz="6.017104148864746" w:val="single" w:color="#E5E6E5"/>
            </w:tcBorders>
          </w:tcPr>
          <w:p/>
        </w:tc>
        <w:tc>
          <w:tcPr>
            <w:tcW w:type="dxa" w:w="1341"/>
            <w:vMerge/>
            <w:tcBorders>
              <w:top w:sz="6.017104148864746" w:val="single" w:color="#E5E6E5"/>
            </w:tcBorders>
          </w:tcPr>
          <w:p/>
        </w:tc>
        <w:tc>
          <w:tcPr>
            <w:tcW w:type="dxa" w:w="1341"/>
            <w:vMerge/>
            <w:tcBorders>
              <w:top w:sz="6.017104148864746" w:val="single" w:color="#E5E6E5"/>
            </w:tcBorders>
          </w:tcPr>
          <w:p/>
        </w:tc>
        <w:tc>
          <w:tcPr>
            <w:tcW w:type="dxa" w:w="1341"/>
            <w:vMerge/>
            <w:tcBorders>
              <w:top w:sz="6.017104148864746" w:val="single" w:color="#E5E6E5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136"/>
        <w:ind w:left="0" w:right="0"/>
      </w:pPr>
    </w:p>
    <w:p>
      <w:pPr>
        <w:sectPr>
          <w:type w:val="continuous"/>
          <w:pgSz w:w="12240" w:h="15840"/>
          <w:pgMar w:top="216" w:right="141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Deployable Strategic Capital (DSC) ratio,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main capital adequacy measure, was </w:t>
      </w:r>
    </w:p>
    <w:p>
      <w:pPr>
        <w:sectPr>
          <w:type w:val="continuous"/>
          <w:pgSz w:w="12240" w:h="15840"/>
          <w:pgMar w:top="216" w:right="1410" w:bottom="360" w:left="1440" w:header="720" w:footer="720" w:gutter="0"/>
          <w:cols w:num="2" w:equalWidth="0">
            <w:col w:w="4798" w:space="0"/>
            <w:col w:w="4592" w:space="0"/>
          </w:cols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98"/>
        <w:ind w:left="422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Deployable Strategic Capital Ratio </w:t>
      </w:r>
      <w:r>
        <w:rPr>
          <w:rFonts w:ascii="Arial" w:hAnsi="Arial" w:eastAsia="Arial"/>
          <w:b w:val="0"/>
          <w:i/>
          <w:color w:val="000000"/>
          <w:sz w:val="16"/>
        </w:rPr>
        <w:t>Ratio in percentages</w:t>
      </w:r>
    </w:p>
    <w:p>
      <w:pPr>
        <w:sectPr>
          <w:type w:val="nextColumn"/>
          <w:pgSz w:w="12240" w:h="15840"/>
          <w:pgMar w:top="216" w:right="1410" w:bottom="360" w:left="1440" w:header="720" w:footer="720" w:gutter="0"/>
          <w:cols w:num="2" w:equalWidth="0">
            <w:col w:w="4798" w:space="0"/>
            <w:col w:w="459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5"/>
        <w:gridCol w:w="4695"/>
      </w:tblGrid>
      <w:tr>
        <w:trPr>
          <w:trHeight w:hRule="exact" w:val="212"/>
        </w:trPr>
        <w:tc>
          <w:tcPr>
            <w:tcW w:type="dxa" w:w="6286"/>
            <w:tcBorders>
              <w:bottom w:sz="12.008615493774414" w:val="single" w:color="#00497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30.8% as of June 30, 2025, above the zero </w:t>
            </w:r>
          </w:p>
        </w:tc>
        <w:tc>
          <w:tcPr>
            <w:tcW w:type="dxa" w:w="2454"/>
            <w:tcBorders>
              <w:bottom w:sz="12.008615493774414" w:val="single" w:color="#004972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6"/>
        </w:trPr>
        <w:tc>
          <w:tcPr>
            <w:tcW w:type="dxa" w:w="6286"/>
            <w:tcBorders>
              <w:top w:sz="12.008615493774414" w:val="single" w:color="#00497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percent policy minimum (Section IX).</w:t>
            </w:r>
          </w:p>
        </w:tc>
        <w:tc>
          <w:tcPr>
            <w:tcW w:type="dxa" w:w="2454"/>
            <w:tcBorders>
              <w:top w:sz="12.008615493774414" w:val="single" w:color="#00497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576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595959"/>
                <w:sz w:val="12"/>
              </w:rPr>
              <w:t xml:space="preserve">DSC Ratio - Current Approach </w:t>
            </w:r>
            <w:r>
              <w:rPr>
                <w:rFonts w:ascii="Arial" w:hAnsi="Arial" w:eastAsia="Arial"/>
                <w:b/>
                <w:i w:val="0"/>
                <w:color w:val="595959"/>
                <w:sz w:val="12"/>
              </w:rPr>
              <w:t>DSC Ratio - Previous Approach</w:t>
            </w:r>
          </w:p>
        </w:tc>
      </w:tr>
    </w:tbl>
    <w:p>
      <w:pPr>
        <w:autoSpaceDN w:val="0"/>
        <w:tabs>
          <w:tab w:pos="5800" w:val="left"/>
        </w:tabs>
        <w:autoSpaceDE w:val="0"/>
        <w:widowControl/>
        <w:spacing w:line="240" w:lineRule="auto" w:before="0" w:after="0"/>
        <w:ind w:left="5246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45%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30%</w:t>
      </w:r>
      <w:r>
        <w:drawing>
          <wp:inline xmlns:a="http://schemas.openxmlformats.org/drawingml/2006/main" xmlns:pic="http://schemas.openxmlformats.org/drawingml/2006/picture">
            <wp:extent cx="2032000" cy="190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9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6" w:lineRule="exact" w:before="0" w:after="16"/>
        <w:ind w:left="5334" w:right="3744" w:hanging="88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15%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0%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60.0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226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25</w:t>
            </w:r>
          </w:p>
        </w:tc>
      </w:tr>
    </w:tbl>
    <w:p>
      <w:pPr>
        <w:autoSpaceDN w:val="0"/>
        <w:autoSpaceDE w:val="0"/>
        <w:widowControl/>
        <w:spacing w:line="158" w:lineRule="exact" w:before="32" w:after="0"/>
        <w:ind w:left="0" w:right="1120" w:firstLine="0"/>
        <w:jc w:val="right"/>
      </w:pPr>
      <w:r>
        <w:rPr>
          <w:rFonts w:ascii="Arial" w:hAnsi="Arial" w:eastAsia="Arial"/>
          <w:b/>
          <w:i w:val="0"/>
          <w:color w:val="595959"/>
          <w:sz w:val="14"/>
        </w:rPr>
        <w:t>Policy Minimum ratio = 0%</w:t>
      </w:r>
    </w:p>
    <w:p>
      <w:pPr>
        <w:autoSpaceDN w:val="0"/>
        <w:tabs>
          <w:tab w:pos="9248" w:val="left"/>
        </w:tabs>
        <w:autoSpaceDE w:val="0"/>
        <w:widowControl/>
        <w:spacing w:line="224" w:lineRule="exact" w:before="552" w:after="0"/>
        <w:ind w:left="348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9</w:t>
      </w:r>
    </w:p>
    <w:p>
      <w:pPr>
        <w:sectPr>
          <w:type w:val="continuous"/>
          <w:pgSz w:w="12240" w:h="15840"/>
          <w:pgMar w:top="216" w:right="141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III: IDA’s Financial Resources</w:t>
            </w:r>
          </w:p>
        </w:tc>
      </w:tr>
    </w:tbl>
    <w:p>
      <w:pPr>
        <w:autoSpaceDN w:val="0"/>
        <w:autoSpaceDE w:val="0"/>
        <w:widowControl/>
        <w:spacing w:line="402" w:lineRule="exact" w:before="74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>Section III: IDA’s Financial Resources</w:t>
      </w:r>
    </w:p>
    <w:p>
      <w:pPr>
        <w:autoSpaceDN w:val="0"/>
        <w:autoSpaceDE w:val="0"/>
        <w:widowControl/>
        <w:spacing w:line="240" w:lineRule="exact" w:before="212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finances its operations mainly with its own equity, including regular additions to equity through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members' subscriptions and contributions as part of the replenishment process. Members’ subscriptions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contributions receivable for each replenishment are settled through payment of cash or deposit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nonnegotiable, noninterest-bearing demand notes which become due throughout the replenishment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period, generally three years. The notes are encashed by IDA on a pro rata basis over a 9 to 11-year </w:t>
      </w:r>
      <w:r>
        <w:rPr>
          <w:rFonts w:ascii="ArialMT" w:hAnsi="ArialMT" w:eastAsia="ArialMT"/>
          <w:b w:val="0"/>
          <w:i w:val="0"/>
          <w:color w:val="000000"/>
          <w:sz w:val="20"/>
        </w:rPr>
        <w:t>period which generally corresponds with the disbursement period of the loans and grants.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See Box 1 for countries that are eligible to borrow from IDA on concessional terms as of June 30, 2025.</w:t>
      </w:r>
    </w:p>
    <w:p>
      <w:pPr>
        <w:autoSpaceDN w:val="0"/>
        <w:autoSpaceDE w:val="0"/>
        <w:widowControl/>
        <w:spacing w:line="222" w:lineRule="exact" w:before="138" w:after="11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Box 1: Countries Eligible to Borrow from IDA on Concessional terms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3"/>
        <w:gridCol w:w="4723"/>
      </w:tblGrid>
      <w:tr>
        <w:trPr>
          <w:trHeight w:hRule="exact" w:val="1724"/>
        </w:trPr>
        <w:tc>
          <w:tcPr>
            <w:tcW w:type="dxa" w:w="1174"/>
            <w:vMerge w:val="restart"/>
            <w:tcBorders>
              <w:top w:sz="4.0" w:val="single" w:color="#7F7F7F"/>
              <w:end w:sz="4.0" w:val="single" w:color="#7F7F7F"/>
              <w:bottom w:sz="4.0" w:val="single" w:color="#7F7F7F"/>
            </w:tcBorders>
            <w:shd w:fill="00487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2" w:val="left"/>
              </w:tabs>
              <w:autoSpaceDE w:val="0"/>
              <w:widowControl/>
              <w:spacing w:line="192" w:lineRule="exact" w:before="1802" w:after="0"/>
              <w:ind w:left="2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 xml:space="preserve">IDA eligible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countries</w:t>
            </w:r>
          </w:p>
        </w:tc>
        <w:tc>
          <w:tcPr>
            <w:tcW w:type="dxa" w:w="8194"/>
            <w:tcBorders>
              <w:start w:sz="4.0" w:val="single" w:color="#7F7F7F"/>
              <w:top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6.000000000000227" w:type="dxa"/>
            </w:tblPr>
            <w:tblGrid>
              <w:gridCol w:w="4097"/>
              <w:gridCol w:w="4097"/>
            </w:tblGrid>
            <w:tr>
              <w:trPr>
                <w:trHeight w:hRule="exact" w:val="978"/>
              </w:trPr>
              <w:tc>
                <w:tcPr>
                  <w:tcW w:type="dxa" w:w="1006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IDA-only</w:t>
                  </w:r>
                </w:p>
              </w:tc>
              <w:tc>
                <w:tcPr>
                  <w:tcW w:type="dxa" w:w="7184"/>
                  <w:tcBorders/>
                  <w:shd w:fill="e5ec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2" w:after="0"/>
                    <w:ind w:left="106" w:right="8" w:firstLine="0"/>
                    <w:jc w:val="both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44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countries that (a) have not exceeded the IDA operational cut-off GNI per capita for more than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two consecutive years; and (b) are not creditworthy to borrow from IBRD. This includes: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13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Small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States that have per capita incomes above the IDA operational cut-off for more than two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consecutive years, but that have been granted the status of an “IDA-only Country” under the Small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States Exception (SSE) </w:t>
                  </w:r>
                  <w:r>
                    <w:rPr>
                      <w:w w:val="103.99999618530273"/>
                      <w:rFonts w:ascii="ArialMT" w:hAnsi="ArialMT" w:eastAsia="ArialMT"/>
                      <w:b w:val="0"/>
                      <w:i w:val="0"/>
                      <w:color w:val="000000"/>
                      <w:sz w:val="10"/>
                    </w:rPr>
                    <w:t>a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2" w:lineRule="exact" w:before="118" w:after="0"/>
              <w:ind w:left="110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country with loans in nonaccrual status, which was classified as “IDA-only” at the time they went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into nonaccrual. IDA financing terms will be determined when the country reengages with IDA. </w:t>
            </w:r>
          </w:p>
        </w:tc>
      </w:tr>
      <w:tr>
        <w:trPr>
          <w:trHeight w:hRule="exact" w:val="1050"/>
        </w:trPr>
        <w:tc>
          <w:tcPr>
            <w:tcW w:type="dxa" w:w="4723"/>
            <w:vMerge/>
            <w:tcBorders>
              <w:top w:sz="4.0" w:val="single" w:color="#7F7F7F"/>
              <w:end w:sz="4.0" w:val="single" w:color="#7F7F7F"/>
              <w:bottom w:sz="4.0" w:val="single" w:color="#7F7F7F"/>
            </w:tcBorders>
          </w:tcPr>
          <w:p/>
        </w:tc>
        <w:tc>
          <w:tcPr>
            <w:tcW w:type="dxa" w:w="8194"/>
            <w:tcBorders>
              <w:start w:sz="4.0" w:val="single" w:color="#7F7F7F"/>
              <w:top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6" w:val="left"/>
              </w:tabs>
              <w:autoSpaceDE w:val="0"/>
              <w:widowControl/>
              <w:spacing w:line="192" w:lineRule="exact" w:before="6" w:after="0"/>
              <w:ind w:left="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Gap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countries that are (a) determined by IDA to be eligible for IDA financing; (b) determined by IDA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to have a GNI per capita that has exceeded the cut-off for IDA eligibility for more than two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consecutive years; and (c) not currently determined by IBRD to be creditworthy to borrow from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IBRD. This includes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Small State.</w:t>
            </w:r>
          </w:p>
        </w:tc>
      </w:tr>
      <w:tr>
        <w:trPr>
          <w:trHeight w:hRule="exact" w:val="1246"/>
        </w:trPr>
        <w:tc>
          <w:tcPr>
            <w:tcW w:type="dxa" w:w="4723"/>
            <w:vMerge/>
            <w:tcBorders>
              <w:top w:sz="4.0" w:val="single" w:color="#7F7F7F"/>
              <w:end w:sz="4.0" w:val="single" w:color="#7F7F7F"/>
              <w:bottom w:sz="4.0" w:val="single" w:color="#7F7F7F"/>
            </w:tcBorders>
          </w:tcPr>
          <w:p/>
        </w:tc>
        <w:tc>
          <w:tcPr>
            <w:tcW w:type="dxa" w:w="8194"/>
            <w:tcBorders>
              <w:start w:sz="4.0" w:val="single" w:color="#7F7F7F"/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6" w:val="left"/>
              </w:tabs>
              <w:autoSpaceDE w:val="0"/>
              <w:widowControl/>
              <w:spacing w:line="192" w:lineRule="exact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Blend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18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countries that are determined: (a) by IDA to be eligible for IDA financing; and (b) by IBRD to be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creditworthy to borrow from IBRD. This includes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Small States under the SSE.</w:t>
            </w:r>
          </w:p>
          <w:p>
            <w:pPr>
              <w:autoSpaceDN w:val="0"/>
              <w:autoSpaceDE w:val="0"/>
              <w:widowControl/>
              <w:spacing w:line="192" w:lineRule="exact" w:before="120" w:after="0"/>
              <w:ind w:left="110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country with loans in nonaccrual status, which was classified as “Blend” at the time it went into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nonaccrual. IDA financing terms will be determined when the country reengages with IDA. </w:t>
            </w:r>
          </w:p>
        </w:tc>
      </w:tr>
    </w:tbl>
    <w:p>
      <w:pPr>
        <w:autoSpaceDN w:val="0"/>
        <w:autoSpaceDE w:val="0"/>
        <w:widowControl/>
        <w:spacing w:line="192" w:lineRule="exact" w:before="4" w:after="3448"/>
        <w:ind w:left="242" w:right="84" w:hanging="180"/>
        <w:jc w:val="both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Small States are countries with a population of 1.5 million people or fewer. A small state classified as an IDA-only country, Gap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country or a Blend country is eligible for the SSE if its GNI per capita is above the IDA Operational cut-off but below the high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income threshold.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30"/>
        </w:trPr>
        <w:tc>
          <w:tcPr>
            <w:tcW w:type="dxa" w:w="6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and Guarantees</w:t>
            </w:r>
          </w:p>
        </w:tc>
        <w:tc>
          <w:tcPr>
            <w:tcW w:type="dxa" w:w="576"/>
            <w:vMerge w:val="restart"/>
            <w:tcBorders>
              <w:bottom w:sz="8.0" w:val="single" w:color="#24242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67.4 </w:t>
            </w:r>
          </w:p>
        </w:tc>
      </w:tr>
      <w:tr>
        <w:trPr>
          <w:trHeight w:hRule="exact" w:val="240"/>
        </w:trPr>
        <w:tc>
          <w:tcPr>
            <w:tcW w:type="dxa" w:w="6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Grants</w:t>
            </w:r>
          </w:p>
        </w:tc>
        <w:tc>
          <w:tcPr>
            <w:tcW w:type="dxa" w:w="3149"/>
            <w:vMerge/>
            <w:tcBorders>
              <w:bottom w:sz="8.0" w:val="single" w:color="#242424"/>
            </w:tcBorders>
          </w:tcPr>
          <w:p/>
        </w:tc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23.6 </w:t>
            </w:r>
          </w:p>
        </w:tc>
      </w:tr>
      <w:tr>
        <w:trPr>
          <w:trHeight w:hRule="exact" w:val="248"/>
        </w:trPr>
        <w:tc>
          <w:tcPr>
            <w:tcW w:type="dxa" w:w="6314"/>
            <w:tcBorders>
              <w:bottom w:sz="8.0" w:val="single" w:color="#24242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Non-concessional financing (including Private Sector Window)</w:t>
            </w:r>
          </w:p>
        </w:tc>
        <w:tc>
          <w:tcPr>
            <w:tcW w:type="dxa" w:w="3149"/>
            <w:vMerge/>
            <w:tcBorders>
              <w:bottom w:sz="8.0" w:val="single" w:color="#242424"/>
            </w:tcBorders>
          </w:tcPr>
          <w:p/>
        </w:tc>
        <w:tc>
          <w:tcPr>
            <w:tcW w:type="dxa" w:w="870"/>
            <w:tcBorders>
              <w:bottom w:sz="8.0" w:val="single" w:color="#24242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10.2 </w:t>
            </w:r>
          </w:p>
        </w:tc>
      </w:tr>
      <w:tr>
        <w:trPr>
          <w:trHeight w:hRule="exact" w:val="220"/>
        </w:trPr>
        <w:tc>
          <w:tcPr>
            <w:tcW w:type="dxa" w:w="6314"/>
            <w:tcBorders>
              <w:top w:sz="8.0" w:val="single" w:color="#242424"/>
              <w:bottom w:sz="8.0" w:val="single" w:color="#24242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 Uses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b c</w:t>
            </w:r>
          </w:p>
        </w:tc>
        <w:tc>
          <w:tcPr>
            <w:tcW w:type="dxa" w:w="576"/>
            <w:tcBorders>
              <w:top w:sz="8.0" w:val="single" w:color="#242424"/>
              <w:bottom w:sz="8.0" w:val="single" w:color="#24242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70"/>
            <w:tcBorders>
              <w:top w:sz="8.0" w:val="single" w:color="#242424"/>
              <w:bottom w:sz="8.0" w:val="single" w:color="#24242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101.2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3"/>
        <w:gridCol w:w="4723"/>
      </w:tblGrid>
      <w:tr>
        <w:trPr>
          <w:trHeight w:hRule="exact" w:val="6140"/>
        </w:trPr>
        <w:tc>
          <w:tcPr>
            <w:tcW w:type="dxa" w:w="484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4972"/>
                <w:sz w:val="28"/>
              </w:rPr>
              <w:t>IDA</w:t>
            </w:r>
          </w:p>
          <w:p>
            <w:pPr>
              <w:autoSpaceDN w:val="0"/>
              <w:autoSpaceDE w:val="0"/>
              <w:widowControl/>
              <w:spacing w:line="224" w:lineRule="exact" w:before="8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comp</w:t>
            </w:r>
          </w:p>
          <w:p>
            <w:pPr>
              <w:autoSpaceDN w:val="0"/>
              <w:autoSpaceDE w:val="0"/>
              <w:widowControl/>
              <w:spacing w:line="224" w:lineRule="exact" w:before="3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Table</w:t>
            </w:r>
          </w:p>
          <w:p>
            <w:pPr>
              <w:autoSpaceDN w:val="0"/>
              <w:autoSpaceDE w:val="0"/>
              <w:widowControl/>
              <w:spacing w:line="224" w:lineRule="exact" w:before="1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Table</w:t>
            </w:r>
          </w:p>
          <w:p>
            <w:pPr>
              <w:autoSpaceDN w:val="0"/>
              <w:autoSpaceDE w:val="0"/>
              <w:widowControl/>
              <w:spacing w:line="178" w:lineRule="exact" w:before="8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</w:t>
            </w:r>
          </w:p>
          <w:p>
            <w:pPr>
              <w:autoSpaceDN w:val="0"/>
              <w:autoSpaceDE w:val="0"/>
              <w:widowControl/>
              <w:spacing w:line="178" w:lineRule="exact" w:before="37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Conce</w:t>
            </w:r>
          </w:p>
          <w:p>
            <w:pPr>
              <w:autoSpaceDN w:val="0"/>
              <w:autoSpaceDE w:val="0"/>
              <w:widowControl/>
              <w:spacing w:line="240" w:lineRule="exact" w:before="120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a. The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b. Incl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c. Exc</w:t>
            </w:r>
          </w:p>
          <w:p>
            <w:pPr>
              <w:autoSpaceDN w:val="0"/>
              <w:autoSpaceDE w:val="0"/>
              <w:widowControl/>
              <w:spacing w:line="224" w:lineRule="exact" w:before="638" w:after="0"/>
              <w:ind w:left="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8884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6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4972"/>
                <w:sz w:val="28"/>
              </w:rPr>
              <w:t>IDA20 Funding</w:t>
            </w:r>
          </w:p>
          <w:p>
            <w:pPr>
              <w:autoSpaceDN w:val="0"/>
              <w:autoSpaceDE w:val="0"/>
              <w:widowControl/>
              <w:spacing w:line="224" w:lineRule="exact" w:before="87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compensation for MDRI, and an $0.8 billion transfer from IBRD.</w:t>
            </w:r>
          </w:p>
          <w:p>
            <w:pPr>
              <w:autoSpaceDN w:val="0"/>
              <w:autoSpaceDE w:val="0"/>
              <w:widowControl/>
              <w:spacing w:line="224" w:lineRule="exact" w:before="37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Table 3 for cumulative net commitments under IDA20.</w:t>
            </w:r>
          </w:p>
          <w:p>
            <w:pPr>
              <w:autoSpaceDN w:val="0"/>
              <w:autoSpaceDE w:val="0"/>
              <w:widowControl/>
              <w:spacing w:line="224" w:lineRule="exact" w:before="13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Table 2: IDA20 Uses</w:t>
            </w:r>
          </w:p>
          <w:p>
            <w:pPr>
              <w:autoSpaceDN w:val="0"/>
              <w:autoSpaceDE w:val="0"/>
              <w:widowControl/>
              <w:spacing w:line="178" w:lineRule="exact" w:before="84" w:after="0"/>
              <w:ind w:left="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ns of U.S. dollars</w:t>
            </w:r>
          </w:p>
          <w:p>
            <w:pPr>
              <w:autoSpaceDN w:val="0"/>
              <w:autoSpaceDE w:val="0"/>
              <w:widowControl/>
              <w:spacing w:line="178" w:lineRule="exact" w:before="374" w:after="0"/>
              <w:ind w:left="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ssional financing</w:t>
            </w:r>
          </w:p>
          <w:p>
            <w:pPr>
              <w:autoSpaceDN w:val="0"/>
              <w:autoSpaceDE w:val="0"/>
              <w:widowControl/>
              <w:spacing w:line="178" w:lineRule="exact" w:before="126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a. The  U.S. dollar amounts are based on the exchange rate as per the date of approval.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2304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b. Incl udes recommitments of cancellations mainly from previous replenishments of $8.2 billion.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c. Excludes $6.1 billion of commitments to Ukraine and Moldova as part of the IDA Crisis Facility. </w:t>
            </w:r>
          </w:p>
          <w:p>
            <w:pPr>
              <w:autoSpaceDN w:val="0"/>
              <w:autoSpaceDE w:val="0"/>
              <w:widowControl/>
              <w:spacing w:line="224" w:lineRule="exact" w:before="638" w:after="0"/>
              <w:ind w:left="2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IDA Management's Discussion and Analysis: June 30,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3"/>
        <w:gridCol w:w="4723"/>
      </w:tblGrid>
      <w:tr>
        <w:trPr>
          <w:trHeight w:hRule="exact" w:val="288"/>
        </w:trPr>
        <w:tc>
          <w:tcPr>
            <w:tcW w:type="dxa" w:w="3424"/>
            <w:tcBorders>
              <w:bottom w:sz="4.0" w:val="single" w:color="#24242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Uses</w:t>
            </w:r>
          </w:p>
        </w:tc>
        <w:tc>
          <w:tcPr>
            <w:tcW w:type="dxa" w:w="4324"/>
            <w:tcBorders>
              <w:bottom w:sz="4.0" w:val="single" w:color="#24242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5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USD Equivalent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three-year replenishment cycle of IDA20, the agreed resource envelope was $93.0 billion in USD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equivalent, funded by IDA’s equity as well as borrowings. IDA’s equity includes new capital resources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received during the IDA20 cycle: $23.5 billion from member contributions, $1.8 billion from member </w:t>
      </w:r>
    </w:p>
    <w:p>
      <w:pPr>
        <w:autoSpaceDN w:val="0"/>
        <w:autoSpaceDE w:val="0"/>
        <w:widowControl/>
        <w:spacing w:line="224" w:lineRule="exact" w:before="37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IDA completed its twentieth replenishment period. See Table 2 for IDA20 uses and 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1625600</wp:posOffset>
            </wp:positionV>
            <wp:extent cx="1460500" cy="1460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146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20"/>
        <w:gridCol w:w="4720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III: IDA’s Financial Resources</w:t>
            </w:r>
          </w:p>
        </w:tc>
      </w:tr>
    </w:tbl>
    <w:p>
      <w:pPr>
        <w:autoSpaceDN w:val="0"/>
        <w:autoSpaceDE w:val="0"/>
        <w:widowControl/>
        <w:spacing w:line="240" w:lineRule="exact" w:before="702" w:after="0"/>
        <w:ind w:left="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1 below shows the allocation of IDA20 sources to fund IDA’s lending activities (excluding PSW </w:t>
      </w:r>
      <w:r>
        <w:rPr>
          <w:rFonts w:ascii="ArialMT" w:hAnsi="ArialMT" w:eastAsia="ArialMT"/>
          <w:b w:val="0"/>
          <w:i w:val="0"/>
          <w:color w:val="000000"/>
          <w:sz w:val="20"/>
        </w:rPr>
        <w:t>activities).</w:t>
      </w:r>
    </w:p>
    <w:p>
      <w:pPr>
        <w:autoSpaceDN w:val="0"/>
        <w:autoSpaceDE w:val="0"/>
        <w:widowControl/>
        <w:spacing w:line="224" w:lineRule="exact" w:before="136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 1: Funding Allocation During IDA20 Replenishment Period</w:t>
      </w:r>
    </w:p>
    <w:p>
      <w:pPr>
        <w:autoSpaceDN w:val="0"/>
        <w:autoSpaceDE w:val="0"/>
        <w:widowControl/>
        <w:spacing w:line="180" w:lineRule="exact" w:before="82" w:after="0"/>
        <w:ind w:left="163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Guarantees1%</w:t>
      </w:r>
    </w:p>
    <w:p>
      <w:pPr>
        <w:autoSpaceDN w:val="0"/>
        <w:autoSpaceDE w:val="0"/>
        <w:widowControl/>
        <w:spacing w:line="180" w:lineRule="exact" w:before="368" w:after="164"/>
        <w:ind w:left="50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Non-concessional 7%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4.0" w:type="dxa"/>
      </w:tblPr>
      <w:tblGrid>
        <w:gridCol w:w="4720"/>
        <w:gridCol w:w="4720"/>
      </w:tblGrid>
      <w:tr>
        <w:trPr>
          <w:trHeight w:hRule="exact" w:val="68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4" w:after="0"/>
              <w:ind w:left="75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Grants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24%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4" w:after="0"/>
              <w:ind w:left="274" w:right="302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 xml:space="preserve">Regular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 xml:space="preserve">loans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40%</w:t>
            </w:r>
          </w:p>
        </w:tc>
      </w:tr>
    </w:tbl>
    <w:p>
      <w:pPr>
        <w:autoSpaceDN w:val="0"/>
        <w:autoSpaceDE w:val="0"/>
        <w:widowControl/>
        <w:spacing w:line="194" w:lineRule="exact" w:before="90" w:after="0"/>
        <w:ind w:left="1928" w:right="7056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16"/>
        </w:rPr>
        <w:t xml:space="preserve">Blend </w:t>
      </w:r>
      <w:r>
        <w:br/>
      </w:r>
      <w:r>
        <w:rPr>
          <w:rFonts w:ascii="ArialMT" w:hAnsi="ArialMT" w:eastAsia="ArialMT"/>
          <w:b w:val="0"/>
          <w:i w:val="0"/>
          <w:color w:val="FFFFFF"/>
          <w:sz w:val="16"/>
        </w:rPr>
        <w:t xml:space="preserve">loans </w:t>
      </w:r>
      <w:r>
        <w:br/>
      </w:r>
      <w:r>
        <w:rPr>
          <w:rFonts w:ascii="ArialMT" w:hAnsi="ArialMT" w:eastAsia="ArialMT"/>
          <w:b w:val="0"/>
          <w:i w:val="0"/>
          <w:color w:val="FFFFFF"/>
          <w:sz w:val="16"/>
        </w:rPr>
        <w:t>28%</w:t>
      </w:r>
    </w:p>
    <w:p>
      <w:pPr>
        <w:autoSpaceDN w:val="0"/>
        <w:autoSpaceDE w:val="0"/>
        <w:widowControl/>
        <w:spacing w:line="224" w:lineRule="exact" w:before="628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3: Cumulative Net Commitments under IDA20</w:t>
      </w:r>
    </w:p>
    <w:p>
      <w:pPr>
        <w:autoSpaceDN w:val="0"/>
        <w:autoSpaceDE w:val="0"/>
        <w:widowControl/>
        <w:spacing w:line="178" w:lineRule="exact" w:before="84" w:after="36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0"/>
        <w:gridCol w:w="2360"/>
        <w:gridCol w:w="2360"/>
        <w:gridCol w:w="2360"/>
      </w:tblGrid>
      <w:tr>
        <w:trPr>
          <w:trHeight w:hRule="exact" w:val="412"/>
        </w:trPr>
        <w:tc>
          <w:tcPr>
            <w:tcW w:type="dxa" w:w="3164"/>
            <w:tcBorders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242424"/>
                <w:sz w:val="16"/>
              </w:rPr>
              <w:t>As of June 30, 2025</w:t>
            </w:r>
          </w:p>
        </w:tc>
        <w:tc>
          <w:tcPr>
            <w:tcW w:type="dxa" w:w="3240"/>
            <w:tcBorders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6" w:val="left"/>
              </w:tabs>
              <w:autoSpaceDE w:val="0"/>
              <w:widowControl/>
              <w:spacing w:line="160" w:lineRule="exact" w:before="56" w:after="0"/>
              <w:ind w:left="1718" w:right="576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242424"/>
                <w:sz w:val="16"/>
              </w:rPr>
              <w:t xml:space="preserve">Loans and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242424"/>
                <w:sz w:val="16"/>
              </w:rPr>
              <w:t>Guarantees</w:t>
            </w:r>
          </w:p>
        </w:tc>
        <w:tc>
          <w:tcPr>
            <w:tcW w:type="dxa" w:w="1840"/>
            <w:tcBorders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242424"/>
                <w:sz w:val="16"/>
              </w:rPr>
              <w:t>Grants</w:t>
            </w:r>
          </w:p>
        </w:tc>
        <w:tc>
          <w:tcPr>
            <w:tcW w:type="dxa" w:w="1124"/>
            <w:tcBorders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5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242424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80" w:lineRule="exact" w:before="26" w:after="30"/>
        <w:ind w:left="1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Concessional financing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2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 Country Allocations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5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53,810 $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15,217 $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69,027 </w:t>
            </w:r>
          </w:p>
        </w:tc>
      </w:tr>
    </w:tbl>
    <w:p>
      <w:pPr>
        <w:autoSpaceDN w:val="0"/>
        <w:autoSpaceDE w:val="0"/>
        <w:widowControl/>
        <w:spacing w:line="180" w:lineRule="exact" w:before="28" w:after="30"/>
        <w:ind w:left="27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IDA Concessional Windows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2360"/>
        <w:gridCol w:w="2360"/>
        <w:gridCol w:w="2360"/>
        <w:gridCol w:w="2360"/>
      </w:tblGrid>
      <w:tr>
        <w:trPr>
          <w:trHeight w:hRule="exact" w:val="206"/>
        </w:trPr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2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Regional Window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3,580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4,174 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7,754 </w:t>
            </w:r>
          </w:p>
        </w:tc>
      </w:tr>
      <w:tr>
        <w:trPr>
          <w:trHeight w:hRule="exact" w:val="240"/>
        </w:trPr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2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Window for Host Communities and Refugees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6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556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1,775 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2,331 </w:t>
            </w:r>
          </w:p>
        </w:tc>
      </w:tr>
      <w:tr>
        <w:trPr>
          <w:trHeight w:hRule="exact" w:val="240"/>
        </w:trPr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2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Crisis Response Window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6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1,467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2,433 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3,900 </w:t>
            </w:r>
          </w:p>
        </w:tc>
      </w:tr>
      <w:tr>
        <w:trPr>
          <w:trHeight w:hRule="exact" w:val="278"/>
        </w:trPr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Scale-up Window – Shorter Maturity Loans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6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7,970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6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7,970 </w:t>
            </w:r>
          </w:p>
        </w:tc>
      </w:tr>
    </w:tbl>
    <w:p>
      <w:pPr>
        <w:autoSpaceDN w:val="0"/>
        <w:autoSpaceDE w:val="0"/>
        <w:widowControl/>
        <w:spacing w:line="178" w:lineRule="exact" w:before="28" w:after="6"/>
        <w:ind w:left="14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Non-concessional financing including Scale-up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22"/>
        </w:trPr>
        <w:tc>
          <w:tcPr>
            <w:tcW w:type="dxa" w:w="404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Window</w:t>
            </w:r>
          </w:p>
        </w:tc>
        <w:tc>
          <w:tcPr>
            <w:tcW w:type="dxa" w:w="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7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7,025 </w:t>
            </w:r>
          </w:p>
        </w:tc>
        <w:tc>
          <w:tcPr>
            <w:tcW w:type="dxa" w:w="1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7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9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7,025 </w:t>
            </w:r>
          </w:p>
        </w:tc>
      </w:tr>
      <w:tr>
        <w:trPr>
          <w:trHeight w:hRule="exact" w:val="220"/>
        </w:trPr>
        <w:tc>
          <w:tcPr>
            <w:tcW w:type="dxa" w:w="404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 Cumulative Net Commitments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a b</w:t>
            </w:r>
          </w:p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74,408 $ </w:t>
            </w:r>
          </w:p>
        </w:tc>
        <w:tc>
          <w:tcPr>
            <w:tcW w:type="dxa" w:w="1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23,599 $ </w:t>
            </w:r>
          </w:p>
        </w:tc>
        <w:tc>
          <w:tcPr>
            <w:tcW w:type="dxa" w:w="109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98,007 </w:t>
            </w:r>
          </w:p>
        </w:tc>
      </w:tr>
    </w:tbl>
    <w:p>
      <w:pPr>
        <w:autoSpaceDN w:val="0"/>
        <w:tabs>
          <w:tab w:pos="236" w:val="left"/>
        </w:tabs>
        <w:autoSpaceDE w:val="0"/>
        <w:widowControl/>
        <w:spacing w:line="192" w:lineRule="exact" w:before="282" w:after="0"/>
        <w:ind w:left="56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Commitments are net of full cancellations and terminations relating to commitments approved in the same fiscal year. Excludes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IDA-IFC-MIGA Private Sector Window (PSW) gross commitments of $3.2 billion.</w:t>
      </w:r>
    </w:p>
    <w:p>
      <w:pPr>
        <w:autoSpaceDN w:val="0"/>
        <w:tabs>
          <w:tab w:pos="236" w:val="left"/>
        </w:tabs>
        <w:autoSpaceDE w:val="0"/>
        <w:widowControl/>
        <w:spacing w:line="192" w:lineRule="exact" w:before="50" w:after="0"/>
        <w:ind w:left="56" w:right="57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Excludes IDA19 Commitments of $1.2 billion loans approved in July 2022 and $6.1 billion of commitments to Ukraine and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Moldova as part of the IDA Crisis Facility. </w:t>
      </w:r>
    </w:p>
    <w:p>
      <w:pPr>
        <w:autoSpaceDN w:val="0"/>
        <w:autoSpaceDE w:val="0"/>
        <w:widowControl/>
        <w:spacing w:line="312" w:lineRule="exact" w:before="140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IDA21 Funding</w:t>
      </w:r>
    </w:p>
    <w:p>
      <w:pPr>
        <w:autoSpaceDN w:val="0"/>
        <w:autoSpaceDE w:val="0"/>
        <w:widowControl/>
        <w:spacing w:line="240" w:lineRule="exact" w:before="142" w:after="0"/>
        <w:ind w:left="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financing resource envelope available for lending and grant commitments is based on the long-term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outlook of IDA’s financial sustainability. This takes into account the amount of member contributions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concessionality of the proposed financing to borrowers, market conditions, and capital adequacy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requirements. For the three-year funding cycle of IDA21, the agreed resource envelope was up to $100.0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billion USD equivalent, that will be supported by up to $23.7 billion of member contributions, as well as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member compensation for MDRI, and transfers from IBRD. </w:t>
      </w:r>
    </w:p>
    <w:p>
      <w:pPr>
        <w:autoSpaceDN w:val="0"/>
        <w:autoSpaceDE w:val="0"/>
        <w:widowControl/>
        <w:spacing w:line="268" w:lineRule="exact" w:before="190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Allocation of IDA21 Resources</w:t>
      </w:r>
    </w:p>
    <w:p>
      <w:pPr>
        <w:autoSpaceDN w:val="0"/>
        <w:autoSpaceDE w:val="0"/>
        <w:widowControl/>
        <w:spacing w:line="240" w:lineRule="exact" w:before="130" w:after="0"/>
        <w:ind w:left="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Eligibility for IDA’s resources is determined primarily by a member’s relative poverty. Relative poverty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defined as Gross National Income (GNI) per capita below an established threshold that is updated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>annually. For FY26, the threshold is $1,325 (FY25: $1,335).</w:t>
      </w:r>
    </w:p>
    <w:p>
      <w:pPr>
        <w:autoSpaceDN w:val="0"/>
        <w:tabs>
          <w:tab w:pos="9156" w:val="left"/>
        </w:tabs>
        <w:autoSpaceDE w:val="0"/>
        <w:widowControl/>
        <w:spacing w:line="224" w:lineRule="exact" w:before="2002" w:after="0"/>
        <w:ind w:left="33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11</w:t>
      </w:r>
    </w:p>
    <w:p>
      <w:pPr>
        <w:sectPr>
          <w:pgSz w:w="12240" w:h="15840"/>
          <w:pgMar w:top="216" w:right="1364" w:bottom="36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III: IDA’s Financial Resources</w:t>
            </w:r>
          </w:p>
        </w:tc>
      </w:tr>
    </w:tbl>
    <w:p>
      <w:pPr>
        <w:autoSpaceDN w:val="0"/>
        <w:autoSpaceDE w:val="0"/>
        <w:widowControl/>
        <w:spacing w:line="224" w:lineRule="exact" w:before="71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See Table 4 for the proposed allocation of IDA21 resources.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4: Allocation of IDA21 resources</w:t>
      </w:r>
    </w:p>
    <w:p>
      <w:pPr>
        <w:autoSpaceDN w:val="0"/>
        <w:autoSpaceDE w:val="0"/>
        <w:widowControl/>
        <w:spacing w:line="178" w:lineRule="exact" w:before="84" w:after="56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billions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86"/>
        </w:trPr>
        <w:tc>
          <w:tcPr>
            <w:tcW w:type="dxa" w:w="6606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D6D6D"/>
                <w:sz w:val="16"/>
              </w:rPr>
              <w:t>Proposed Allocation</w:t>
            </w:r>
          </w:p>
        </w:tc>
        <w:tc>
          <w:tcPr>
            <w:tcW w:type="dxa" w:w="1860"/>
            <w:gridSpan w:val="2"/>
            <w:tcBorders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6D6D6D"/>
                <w:sz w:val="16"/>
              </w:rPr>
              <w:t xml:space="preserve">USD Equivalent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6D6D6D"/>
                <w:sz w:val="10"/>
              </w:rPr>
              <w:t>a</w:t>
            </w:r>
          </w:p>
        </w:tc>
      </w:tr>
      <w:tr>
        <w:trPr>
          <w:trHeight w:hRule="exact" w:val="228"/>
        </w:trPr>
        <w:tc>
          <w:tcPr>
            <w:tcW w:type="dxa" w:w="6606"/>
            <w:vMerge w:val="restart"/>
            <w:tcBorders>
              <w:top w:sz="8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2" w:val="left"/>
              </w:tabs>
              <w:autoSpaceDE w:val="0"/>
              <w:widowControl/>
              <w:spacing w:line="234" w:lineRule="exact" w:before="0" w:after="0"/>
              <w:ind w:left="62" w:right="37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Concessional financing of which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Country Allocation Envelope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IDA Concessional Windows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Non-concessional financing of which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Non-concessional Scale-Up Window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Private Sector Window</w:t>
            </w:r>
          </w:p>
        </w:tc>
        <w:tc>
          <w:tcPr>
            <w:tcW w:type="dxa" w:w="1344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9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16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2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89.8 </w:t>
            </w:r>
          </w:p>
        </w:tc>
      </w:tr>
      <w:tr>
        <w:trPr>
          <w:trHeight w:hRule="exact" w:val="1212"/>
        </w:trPr>
        <w:tc>
          <w:tcPr>
            <w:tcW w:type="dxa" w:w="3149"/>
            <w:vMerge/>
            <w:tcBorders>
              <w:top w:sz="8.0" w:val="single" w:color="#929292"/>
              <w:bottom w:sz="8.0" w:val="single" w:color="#000000"/>
            </w:tcBorders>
          </w:tcPr>
          <w:p/>
        </w:tc>
        <w:tc>
          <w:tcPr>
            <w:tcW w:type="dxa" w:w="18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44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67.2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22.6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10.2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7.0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3.2 </w:t>
            </w:r>
          </w:p>
        </w:tc>
      </w:tr>
      <w:tr>
        <w:trPr>
          <w:trHeight w:hRule="exact" w:val="220"/>
        </w:trPr>
        <w:tc>
          <w:tcPr>
            <w:tcW w:type="dxa" w:w="6606"/>
            <w:tcBorders>
              <w:top w:sz="8.0" w:val="single" w:color="#000000"/>
              <w:bottom w:sz="8.0" w:val="single" w:color="#24242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Proposed Allocation</w:t>
            </w:r>
          </w:p>
        </w:tc>
        <w:tc>
          <w:tcPr>
            <w:tcW w:type="dxa" w:w="1860"/>
            <w:gridSpan w:val="2"/>
            <w:tcBorders>
              <w:top w:sz="8.0" w:val="single" w:color="#000000"/>
              <w:bottom w:sz="8.0" w:val="single" w:color="#24242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$ 100.0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356" w:after="0"/>
        <w:ind w:left="62" w:right="86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U.S. dollar equivalent amounts are based on IDA21 reference rate of USD/SDR 1.32558. The U.S. dollar amounts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are provided for reporting purposes only.</w:t>
      </w:r>
    </w:p>
    <w:p>
      <w:pPr>
        <w:autoSpaceDN w:val="0"/>
        <w:autoSpaceDE w:val="0"/>
        <w:widowControl/>
        <w:spacing w:line="224" w:lineRule="exact" w:before="214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financing is provided in the form of loans, grants, and guarantees. Most of IDA’s resources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allocated to eligible members through IDA Country Allocations that provide unearmarked support.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allocation framework is agreed for each replenishment cycle. Country Allocations are comprised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Performance Based Allocation (PBA), which takes into account the country’s performance rating (CPR),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population size and per capita income, the Sustainable Development Finance Policy (SDFP) Incentive,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FCV Envelope, and the Grant Facility for Project Preparation Envelope (IDA-GFPP). The rest of IDA </w:t>
      </w:r>
      <w:r>
        <w:rPr>
          <w:rFonts w:ascii="ArialMT" w:hAnsi="ArialMT" w:eastAsia="ArialMT"/>
          <w:b w:val="0"/>
          <w:i w:val="0"/>
          <w:color w:val="000000"/>
          <w:sz w:val="20"/>
        </w:rPr>
        <w:t>resources are provided through five IDA Windows dedicated to addressing specific development priorities.</w:t>
      </w:r>
    </w:p>
    <w:p>
      <w:pPr>
        <w:autoSpaceDN w:val="0"/>
        <w:autoSpaceDE w:val="0"/>
        <w:widowControl/>
        <w:spacing w:line="224" w:lineRule="exact" w:before="6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responds to specific needs of its members through the following five IDA Windows:</w:t>
      </w:r>
    </w:p>
    <w:p>
      <w:pPr>
        <w:autoSpaceDN w:val="0"/>
        <w:autoSpaceDE w:val="0"/>
        <w:widowControl/>
        <w:spacing w:line="224" w:lineRule="exact" w:before="136" w:after="112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 2: IDA21 Windows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8.0000000000001" w:type="dxa"/>
      </w:tblPr>
      <w:tblGrid>
        <w:gridCol w:w="3149"/>
        <w:gridCol w:w="3149"/>
        <w:gridCol w:w="3149"/>
      </w:tblGrid>
      <w:tr>
        <w:trPr>
          <w:trHeight w:hRule="exact" w:val="872"/>
        </w:trPr>
        <w:tc>
          <w:tcPr>
            <w:tcW w:type="dxa" w:w="7658"/>
            <w:gridSpan w:val="3"/>
            <w:tcBorders/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IDA Windows (if eligible)</w:t>
            </w:r>
          </w:p>
        </w:tc>
      </w:tr>
      <w:tr>
        <w:trPr>
          <w:trHeight w:hRule="exact" w:val="734"/>
        </w:trPr>
        <w:tc>
          <w:tcPr>
            <w:tcW w:type="dxa" w:w="3686"/>
            <w:tcBorders>
              <w:end w:sz="8.0" w:val="single" w:color="#444444"/>
              <w:bottom w:sz="8.0" w:val="single" w:color="#444444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2" w:after="0"/>
              <w:ind w:left="0" w:right="1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Concessional</w:t>
            </w:r>
          </w:p>
        </w:tc>
        <w:tc>
          <w:tcPr>
            <w:tcW w:type="dxa" w:w="3972"/>
            <w:gridSpan w:val="2"/>
            <w:tcBorders>
              <w:start w:sz="8.0" w:val="single" w:color="#444444"/>
              <w:bottom w:sz="8.0" w:val="single" w:color="#444444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2" w:after="0"/>
              <w:ind w:left="0" w:right="9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Non-Concessional</w:t>
            </w:r>
          </w:p>
        </w:tc>
      </w:tr>
      <w:tr>
        <w:trPr>
          <w:trHeight w:hRule="exact" w:val="556"/>
        </w:trPr>
        <w:tc>
          <w:tcPr>
            <w:tcW w:type="dxa" w:w="3972"/>
            <w:gridSpan w:val="2"/>
            <w:tcBorders>
              <w:top w:sz="8.0" w:val="single" w:color="#444444"/>
              <w:end w:sz="8.0" w:val="single" w:color="#444444"/>
              <w:bottom w:sz="8.0" w:val="single" w:color="#444444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" w:after="0"/>
              <w:ind w:left="720" w:right="100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Scale-Up Window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(Shorter Maturity Loans)</w:t>
            </w:r>
          </w:p>
        </w:tc>
        <w:tc>
          <w:tcPr>
            <w:tcW w:type="dxa" w:w="3686"/>
            <w:tcBorders>
              <w:start w:sz="8.0" w:val="single" w:color="#444444"/>
              <w:top w:sz="8.0" w:val="single" w:color="#444444"/>
              <w:bottom w:sz="8.0" w:val="single" w:color="#444444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Scale-Up Window</w:t>
            </w:r>
          </w:p>
        </w:tc>
      </w:tr>
      <w:tr>
        <w:trPr>
          <w:trHeight w:hRule="exact" w:val="540"/>
        </w:trPr>
        <w:tc>
          <w:tcPr>
            <w:tcW w:type="dxa" w:w="3686"/>
            <w:tcBorders>
              <w:top w:sz="8.0" w:val="single" w:color="#444444"/>
              <w:end w:sz="8.0" w:val="single" w:color="#444444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Global and regional </w:t>
            </w:r>
          </w:p>
        </w:tc>
        <w:tc>
          <w:tcPr>
            <w:tcW w:type="dxa" w:w="3972"/>
            <w:gridSpan w:val="2"/>
            <w:tcBorders>
              <w:start w:sz="8.0" w:val="single" w:color="#444444"/>
              <w:top w:sz="8.0" w:val="single" w:color="#444444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8" w:after="0"/>
              <w:ind w:left="0" w:right="7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Private Sector Window</w:t>
            </w:r>
          </w:p>
        </w:tc>
      </w:tr>
      <w:tr>
        <w:trPr>
          <w:trHeight w:hRule="exact" w:val="194"/>
        </w:trPr>
        <w:tc>
          <w:tcPr>
            <w:tcW w:type="dxa" w:w="7658"/>
            <w:gridSpan w:val="3"/>
            <w:tcBorders>
              <w:bottom w:sz="8.0" w:val="single" w:color="#444444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Opportunities Window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8.0" w:type="dxa"/>
      </w:tblPr>
      <w:tblGrid>
        <w:gridCol w:w="9446"/>
      </w:tblGrid>
      <w:tr>
        <w:trPr>
          <w:trHeight w:hRule="exact" w:val="290"/>
        </w:trPr>
        <w:tc>
          <w:tcPr>
            <w:tcW w:type="dxa" w:w="2074"/>
            <w:tcBorders>
              <w:top w:sz="8.0" w:val="single" w:color="#444444"/>
            </w:tcBorders>
            <w:shd w:fill="99b6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(Host Communities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9446"/>
      </w:tblGrid>
      <w:tr>
        <w:trPr>
          <w:trHeight w:hRule="exact" w:val="400"/>
        </w:trPr>
        <w:tc>
          <w:tcPr>
            <w:tcW w:type="dxa" w:w="3544"/>
            <w:tcBorders>
              <w:bottom w:sz="8.0" w:val="single" w:color="#444444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and Refugees)</w:t>
            </w:r>
          </w:p>
        </w:tc>
      </w:tr>
    </w:tbl>
    <w:p>
      <w:pPr>
        <w:autoSpaceDN w:val="0"/>
        <w:autoSpaceDE w:val="0"/>
        <w:widowControl/>
        <w:spacing w:line="1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94.0" w:type="dxa"/>
      </w:tblPr>
      <w:tblGrid>
        <w:gridCol w:w="9446"/>
      </w:tblGrid>
      <w:tr>
        <w:trPr>
          <w:trHeight w:hRule="exact" w:val="614"/>
        </w:trPr>
        <w:tc>
          <w:tcPr>
            <w:tcW w:type="dxa" w:w="3556"/>
            <w:tcBorders>
              <w:top w:sz="8.0" w:val="single" w:color="#444444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Crisis Response Window</w:t>
            </w:r>
          </w:p>
        </w:tc>
      </w:tr>
      <w:tr>
        <w:trPr>
          <w:trHeight w:hRule="exact" w:val="106"/>
        </w:trPr>
        <w:tc>
          <w:tcPr>
            <w:tcW w:type="dxa" w:w="3556"/>
            <w:tcBorders>
              <w:bottom w:sz="8.0" w:val="single" w:color="#444444"/>
            </w:tcBorders>
            <w:shd w:fill="e5ecf1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8" w:lineRule="exact" w:before="39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Allocation - Performance Based Allocation (PBA) System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resources are allocated to eligible members, using its PBA system and the allocation framework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agreed during each replenishment. These allocations depend on several factors: the overall availability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resources, individual country needs, their policy performance and institutional capacity, and each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country’s performance relative to others. The PBA system is designed to provide resources where they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likely to be most helpful in reducing poverty.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79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III: IDA’s Financial Resources</w:t>
            </w:r>
          </w:p>
        </w:tc>
      </w:tr>
    </w:tbl>
    <w:p>
      <w:pPr>
        <w:autoSpaceDN w:val="0"/>
        <w:autoSpaceDE w:val="0"/>
        <w:widowControl/>
        <w:spacing w:line="240" w:lineRule="exact" w:before="702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the PBA, the main factor that determines the allocation of IDA’s core concessional resources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among eligible countries is their performance in the Country Policy and Institutional Assessment (CPIA).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CPIA reflects the results of an exercise that rates eligible countries against a set of criteria including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economic management; structural policies; policies for social inclusion and equity; and public-sector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and institutions. The CPIA and portfolio performance together constitute the IDA Country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Performance Rating (CPR). In addition to the CPR, population, and per capita income are factored into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country’s allocation, along with the annual base allocation (SDR15 million per country). In addition,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country allocations provide the FCV envelope to enhance support for eligible countries facing different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FCV risks. The SDFP offers a positive incentive-driven approach to encourage countries to pursue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sustainable borrowing and investment practices, replacing the set-aside mechanism of previous IDA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cycles. A new Grant Facility for Project Preparation Envelope (IDA-GFPP) provides resources to support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IDA21’s focus on building client capacity for delivery.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recognition of the change in IDA’s business model starting in IDA18, and to ensure that its lending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decisions are compatible with the capital adequacy requirements of a triple-A rating, the allocation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framework for IDA21 continues to be aligned with the Single Borrower Limit (SBL) and capital adequacy </w:t>
      </w:r>
      <w:r>
        <w:rPr>
          <w:rFonts w:ascii="ArialMT" w:hAnsi="ArialMT" w:eastAsia="ArialMT"/>
          <w:b w:val="0"/>
          <w:i w:val="0"/>
          <w:color w:val="000000"/>
          <w:sz w:val="20"/>
        </w:rPr>
        <w:t>requirements under the DSC Framework, see Section IX: Risk Management.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Concessional Financing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Concessional financing is provided in the form of loans, grants and guarantees. Eligibility and percentage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allocation for grants for IDA-only countries is based on an assessment of the country’s risk of debt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distress. IDA-only countries (including Small States) with high risk or in debt distress, receive their IDA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assistance in grants. IDA-only Small States at moderate risk of debt distress continue to receive half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their IDA21 allocation in grants and half in loans. The annual cap on grants in country allocations will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reduced from $1 billion to $650 million.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New financing terms have been introduced in IDA21 to simplify the terms of financing used by each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country and to allow for additional financing for select group of eligible countries. Figure 3 below provides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details of the new financing terms being offered in IDA21.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addition, countries that select floating rate loans from IDA will be offered hedging services to mitigate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risks associated with fluctuation in market interest rates. These changes will not apply to IDA eligible </w:t>
      </w:r>
      <w:r>
        <w:rPr>
          <w:rFonts w:ascii="ArialMT" w:hAnsi="ArialMT" w:eastAsia="ArialMT"/>
          <w:b w:val="0"/>
          <w:i w:val="0"/>
          <w:color w:val="000000"/>
          <w:sz w:val="20"/>
        </w:rPr>
        <w:t>Small States, which will continue to borrow on Small States terms as in the past replenishments.</w:t>
      </w:r>
    </w:p>
    <w:p>
      <w:pPr>
        <w:autoSpaceDN w:val="0"/>
        <w:autoSpaceDE w:val="0"/>
        <w:widowControl/>
        <w:spacing w:line="224" w:lineRule="exact" w:before="136" w:after="11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 3: IDA21 Financing Terms for Country Allocation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18"/>
        <w:gridCol w:w="4718"/>
      </w:tblGrid>
      <w:tr>
        <w:trPr>
          <w:trHeight w:hRule="exact" w:val="374"/>
        </w:trPr>
        <w:tc>
          <w:tcPr>
            <w:tcW w:type="dxa" w:w="3104"/>
            <w:tcBorders>
              <w:top w:sz="48.0" w:val="single" w:color="#E5ECF1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104"/>
            </w:tblGrid>
            <w:tr>
              <w:trPr>
                <w:trHeight w:hRule="exact" w:val="294"/>
              </w:trPr>
              <w:tc>
                <w:tcPr>
                  <w:tcW w:type="dxa" w:w="2970"/>
                  <w:tcBorders/>
                  <w:shd w:fill="0048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0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Lending Group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746"/>
            <w:tcBorders>
              <w:top w:sz="48.0" w:val="single" w:color="#E5ECF1"/>
            </w:tcBorders>
            <w:shd w:fill="00487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Financing Terms</w:t>
            </w:r>
          </w:p>
        </w:tc>
      </w:tr>
    </w:tbl>
    <w:p>
      <w:pPr>
        <w:autoSpaceDN w:val="0"/>
        <w:autoSpaceDE w:val="0"/>
        <w:widowControl/>
        <w:spacing w:line="3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456"/>
        </w:trPr>
        <w:tc>
          <w:tcPr>
            <w:tcW w:type="dxa" w:w="1544"/>
            <w:vMerge w:val="restart"/>
            <w:tcBorders>
              <w:end w:sz="16.0" w:val="single" w:color="#FFFFFF"/>
              <w:bottom w:sz="42.399999999999636" w:val="single" w:color="#E5ECF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0.0" w:type="dxa"/>
            </w:tblPr>
            <w:tblGrid>
              <w:gridCol w:w="1544"/>
            </w:tblGrid>
            <w:tr>
              <w:trPr>
                <w:trHeight w:hRule="exact" w:val="754"/>
              </w:trPr>
              <w:tc>
                <w:tcPr>
                  <w:tcW w:type="dxa" w:w="1304"/>
                  <w:tcBorders/>
                  <w:shd w:fill="0048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57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 xml:space="preserve">IDA-only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0.0" w:type="dxa"/>
            </w:tblPr>
            <w:tblGrid>
              <w:gridCol w:w="1544"/>
            </w:tblGrid>
            <w:tr>
              <w:trPr>
                <w:trHeight w:hRule="exact" w:val="226"/>
              </w:trPr>
              <w:tc>
                <w:tcPr>
                  <w:tcW w:type="dxa" w:w="1140"/>
                  <w:tcBorders/>
                  <w:shd w:fill="0048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8" w:after="0"/>
                    <w:ind w:left="26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Countries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786"/>
            <w:tcBorders>
              <w:start w:sz="16.0" w:val="single" w:color="#FFFFFF"/>
              <w:bottom w:sz="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2595"/>
              <w:gridCol w:w="2595"/>
              <w:gridCol w:w="2595"/>
            </w:tblGrid>
            <w:tr>
              <w:trPr>
                <w:trHeight w:hRule="exact" w:val="202"/>
              </w:trPr>
              <w:tc>
                <w:tcPr>
                  <w:tcW w:type="dxa" w:w="1666"/>
                  <w:tcBorders/>
                  <w:shd w:fill="99b6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High Risk or in Debt </w:t>
                  </w:r>
                </w:p>
              </w:tc>
              <w:tc>
                <w:tcPr>
                  <w:tcW w:type="dxa" w:w="3074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26" w:after="0"/>
                    <w:ind w:left="27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Grants (with volume discount)</w:t>
                  </w:r>
                </w:p>
              </w:tc>
              <w:tc>
                <w:tcPr>
                  <w:tcW w:type="dxa" w:w="3046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26" w:after="0"/>
                    <w:ind w:left="14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Grants</w:t>
                  </w:r>
                </w:p>
              </w:tc>
            </w:tr>
            <w:tr>
              <w:trPr>
                <w:trHeight w:hRule="exact" w:val="196"/>
              </w:trPr>
              <w:tc>
                <w:tcPr>
                  <w:tcW w:type="dxa" w:w="1666"/>
                  <w:tcBorders/>
                  <w:shd w:fill="99b6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Distress</w:t>
                  </w:r>
                </w:p>
              </w:tc>
              <w:tc>
                <w:tcPr>
                  <w:tcW w:type="dxa" w:w="2595"/>
                  <w:vMerge/>
                  <w:tcBorders/>
                </w:tcPr>
                <w:p/>
              </w:tc>
              <w:tc>
                <w:tcPr>
                  <w:tcW w:type="dxa" w:w="2595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44"/>
        </w:trPr>
        <w:tc>
          <w:tcPr>
            <w:tcW w:type="dxa" w:w="4718"/>
            <w:vMerge/>
            <w:tcBorders>
              <w:end w:sz="16.0" w:val="single" w:color="#FFFFFF"/>
              <w:bottom w:sz="42.399999999999636" w:val="single" w:color="#E5ECF1"/>
            </w:tcBorders>
          </w:tcPr>
          <w:p/>
        </w:tc>
        <w:tc>
          <w:tcPr>
            <w:tcW w:type="dxa" w:w="7786"/>
            <w:tcBorders>
              <w:start w:sz="16.0" w:val="single" w:color="#FFFFFF"/>
              <w:top w:sz="8.0" w:val="single" w:color="#FFFFFF"/>
              <w:bottom w:sz="8.0" w:val="single" w:color="#FFFFF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6.00000000000023" w:type="dxa"/>
            </w:tblPr>
            <w:tblGrid>
              <w:gridCol w:w="2595"/>
              <w:gridCol w:w="2595"/>
              <w:gridCol w:w="2595"/>
            </w:tblGrid>
            <w:tr>
              <w:trPr>
                <w:trHeight w:hRule="exact" w:val="186"/>
              </w:trPr>
              <w:tc>
                <w:tcPr>
                  <w:tcW w:type="dxa" w:w="1644"/>
                  <w:vMerge w:val="restart"/>
                  <w:tcBorders/>
                  <w:shd w:fill="99b6c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10" w:after="0"/>
                    <w:ind w:left="16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Moderate Risk</w:t>
                  </w:r>
                </w:p>
              </w:tc>
              <w:tc>
                <w:tcPr>
                  <w:tcW w:type="dxa" w:w="2806"/>
                  <w:vMerge w:val="restart"/>
                  <w:tcBorders/>
                  <w:shd w:fill="99b6c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08" w:after="0"/>
                    <w:ind w:left="14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40-yr loans (11-yr grace, 0% interest </w:t>
                  </w:r>
                </w:p>
              </w:tc>
              <w:tc>
                <w:tcPr>
                  <w:tcW w:type="dxa" w:w="2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8" w:after="0"/>
                    <w:ind w:left="27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50% grants </w:t>
                  </w:r>
                </w:p>
              </w:tc>
            </w:tr>
            <w:tr>
              <w:trPr>
                <w:trHeight w:hRule="exact" w:val="100"/>
              </w:trPr>
              <w:tc>
                <w:tcPr>
                  <w:tcW w:type="dxa" w:w="2595"/>
                  <w:vMerge/>
                  <w:tcBorders/>
                </w:tcPr>
                <w:p/>
              </w:tc>
              <w:tc>
                <w:tcPr>
                  <w:tcW w:type="dxa" w:w="2595"/>
                  <w:vMerge/>
                  <w:tcBorders/>
                </w:tcPr>
                <w:p/>
              </w:tc>
              <w:tc>
                <w:tcPr>
                  <w:tcW w:type="dxa" w:w="29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2" w:after="0"/>
                    <w:ind w:left="27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50% 40-yr loans (10-yr grace, 0.75% </w:t>
                  </w:r>
                </w:p>
              </w:tc>
            </w:tr>
            <w:tr>
              <w:trPr>
                <w:trHeight w:hRule="exact" w:val="100"/>
              </w:trPr>
              <w:tc>
                <w:tcPr>
                  <w:tcW w:type="dxa" w:w="2595"/>
                  <w:vMerge/>
                  <w:tcBorders/>
                </w:tcPr>
                <w:p/>
              </w:tc>
              <w:tc>
                <w:tcPr>
                  <w:tcW w:type="dxa" w:w="2806"/>
                  <w:vMerge w:val="restart"/>
                  <w:tcBorders/>
                  <w:shd w:fill="99b6c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0" w:after="0"/>
                    <w:ind w:left="14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or service charge)</w:t>
                  </w:r>
                </w:p>
              </w:tc>
              <w:tc>
                <w:tcPr>
                  <w:tcW w:type="dxa" w:w="2595"/>
                  <w:vMerge/>
                  <w:tcBorders/>
                </w:tcPr>
                <w:p/>
              </w:tc>
            </w:tr>
            <w:tr>
              <w:trPr>
                <w:trHeight w:hRule="exact" w:val="196"/>
              </w:trPr>
              <w:tc>
                <w:tcPr>
                  <w:tcW w:type="dxa" w:w="2595"/>
                  <w:vMerge/>
                  <w:tcBorders/>
                </w:tcPr>
                <w:p/>
              </w:tc>
              <w:tc>
                <w:tcPr>
                  <w:tcW w:type="dxa" w:w="2595"/>
                  <w:vMerge/>
                  <w:tcBorders/>
                </w:tcPr>
                <w:p/>
              </w:tc>
              <w:tc>
                <w:tcPr>
                  <w:tcW w:type="dxa" w:w="2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6" w:after="0"/>
                    <w:ind w:left="27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SDR service charge)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86"/>
        </w:trPr>
        <w:tc>
          <w:tcPr>
            <w:tcW w:type="dxa" w:w="4718"/>
            <w:vMerge/>
            <w:tcBorders>
              <w:end w:sz="16.0" w:val="single" w:color="#FFFFFF"/>
              <w:bottom w:sz="42.399999999999636" w:val="single" w:color="#E5ECF1"/>
            </w:tcBorders>
          </w:tcPr>
          <w:p/>
        </w:tc>
        <w:tc>
          <w:tcPr>
            <w:tcW w:type="dxa" w:w="7786"/>
            <w:vMerge w:val="restart"/>
            <w:tcBorders>
              <w:start w:sz="16.0" w:val="single" w:color="#FFFFFF"/>
              <w:top w:sz="8.0" w:val="single" w:color="#FFFFFF"/>
              <w:bottom w:sz="8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3893"/>
              <w:gridCol w:w="3893"/>
            </w:tblGrid>
            <w:tr>
              <w:trPr>
                <w:trHeight w:hRule="exact" w:val="402"/>
              </w:trPr>
              <w:tc>
                <w:tcPr>
                  <w:tcW w:type="dxa" w:w="1666"/>
                  <w:tcBorders/>
                  <w:shd w:fill="99b6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High Risk or in Debt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Distress</w:t>
                  </w:r>
                </w:p>
              </w:tc>
              <w:tc>
                <w:tcPr>
                  <w:tcW w:type="dxa" w:w="307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16" w:after="0"/>
                    <w:ind w:left="278" w:right="576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25-yr loans (5-yr grace, Fixed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interest SDR rate of 1.5%)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4"/>
        </w:trPr>
        <w:tc>
          <w:tcPr>
            <w:tcW w:type="dxa" w:w="1544"/>
            <w:tcBorders>
              <w:top w:sz="42.399999999999636" w:val="single" w:color="#E5ECF1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18"/>
            <w:vMerge/>
            <w:tcBorders>
              <w:start w:sz="16.0" w:val="single" w:color="#FFFFFF"/>
              <w:top w:sz="8.0" w:val="single" w:color="#FFFFFF"/>
              <w:bottom w:sz="8.0" w:val="single" w:color="#FFFFFF"/>
            </w:tcBorders>
          </w:tcPr>
          <w:p/>
        </w:tc>
      </w:tr>
      <w:tr>
        <w:trPr>
          <w:trHeight w:hRule="exact" w:val="436"/>
        </w:trPr>
        <w:tc>
          <w:tcPr>
            <w:tcW w:type="dxa" w:w="1544"/>
            <w:tcBorders>
              <w:end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18"/>
            <w:vMerge/>
            <w:tcBorders>
              <w:start w:sz="16.0" w:val="single" w:color="#FFFFFF"/>
              <w:top w:sz="8.0" w:val="single" w:color="#FFFFFF"/>
              <w:bottom w:sz="8.0" w:val="single" w:color="#FFFFFF"/>
            </w:tcBorders>
          </w:tcPr>
          <w:p/>
        </w:tc>
      </w:tr>
      <w:tr>
        <w:trPr>
          <w:trHeight w:hRule="exact" w:val="404"/>
        </w:trPr>
        <w:tc>
          <w:tcPr>
            <w:tcW w:type="dxa" w:w="1544"/>
            <w:tcBorders>
              <w:end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288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 xml:space="preserve">Gap and Blend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Countries</w:t>
            </w:r>
          </w:p>
        </w:tc>
        <w:tc>
          <w:tcPr>
            <w:tcW w:type="dxa" w:w="7786"/>
            <w:tcBorders>
              <w:start w:sz="16.0" w:val="single" w:color="#FFFFFF"/>
              <w:top w:sz="8.0" w:val="single" w:color="#FFFFF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6.00000000000023" w:type="dxa"/>
            </w:tblPr>
            <w:tblGrid>
              <w:gridCol w:w="2595"/>
              <w:gridCol w:w="2595"/>
              <w:gridCol w:w="2595"/>
            </w:tblGrid>
            <w:tr>
              <w:trPr>
                <w:trHeight w:hRule="exact" w:val="128"/>
              </w:trPr>
              <w:tc>
                <w:tcPr>
                  <w:tcW w:type="dxa" w:w="1644"/>
                  <w:vMerge w:val="restart"/>
                  <w:tcBorders/>
                  <w:shd w:fill="99b6c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38" w:after="0"/>
                    <w:ind w:left="16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Moderate Risk</w:t>
                  </w:r>
                </w:p>
              </w:tc>
              <w:tc>
                <w:tcPr>
                  <w:tcW w:type="dxa" w:w="2806"/>
                  <w:vMerge w:val="restart"/>
                  <w:tcBorders/>
                  <w:shd w:fill="99b6c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70" w:after="0"/>
                    <w:ind w:left="14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25-yr loans (5-yr grace, Floating </w:t>
                  </w:r>
                </w:p>
              </w:tc>
              <w:tc>
                <w:tcPr>
                  <w:tcW w:type="dxa" w:w="2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0" w:after="0"/>
                    <w:ind w:left="27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40-yr loans (10-yr grace, 0.75% </w:t>
                  </w:r>
                </w:p>
              </w:tc>
            </w:tr>
            <w:tr>
              <w:trPr>
                <w:trHeight w:hRule="exact" w:val="120"/>
              </w:trPr>
              <w:tc>
                <w:tcPr>
                  <w:tcW w:type="dxa" w:w="2595"/>
                  <w:vMerge/>
                  <w:tcBorders/>
                </w:tcPr>
                <w:p/>
              </w:tc>
              <w:tc>
                <w:tcPr>
                  <w:tcW w:type="dxa" w:w="2595"/>
                  <w:vMerge/>
                  <w:tcBorders/>
                </w:tcPr>
                <w:p/>
              </w:tc>
              <w:tc>
                <w:tcPr>
                  <w:tcW w:type="dxa" w:w="29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2" w:after="0"/>
                    <w:ind w:left="27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SDR service charge)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2595"/>
                  <w:vMerge/>
                  <w:tcBorders/>
                </w:tcPr>
                <w:p/>
              </w:tc>
              <w:tc>
                <w:tcPr>
                  <w:tcW w:type="dxa" w:w="2806"/>
                  <w:tcBorders/>
                  <w:shd w:fill="99b6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2" w:after="0"/>
                    <w:ind w:left="14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interest rate of IBRD Group A pricing </w:t>
                  </w:r>
                </w:p>
              </w:tc>
              <w:tc>
                <w:tcPr>
                  <w:tcW w:type="dxa" w:w="2595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40"/>
        </w:trPr>
        <w:tc>
          <w:tcPr>
            <w:tcW w:type="dxa" w:w="1544"/>
            <w:tcBorders>
              <w:end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86"/>
            <w:tcBorders>
              <w:start w:sz="16.0" w:val="single" w:color="#FFFFFF"/>
              <w:bottom w:sz="8.0" w:val="single" w:color="#FFFFF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6.00000000000023" w:type="dxa"/>
            </w:tblPr>
            <w:tblGrid>
              <w:gridCol w:w="3893"/>
              <w:gridCol w:w="3893"/>
            </w:tblGrid>
            <w:tr>
              <w:trPr>
                <w:trHeight w:hRule="exact" w:val="212"/>
              </w:trPr>
              <w:tc>
                <w:tcPr>
                  <w:tcW w:type="dxa" w:w="1300"/>
                  <w:tcBorders/>
                  <w:shd w:fill="99b6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27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Low Risk</w:t>
                  </w:r>
                </w:p>
              </w:tc>
              <w:tc>
                <w:tcPr>
                  <w:tcW w:type="dxa" w:w="32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0" w:after="0"/>
                    <w:ind w:left="40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minus 2.5%)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0"/>
        </w:trPr>
        <w:tc>
          <w:tcPr>
            <w:tcW w:type="dxa" w:w="1544"/>
            <w:tcBorders>
              <w:bottom w:sz="48.0" w:val="single" w:color="#E5ECF1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86"/>
            <w:tcBorders>
              <w:top w:sz="8.0" w:val="single" w:color="#FFFFFF"/>
              <w:bottom w:sz="48.0" w:val="single" w:color="#E5ECF1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145"/>
        <w:gridCol w:w="3145"/>
        <w:gridCol w:w="3145"/>
      </w:tblGrid>
      <w:tr>
        <w:trPr>
          <w:trHeight w:hRule="exact" w:val="198"/>
        </w:trPr>
        <w:tc>
          <w:tcPr>
            <w:tcW w:type="dxa" w:w="310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104"/>
            </w:tblGrid>
            <w:tr>
              <w:trPr>
                <w:trHeight w:hRule="exact" w:val="184"/>
              </w:trPr>
              <w:tc>
                <w:tcPr>
                  <w:tcW w:type="dxa" w:w="2970"/>
                  <w:tcBorders/>
                  <w:shd w:fill="e5ec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4" w:after="0"/>
                    <w:ind w:left="0" w:right="18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Risk of External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56"/>
            </w:tblGrid>
            <w:tr>
              <w:trPr>
                <w:trHeight w:hRule="exact" w:val="416"/>
              </w:trPr>
              <w:tc>
                <w:tcPr>
                  <w:tcW w:type="dxa" w:w="2496"/>
                  <w:tcBorders/>
                  <w:shd w:fill="e5ec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28" w:after="0"/>
                    <w:ind w:left="0" w:right="43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Non-Small States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8" w:after="0"/>
              <w:ind w:left="0" w:right="11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Small States</w:t>
            </w:r>
          </w:p>
        </w:tc>
      </w:tr>
      <w:tr>
        <w:trPr>
          <w:trHeight w:hRule="exact" w:val="2938"/>
        </w:trPr>
        <w:tc>
          <w:tcPr>
            <w:tcW w:type="dxa" w:w="3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5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Debt Distress</w:t>
            </w:r>
          </w:p>
        </w:tc>
        <w:tc>
          <w:tcPr>
            <w:tcW w:type="dxa" w:w="3145"/>
            <w:vMerge/>
            <w:tcBorders/>
          </w:tcPr>
          <w:p/>
        </w:tc>
        <w:tc>
          <w:tcPr>
            <w:tcW w:type="dxa" w:w="3145"/>
            <w:vMerge/>
            <w:tcBorders/>
          </w:tcPr>
          <w:p/>
        </w:tc>
      </w:tr>
    </w:tbl>
    <w:p>
      <w:pPr>
        <w:autoSpaceDN w:val="0"/>
        <w:tabs>
          <w:tab w:pos="9138" w:val="left"/>
        </w:tabs>
        <w:autoSpaceDE w:val="0"/>
        <w:widowControl/>
        <w:spacing w:line="224" w:lineRule="exact" w:before="1858" w:after="0"/>
        <w:ind w:left="33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13</w:t>
      </w: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III: IDA’s Financial Resources</w:t>
            </w:r>
          </w:p>
        </w:tc>
      </w:tr>
    </w:tbl>
    <w:p>
      <w:pPr>
        <w:autoSpaceDN w:val="0"/>
        <w:autoSpaceDE w:val="0"/>
        <w:widowControl/>
        <w:spacing w:line="246" w:lineRule="exact" w:before="7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Country Allocation Envelope </w:t>
      </w:r>
    </w:p>
    <w:p>
      <w:pPr>
        <w:autoSpaceDN w:val="0"/>
        <w:autoSpaceDE w:val="0"/>
        <w:widowControl/>
        <w:spacing w:line="240" w:lineRule="exact" w:before="126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country allocation envelope represents $67.2 billion of the IDA21 resource envelope. Country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allocations are comprised of the PBA, which takes into account the CPR, population size and per capita </w:t>
      </w:r>
      <w:r>
        <w:rPr>
          <w:rFonts w:ascii="ArialMT" w:hAnsi="ArialMT" w:eastAsia="ArialMT"/>
          <w:b w:val="0"/>
          <w:i w:val="0"/>
          <w:color w:val="000000"/>
          <w:sz w:val="20"/>
        </w:rPr>
        <w:t>income, the SDFP Incentive, the FCV Envelope, and the IDA-GFPP.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IDA Concessional Windows </w:t>
      </w:r>
    </w:p>
    <w:p>
      <w:pPr>
        <w:autoSpaceDN w:val="0"/>
        <w:autoSpaceDE w:val="0"/>
        <w:widowControl/>
        <w:spacing w:line="240" w:lineRule="exact" w:before="12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Concessional Windows allow IDA to respond to specific needs of its members. In IDA21, $22.6 billion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of the IDA21 resource envelope will be used to fund the following: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132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$3.0  billion of Concessional Scale-up Window (SUW) – Shorter Maturity Loans.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6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$15.9 billion of Global and Regional Opportunities Window (GROW), including $2.4 billion for the sub-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window for Host Communities and Refugees (WHR).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13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$3.7 billion of Crisis Response Window.</w:t>
      </w:r>
    </w:p>
    <w:p>
      <w:pPr>
        <w:autoSpaceDN w:val="0"/>
        <w:autoSpaceDE w:val="0"/>
        <w:widowControl/>
        <w:spacing w:line="246" w:lineRule="exact" w:before="19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Global and Regional Opportunities Window (GROW)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IDA21 establishes the new GROW to scale up action on priority global and regional challenges. GROW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replaces the former Regional Window and integrates a dedicated sub-window for the Window for Host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Communities and Refugees (WHR) in a single, fully concessional window. GROW offers low-income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countries additional resources on concessional terms, same as the ones in the country allocation, to help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countries address policy priorities with cross-border externalities. IDA fosters regional integration by </w:t>
      </w:r>
      <w:r>
        <w:rPr>
          <w:rFonts w:ascii="ArialMT" w:hAnsi="ArialMT" w:eastAsia="ArialMT"/>
          <w:b w:val="0"/>
          <w:i w:val="0"/>
          <w:color w:val="000000"/>
          <w:sz w:val="20"/>
        </w:rPr>
        <w:t>playing three overlapping roles: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13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Supporting an enabling environment through advisory and analytical work; 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7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Financing projects through policy and investment loans; and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7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Convening state and nonstate actors for coordination and collective actions.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4972"/>
          <w:sz w:val="22"/>
        </w:rPr>
        <w:t>Window for Host Communities and Refugees (WHR)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IDA21, WHR is a sub-window under GROW and will continue to support operations that promote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medium-to long-term development opportunities for refugee and host communities in IDA countries.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purpose of the WHR is to support refugee hosting countries to: 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13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create social and economic development opportunities for refugee and host communities; 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6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facilitate solutions that include sustainable socio-economic inclusion of refugees in the host country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and/or their return to the country of origin; and 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7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strengthen country preparedness for increased or potential new refugee flow.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Crisis Response Window (CRW)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primary objective of the CRW is to provide IDA countries with additional resources that will help them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respond to major natural disasters, or public health emergencies and severe economic crises so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they can return to their long-term development paths. This $3.7 billion window under the IDA21 resource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envelope includes an allocation of up to $1.0 billion under the CRW Early Response Financing (ERF)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enable IDA countries to intervene earlier in response to slower-onset crises, namely disease outbreaks </w:t>
      </w:r>
      <w:r>
        <w:rPr>
          <w:rFonts w:ascii="ArialMT" w:hAnsi="ArialMT" w:eastAsia="ArialMT"/>
          <w:b w:val="0"/>
          <w:i w:val="0"/>
          <w:color w:val="000000"/>
          <w:sz w:val="20"/>
        </w:rPr>
        <w:t>and food insecurity.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Concessional Scale-up Window – Shorter Maturity Loans (SUW-SML) 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Shorter Maturity Loans under the Scale-up Window will provide additional concessional resources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an allocation of $3.0 billion in eligible countries i.e., IDA-only countries at low or moderate risk of debt </w:t>
      </w:r>
      <w:r>
        <w:rPr>
          <w:rFonts w:ascii="ArialMT" w:hAnsi="ArialMT" w:eastAsia="ArialMT"/>
          <w:b w:val="0"/>
          <w:i w:val="0"/>
          <w:color w:val="000000"/>
          <w:sz w:val="20"/>
        </w:rPr>
        <w:t>distress, as well as Gap and Blend countries (except Small States that are at high risk or in debt distress).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160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III: IDA’s Financial Resources</w:t>
            </w:r>
          </w:p>
        </w:tc>
      </w:tr>
    </w:tbl>
    <w:p>
      <w:pPr>
        <w:autoSpaceDN w:val="0"/>
        <w:autoSpaceDE w:val="0"/>
        <w:widowControl/>
        <w:spacing w:line="268" w:lineRule="exact" w:before="7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Non-Concessional Financing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Non-Concessional financing comprises loans and guarantees whose terms are aligned with those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IBRD’s flexible loans and guarantees. Under the IDA21 resource envelope, $7.0 billion of resources have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been allocated to non-concessional financing which entirely relates to the regular Scale-up Window. </w:t>
      </w:r>
    </w:p>
    <w:p>
      <w:pPr>
        <w:autoSpaceDN w:val="0"/>
        <w:autoSpaceDE w:val="0"/>
        <w:widowControl/>
        <w:spacing w:line="242" w:lineRule="exact" w:before="156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Non-Concessional Scale-up Window: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Non-Concessional Scale-up Window is a window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established to enhance support for high-quality, transformational, country-specific and/or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regional operations with strong development impact. Allocation of Non-Concessional Scale-up Window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to the regions will broadly conform to the allocations under the PBA, excluding countries at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high risk of debt distress. Allocations are balanced between IDA-only and Blend countries to avoid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countries from having a concentration of Non-Concessional Scale-up Window resources. Implementation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arrangements will prioritize a country’s ability to absorb resources and the proposed projects’ alignment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>with IDA21 policy priorities and the debt-related Sustainable Development Finance Policy.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Private Sector Window (PSW) 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IDA-IFC-MIGA Private Sector Window was created under IDA18 to mobilize private sector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 in IDA-only countries and IDA-eligible Fragile and Conflict-affected Situations. In IDA20,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PSW was allocated an initial envelope of $2.5 billion which was increased to $2.7 billion corresponding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release of the PSW resources allocated in the previous replenishment cycles. This had no impact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cumulative total PSW allocation in IDA18 through IDA20. Under IDA21, $3.2 billion has been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allocated to PSW, including $500 million capital set aside on IFC's balance sheet. As of June 30, 2025,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$3.2 billion had been committed in IDA20, including recommitments of cancellations from previous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current replenishments.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PSW is deployed through facilities designed to target critical challenges faced by the private sector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leverages IFC and MIGA’s business platforms and instruments.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Arrears Clearance Framework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has a policy of not providing additional financing to borrowers who are overdue on their payments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or IBRD. However, IDA may engage with these countries under limited and clearly defined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circumstances. IDA’s arrears clearance framework sets out these circumstances, including (i) pre-arrears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clearance grants; and (ii) the arrears clearance set-aside, that can only be financed under the arrears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clearance operations. In IDA21, no allocation was set aside towards arrears clearance to support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possible reengagement of IDA countries that are currently in arrears. However, during the IDA21 period,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should meaningful progress arise in any country in arrears, a reallocation discussion with IDA members </w:t>
      </w:r>
      <w:r>
        <w:rPr>
          <w:rFonts w:ascii="ArialMT" w:hAnsi="ArialMT" w:eastAsia="ArialMT"/>
          <w:b w:val="0"/>
          <w:i w:val="0"/>
          <w:color w:val="000000"/>
          <w:sz w:val="20"/>
        </w:rPr>
        <w:t>will be initiated.</w:t>
      </w:r>
    </w:p>
    <w:p>
      <w:pPr>
        <w:autoSpaceDN w:val="0"/>
        <w:tabs>
          <w:tab w:pos="360" w:val="left"/>
        </w:tabs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i. </w:t>
      </w:r>
      <w:r>
        <w:tab/>
      </w:r>
      <w:r>
        <w:rPr>
          <w:rFonts w:ascii="Arial" w:hAnsi="Arial" w:eastAsia="Arial"/>
          <w:b/>
          <w:i w:val="0"/>
          <w:color w:val="004972"/>
          <w:sz w:val="22"/>
        </w:rPr>
        <w:t>Pre-Arrears Clearance Grants (PACG)</w:t>
      </w:r>
    </w:p>
    <w:p>
      <w:pPr>
        <w:autoSpaceDN w:val="0"/>
        <w:autoSpaceDE w:val="0"/>
        <w:widowControl/>
        <w:spacing w:line="240" w:lineRule="exact" w:before="126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PACG mechanism enables IDA to engage early in support of a government undertaking convincing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reforms. This was first introduced in IDA12 to be used to finance high priority activities related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preparation of a program of social and economic recovery and to build resilience until the arrears are fully </w:t>
      </w:r>
      <w:r>
        <w:rPr>
          <w:rFonts w:ascii="ArialMT" w:hAnsi="ArialMT" w:eastAsia="ArialMT"/>
          <w:b w:val="0"/>
          <w:i w:val="0"/>
          <w:color w:val="000000"/>
          <w:sz w:val="20"/>
        </w:rPr>
        <w:t>cleared. Conditions constituting this framework include indications that: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early performance is promising as evidenced by the recipient country having taken convincing steps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towards social and economic recovery.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6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arrears to IDA and/or IBRD are large and protracted and cannot be easily or quickly cleared using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domestic resources.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6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concerted international effort to provide positive financial flows and other assistance is underway,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and other creditors have agreed not to make net withdrawals of financial resources from the country.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alternative sources of financing for post-conflict recovery are inadequate or available only 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inappropriate terms; and 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6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Pari passu sharing arrangements are in place between preferred creditors, for any payments made by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the country in advance of arrears clearance.</w:t>
      </w:r>
    </w:p>
    <w:p>
      <w:pPr>
        <w:autoSpaceDN w:val="0"/>
        <w:tabs>
          <w:tab w:pos="9138" w:val="left"/>
        </w:tabs>
        <w:autoSpaceDE w:val="0"/>
        <w:widowControl/>
        <w:spacing w:line="224" w:lineRule="exact" w:before="512" w:after="0"/>
        <w:ind w:left="33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15</w:t>
      </w: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III: IDA’s Financial Resources</w:t>
            </w:r>
          </w:p>
        </w:tc>
      </w:tr>
    </w:tbl>
    <w:p>
      <w:pPr>
        <w:autoSpaceDN w:val="0"/>
        <w:autoSpaceDE w:val="0"/>
        <w:widowControl/>
        <w:spacing w:line="240" w:lineRule="exact" w:before="702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PACG program has met its objectives with each of the prior PACG recipients successfully clearing 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their arrears to IDA. Prior PACG recipients are Democratic Republic of the Congo, Cote d’Ivoire,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Afghanistan, Liberia, Myanmar, Federal Republic of Somalia, and Sudan for a total of $802 million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between FY01 and FY25.</w:t>
      </w:r>
    </w:p>
    <w:p>
      <w:pPr>
        <w:autoSpaceDN w:val="0"/>
        <w:tabs>
          <w:tab w:pos="360" w:val="left"/>
        </w:tabs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ii. </w:t>
      </w:r>
      <w:r>
        <w:tab/>
      </w:r>
      <w:r>
        <w:rPr>
          <w:rFonts w:ascii="Arial" w:hAnsi="Arial" w:eastAsia="Arial"/>
          <w:b/>
          <w:i w:val="0"/>
          <w:color w:val="004972"/>
          <w:sz w:val="22"/>
        </w:rPr>
        <w:t>Arrears Clearance Set-Aside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Arrears Clearance Set-Aside (ACSA) forms part of IDA’s overall financing commitments. It is financed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additional member contributions under the replenishments. IDA members agreed to ring-fence arrears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clearance support to IDA countries that were in arrears as of December 31, 2006 and meet a very narrow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well-defined set of criteria– see below, including eligibility for support under the Heavily Indebted Poor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Countries (HIPC) debt initiative. Amounts were set aside within the IDA replenishment so that when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circumstances allow, IDA would be able to help countries clear arrears and fully re-engage with the World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Bank. </w:t>
      </w:r>
    </w:p>
    <w:p>
      <w:pPr>
        <w:autoSpaceDN w:val="0"/>
        <w:autoSpaceDE w:val="0"/>
        <w:widowControl/>
        <w:spacing w:line="224" w:lineRule="exact" w:before="13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be considered for any arrears clearance support, the country would need to meet the following criteria: 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13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 eligible for HIPC debt relief; 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7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agree to implement a medium-term growth-oriented reform program endorsed by the World Bank;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7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ensure a sustainable macro and sustainable debt service after arrears clearance;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6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 on a stabilization program endorsed by the International Monetary Fund (IMF) management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monitored by IMF staff or supported by an IMF arrangement; and 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6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 to a financing plan for full clearance of arrears, including normalization with other Multilateral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Development Banks (MDBs).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addition, to receive support for arrears clearance, project proposals should meet re-engagement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>criteria based on facts and circumstances of each case.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736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402" w:lineRule="exact" w:before="74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>Section IV: Financial Results</w:t>
      </w:r>
    </w:p>
    <w:p>
      <w:pPr>
        <w:autoSpaceDN w:val="0"/>
        <w:autoSpaceDE w:val="0"/>
        <w:widowControl/>
        <w:spacing w:line="312" w:lineRule="exact" w:before="21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Financial Results and Portfolio Performance</w:t>
      </w:r>
    </w:p>
    <w:p>
      <w:pPr>
        <w:autoSpaceDN w:val="0"/>
        <w:autoSpaceDE w:val="0"/>
        <w:widowControl/>
        <w:spacing w:line="222" w:lineRule="exact" w:before="15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5: Condensed Balance Sheets</w:t>
      </w:r>
    </w:p>
    <w:p>
      <w:pPr>
        <w:autoSpaceDN w:val="0"/>
        <w:autoSpaceDE w:val="0"/>
        <w:widowControl/>
        <w:spacing w:line="180" w:lineRule="exact" w:before="84" w:after="6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66"/>
        </w:trPr>
        <w:tc>
          <w:tcPr>
            <w:tcW w:type="dxa" w:w="223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As of June 30,</w:t>
            </w:r>
          </w:p>
        </w:tc>
        <w:tc>
          <w:tcPr>
            <w:tcW w:type="dxa" w:w="19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41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2025</w:t>
            </w:r>
          </w:p>
        </w:tc>
        <w:tc>
          <w:tcPr>
            <w:tcW w:type="dxa" w:w="4916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8" w:after="0"/>
              <w:ind w:left="4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Decrease  Increase</w:t>
            </w:r>
          </w:p>
        </w:tc>
      </w:tr>
    </w:tbl>
    <w:p>
      <w:pPr>
        <w:autoSpaceDN w:val="0"/>
        <w:autoSpaceDE w:val="0"/>
        <w:widowControl/>
        <w:spacing w:line="178" w:lineRule="exact" w:before="126" w:after="24"/>
        <w:ind w:left="1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24"/>
        </w:trPr>
        <w:tc>
          <w:tcPr>
            <w:tcW w:type="dxa" w:w="2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Due from banks</w:t>
            </w:r>
          </w:p>
        </w:tc>
        <w:tc>
          <w:tcPr>
            <w:tcW w:type="dxa" w:w="3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1,215 $ 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586 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6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629</w:t>
            </w:r>
          </w:p>
        </w:tc>
        <w:tc>
          <w:tcPr>
            <w:tcW w:type="dxa" w:w="9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"/>
        </w:trPr>
        <w:tc>
          <w:tcPr>
            <w:tcW w:type="dxa" w:w="25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1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1"/>
            <w:vMerge/>
            <w:tcBorders/>
          </w:tcPr>
          <w:p/>
        </w:tc>
        <w:tc>
          <w:tcPr>
            <w:tcW w:type="dxa" w:w="1181"/>
            <w:vMerge/>
            <w:tcBorders/>
          </w:tcPr>
          <w:p/>
        </w:tc>
        <w:tc>
          <w:tcPr>
            <w:tcW w:type="dxa" w:w="1181"/>
            <w:vMerge/>
            <w:tcBorders/>
          </w:tcPr>
          <w:p/>
        </w:tc>
        <w:tc>
          <w:tcPr>
            <w:tcW w:type="dxa" w:w="1181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2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</w:t>
            </w:r>
          </w:p>
        </w:tc>
        <w:tc>
          <w:tcPr>
            <w:tcW w:type="dxa" w:w="35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47,272 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34,377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12,895</w:t>
            </w:r>
          </w:p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4"/>
        </w:trPr>
        <w:tc>
          <w:tcPr>
            <w:tcW w:type="dxa" w:w="2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Loans Outstanding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35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223,232 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198,457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24,775</w:t>
            </w:r>
          </w:p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2"/>
        </w:trPr>
        <w:tc>
          <w:tcPr>
            <w:tcW w:type="dxa" w:w="2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3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415 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363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7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52</w:t>
            </w:r>
          </w:p>
        </w:tc>
        <w:tc>
          <w:tcPr>
            <w:tcW w:type="dxa" w:w="91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25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assets</w:t>
            </w:r>
          </w:p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  <w:tc>
          <w:tcPr>
            <w:tcW w:type="dxa" w:w="12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8,735 </w:t>
            </w:r>
          </w:p>
        </w:tc>
        <w:tc>
          <w:tcPr>
            <w:tcW w:type="dxa" w:w="8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7,567 </w:t>
            </w:r>
          </w:p>
        </w:tc>
        <w:tc>
          <w:tcPr>
            <w:tcW w:type="dxa" w:w="1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1,168</w:t>
            </w:r>
          </w:p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64"/>
        </w:trPr>
        <w:tc>
          <w:tcPr>
            <w:tcW w:type="dxa" w:w="25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assets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280,869 $ </w:t>
            </w:r>
          </w:p>
        </w:tc>
        <w:tc>
          <w:tcPr>
            <w:tcW w:type="dxa" w:w="8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241,350 </w:t>
            </w:r>
          </w:p>
        </w:tc>
        <w:tc>
          <w:tcPr>
            <w:tcW w:type="dxa" w:w="1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39,519</w:t>
            </w:r>
          </w:p>
        </w:tc>
      </w:tr>
    </w:tbl>
    <w:p>
      <w:pPr>
        <w:autoSpaceDN w:val="0"/>
        <w:autoSpaceDE w:val="0"/>
        <w:widowControl/>
        <w:spacing w:line="180" w:lineRule="exact" w:before="306" w:after="2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196"/>
        </w:trPr>
        <w:tc>
          <w:tcPr>
            <w:tcW w:type="dxa" w:w="2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2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70,832 $ 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44,923 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/>
            <w:shd w:fill="4b809c"/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25,909</w:t>
            </w:r>
          </w:p>
        </w:tc>
      </w:tr>
      <w:tr>
        <w:trPr>
          <w:trHeight w:hRule="exact" w:val="226"/>
        </w:trPr>
        <w:tc>
          <w:tcPr>
            <w:tcW w:type="dxa" w:w="2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3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496 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667 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(171)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6"/>
        </w:trPr>
        <w:tc>
          <w:tcPr>
            <w:tcW w:type="dxa" w:w="2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liabilities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5,370 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5,459 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(89)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25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Equity</w:t>
            </w:r>
          </w:p>
        </w:tc>
        <w:tc>
          <w:tcPr>
            <w:tcW w:type="dxa" w:w="3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204,171 </w:t>
            </w:r>
          </w:p>
        </w:tc>
        <w:tc>
          <w:tcPr>
            <w:tcW w:type="dxa" w:w="8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190,301 </w:t>
            </w:r>
          </w:p>
        </w:tc>
        <w:tc>
          <w:tcPr>
            <w:tcW w:type="dxa" w:w="8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13,870</w:t>
            </w:r>
          </w:p>
        </w:tc>
        <w:tc>
          <w:tcPr>
            <w:tcW w:type="dxa" w:w="1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2594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liabilities and equity</w:t>
            </w:r>
          </w:p>
        </w:tc>
        <w:tc>
          <w:tcPr>
            <w:tcW w:type="dxa" w:w="356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280,869 $ </w:t>
            </w:r>
          </w:p>
        </w:tc>
        <w:tc>
          <w:tcPr>
            <w:tcW w:type="dxa" w:w="836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241,350 </w:t>
            </w:r>
          </w:p>
        </w:tc>
        <w:tc>
          <w:tcPr>
            <w:tcW w:type="dxa" w:w="844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top w:sz="8.0" w:val="single" w:color="#000000"/>
              <w:bottom w:sz="8.0" w:val="single" w:color="#6C6C6C"/>
            </w:tcBorders>
            <w:shd w:fill="4b809c"/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39,519</w:t>
            </w:r>
          </w:p>
        </w:tc>
      </w:tr>
      <w:tr>
        <w:trPr>
          <w:trHeight w:hRule="exact" w:val="360"/>
        </w:trPr>
        <w:tc>
          <w:tcPr>
            <w:tcW w:type="dxa" w:w="259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2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The fair value of IDA’s loans was $172,530 million as of June 30, 2025 ($151,428  million – June 30, 2024).</w:t>
      </w:r>
    </w:p>
    <w:p>
      <w:pPr>
        <w:autoSpaceDN w:val="0"/>
        <w:autoSpaceDE w:val="0"/>
        <w:widowControl/>
        <w:spacing w:line="240" w:lineRule="exact" w:before="20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main drivers for the movements in the Condensed Balance Sheets from June 30, 2024 to 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>2025 are as follows: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increase in investments, driven by net cash inflows from new issuances of debt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subscriptions and contributions paid in, partially offset by cash outflows from net loan and grant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disbursements during the year;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6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increase in net loans outstanding due to net loan disbursements of $16.0 billion during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 and translation gains due to the appreciation of the Special Drawing Rights (SDR) against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U.S. dollar.;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76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An increase in borrowings due to net new issuances of $22.0 billion during the year;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6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increase in total equity, driven by the subscriptions and contributions paid-in and total other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comprehensive income, partially offset by the net loss during the year. Total other comprehensive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income is driven by currency translation gains as the SDR appreciated against the U.S dollar.</w:t>
      </w:r>
    </w:p>
    <w:p>
      <w:pPr>
        <w:autoSpaceDN w:val="0"/>
        <w:autoSpaceDE w:val="0"/>
        <w:widowControl/>
        <w:spacing w:line="268" w:lineRule="exact" w:before="6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Total Equity</w:t>
      </w:r>
    </w:p>
    <w:p>
      <w:pPr>
        <w:autoSpaceDN w:val="0"/>
        <w:autoSpaceDE w:val="0"/>
        <w:widowControl/>
        <w:spacing w:line="224" w:lineRule="exact" w:before="14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See below for the change in IDA’s total equity during FY25: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6: Change in Total Equity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billions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40"/>
        </w:trPr>
        <w:tc>
          <w:tcPr>
            <w:tcW w:type="dxa" w:w="383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equity as of June 30, 2024</w:t>
            </w:r>
          </w:p>
        </w:tc>
        <w:tc>
          <w:tcPr>
            <w:tcW w:type="dxa" w:w="182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190.3 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Activity during the year: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1"/>
        <w:gridCol w:w="2361"/>
        <w:gridCol w:w="2361"/>
        <w:gridCol w:w="2361"/>
      </w:tblGrid>
      <w:tr>
        <w:trPr>
          <w:trHeight w:hRule="exact" w:val="224"/>
        </w:trPr>
        <w:tc>
          <w:tcPr>
            <w:tcW w:type="dxa" w:w="4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Subscriptions and contributions paid-in</w:t>
            </w:r>
          </w:p>
        </w:tc>
        <w:tc>
          <w:tcPr>
            <w:tcW w:type="dxa" w:w="4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6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11.6 </w:t>
            </w:r>
          </w:p>
        </w:tc>
        <w:tc>
          <w:tcPr>
            <w:tcW w:type="dxa" w:w="48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4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Nonnegotiable non-interest bearing demand obligations</w:t>
            </w:r>
          </w:p>
        </w:tc>
        <w:tc>
          <w:tcPr>
            <w:tcW w:type="dxa" w:w="4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6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0.3 </w:t>
            </w:r>
          </w:p>
        </w:tc>
        <w:tc>
          <w:tcPr>
            <w:tcW w:type="dxa" w:w="2361"/>
            <w:vMerge/>
            <w:tcBorders>
              <w:bottom w:sz="8.0" w:val="single" w:color="#6C6C6C"/>
            </w:tcBorders>
          </w:tcPr>
          <w:p/>
        </w:tc>
      </w:tr>
      <w:tr>
        <w:trPr>
          <w:trHeight w:hRule="exact" w:val="240"/>
        </w:trPr>
        <w:tc>
          <w:tcPr>
            <w:tcW w:type="dxa" w:w="4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Loss</w:t>
            </w:r>
          </w:p>
        </w:tc>
        <w:tc>
          <w:tcPr>
            <w:tcW w:type="dxa" w:w="4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5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(5.5) </w:t>
            </w:r>
          </w:p>
        </w:tc>
        <w:tc>
          <w:tcPr>
            <w:tcW w:type="dxa" w:w="2361"/>
            <w:vMerge/>
            <w:tcBorders>
              <w:bottom w:sz="8.0" w:val="single" w:color="#6C6C6C"/>
            </w:tcBorders>
          </w:tcPr>
          <w:p/>
        </w:tc>
      </w:tr>
      <w:tr>
        <w:trPr>
          <w:trHeight w:hRule="exact" w:val="248"/>
        </w:trPr>
        <w:tc>
          <w:tcPr>
            <w:tcW w:type="dxa" w:w="4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other comprehensive income</w:t>
            </w:r>
          </w:p>
        </w:tc>
        <w:tc>
          <w:tcPr>
            <w:tcW w:type="dxa" w:w="4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6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7.5 </w:t>
            </w:r>
          </w:p>
        </w:tc>
        <w:tc>
          <w:tcPr>
            <w:tcW w:type="dxa" w:w="2361"/>
            <w:vMerge/>
            <w:tcBorders>
              <w:bottom w:sz="8.0" w:val="single" w:color="#6C6C6C"/>
            </w:tcBorders>
          </w:tcPr>
          <w:p/>
        </w:tc>
      </w:tr>
      <w:tr>
        <w:trPr>
          <w:trHeight w:hRule="exact" w:val="240"/>
        </w:trPr>
        <w:tc>
          <w:tcPr>
            <w:tcW w:type="dxa" w:w="4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Total Activity </w:t>
            </w:r>
          </w:p>
        </w:tc>
        <w:tc>
          <w:tcPr>
            <w:tcW w:type="dxa" w:w="4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26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13.9 </w:t>
            </w:r>
          </w:p>
        </w:tc>
        <w:tc>
          <w:tcPr>
            <w:tcW w:type="dxa" w:w="48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8"/>
        </w:trPr>
        <w:tc>
          <w:tcPr>
            <w:tcW w:type="dxa" w:w="4730"/>
            <w:vMerge w:val="restart"/>
            <w:tcBorders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equity as of June 30, 2025</w:t>
            </w:r>
          </w:p>
        </w:tc>
        <w:tc>
          <w:tcPr>
            <w:tcW w:type="dxa" w:w="936"/>
            <w:vMerge w:val="restart"/>
            <w:tcBorders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244"/>
            <w:vMerge w:val="restart"/>
            <w:tcBorders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1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204.2 </w:t>
            </w:r>
          </w:p>
        </w:tc>
        <w:tc>
          <w:tcPr>
            <w:tcW w:type="dxa" w:w="480"/>
            <w:tcBorders>
              <w:top w:sz="8.0" w:val="single" w:color="#6C6C6C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4"/>
        </w:trPr>
        <w:tc>
          <w:tcPr>
            <w:tcW w:type="dxa" w:w="2361"/>
            <w:vMerge/>
            <w:tcBorders>
              <w:bottom w:sz="8.0" w:val="single" w:color="#929292"/>
            </w:tcBorders>
          </w:tcPr>
          <w:p/>
        </w:tc>
        <w:tc>
          <w:tcPr>
            <w:tcW w:type="dxa" w:w="2361"/>
            <w:vMerge/>
            <w:tcBorders>
              <w:bottom w:sz="8.0" w:val="single" w:color="#929292"/>
            </w:tcBorders>
          </w:tcPr>
          <w:p/>
        </w:tc>
        <w:tc>
          <w:tcPr>
            <w:tcW w:type="dxa" w:w="2361"/>
            <w:vMerge/>
            <w:tcBorders>
              <w:bottom w:sz="8.0" w:val="single" w:color="#929292"/>
            </w:tcBorders>
          </w:tcPr>
          <w:p/>
        </w:tc>
        <w:tc>
          <w:tcPr>
            <w:tcW w:type="dxa" w:w="480"/>
            <w:vMerge w:val="restart"/>
            <w:tcBorders>
              <w:top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30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17</w:t>
            </w:r>
          </w:p>
        </w:tc>
      </w:tr>
      <w:tr>
        <w:trPr>
          <w:trHeight w:hRule="exact" w:val="810"/>
        </w:trPr>
        <w:tc>
          <w:tcPr>
            <w:tcW w:type="dxa" w:w="8910"/>
            <w:gridSpan w:val="3"/>
            <w:tcBorders>
              <w:top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96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IDA Management's Discussion and Analysis: June 30, 2025 </w:t>
            </w:r>
          </w:p>
        </w:tc>
        <w:tc>
          <w:tcPr>
            <w:tcW w:type="dxa" w:w="2361"/>
            <w:vMerge/>
            <w:tcBorders>
              <w:top w:sz="8.0" w:val="single" w:color="#929292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268" w:lineRule="exact" w:before="71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Net Income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had a net loss of $5,524 million in FY25 compared with a net loss of $3,573 million in FY24 (Table 7).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higher net loss was primarily driven by an increase of $1,909 million in development grant expenses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due to higher amount of grants that met the conditions for expense recognition in FY25 compared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FY24. 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7: Condensed Statements of Income</w:t>
      </w:r>
    </w:p>
    <w:p>
      <w:pPr>
        <w:autoSpaceDN w:val="0"/>
        <w:autoSpaceDE w:val="0"/>
        <w:widowControl/>
        <w:spacing w:line="178" w:lineRule="exact" w:before="84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134" w:after="32"/>
        <w:ind w:left="0" w:right="836" w:firstLine="0"/>
        <w:jc w:val="right"/>
      </w:pPr>
      <w:r>
        <w:rPr>
          <w:rFonts w:ascii="Arial" w:hAnsi="Arial" w:eastAsia="Arial"/>
          <w:b w:val="0"/>
          <w:i/>
          <w:color w:val="808080"/>
          <w:sz w:val="16"/>
        </w:rPr>
        <w:t>Impact on Income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38"/>
        </w:trPr>
        <w:tc>
          <w:tcPr>
            <w:tcW w:type="dxa" w:w="4024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For the fiscal year ended June 30 ,</w:t>
            </w:r>
          </w:p>
        </w:tc>
        <w:tc>
          <w:tcPr>
            <w:tcW w:type="dxa" w:w="202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4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2025</w:t>
            </w:r>
          </w:p>
        </w:tc>
        <w:tc>
          <w:tcPr>
            <w:tcW w:type="dxa" w:w="104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  <w:tc>
          <w:tcPr>
            <w:tcW w:type="dxa" w:w="136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Decrease</w:t>
            </w:r>
          </w:p>
        </w:tc>
        <w:tc>
          <w:tcPr>
            <w:tcW w:type="dxa" w:w="804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Increase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58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195"/>
        </w:trPr>
        <w:tc>
          <w:tcPr>
            <w:tcW w:type="dxa" w:w="5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Loans, net </w:t>
            </w:r>
          </w:p>
        </w:tc>
        <w:tc>
          <w:tcPr>
            <w:tcW w:type="dxa" w:w="13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$ 3,021 $ 2,639 </w:t>
            </w:r>
          </w:p>
        </w:tc>
        <w:tc>
          <w:tcPr>
            <w:tcW w:type="dxa" w:w="123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7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36"/>
            <w:tcBorders/>
            <w:shd w:fill="4b809c"/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382</w:t>
            </w:r>
          </w:p>
        </w:tc>
      </w:tr>
      <w:tr>
        <w:trPr>
          <w:trHeight w:hRule="exact" w:val="240"/>
        </w:trPr>
        <w:tc>
          <w:tcPr>
            <w:tcW w:type="dxa" w:w="5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Investments, net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1,559 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1,317</w:t>
            </w:r>
          </w:p>
        </w:tc>
        <w:tc>
          <w:tcPr>
            <w:tcW w:type="dxa" w:w="123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7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3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242</w:t>
            </w:r>
          </w:p>
        </w:tc>
      </w:tr>
      <w:tr>
        <w:trPr>
          <w:trHeight w:hRule="exact" w:val="282"/>
        </w:trPr>
        <w:tc>
          <w:tcPr>
            <w:tcW w:type="dxa" w:w="5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Asset-liability management derivatives, net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 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58</w:t>
            </w:r>
          </w:p>
        </w:tc>
        <w:tc>
          <w:tcPr>
            <w:tcW w:type="dxa" w:w="123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7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20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53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Borrowing expenses, net</w:t>
            </w:r>
          </w:p>
        </w:tc>
        <w:tc>
          <w:tcPr>
            <w:tcW w:type="dxa" w:w="131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(2,292) (1,616)</w:t>
            </w:r>
          </w:p>
        </w:tc>
        <w:tc>
          <w:tcPr>
            <w:tcW w:type="dxa" w:w="123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(676)</w:t>
            </w:r>
          </w:p>
        </w:tc>
        <w:tc>
          <w:tcPr>
            <w:tcW w:type="dxa" w:w="572"/>
            <w:tcBorders>
              <w:bottom w:sz="8.0" w:val="single" w:color="#000000"/>
            </w:tcBorders>
            <w:shd w:fill="99b5c7"/>
            <w:tcMar>
              <w:start w:w="0" w:type="dxa"/>
              <w:end w:w="0" w:type="dxa"/>
            </w:tcMar>
          </w:tcPr>
          <w:p/>
        </w:tc>
        <w:tc>
          <w:tcPr>
            <w:tcW w:type="dxa" w:w="2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Interest Revenue, net of borrowing expenses</w:t>
            </w:r>
          </w:p>
        </w:tc>
        <w:tc>
          <w:tcPr>
            <w:tcW w:type="dxa" w:w="131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$ 2,366 $ 2,398 </w:t>
            </w:r>
          </w:p>
        </w:tc>
        <w:tc>
          <w:tcPr>
            <w:tcW w:type="dxa" w:w="123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(32)</w:t>
            </w:r>
          </w:p>
        </w:tc>
        <w:tc>
          <w:tcPr>
            <w:tcW w:type="dxa" w:w="2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2"/>
        </w:trPr>
        <w:tc>
          <w:tcPr>
            <w:tcW w:type="dxa" w:w="53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 for losses on loans and other exposures</w:t>
            </w:r>
          </w:p>
        </w:tc>
        <w:tc>
          <w:tcPr>
            <w:tcW w:type="dxa" w:w="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(358) </w:t>
            </w:r>
          </w:p>
        </w:tc>
        <w:tc>
          <w:tcPr>
            <w:tcW w:type="dxa" w:w="5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(275) </w:t>
            </w:r>
          </w:p>
        </w:tc>
        <w:tc>
          <w:tcPr>
            <w:tcW w:type="dxa" w:w="123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(83)</w:t>
            </w:r>
          </w:p>
        </w:tc>
        <w:tc>
          <w:tcPr>
            <w:tcW w:type="dxa" w:w="2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20" w:after="54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Non-interest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196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Revenue from externally funded activities (Table 10)</w:t>
            </w:r>
          </w:p>
        </w:tc>
        <w:tc>
          <w:tcPr>
            <w:tcW w:type="dxa" w:w="2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1,098  1,031 </w:t>
            </w:r>
          </w:p>
        </w:tc>
        <w:tc>
          <w:tcPr>
            <w:tcW w:type="dxa" w:w="1106"/>
            <w:vMerge w:val="restart"/>
            <w:tcBorders>
              <w:end w:sz="17.59999999999991" w:val="single" w:color="#4B80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(3)</w:t>
            </w:r>
          </w:p>
        </w:tc>
        <w:tc>
          <w:tcPr>
            <w:tcW w:type="dxa" w:w="574"/>
            <w:tcBorders>
              <w:start w:sz="17.59999999999991" w:val="single" w:color="#4B809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67</w:t>
            </w:r>
          </w:p>
        </w:tc>
      </w:tr>
      <w:tr>
        <w:trPr>
          <w:trHeight w:hRule="exact" w:val="260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Commitment charges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  <w:tc>
          <w:tcPr>
            <w:tcW w:type="dxa" w:w="1889"/>
            <w:vMerge/>
            <w:tcBorders>
              <w:end w:sz="17.59999999999991" w:val="single" w:color="#4B809C"/>
            </w:tcBorders>
          </w:tcPr>
          <w:p/>
        </w:tc>
        <w:tc>
          <w:tcPr>
            <w:tcW w:type="dxa" w:w="574"/>
            <w:vMerge w:val="restart"/>
            <w:tcBorders>
              <w:start w:sz="17.59999999999991" w:val="single" w:color="#4B80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11</w:t>
            </w:r>
          </w:p>
        </w:tc>
      </w:tr>
      <w:tr>
        <w:trPr>
          <w:trHeight w:hRule="exact" w:val="244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  <w:tc>
          <w:tcPr>
            <w:tcW w:type="dxa" w:w="1889"/>
            <w:vMerge/>
            <w:tcBorders>
              <w:end w:sz="17.59999999999991" w:val="single" w:color="#4B809C"/>
            </w:tcBorders>
          </w:tcPr>
          <w:p/>
        </w:tc>
        <w:tc>
          <w:tcPr>
            <w:tcW w:type="dxa" w:w="1889"/>
            <w:vMerge/>
            <w:tcBorders>
              <w:start w:sz="17.59999999999991" w:val="single" w:color="#4B809C"/>
            </w:tcBorders>
          </w:tcPr>
          <w:p/>
        </w:tc>
      </w:tr>
    </w:tbl>
    <w:p>
      <w:pPr>
        <w:autoSpaceDN w:val="0"/>
        <w:autoSpaceDE w:val="0"/>
        <w:widowControl/>
        <w:spacing w:line="178" w:lineRule="exact" w:before="28" w:after="5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Non-interest expenses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19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Administrative (Table 10)</w:t>
            </w:r>
          </w:p>
        </w:tc>
        <w:tc>
          <w:tcPr>
            <w:tcW w:type="dxa" w:w="13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(2,737)  (2,435)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(302)</w:t>
            </w:r>
          </w:p>
        </w:tc>
        <w:tc>
          <w:tcPr>
            <w:tcW w:type="dxa" w:w="74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4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Contribution to special programs (Table 10)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(20)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(20)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—</w:t>
            </w:r>
          </w:p>
        </w:tc>
      </w:tr>
      <w:tr>
        <w:trPr>
          <w:trHeight w:hRule="exact" w:val="298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(23) </w:t>
            </w:r>
          </w:p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23</w:t>
            </w:r>
          </w:p>
        </w:tc>
      </w:tr>
      <w:tr>
        <w:trPr>
          <w:trHeight w:hRule="exact" w:val="19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Transfers from affiliated organizations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515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224</w:t>
            </w:r>
          </w:p>
        </w:tc>
      </w:tr>
      <w:tr>
        <w:trPr>
          <w:trHeight w:hRule="exact" w:val="238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Development grants</w:t>
            </w:r>
          </w:p>
        </w:tc>
        <w:tc>
          <w:tcPr>
            <w:tcW w:type="dxa" w:w="13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(7,200)  (5,291)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3.99999999999977" w:type="dxa"/>
            </w:tblPr>
            <w:tblGrid>
              <w:gridCol w:w="960"/>
            </w:tblGrid>
            <w:tr>
              <w:trPr>
                <w:trHeight w:hRule="exact" w:val="174"/>
              </w:trPr>
              <w:tc>
                <w:tcPr>
                  <w:tcW w:type="dxa" w:w="636"/>
                  <w:tcBorders/>
                  <w:shd w:fill="99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(1,909)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4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8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remeasurement (losses) gains, net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(57)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(21) </w:t>
            </w:r>
          </w:p>
        </w:tc>
        <w:tc>
          <w:tcPr>
            <w:tcW w:type="dxa" w:w="9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(36)</w:t>
            </w:r>
          </w:p>
        </w:tc>
        <w:tc>
          <w:tcPr>
            <w:tcW w:type="dxa" w:w="7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90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24</w:t>
            </w:r>
          </w:p>
        </w:tc>
      </w:tr>
      <w:tr>
        <w:trPr>
          <w:trHeight w:hRule="exact" w:val="240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Unrealized mark-to-market gains on investments-trading portfolio, net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340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316 </w:t>
            </w:r>
          </w:p>
        </w:tc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  <w:tc>
          <w:tcPr>
            <w:tcW w:type="dxa" w:w="157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Unrealized mark-to-market gains on non-trading portfolios, net (Table 13)</w:t>
            </w:r>
          </w:p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470 </w:t>
            </w:r>
          </w:p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405 </w:t>
            </w:r>
          </w:p>
        </w:tc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  <w:tc>
          <w:tcPr>
            <w:tcW w:type="dxa" w:w="7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65</w:t>
            </w:r>
          </w:p>
        </w:tc>
      </w:tr>
      <w:tr>
        <w:trPr>
          <w:trHeight w:hRule="exact" w:val="240"/>
        </w:trPr>
        <w:tc>
          <w:tcPr>
            <w:tcW w:type="dxa" w:w="5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(Loss) Income</w:t>
            </w:r>
          </w:p>
        </w:tc>
        <w:tc>
          <w:tcPr>
            <w:tcW w:type="dxa" w:w="131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$ (5,524)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$ (3,573)</w:t>
            </w:r>
          </w:p>
        </w:tc>
        <w:tc>
          <w:tcPr>
            <w:tcW w:type="dxa" w:w="9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960"/>
            </w:tblGrid>
            <w:tr>
              <w:trPr>
                <w:trHeight w:hRule="exact" w:val="176"/>
              </w:trPr>
              <w:tc>
                <w:tcPr>
                  <w:tcW w:type="dxa" w:w="700"/>
                  <w:tcBorders/>
                  <w:shd w:fill="99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$(1,951)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5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242" w:val="left"/>
        </w:tabs>
        <w:autoSpaceDE w:val="0"/>
        <w:widowControl/>
        <w:spacing w:line="178" w:lineRule="exact" w:before="18" w:after="0"/>
        <w:ind w:left="62" w:right="288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Includes IDA’s share of returns from Post-Employment Benefit Plan (PEBP) and Post-Retirement Contribution Reserve Fund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(PCRF) assets - $130 million positive return (FY24 - $124 million positive return).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52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268" w:lineRule="exact" w:before="71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Adjusted Net Income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Adjusted Net Income, a non-GAAP measure, reflects the economic results of IDA’s operations and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used by IDA’s management and the Board as a financial sustainability measure. See Table 8 below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components of Adjusted Net Income.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8: Statement of Adjusted Net Income (Non-GAAP Measure)</w:t>
      </w:r>
    </w:p>
    <w:p>
      <w:pPr>
        <w:autoSpaceDN w:val="0"/>
        <w:autoSpaceDE w:val="0"/>
        <w:widowControl/>
        <w:spacing w:line="178" w:lineRule="exact" w:before="84" w:after="238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68"/>
        </w:trPr>
        <w:tc>
          <w:tcPr>
            <w:tcW w:type="dxa" w:w="4004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For the fiscal year ended June 30 ,</w:t>
            </w:r>
          </w:p>
        </w:tc>
        <w:tc>
          <w:tcPr>
            <w:tcW w:type="dxa" w:w="202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92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8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30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Decrease</w:t>
            </w:r>
          </w:p>
        </w:tc>
        <w:tc>
          <w:tcPr>
            <w:tcW w:type="dxa" w:w="1124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Increase</w:t>
            </w:r>
          </w:p>
        </w:tc>
      </w:tr>
    </w:tbl>
    <w:p>
      <w:pPr>
        <w:autoSpaceDN w:val="0"/>
        <w:autoSpaceDE w:val="0"/>
        <w:widowControl/>
        <w:spacing w:line="178" w:lineRule="exact" w:before="78" w:after="76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26"/>
        </w:trPr>
        <w:tc>
          <w:tcPr>
            <w:tcW w:type="dxa" w:w="5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Loans, net </w:t>
            </w:r>
          </w:p>
        </w:tc>
        <w:tc>
          <w:tcPr>
            <w:tcW w:type="dxa" w:w="14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$ 3,021 $ 2,639 </w:t>
            </w:r>
          </w:p>
        </w:tc>
        <w:tc>
          <w:tcPr>
            <w:tcW w:type="dxa" w:w="14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tcBorders/>
            <w:shd w:fill="4b809c"/>
            <w:tcMar>
              <w:start w:w="0" w:type="dxa"/>
              <w:end w:w="0" w:type="dxa"/>
            </w:tcMar>
          </w:tcPr>
          <w:p/>
        </w:tc>
        <w:tc>
          <w:tcPr>
            <w:tcW w:type="dxa" w:w="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382</w:t>
            </w:r>
          </w:p>
        </w:tc>
      </w:tr>
      <w:tr>
        <w:trPr>
          <w:trHeight w:hRule="exact" w:val="274"/>
        </w:trPr>
        <w:tc>
          <w:tcPr>
            <w:tcW w:type="dxa" w:w="5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Investments, net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1,747 </w:t>
            </w:r>
          </w:p>
        </w:tc>
        <w:tc>
          <w:tcPr>
            <w:tcW w:type="dxa" w:w="5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1,509</w:t>
            </w:r>
          </w:p>
        </w:tc>
        <w:tc>
          <w:tcPr>
            <w:tcW w:type="dxa" w:w="14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238</w:t>
            </w:r>
          </w:p>
        </w:tc>
      </w:tr>
      <w:tr>
        <w:trPr>
          <w:trHeight w:hRule="exact" w:val="320"/>
        </w:trPr>
        <w:tc>
          <w:tcPr>
            <w:tcW w:type="dxa" w:w="5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Asset-liability management derivatives, net</w:t>
            </w:r>
          </w:p>
        </w:tc>
        <w:tc>
          <w:tcPr>
            <w:tcW w:type="dxa" w:w="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 </w:t>
            </w:r>
          </w:p>
        </w:tc>
        <w:tc>
          <w:tcPr>
            <w:tcW w:type="dxa" w:w="5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58</w:t>
            </w:r>
          </w:p>
        </w:tc>
        <w:tc>
          <w:tcPr>
            <w:tcW w:type="dxa" w:w="14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20</w:t>
            </w:r>
          </w:p>
        </w:tc>
        <w:tc>
          <w:tcPr>
            <w:tcW w:type="dxa" w:w="832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4"/>
        </w:trPr>
        <w:tc>
          <w:tcPr>
            <w:tcW w:type="dxa" w:w="53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Borrowing expenses, net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428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(2,200) (1,526)</w:t>
            </w:r>
          </w:p>
        </w:tc>
        <w:tc>
          <w:tcPr>
            <w:tcW w:type="dxa" w:w="14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8.0000000000007" w:type="dxa"/>
            </w:tblPr>
            <w:tblGrid>
              <w:gridCol w:w="1464"/>
            </w:tblGrid>
            <w:tr>
              <w:trPr>
                <w:trHeight w:hRule="exact" w:val="206"/>
              </w:trPr>
              <w:tc>
                <w:tcPr>
                  <w:tcW w:type="dxa" w:w="976"/>
                  <w:tcBorders/>
                  <w:shd w:fill="99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44" w:after="0"/>
                    <w:ind w:left="6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(674)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53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Interest Revenue, net of borrowing expenses</w:t>
            </w:r>
          </w:p>
        </w:tc>
        <w:tc>
          <w:tcPr>
            <w:tcW w:type="dxa" w:w="1428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$ 2,646 $ 2,680 </w:t>
            </w:r>
          </w:p>
        </w:tc>
        <w:tc>
          <w:tcPr>
            <w:tcW w:type="dxa" w:w="14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(34)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53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Provision for losses on loans and other exposures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2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(416) </w:t>
            </w:r>
          </w:p>
        </w:tc>
        <w:tc>
          <w:tcPr>
            <w:tcW w:type="dxa" w:w="5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(306) </w:t>
            </w:r>
          </w:p>
        </w:tc>
        <w:tc>
          <w:tcPr>
            <w:tcW w:type="dxa" w:w="14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(110)</w:t>
            </w:r>
          </w:p>
        </w:tc>
        <w:tc>
          <w:tcPr>
            <w:tcW w:type="dxa" w:w="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"/>
        </w:trPr>
        <w:tc>
          <w:tcPr>
            <w:tcW w:type="dxa" w:w="532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2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(1,846)  (1,635) </w:t>
            </w:r>
          </w:p>
        </w:tc>
        <w:tc>
          <w:tcPr>
            <w:tcW w:type="dxa" w:w="14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32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6"/>
        </w:trPr>
        <w:tc>
          <w:tcPr>
            <w:tcW w:type="dxa" w:w="5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Non-interest expenses (Table 10)</w:t>
            </w:r>
          </w:p>
        </w:tc>
        <w:tc>
          <w:tcPr>
            <w:tcW w:type="dxa" w:w="4047"/>
            <w:gridSpan w:val="3"/>
            <w:vMerge/>
            <w:tcBorders/>
          </w:tcPr>
          <w:p/>
        </w:tc>
        <w:tc>
          <w:tcPr>
            <w:tcW w:type="dxa" w:w="1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(211)</w:t>
            </w:r>
          </w:p>
        </w:tc>
        <w:tc>
          <w:tcPr>
            <w:tcW w:type="dxa" w:w="33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32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53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Revenue (Expenses), net (Table 12)</w:t>
            </w:r>
          </w:p>
        </w:tc>
        <w:tc>
          <w:tcPr>
            <w:tcW w:type="dxa" w:w="92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 </w:t>
            </w:r>
          </w:p>
        </w:tc>
        <w:tc>
          <w:tcPr>
            <w:tcW w:type="dxa" w:w="5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 </w:t>
            </w:r>
          </w:p>
        </w:tc>
        <w:tc>
          <w:tcPr>
            <w:tcW w:type="dxa" w:w="14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0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</w:t>
            </w:r>
          </w:p>
        </w:tc>
        <w:tc>
          <w:tcPr>
            <w:tcW w:type="dxa" w:w="83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53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Adjusted Net Income</w:t>
            </w:r>
          </w:p>
        </w:tc>
        <w:tc>
          <w:tcPr>
            <w:tcW w:type="dxa" w:w="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427 $ </w:t>
            </w:r>
          </w:p>
        </w:tc>
        <w:tc>
          <w:tcPr>
            <w:tcW w:type="dxa" w:w="5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780 </w:t>
            </w:r>
          </w:p>
        </w:tc>
        <w:tc>
          <w:tcPr>
            <w:tcW w:type="dxa" w:w="14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5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(353)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53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34" w:after="0"/>
        <w:ind w:left="242" w:right="84" w:hanging="180"/>
        <w:jc w:val="both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 . Includes Unrealized mark-to-market gains (losses) on investments-trading portfolio, net - $340 million gains (FY24 - 316 million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gains) and excludes IDA’s share of returns from Post-Employment Benefit Plan (PEBP) and Post-Retirement Contribution </w:t>
      </w:r>
      <w:r>
        <w:rPr>
          <w:rFonts w:ascii="Arial" w:hAnsi="Arial" w:eastAsia="Arial"/>
          <w:b w:val="0"/>
          <w:i/>
          <w:color w:val="000000"/>
          <w:sz w:val="16"/>
        </w:rPr>
        <w:t>Reserve Fund (PCRF) assets - $152 million positive return (FY24 - $124 million positive return).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Excludes amortization of discount on CPL - $92 million (FY24 - $90 million)</w:t>
      </w:r>
    </w:p>
    <w:p>
      <w:pPr>
        <w:autoSpaceDN w:val="0"/>
        <w:tabs>
          <w:tab w:pos="242" w:val="left"/>
        </w:tabs>
        <w:autoSpaceDE w:val="0"/>
        <w:widowControl/>
        <w:spacing w:line="178" w:lineRule="exact" w:before="64" w:after="0"/>
        <w:ind w:left="62" w:right="432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Excludes release of provision for HIPC / MDRI - $57 million release (FY24 - $31 million release) and release of provision for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grants - $1 million (FY24 - nil)</w:t>
      </w:r>
    </w:p>
    <w:p>
      <w:pPr>
        <w:autoSpaceDN w:val="0"/>
        <w:autoSpaceDE w:val="0"/>
        <w:widowControl/>
        <w:spacing w:line="240" w:lineRule="exact" w:before="19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adjusted net income was $427 million in FY25, compared with adjusted net income of $780 million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FY24 (Table 8). The decrease was primarily driven by the following factors: 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increase of $674 million in borrowing expenses, mainly due to the higher average balance of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borrowings outstanding in FY25 compared to FY24;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6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increase of $211 million in net non-interest expenses, mainly driven by higher administrative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expenses, partially offset by the increase in revenue from externally funded activities;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6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increase of $110 million in provision expense for losses on loans and other exposures mainly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attributable to rating changes, partially offset by the lower loss given default (severity) due to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change in the eligibility of a borrower from IDA-only to blend status, and the decrease in expected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default frequency;</w:t>
      </w:r>
    </w:p>
    <w:p>
      <w:pPr>
        <w:autoSpaceDN w:val="0"/>
        <w:autoSpaceDE w:val="0"/>
        <w:widowControl/>
        <w:spacing w:line="224" w:lineRule="exact" w:before="7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partially offset by: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increase of $382 million in net interest revenue from loans due to the increase in the average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loan balance in FY25 by $16.3 billion from FY24;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60" w:after="0"/>
        <w:ind w:left="37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increase of $238 million in net interest revenue on investments, primarily due to the increase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in the average investment balance in FY25 by $8.2 billion from FY24.</w:t>
      </w:r>
    </w:p>
    <w:p>
      <w:pPr>
        <w:autoSpaceDN w:val="0"/>
        <w:tabs>
          <w:tab w:pos="9148" w:val="left"/>
        </w:tabs>
        <w:autoSpaceDE w:val="0"/>
        <w:widowControl/>
        <w:spacing w:line="224" w:lineRule="exact" w:before="2698" w:after="0"/>
        <w:ind w:left="338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19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224" w:lineRule="exact" w:before="71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9: Reconciliation of Net Income to Adjusted Net Income</w:t>
      </w:r>
    </w:p>
    <w:p>
      <w:pPr>
        <w:autoSpaceDN w:val="0"/>
        <w:autoSpaceDE w:val="0"/>
        <w:widowControl/>
        <w:spacing w:line="178" w:lineRule="exact" w:before="84" w:after="134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61"/>
        <w:gridCol w:w="2361"/>
        <w:gridCol w:w="2361"/>
        <w:gridCol w:w="2361"/>
      </w:tblGrid>
      <w:tr>
        <w:trPr>
          <w:trHeight w:hRule="exact" w:val="266"/>
        </w:trPr>
        <w:tc>
          <w:tcPr>
            <w:tcW w:type="dxa" w:w="4184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For the fiscal year ended June 30 ,</w:t>
            </w:r>
          </w:p>
        </w:tc>
        <w:tc>
          <w:tcPr>
            <w:tcW w:type="dxa" w:w="218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7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2025</w:t>
            </w:r>
          </w:p>
        </w:tc>
        <w:tc>
          <w:tcPr>
            <w:tcW w:type="dxa" w:w="128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27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</w:tr>
      <w:tr>
        <w:trPr>
          <w:trHeight w:hRule="exact" w:val="242"/>
        </w:trPr>
        <w:tc>
          <w:tcPr>
            <w:tcW w:type="dxa" w:w="4184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(Loss) Income (Table 7)</w:t>
            </w:r>
          </w:p>
        </w:tc>
        <w:tc>
          <w:tcPr>
            <w:tcW w:type="dxa" w:w="218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0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38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(5,524) $ </w:t>
            </w:r>
          </w:p>
        </w:tc>
        <w:tc>
          <w:tcPr>
            <w:tcW w:type="dxa" w:w="128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9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(3,573)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2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Adjustments to reconcile Net (Loss) Income to Adjusted Net Income: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1"/>
        <w:gridCol w:w="2361"/>
        <w:gridCol w:w="2361"/>
        <w:gridCol w:w="2361"/>
      </w:tblGrid>
      <w:tr>
        <w:trPr>
          <w:trHeight w:hRule="exact" w:val="238"/>
        </w:trPr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Activities directly funded by member contributions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570"/>
            <w:vMerge w:val="restart"/>
            <w:tcBorders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7,206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5,350 </w:t>
            </w:r>
          </w:p>
        </w:tc>
      </w:tr>
      <w:tr>
        <w:trPr>
          <w:trHeight w:hRule="exact" w:val="240"/>
        </w:trPr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Transfers from affiliated organizations</w:t>
            </w:r>
          </w:p>
        </w:tc>
        <w:tc>
          <w:tcPr>
            <w:tcW w:type="dxa" w:w="2361"/>
            <w:vMerge/>
            <w:tcBorders>
              <w:bottom w:sz="8.0" w:val="single" w:color="#929292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6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(515)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(291) </w:t>
            </w:r>
          </w:p>
        </w:tc>
      </w:tr>
      <w:tr>
        <w:trPr>
          <w:trHeight w:hRule="exact" w:val="240"/>
        </w:trPr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remeasurement losses (gains), net</w:t>
            </w:r>
          </w:p>
        </w:tc>
        <w:tc>
          <w:tcPr>
            <w:tcW w:type="dxa" w:w="2361"/>
            <w:vMerge/>
            <w:tcBorders>
              <w:bottom w:sz="8.0" w:val="single" w:color="#929292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</w:tr>
      <w:tr>
        <w:trPr>
          <w:trHeight w:hRule="exact" w:val="240"/>
        </w:trPr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Unrealized mark-to-market gains on non-trading portfolios, net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2361"/>
            <w:vMerge/>
            <w:tcBorders>
              <w:bottom w:sz="8.0" w:val="single" w:color="#929292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6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(457)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(392) </w:t>
            </w:r>
          </w:p>
        </w:tc>
      </w:tr>
      <w:tr>
        <w:trPr>
          <w:trHeight w:hRule="exact" w:val="220"/>
        </w:trPr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Income from PEBP and PCRF Investments</w:t>
            </w:r>
          </w:p>
        </w:tc>
        <w:tc>
          <w:tcPr>
            <w:tcW w:type="dxa" w:w="2361"/>
            <w:vMerge/>
            <w:tcBorders>
              <w:bottom w:sz="8.0" w:val="single" w:color="#929292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6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(152)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(124) </w:t>
            </w:r>
          </w:p>
        </w:tc>
      </w:tr>
      <w:tr>
        <w:trPr>
          <w:trHeight w:hRule="exact" w:val="240"/>
        </w:trPr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Pension Adjustment (Table 10)</w:t>
            </w:r>
          </w:p>
        </w:tc>
        <w:tc>
          <w:tcPr>
            <w:tcW w:type="dxa" w:w="2361"/>
            <w:vMerge/>
            <w:tcBorders>
              <w:bottom w:sz="8.0" w:val="single" w:color="#929292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(191)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(213) </w:t>
            </w:r>
          </w:p>
        </w:tc>
      </w:tr>
      <w:tr>
        <w:trPr>
          <w:trHeight w:hRule="exact" w:val="436"/>
        </w:trPr>
        <w:tc>
          <w:tcPr>
            <w:tcW w:type="dxa" w:w="58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8" w:after="0"/>
              <w:ind w:left="182" w:right="0" w:firstLine="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Externally Financed Outputs (EFO), Reserves Advisory Management Program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(RAMP) and other Adjustments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2361"/>
            <w:vMerge/>
            <w:tcBorders>
              <w:bottom w:sz="8.0" w:val="single" w:color="#929292"/>
            </w:tcBorders>
          </w:tcPr>
          <w:p/>
        </w:tc>
        <w:tc>
          <w:tcPr>
            <w:tcW w:type="dxa" w:w="160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044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220"/>
        </w:trPr>
        <w:tc>
          <w:tcPr>
            <w:tcW w:type="dxa" w:w="5820"/>
            <w:tcBorders>
              <w:top w:sz="8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Adjusted Net Income</w:t>
            </w:r>
          </w:p>
        </w:tc>
        <w:tc>
          <w:tcPr>
            <w:tcW w:type="dxa" w:w="570"/>
            <w:tcBorders>
              <w:top w:sz="8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00"/>
            <w:tcBorders>
              <w:top w:sz="8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427 $ </w:t>
            </w:r>
          </w:p>
        </w:tc>
        <w:tc>
          <w:tcPr>
            <w:tcW w:type="dxa" w:w="1044"/>
            <w:tcBorders>
              <w:top w:sz="8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780 </w:t>
            </w:r>
          </w:p>
        </w:tc>
      </w:tr>
      <w:tr>
        <w:trPr>
          <w:trHeight w:hRule="exact" w:val="336"/>
        </w:trPr>
        <w:tc>
          <w:tcPr>
            <w:tcW w:type="dxa" w:w="5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3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development grants of $7,200 million (FY24 - $5,291 million)</w:t>
      </w:r>
    </w:p>
    <w:p>
      <w:pPr>
        <w:autoSpaceDN w:val="0"/>
        <w:tabs>
          <w:tab w:pos="242" w:val="left"/>
        </w:tabs>
        <w:autoSpaceDE w:val="0"/>
        <w:widowControl/>
        <w:spacing w:line="178" w:lineRule="exact" w:before="64" w:after="0"/>
        <w:ind w:left="62" w:right="288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Excludes $13 million of gains from revenue-related forward currency contracts and loan-related derivatives (FY24 – $13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million of gains).</w:t>
      </w:r>
    </w:p>
    <w:p>
      <w:pPr>
        <w:autoSpaceDN w:val="0"/>
        <w:autoSpaceDE w:val="0"/>
        <w:widowControl/>
        <w:spacing w:line="180" w:lineRule="exact" w:before="62" w:after="0"/>
        <w:ind w:left="242" w:right="288" w:hanging="18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Includes EFO income subject to contractual donor restrictions and transferred to Restricted Retained Earnings; RAMP-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related revenue and expenses excluded under a Board-approved framework to ensure use solely for program delivery; and </w:t>
      </w:r>
      <w:r>
        <w:rPr>
          <w:rFonts w:ascii="Arial" w:hAnsi="Arial" w:eastAsia="Arial"/>
          <w:b w:val="0"/>
          <w:i/>
          <w:color w:val="000000"/>
          <w:sz w:val="16"/>
        </w:rPr>
        <w:t>unrealized mark-to-market gains/losses on certain positions in the investments trading portfolio.</w:t>
      </w:r>
    </w:p>
    <w:p>
      <w:pPr>
        <w:autoSpaceDN w:val="0"/>
        <w:autoSpaceDE w:val="0"/>
        <w:widowControl/>
        <w:spacing w:line="224" w:lineRule="exact" w:before="21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Adjusted Net Income is defined as IDA’s net income, adjusted for the following items (see Table 9 above).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Adjustments to Net (Loss) Income to arrive at Adjusted Net Income:</w:t>
      </w:r>
    </w:p>
    <w:p>
      <w:pPr>
        <w:autoSpaceDN w:val="0"/>
        <w:tabs>
          <w:tab w:pos="370" w:val="left"/>
        </w:tabs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Activities directly funded by contributions from members: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are mainly comprised of development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grants, provision for HIPC / Multilateral Debt Relief Initiative (MDRI) debt relief, and amortization of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discounts on CPL. For financial reporting, these activities are treated as expenses, while contributions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members which finance these activities, are reflected directly in IDA’s equity. These expenses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excluded from net income to arrive at adjusted net income. </w:t>
      </w:r>
    </w:p>
    <w:p>
      <w:pPr>
        <w:autoSpaceDN w:val="0"/>
        <w:tabs>
          <w:tab w:pos="370" w:val="left"/>
        </w:tabs>
        <w:autoSpaceDE w:val="0"/>
        <w:widowControl/>
        <w:spacing w:line="240" w:lineRule="exact" w:before="11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Transfers from affiliated organizations: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are mainly comprised of contributions from IBRD, IFC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other contributions from trust funds. These are intended to finance development activities similar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member contributions but are not directly included in equity as they do not carry voting rights,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excluded from net income to arrive at adjusted net income. </w:t>
      </w:r>
    </w:p>
    <w:p>
      <w:pPr>
        <w:autoSpaceDN w:val="0"/>
        <w:tabs>
          <w:tab w:pos="370" w:val="left"/>
        </w:tabs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Currency remeasurement losses (gains), net: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represent unrealized exchange rate gains/losses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resulting from the translation of loans, borrowings, development grants payable and all other assets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liabilities still held on IDA’s Balance Sheet that are denominated in currencies other than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component currencies of SDR. They are excluded from net income to arrive at adjusted net income. </w:t>
      </w:r>
    </w:p>
    <w:p>
      <w:pPr>
        <w:autoSpaceDN w:val="0"/>
        <w:tabs>
          <w:tab w:pos="370" w:val="left"/>
        </w:tabs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Unrealized mark-to-market gains/losses on non-trading portfolios, net: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These are mainly comprised of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unrealized mark-to-market gains and losses on the asset/liability management (ALM), borrowing,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non-trading investment portfolios. For the purpose of ANI, the result of loan revenue hedges is not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part of the adjustment related to unrealized mark-to-market gains/losses on non-trading portfolio since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the objective of the loan revenue hedges is to stabilize IDA’s revenue against any currency risk.</w:t>
      </w:r>
    </w:p>
    <w:p>
      <w:pPr>
        <w:autoSpaceDN w:val="0"/>
        <w:tabs>
          <w:tab w:pos="370" w:val="left"/>
        </w:tabs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Pension, Post-Employment Benefit Plan (PEBP) and Post-Retirement Contribution Reserve (PCRF)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adjustments: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While IDA is not a participating sponsor to these benefit plans, IDA shares in the costs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reimburses IBRD for its proportionate share of any contributions made to these plans by IBRD,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part of a Board-approved cost sharing ratio. The Pension adjustment reflects the difference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between IDA’s share of cash contributions to both the pension plans and PCRF, and the accounting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expense, as well as the investment revenue earned on those assets related to the PEBP and PCRF.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PCRF was established by the Board to stabilize contributions to the pension and post-retirement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benefits plans. Management has designated the income from these assets to meet the needs of the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82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240" w:lineRule="exact" w:before="702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pension plans. As a result, PEBP and PCRF investment revenue is excluded from adjusted net </w:t>
      </w:r>
      <w:r>
        <w:rPr>
          <w:rFonts w:ascii="ArialMT" w:hAnsi="ArialMT" w:eastAsia="ArialMT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6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Unrealized mark-to-market gains/losses on certain positions in the investment trading portfolios, net: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adjustment applies to trades where the unrealized gains and losses on derivative forward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contracts are recorded in the income statement and the underlying physical assets being purchased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sold are recorded at amortized cost during the holding period. In these cases, the unrealized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gains and losses on the forward contract at the end of the reporting period (if any) are excluded from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net income when calculating adjusted net income.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136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Other Adjustments: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60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certain arrangements (such as EFOs), IDA receives a share of the revenue earned from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agreements with donors under which funds received are to be used to finance specified outputs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 services. These funds may be utilized only for the purposes specified in the agreements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therefore considered contractually restricted until applied for these purposes. Income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attributable to these arrangements is excluded from reported income when determining adjusted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net income since there is no discretion about the use of these funds.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60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the Board-approved framework, RAMP fees are dedicated for the purpose of providing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technical assistance and asset management services to external clients. Due to the potential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timing mismatch between fee revenue (recognized as earned) and program expenditures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(recognized as incurred), fees earned in a given fiscal year may be used to provide services in 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future fiscal year. To ensure that RAMP revenues are only used for the delivery of RAMP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services, and not allocated for other purposes, any difference between fee revenue and expenses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from RAMP included in reported net income is excluded to arrive at adjusted net income.</w:t>
      </w:r>
    </w:p>
    <w:p>
      <w:pPr>
        <w:autoSpaceDN w:val="0"/>
        <w:autoSpaceDE w:val="0"/>
        <w:widowControl/>
        <w:spacing w:line="268" w:lineRule="exact" w:before="25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Results from Financing Activities</w:t>
      </w:r>
    </w:p>
    <w:p>
      <w:pPr>
        <w:autoSpaceDN w:val="0"/>
        <w:autoSpaceDE w:val="0"/>
        <w:widowControl/>
        <w:spacing w:line="246" w:lineRule="exact" w:before="14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Loan Portfolio and Grant Activity</w:t>
      </w:r>
    </w:p>
    <w:p>
      <w:pPr>
        <w:autoSpaceDN w:val="0"/>
        <w:autoSpaceDE w:val="0"/>
        <w:widowControl/>
        <w:spacing w:line="240" w:lineRule="exact" w:before="6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net loans outstanding were $223.2 billion, $24.7 billion higher compared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June 30, 2024. The increase was mainly due to net loan disbursements of $16.0 billion during the year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translation gains of $9.2 billion due to the appreciation of the SDR against the U.S. dollar.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undisbursed balance for loan and grant commitments were $83.3 billion and $26.7 billion, respectively as </w:t>
      </w:r>
      <w:r>
        <w:rPr>
          <w:rFonts w:ascii="ArialMT" w:hAnsi="ArialMT" w:eastAsia="ArialMT"/>
          <w:b w:val="0"/>
          <w:i w:val="0"/>
          <w:color w:val="000000"/>
          <w:sz w:val="20"/>
        </w:rPr>
        <w:t>of June 30, 2025.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75% of IDA’s total loans outstanding were denominated in the SDR. For the regional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presentation of total loans outstanding, see Notes to the Financial Statements for the year ended </w:t>
      </w:r>
      <w:r>
        <w:rPr>
          <w:rFonts w:ascii="ArialMT" w:hAnsi="ArialMT" w:eastAsia="ArialMT"/>
          <w:b w:val="0"/>
          <w:i w:val="0"/>
          <w:color w:val="000000"/>
          <w:sz w:val="20"/>
        </w:rPr>
        <w:t>June 30, 2025, Note D – Loans and Other Exposures – Table D7.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Certain of IDA's loan product offerings carry pricing terms equivalent to those of IBRD. The Board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approved adjustments to IBRD's loan pricing in October 2024. The following pricing adjustments are now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applicable to IDA's non-concessional loans offered on IBRD's flexible loan terms: 1) introduction of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grace period, during which no commitment fees are charged for the first four years for Investment Project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Financing (IPFs) and Program-for-Results Financing (PforRs); 2) removal of the prepayment premium;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3) introduction of a 7 year Short Maturity Loan (SML) with a maturity discount applied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contractual spread.</w:t>
      </w:r>
    </w:p>
    <w:p>
      <w:pPr>
        <w:autoSpaceDN w:val="0"/>
        <w:tabs>
          <w:tab w:pos="9138" w:val="left"/>
        </w:tabs>
        <w:autoSpaceDE w:val="0"/>
        <w:widowControl/>
        <w:spacing w:line="224" w:lineRule="exact" w:before="3116" w:after="0"/>
        <w:ind w:left="33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21</w:t>
      </w: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254"/>
        </w:trPr>
        <w:tc>
          <w:tcPr>
            <w:tcW w:type="dxa" w:w="3960"/>
            <w:gridSpan w:val="8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4460"/>
            <w:gridSpan w:val="9"/>
            <w:tcBorders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IV: Financial Results</w:t>
            </w:r>
          </w:p>
        </w:tc>
        <w:tc>
          <w:tcPr>
            <w:tcW w:type="dxa" w:w="95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74"/>
        </w:trPr>
        <w:tc>
          <w:tcPr>
            <w:tcW w:type="dxa" w:w="3960"/>
            <w:gridSpan w:val="8"/>
            <w:tcBorders>
              <w:top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Figure 4: Net Loans Outstanding Activity</w:t>
            </w:r>
          </w:p>
        </w:tc>
        <w:tc>
          <w:tcPr>
            <w:tcW w:type="dxa" w:w="4460"/>
            <w:gridSpan w:val="9"/>
            <w:tcBorders>
              <w:top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8" w:after="0"/>
              <w:ind w:left="0" w:right="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Figure 5: Net Loans Outstanding</w:t>
            </w:r>
          </w:p>
        </w:tc>
        <w:tc>
          <w:tcPr>
            <w:tcW w:type="dxa" w:w="950"/>
            <w:vMerge w:val="restart"/>
            <w:tcBorders>
              <w:top w:sz="8.0" w:val="single" w:color="#929292"/>
              <w:bottom w:sz="24.0" w:val="single" w:color="#99B5C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39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  <w:tc>
          <w:tcPr>
            <w:tcW w:type="dxa" w:w="44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45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  <w:tc>
          <w:tcPr>
            <w:tcW w:type="dxa" w:w="524"/>
            <w:vMerge/>
            <w:tcBorders>
              <w:top w:sz="8.0" w:val="single" w:color="#929292"/>
              <w:bottom w:sz="24.0" w:val="single" w:color="#99B5C7"/>
            </w:tcBorders>
          </w:tcPr>
          <w:p/>
        </w:tc>
      </w:tr>
      <w:tr>
        <w:trPr>
          <w:trHeight w:hRule="exact" w:val="344"/>
        </w:trPr>
        <w:tc>
          <w:tcPr>
            <w:tcW w:type="dxa" w:w="480"/>
            <w:tcBorders>
              <w:bottom w:sz="24.0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250</w:t>
            </w:r>
          </w:p>
        </w:tc>
        <w:tc>
          <w:tcPr>
            <w:tcW w:type="dxa" w:w="5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198.5</w:t>
            </w:r>
          </w:p>
        </w:tc>
        <w:tc>
          <w:tcPr>
            <w:tcW w:type="dxa" w:w="9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24.9</w:t>
            </w:r>
          </w:p>
        </w:tc>
        <w:tc>
          <w:tcPr>
            <w:tcW w:type="dxa" w:w="7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(8.9)</w:t>
            </w:r>
          </w:p>
        </w:tc>
        <w:tc>
          <w:tcPr>
            <w:tcW w:type="dxa" w:w="7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(0.4)</w:t>
            </w:r>
          </w:p>
        </w:tc>
        <w:tc>
          <w:tcPr>
            <w:tcW w:type="dxa" w:w="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9.1</w:t>
            </w:r>
          </w:p>
        </w:tc>
        <w:tc>
          <w:tcPr>
            <w:tcW w:type="dxa" w:w="6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223.2</w:t>
            </w:r>
          </w:p>
        </w:tc>
        <w:tc>
          <w:tcPr>
            <w:tcW w:type="dxa" w:w="12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250</w:t>
            </w:r>
          </w:p>
        </w:tc>
        <w:tc>
          <w:tcPr>
            <w:tcW w:type="dxa" w:w="4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177.8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7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174.5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70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187.7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0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198.5</w:t>
            </w:r>
          </w:p>
        </w:tc>
        <w:tc>
          <w:tcPr>
            <w:tcW w:type="dxa" w:w="524"/>
            <w:vMerge/>
            <w:tcBorders>
              <w:top w:sz="8.0" w:val="single" w:color="#929292"/>
              <w:bottom w:sz="24.0" w:val="single" w:color="#99B5C7"/>
            </w:tcBorders>
          </w:tcPr>
          <w:p/>
        </w:tc>
      </w:tr>
      <w:tr>
        <w:trPr>
          <w:trHeight w:hRule="exact" w:val="165"/>
        </w:trPr>
        <w:tc>
          <w:tcPr>
            <w:tcW w:type="dxa" w:w="480"/>
            <w:vMerge w:val="restart"/>
            <w:tcBorders>
              <w:top w:sz="24.0" w:val="single" w:color="#99B5C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200</w:t>
            </w:r>
          </w:p>
        </w:tc>
        <w:tc>
          <w:tcPr>
            <w:tcW w:type="dxa" w:w="524"/>
            <w:vMerge/>
            <w:tcBorders/>
          </w:tcPr>
          <w:p/>
        </w:tc>
        <w:tc>
          <w:tcPr>
            <w:tcW w:type="dxa" w:w="1572"/>
            <w:gridSpan w:val="3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1048"/>
            <w:gridSpan w:val="2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1572"/>
            <w:gridSpan w:val="3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950"/>
            <w:tcBorders>
              <w:top w:sz="24.0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223.2</w:t>
            </w:r>
          </w:p>
        </w:tc>
      </w:tr>
      <w:tr>
        <w:trPr>
          <w:trHeight w:hRule="exact" w:val="209"/>
        </w:trPr>
        <w:tc>
          <w:tcPr>
            <w:tcW w:type="dxa" w:w="524"/>
            <w:vMerge/>
            <w:tcBorders>
              <w:top w:sz="24.0" w:val="single" w:color="#99B5C7"/>
            </w:tcBorders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1572"/>
            <w:gridSpan w:val="3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1048"/>
            <w:gridSpan w:val="2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12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4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95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150</w:t>
            </w:r>
          </w:p>
        </w:tc>
        <w:tc>
          <w:tcPr>
            <w:tcW w:type="dxa" w:w="524"/>
            <w:vMerge/>
            <w:tcBorders/>
          </w:tcPr>
          <w:p/>
        </w:tc>
        <w:tc>
          <w:tcPr>
            <w:tcW w:type="dxa" w:w="1572"/>
            <w:gridSpan w:val="3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1048"/>
            <w:gridSpan w:val="2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1572"/>
            <w:gridSpan w:val="3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950"/>
            <w:vMerge w:val="restart"/>
            <w:tcBorders>
              <w:bottom w:sz="6.015201091766357" w:val="single" w:color="#B5B6B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39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8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100</w:t>
            </w:r>
          </w:p>
        </w:tc>
        <w:tc>
          <w:tcPr>
            <w:tcW w:type="dxa" w:w="44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6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150</w:t>
            </w:r>
          </w:p>
        </w:tc>
        <w:tc>
          <w:tcPr>
            <w:tcW w:type="dxa" w:w="524"/>
            <w:vMerge/>
            <w:tcBorders>
              <w:bottom w:sz="6.015201091766357" w:val="single" w:color="#B5B6B5"/>
            </w:tcBorders>
          </w:tcPr>
          <w:p/>
        </w:tc>
      </w:tr>
      <w:tr>
        <w:trPr>
          <w:trHeight w:hRule="exact" w:val="380"/>
        </w:trPr>
        <w:tc>
          <w:tcPr>
            <w:tcW w:type="dxa" w:w="39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50</w:t>
            </w:r>
          </w:p>
        </w:tc>
        <w:tc>
          <w:tcPr>
            <w:tcW w:type="dxa" w:w="44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6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524"/>
            <w:vMerge/>
            <w:tcBorders>
              <w:bottom w:sz="6.015201091766357" w:val="single" w:color="#B5B6B5"/>
            </w:tcBorders>
          </w:tcPr>
          <w:p/>
        </w:tc>
      </w:tr>
      <w:tr>
        <w:trPr>
          <w:trHeight w:hRule="exact" w:val="300"/>
        </w:trPr>
        <w:tc>
          <w:tcPr>
            <w:tcW w:type="dxa" w:w="39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44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26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524"/>
            <w:vMerge/>
            <w:tcBorders>
              <w:bottom w:sz="6.015201091766357" w:val="single" w:color="#B5B6B5"/>
            </w:tcBorders>
          </w:tcPr>
          <w:p/>
        </w:tc>
      </w:tr>
      <w:tr>
        <w:trPr>
          <w:trHeight w:hRule="exact" w:val="160"/>
        </w:trPr>
        <w:tc>
          <w:tcPr>
            <w:tcW w:type="dxa" w:w="1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Net Loans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Gross loan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Repayments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Accumulated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Translation </w:t>
            </w:r>
          </w:p>
        </w:tc>
        <w:tc>
          <w:tcPr>
            <w:tcW w:type="dxa" w:w="42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Net Loans </w:t>
            </w:r>
          </w:p>
        </w:tc>
        <w:tc>
          <w:tcPr>
            <w:tcW w:type="dxa" w:w="524"/>
            <w:vMerge/>
            <w:tcBorders>
              <w:bottom w:sz="6.015201091766357" w:val="single" w:color="#B5B6B5"/>
            </w:tcBorders>
          </w:tcPr>
          <w:p/>
        </w:tc>
      </w:tr>
      <w:tr>
        <w:trPr>
          <w:trHeight w:hRule="exact" w:val="88"/>
        </w:trPr>
        <w:tc>
          <w:tcPr>
            <w:tcW w:type="dxa" w:w="122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outstanding </w:t>
            </w:r>
          </w:p>
        </w:tc>
        <w:tc>
          <w:tcPr>
            <w:tcW w:type="dxa" w:w="7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disbursements</w:t>
            </w:r>
          </w:p>
        </w:tc>
        <w:tc>
          <w:tcPr>
            <w:tcW w:type="dxa" w:w="7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and </w:t>
            </w:r>
          </w:p>
        </w:tc>
        <w:tc>
          <w:tcPr>
            <w:tcW w:type="dxa" w:w="7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provision for </w:t>
            </w:r>
          </w:p>
        </w:tc>
        <w:tc>
          <w:tcPr>
            <w:tcW w:type="dxa" w:w="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and other </w:t>
            </w:r>
          </w:p>
        </w:tc>
        <w:tc>
          <w:tcPr>
            <w:tcW w:type="dxa" w:w="1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outstanding </w:t>
            </w:r>
          </w:p>
        </w:tc>
        <w:tc>
          <w:tcPr>
            <w:tcW w:type="dxa" w:w="580"/>
            <w:tcBorders>
              <w:bottom w:sz="6.015201091766357" w:val="single" w:color="#B5B6B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8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8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8" w:after="0"/>
              <w:ind w:left="1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  <w:tc>
          <w:tcPr>
            <w:tcW w:type="dxa" w:w="524"/>
            <w:vMerge/>
            <w:tcBorders>
              <w:bottom w:sz="6.015201091766357" w:val="single" w:color="#B5B6B5"/>
            </w:tcBorders>
          </w:tcPr>
          <w:p/>
        </w:tc>
      </w:tr>
      <w:tr>
        <w:trPr>
          <w:trHeight w:hRule="exact" w:val="52"/>
        </w:trPr>
        <w:tc>
          <w:tcPr>
            <w:tcW w:type="dxa" w:w="2096"/>
            <w:gridSpan w:val="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1048"/>
            <w:gridSpan w:val="2"/>
            <w:vMerge/>
            <w:tcBorders/>
          </w:tcPr>
          <w:p/>
        </w:tc>
        <w:tc>
          <w:tcPr>
            <w:tcW w:type="dxa" w:w="1048"/>
            <w:gridSpan w:val="2"/>
            <w:vMerge/>
            <w:tcBorders/>
          </w:tcPr>
          <w:p/>
        </w:tc>
        <w:tc>
          <w:tcPr>
            <w:tcW w:type="dxa" w:w="580"/>
            <w:vMerge w:val="restart"/>
            <w:tcBorders>
              <w:top w:sz="6.015201091766357" w:val="single" w:color="#B5B6B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048"/>
            <w:gridSpan w:val="2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950"/>
            <w:vMerge w:val="restart"/>
            <w:tcBorders>
              <w:top w:sz="6.015201091766357" w:val="single" w:color="#B5B6B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25</w:t>
            </w:r>
          </w:p>
        </w:tc>
      </w:tr>
      <w:tr>
        <w:trPr>
          <w:trHeight w:hRule="exact" w:val="140"/>
        </w:trPr>
        <w:tc>
          <w:tcPr>
            <w:tcW w:type="dxa" w:w="12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as of June </w:t>
            </w:r>
          </w:p>
        </w:tc>
        <w:tc>
          <w:tcPr>
            <w:tcW w:type="dxa" w:w="524"/>
            <w:vMerge/>
            <w:tcBorders/>
          </w:tcPr>
          <w:p/>
        </w:tc>
        <w:tc>
          <w:tcPr>
            <w:tcW w:type="dxa" w:w="7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prepayments</w:t>
            </w:r>
          </w:p>
        </w:tc>
        <w:tc>
          <w:tcPr>
            <w:tcW w:type="dxa" w:w="7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loan losses</w:t>
            </w:r>
          </w:p>
        </w:tc>
        <w:tc>
          <w:tcPr>
            <w:tcW w:type="dxa" w:w="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adjustments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as of June </w:t>
            </w:r>
          </w:p>
        </w:tc>
        <w:tc>
          <w:tcPr>
            <w:tcW w:type="dxa" w:w="524"/>
            <w:vMerge/>
            <w:tcBorders>
              <w:top w:sz="6.015201091766357" w:val="single" w:color="#B5B6B5"/>
            </w:tcBorders>
          </w:tcPr>
          <w:p/>
        </w:tc>
        <w:tc>
          <w:tcPr>
            <w:tcW w:type="dxa" w:w="1048"/>
            <w:gridSpan w:val="2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>
              <w:top w:sz="6.015201091766357" w:val="single" w:color="#B5B6B5"/>
            </w:tcBorders>
          </w:tcPr>
          <w:p/>
        </w:tc>
      </w:tr>
      <w:tr>
        <w:trPr>
          <w:trHeight w:hRule="exact" w:val="218"/>
        </w:trPr>
        <w:tc>
          <w:tcPr>
            <w:tcW w:type="dxa" w:w="12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30, 2024</w:t>
            </w:r>
          </w:p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1048"/>
            <w:gridSpan w:val="2"/>
            <w:vMerge/>
            <w:tcBorders/>
          </w:tcPr>
          <w:p/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30, 2025</w:t>
            </w:r>
          </w:p>
        </w:tc>
        <w:tc>
          <w:tcPr>
            <w:tcW w:type="dxa" w:w="524"/>
            <w:vMerge/>
            <w:tcBorders>
              <w:top w:sz="6.015201091766357" w:val="single" w:color="#B5B6B5"/>
            </w:tcBorders>
          </w:tcPr>
          <w:p/>
        </w:tc>
        <w:tc>
          <w:tcPr>
            <w:tcW w:type="dxa" w:w="1048"/>
            <w:gridSpan w:val="2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/>
          </w:tcPr>
          <w:p/>
        </w:tc>
        <w:tc>
          <w:tcPr>
            <w:tcW w:type="dxa" w:w="524"/>
            <w:vMerge/>
            <w:tcBorders>
              <w:top w:sz="6.015201091766357" w:val="single" w:color="#B5B6B5"/>
            </w:tcBorders>
          </w:tcPr>
          <w:p/>
        </w:tc>
      </w:tr>
    </w:tbl>
    <w:p>
      <w:pPr>
        <w:autoSpaceDN w:val="0"/>
        <w:autoSpaceDE w:val="0"/>
        <w:widowControl/>
        <w:spacing w:line="268" w:lineRule="exact" w:before="39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Provision for losses on loans and other exposures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FY25, IDA recorded a provision expense for losses on loans and other exposures of $358 million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compared to a provision expense of $275 million in FY24 (see Notes to the Financial Statements for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 ended June 30, 2025, Note D – Loans and Other Exposures – Table D5). The increase in provision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expense was primarily due to rating changes, partially offset by the lower loss given default and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reduction in the expected default frequency in FY25 compared to FY24. The assumptions are reassessed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quarterly. For adjusted net income purposes, the provision for losses on loans and other exposures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excludes the provision for debt relief under HIPC/MDRI and the provision for grant advances, since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>are funded by contributions from members.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Results from Investing Activities</w:t>
      </w:r>
    </w:p>
    <w:p>
      <w:pPr>
        <w:autoSpaceDN w:val="0"/>
        <w:autoSpaceDE w:val="0"/>
        <w:widowControl/>
        <w:spacing w:line="246" w:lineRule="exact" w:before="14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Investment interest revenue, net of derivatives</w:t>
      </w:r>
    </w:p>
    <w:p>
      <w:pPr>
        <w:autoSpaceDN w:val="0"/>
        <w:autoSpaceDE w:val="0"/>
        <w:widowControl/>
        <w:spacing w:line="240" w:lineRule="exact" w:before="126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FY25, IDA’s net interest revenue from investments was $1,559 million, an increase of $242 million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compared with FY24. The increase in interest revenue was mainly driven by the higher average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 balance in FY25 of $8.2 billion from FY24. 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Investments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investments increased to $47.3 billion as of June 30, 2025, from $34.4 billion as of June 30, 2024.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increase was primarily due to net cash inflows from new issuances of debt and subscriptions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contributions paid-in, partially offset by net cash outflows from loan and grant disbursements during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year. See Notes to the Financial Statements for the year ended June 30, 2025, Note C - Investments. </w:t>
      </w:r>
    </w:p>
    <w:p>
      <w:pPr>
        <w:autoSpaceDN w:val="0"/>
        <w:tabs>
          <w:tab w:pos="5040" w:val="left"/>
        </w:tabs>
        <w:autoSpaceDE w:val="0"/>
        <w:widowControl/>
        <w:spacing w:line="240" w:lineRule="exact" w:before="180" w:after="0"/>
        <w:ind w:left="0" w:right="230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Figure 6: Investment Interest Revenue, Net of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Figure 7: Investments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Derivatives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In billions of U.S. dollars</w:t>
      </w:r>
    </w:p>
    <w:p>
      <w:pPr>
        <w:autoSpaceDN w:val="0"/>
        <w:autoSpaceDE w:val="0"/>
        <w:widowControl/>
        <w:spacing w:line="178" w:lineRule="exact" w:before="24" w:after="3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718"/>
        <w:gridCol w:w="4718"/>
      </w:tblGrid>
      <w:tr>
        <w:trPr>
          <w:trHeight w:hRule="exact" w:val="42"/>
        </w:trPr>
        <w:tc>
          <w:tcPr>
            <w:tcW w:type="dxa" w:w="565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348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6"/>
        </w:trPr>
        <w:tc>
          <w:tcPr>
            <w:tcW w:type="dxa" w:w="565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Government, Agency and Corporate Obligations</w:t>
            </w:r>
          </w:p>
        </w:tc>
      </w:tr>
      <w:tr>
        <w:trPr>
          <w:trHeight w:hRule="exact" w:val="172"/>
        </w:trPr>
        <w:tc>
          <w:tcPr>
            <w:tcW w:type="dxa" w:w="5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2,000</w:t>
            </w:r>
          </w:p>
        </w:tc>
        <w:tc>
          <w:tcPr>
            <w:tcW w:type="dxa" w:w="3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Time Deposits</w:t>
            </w:r>
          </w:p>
        </w:tc>
      </w:tr>
    </w:tbl>
    <w:p>
      <w:pPr>
        <w:autoSpaceDN w:val="0"/>
        <w:autoSpaceDE w:val="0"/>
        <w:widowControl/>
        <w:spacing w:line="156" w:lineRule="exact" w:before="12" w:after="2"/>
        <w:ind w:left="0" w:right="2472" w:firstLine="0"/>
        <w:jc w:val="right"/>
      </w:pPr>
      <w:r>
        <w:rPr>
          <w:rFonts w:ascii="ArialMT" w:hAnsi="ArialMT" w:eastAsia="ArialMT"/>
          <w:b w:val="0"/>
          <w:i w:val="0"/>
          <w:color w:val="595959"/>
          <w:sz w:val="14"/>
        </w:rPr>
        <w:t>Other 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rPr>
          <w:trHeight w:hRule="exact" w:val="2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1,500</w:t>
            </w:r>
          </w:p>
        </w:tc>
        <w:tc>
          <w:tcPr>
            <w:tcW w:type="dxa" w:w="40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70100" cy="9271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0" cy="927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0.2</w:t>
            </w:r>
          </w:p>
        </w:tc>
      </w:tr>
      <w:tr>
        <w:trPr>
          <w:trHeight w:hRule="exact" w:val="312"/>
        </w:trPr>
        <w:tc>
          <w:tcPr>
            <w:tcW w:type="dxa" w:w="660"/>
            <w:tcBorders>
              <w:bottom w:sz="6.399999999999636" w:val="single" w:color="#4B809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30"/>
            <w:gridSpan w:val="5"/>
            <w:vMerge/>
            <w:tcBorders/>
          </w:tcPr>
          <w:p/>
        </w:tc>
        <w:tc>
          <w:tcPr>
            <w:tcW w:type="dxa" w:w="988"/>
            <w:tcBorders>
              <w:bottom w:sz="6.399999999999636" w:val="single" w:color="#4B809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672"/>
            <w:tcBorders>
              <w:bottom w:sz="6.399999999999636" w:val="single" w:color="#4B809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0.6</w:t>
            </w:r>
          </w:p>
        </w:tc>
        <w:tc>
          <w:tcPr>
            <w:tcW w:type="dxa" w:w="700"/>
            <w:tcBorders>
              <w:bottom w:sz="6.399999999999636" w:val="single" w:color="#4B809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0.5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bottom w:sz="6.399999999999636" w:val="single" w:color="#4B809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0.3</w:t>
            </w:r>
          </w:p>
        </w:tc>
        <w:tc>
          <w:tcPr>
            <w:tcW w:type="dxa" w:w="742"/>
            <w:tcBorders>
              <w:bottom w:sz="6.399999999999636" w:val="single" w:color="#4B809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742"/>
            </w:tblGrid>
            <w:tr>
              <w:trPr>
                <w:trHeight w:hRule="exact" w:val="272"/>
              </w:trPr>
              <w:tc>
                <w:tcPr>
                  <w:tcW w:type="dxa" w:w="344"/>
                  <w:tcBorders/>
                  <w:shd w:fill="0049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9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20.6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64"/>
        </w:trPr>
        <w:tc>
          <w:tcPr>
            <w:tcW w:type="dxa" w:w="660"/>
            <w:tcBorders>
              <w:top w:sz="6.399999999999636" w:val="single" w:color="#4B809C"/>
              <w:bottom w:sz="5.600000000000364" w:val="single" w:color="#4B809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30"/>
            <w:gridSpan w:val="5"/>
            <w:vMerge/>
            <w:tcBorders/>
          </w:tcPr>
          <w:p/>
        </w:tc>
        <w:tc>
          <w:tcPr>
            <w:tcW w:type="dxa" w:w="988"/>
            <w:vMerge w:val="restart"/>
            <w:tcBorders>
              <w:top w:sz="6.399999999999636" w:val="single" w:color="#4B80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672"/>
            <w:tcBorders>
              <w:top w:sz="6.399999999999636" w:val="single" w:color="#4B809C"/>
              <w:bottom w:sz="5.600000000000364" w:val="single" w:color="#4B809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top w:sz="6.399999999999636" w:val="single" w:color="#4B809C"/>
              <w:bottom w:sz="5.600000000000364" w:val="single" w:color="#4B809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2.00000000000045" w:type="dxa"/>
            </w:tblPr>
            <w:tblGrid>
              <w:gridCol w:w="700"/>
            </w:tblGrid>
            <w:tr>
              <w:trPr>
                <w:trHeight w:hRule="exact" w:val="152"/>
              </w:trPr>
              <w:tc>
                <w:tcPr>
                  <w:tcW w:type="dxa" w:w="346"/>
                  <w:tcBorders/>
                  <w:shd w:fill="0049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15.4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0.3</w:t>
            </w:r>
          </w:p>
        </w:tc>
        <w:tc>
          <w:tcPr>
            <w:tcW w:type="dxa" w:w="680"/>
            <w:tcBorders>
              <w:top w:sz="6.399999999999636" w:val="single" w:color="#4B809C"/>
              <w:bottom w:sz="5.600000000000364" w:val="single" w:color="#4B809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2"/>
            <w:tcBorders>
              <w:top w:sz="6.399999999999636" w:val="single" w:color="#4B809C"/>
              <w:bottom w:sz="5.600000000000364" w:val="single" w:color="#4B809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4"/>
        </w:trPr>
        <w:tc>
          <w:tcPr>
            <w:tcW w:type="dxa" w:w="660"/>
            <w:tcBorders>
              <w:top w:sz="5.600000000000364" w:val="single" w:color="#4B809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1,000</w:t>
            </w:r>
          </w:p>
        </w:tc>
        <w:tc>
          <w:tcPr>
            <w:tcW w:type="dxa" w:w="3930"/>
            <w:gridSpan w:val="5"/>
            <w:vMerge/>
            <w:tcBorders/>
          </w:tcPr>
          <w:p/>
        </w:tc>
        <w:tc>
          <w:tcPr>
            <w:tcW w:type="dxa" w:w="786"/>
            <w:vMerge/>
            <w:tcBorders>
              <w:top w:sz="6.399999999999636" w:val="single" w:color="#4B809C"/>
            </w:tcBorders>
          </w:tcPr>
          <w:p/>
        </w:tc>
        <w:tc>
          <w:tcPr>
            <w:tcW w:type="dxa" w:w="672"/>
            <w:tcBorders>
              <w:top w:sz="5.600000000000364" w:val="single" w:color="#4B809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8.00000000000068" w:type="dxa"/>
            </w:tblPr>
            <w:tblGrid>
              <w:gridCol w:w="672"/>
            </w:tblGrid>
            <w:tr>
              <w:trPr>
                <w:trHeight w:hRule="exact" w:val="200"/>
              </w:trPr>
              <w:tc>
                <w:tcPr>
                  <w:tcW w:type="dxa" w:w="346"/>
                  <w:tcBorders/>
                  <w:shd w:fill="0049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11.5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>
              <w:top w:sz="5.600000000000364" w:val="single" w:color="#4B809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5.600000000000364" w:val="single" w:color="#4B809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3.99999999999977" w:type="dxa"/>
            </w:tblPr>
            <w:tblGrid>
              <w:gridCol w:w="680"/>
            </w:tblGrid>
            <w:tr>
              <w:trPr>
                <w:trHeight w:hRule="exact" w:val="162"/>
              </w:trPr>
              <w:tc>
                <w:tcPr>
                  <w:tcW w:type="dxa" w:w="344"/>
                  <w:tcBorders/>
                  <w:shd w:fill="0049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14.7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2"/>
            <w:tcBorders>
              <w:top w:sz="5.600000000000364" w:val="single" w:color="#4B809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30"/>
            <w:gridSpan w:val="5"/>
            <w:vMerge/>
            <w:tcBorders/>
          </w:tcPr>
          <w:p/>
        </w:tc>
        <w:tc>
          <w:tcPr>
            <w:tcW w:type="dxa" w:w="9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7.99999999999955" w:type="dxa"/>
            </w:tblPr>
            <w:tblGrid>
              <w:gridCol w:w="700"/>
            </w:tblGrid>
            <w:tr>
              <w:trPr>
                <w:trHeight w:hRule="exact" w:val="204"/>
              </w:trPr>
              <w:tc>
                <w:tcPr>
                  <w:tcW w:type="dxa" w:w="344"/>
                  <w:tcBorders/>
                  <w:shd w:fill="0049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11.7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4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742"/>
            </w:tblGrid>
            <w:tr>
              <w:trPr>
                <w:trHeight w:hRule="exact" w:val="158"/>
              </w:trPr>
              <w:tc>
                <w:tcPr>
                  <w:tcW w:type="dxa" w:w="344"/>
                  <w:tcBorders/>
                  <w:shd w:fill="99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242424"/>
                      <w:sz w:val="16"/>
                    </w:rPr>
                    <w:t>26.4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18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500</w:t>
            </w:r>
          </w:p>
        </w:tc>
        <w:tc>
          <w:tcPr>
            <w:tcW w:type="dxa" w:w="3930"/>
            <w:gridSpan w:val="5"/>
            <w:vMerge/>
            <w:tcBorders/>
          </w:tcPr>
          <w:p/>
        </w:tc>
        <w:tc>
          <w:tcPr>
            <w:tcW w:type="dxa" w:w="786"/>
            <w:vMerge/>
            <w:tcBorders/>
          </w:tcPr>
          <w:p/>
        </w:tc>
        <w:tc>
          <w:tcPr>
            <w:tcW w:type="dxa" w:w="6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8.00000000000068" w:type="dxa"/>
            </w:tblPr>
            <w:tblGrid>
              <w:gridCol w:w="672"/>
            </w:tblGrid>
            <w:tr>
              <w:trPr>
                <w:trHeight w:hRule="exact" w:val="174"/>
              </w:trPr>
              <w:tc>
                <w:tcPr>
                  <w:tcW w:type="dxa" w:w="346"/>
                  <w:tcBorders/>
                  <w:shd w:fill="99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242424"/>
                      <w:sz w:val="16"/>
                    </w:rPr>
                    <w:t>25.3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vMerge w:val="restart"/>
            <w:tcBorders>
              <w:bottom w:sz="6.00637817382812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2.00000000000045" w:type="dxa"/>
            </w:tblPr>
            <w:tblGrid>
              <w:gridCol w:w="700"/>
            </w:tblGrid>
            <w:tr>
              <w:trPr>
                <w:trHeight w:hRule="exact" w:val="602"/>
              </w:trPr>
              <w:tc>
                <w:tcPr>
                  <w:tcW w:type="dxa" w:w="346"/>
                  <w:tcBorders/>
                  <w:shd w:fill="99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242424"/>
                      <w:sz w:val="16"/>
                    </w:rPr>
                    <w:t>23.9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vMerge w:val="restart"/>
            <w:tcBorders>
              <w:bottom w:sz="6.00637817382812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7.99999999999955" w:type="dxa"/>
            </w:tblPr>
            <w:tblGrid>
              <w:gridCol w:w="700"/>
            </w:tblGrid>
            <w:tr>
              <w:trPr>
                <w:trHeight w:hRule="exact" w:val="580"/>
              </w:trPr>
              <w:tc>
                <w:tcPr>
                  <w:tcW w:type="dxa" w:w="344"/>
                  <w:tcBorders/>
                  <w:shd w:fill="99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9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242424"/>
                      <w:sz w:val="16"/>
                    </w:rPr>
                    <w:t>19.8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0"/>
            <w:vMerge w:val="restart"/>
            <w:tcBorders>
              <w:bottom w:sz="6.00637817382812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3.99999999999977" w:type="dxa"/>
            </w:tblPr>
            <w:tblGrid>
              <w:gridCol w:w="680"/>
            </w:tblGrid>
            <w:tr>
              <w:trPr>
                <w:trHeight w:hRule="exact" w:val="580"/>
              </w:trPr>
              <w:tc>
                <w:tcPr>
                  <w:tcW w:type="dxa" w:w="344"/>
                  <w:tcBorders/>
                  <w:shd w:fill="99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9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242424"/>
                      <w:sz w:val="16"/>
                    </w:rPr>
                    <w:t>19.4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2"/>
            <w:vMerge w:val="restart"/>
            <w:tcBorders>
              <w:bottom w:sz="6.00637817382812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660"/>
            <w:vMerge w:val="restart"/>
            <w:tcBorders>
              <w:bottom w:sz="6.00637817382812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30"/>
            <w:gridSpan w:val="5"/>
            <w:vMerge/>
            <w:tcBorders/>
          </w:tcPr>
          <w:p/>
        </w:tc>
        <w:tc>
          <w:tcPr>
            <w:tcW w:type="dxa" w:w="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786"/>
            <w:vMerge/>
            <w:tcBorders/>
          </w:tcPr>
          <w:p/>
        </w:tc>
        <w:tc>
          <w:tcPr>
            <w:tcW w:type="dxa" w:w="786"/>
            <w:vMerge/>
            <w:tcBorders>
              <w:bottom w:sz="6.006378173828125" w:val="single" w:color="#E5E6E5"/>
            </w:tcBorders>
          </w:tcPr>
          <w:p/>
        </w:tc>
        <w:tc>
          <w:tcPr>
            <w:tcW w:type="dxa" w:w="786"/>
            <w:vMerge/>
            <w:tcBorders>
              <w:bottom w:sz="6.006378173828125" w:val="single" w:color="#E5E6E5"/>
            </w:tcBorders>
          </w:tcPr>
          <w:p/>
        </w:tc>
        <w:tc>
          <w:tcPr>
            <w:tcW w:type="dxa" w:w="786"/>
            <w:vMerge/>
            <w:tcBorders>
              <w:bottom w:sz="6.006378173828125" w:val="single" w:color="#E5E6E5"/>
            </w:tcBorders>
          </w:tcPr>
          <w:p/>
        </w:tc>
        <w:tc>
          <w:tcPr>
            <w:tcW w:type="dxa" w:w="786"/>
            <w:vMerge/>
            <w:tcBorders>
              <w:bottom w:sz="6.006378173828125" w:val="single" w:color="#E5E6E5"/>
            </w:tcBorders>
          </w:tcPr>
          <w:p/>
        </w:tc>
      </w:tr>
      <w:tr>
        <w:trPr>
          <w:trHeight w:hRule="exact" w:val="122"/>
        </w:trPr>
        <w:tc>
          <w:tcPr>
            <w:tcW w:type="dxa" w:w="786"/>
            <w:vMerge/>
            <w:tcBorders>
              <w:bottom w:sz="6.006378173828125" w:val="single" w:color="#E5E6E5"/>
            </w:tcBorders>
          </w:tcPr>
          <w:p/>
        </w:tc>
        <w:tc>
          <w:tcPr>
            <w:tcW w:type="dxa" w:w="566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9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786"/>
            <w:vMerge/>
            <w:tcBorders>
              <w:bottom w:sz="6.006378173828125" w:val="single" w:color="#E5E6E5"/>
            </w:tcBorders>
          </w:tcPr>
          <w:p/>
        </w:tc>
        <w:tc>
          <w:tcPr>
            <w:tcW w:type="dxa" w:w="786"/>
            <w:vMerge/>
            <w:tcBorders>
              <w:bottom w:sz="6.006378173828125" w:val="single" w:color="#E5E6E5"/>
            </w:tcBorders>
          </w:tcPr>
          <w:p/>
        </w:tc>
        <w:tc>
          <w:tcPr>
            <w:tcW w:type="dxa" w:w="786"/>
            <w:vMerge/>
            <w:tcBorders>
              <w:bottom w:sz="6.006378173828125" w:val="single" w:color="#E5E6E5"/>
            </w:tcBorders>
          </w:tcPr>
          <w:p/>
        </w:tc>
        <w:tc>
          <w:tcPr>
            <w:tcW w:type="dxa" w:w="786"/>
            <w:vMerge/>
            <w:tcBorders>
              <w:bottom w:sz="6.006378173828125" w:val="single" w:color="#E5E6E5"/>
            </w:tcBorders>
          </w:tcPr>
          <w:p/>
        </w:tc>
      </w:tr>
      <w:tr>
        <w:trPr>
          <w:trHeight w:hRule="exact" w:val="70"/>
        </w:trPr>
        <w:tc>
          <w:tcPr>
            <w:tcW w:type="dxa" w:w="660"/>
            <w:vMerge w:val="restart"/>
            <w:tcBorders>
              <w:top w:sz="6.00637817382812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5502"/>
            <w:gridSpan w:val="7"/>
            <w:vMerge/>
            <w:tcBorders/>
          </w:tcPr>
          <w:p/>
        </w:tc>
        <w:tc>
          <w:tcPr>
            <w:tcW w:type="dxa" w:w="700"/>
            <w:vMerge w:val="restart"/>
            <w:tcBorders>
              <w:top w:sz="6.00637817382812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700"/>
            <w:vMerge w:val="restart"/>
            <w:tcBorders>
              <w:top w:sz="6.00637817382812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680"/>
            <w:vMerge w:val="restart"/>
            <w:tcBorders>
              <w:top w:sz="6.00637817382812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  <w:tc>
          <w:tcPr>
            <w:tcW w:type="dxa" w:w="742"/>
            <w:vMerge w:val="restart"/>
            <w:tcBorders>
              <w:top w:sz="6.00637817382812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25</w:t>
            </w:r>
          </w:p>
        </w:tc>
      </w:tr>
      <w:tr>
        <w:trPr>
          <w:trHeight w:hRule="exact" w:val="652"/>
        </w:trPr>
        <w:tc>
          <w:tcPr>
            <w:tcW w:type="dxa" w:w="786"/>
            <w:vMerge/>
            <w:tcBorders>
              <w:top w:sz="6.006378173828125" w:val="single" w:color="#E5E6E5"/>
            </w:tcBorders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FY21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FY22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FY23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FY25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786"/>
            <w:vMerge/>
            <w:tcBorders>
              <w:top w:sz="6.006378173828125" w:val="single" w:color="#E5E6E5"/>
            </w:tcBorders>
          </w:tcPr>
          <w:p/>
        </w:tc>
        <w:tc>
          <w:tcPr>
            <w:tcW w:type="dxa" w:w="786"/>
            <w:vMerge/>
            <w:tcBorders>
              <w:top w:sz="6.006378173828125" w:val="single" w:color="#E5E6E5"/>
            </w:tcBorders>
          </w:tcPr>
          <w:p/>
        </w:tc>
        <w:tc>
          <w:tcPr>
            <w:tcW w:type="dxa" w:w="786"/>
            <w:vMerge/>
            <w:tcBorders>
              <w:top w:sz="6.006378173828125" w:val="single" w:color="#E5E6E5"/>
            </w:tcBorders>
          </w:tcPr>
          <w:p/>
        </w:tc>
        <w:tc>
          <w:tcPr>
            <w:tcW w:type="dxa" w:w="786"/>
            <w:vMerge/>
            <w:tcBorders>
              <w:top w:sz="6.006378173828125" w:val="single" w:color="#E5E6E5"/>
            </w:tcBorders>
          </w:tcPr>
          <w:p/>
        </w:tc>
      </w:tr>
      <w:tr>
        <w:trPr>
          <w:trHeight w:hRule="exact" w:val="104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2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786"/>
            <w:vMerge/>
            <w:tcBorders/>
          </w:tcPr>
          <w:p/>
        </w:tc>
        <w:tc>
          <w:tcPr>
            <w:tcW w:type="dxa" w:w="786"/>
            <w:vMerge/>
            <w:tcBorders/>
          </w:tcPr>
          <w:p/>
        </w:tc>
        <w:tc>
          <w:tcPr>
            <w:tcW w:type="dxa" w:w="786"/>
            <w:vMerge/>
            <w:tcBorders/>
          </w:tcPr>
          <w:p/>
        </w:tc>
        <w:tc>
          <w:tcPr>
            <w:tcW w:type="dxa" w:w="786"/>
            <w:vMerge/>
            <w:tcBorders/>
          </w:tcPr>
          <w:p/>
        </w:tc>
        <w:tc>
          <w:tcPr>
            <w:tcW w:type="dxa" w:w="786"/>
            <w:vMerge/>
            <w:tcBorders/>
          </w:tcPr>
          <w:p/>
        </w:tc>
        <w:tc>
          <w:tcPr>
            <w:tcW w:type="dxa" w:w="1572"/>
            <w:gridSpan w:val="2"/>
            <w:vMerge/>
            <w:tcBorders/>
          </w:tcPr>
          <w:p/>
        </w:tc>
        <w:tc>
          <w:tcPr>
            <w:tcW w:type="dxa" w:w="786"/>
            <w:vMerge/>
            <w:tcBorders>
              <w:top w:sz="6.006378173828125" w:val="single" w:color="#E5E6E5"/>
            </w:tcBorders>
          </w:tcPr>
          <w:p/>
        </w:tc>
        <w:tc>
          <w:tcPr>
            <w:tcW w:type="dxa" w:w="786"/>
            <w:vMerge/>
            <w:tcBorders>
              <w:top w:sz="6.006378173828125" w:val="single" w:color="#E5E6E5"/>
            </w:tcBorders>
          </w:tcPr>
          <w:p/>
        </w:tc>
        <w:tc>
          <w:tcPr>
            <w:tcW w:type="dxa" w:w="786"/>
            <w:vMerge/>
            <w:tcBorders>
              <w:top w:sz="6.006378173828125" w:val="single" w:color="#E5E6E5"/>
            </w:tcBorders>
          </w:tcPr>
          <w:p/>
        </w:tc>
        <w:tc>
          <w:tcPr>
            <w:tcW w:type="dxa" w:w="786"/>
            <w:vMerge/>
            <w:tcBorders>
              <w:top w:sz="6.006378173828125" w:val="single" w:color="#E5E6E5"/>
            </w:tcBorders>
          </w:tcPr>
          <w:p/>
        </w:tc>
      </w:tr>
      <w:tr>
        <w:trPr>
          <w:trHeight w:hRule="exact" w:val="724"/>
        </w:trPr>
        <w:tc>
          <w:tcPr>
            <w:tcW w:type="dxa" w:w="786"/>
            <w:vMerge/>
            <w:tcBorders/>
          </w:tcPr>
          <w:p/>
        </w:tc>
        <w:tc>
          <w:tcPr>
            <w:tcW w:type="dxa" w:w="56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0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IDA Management's Discussion and Analysis: June 30, 2025</w:t>
            </w:r>
          </w:p>
        </w:tc>
        <w:tc>
          <w:tcPr>
            <w:tcW w:type="dxa" w:w="786"/>
            <w:vMerge/>
            <w:tcBorders>
              <w:top w:sz="6.006378173828125" w:val="single" w:color="#E5E6E5"/>
            </w:tcBorders>
          </w:tcPr>
          <w:p/>
        </w:tc>
        <w:tc>
          <w:tcPr>
            <w:tcW w:type="dxa" w:w="786"/>
            <w:vMerge/>
            <w:tcBorders>
              <w:top w:sz="6.006378173828125" w:val="single" w:color="#E5E6E5"/>
            </w:tcBorders>
          </w:tcPr>
          <w:p/>
        </w:tc>
        <w:tc>
          <w:tcPr>
            <w:tcW w:type="dxa" w:w="786"/>
            <w:vMerge/>
            <w:tcBorders>
              <w:top w:sz="6.006378173828125" w:val="single" w:color="#E5E6E5"/>
            </w:tcBorders>
          </w:tcPr>
          <w:p/>
        </w:tc>
        <w:tc>
          <w:tcPr>
            <w:tcW w:type="dxa" w:w="786"/>
            <w:vMerge/>
            <w:tcBorders>
              <w:top w:sz="6.006378173828125" w:val="single" w:color="#E5E6E5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91"/>
        <w:gridCol w:w="4791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e7e7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268" w:lineRule="exact" w:before="7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Unrealized mark-to-market gains (losses) on investments-trading portfolio, net</w:t>
      </w:r>
    </w:p>
    <w:p>
      <w:pPr>
        <w:autoSpaceDN w:val="0"/>
        <w:autoSpaceDE w:val="0"/>
        <w:widowControl/>
        <w:spacing w:line="240" w:lineRule="exact" w:before="13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FY25, IDA’s investments-trading portfolio, excluding IDA's share of returns from PEBP and PCRF, </w:t>
      </w:r>
      <w:r>
        <w:rPr>
          <w:rFonts w:ascii="ArialMT" w:hAnsi="ArialMT" w:eastAsia="ArialMT"/>
          <w:b w:val="0"/>
          <w:i w:val="0"/>
          <w:color w:val="000000"/>
          <w:sz w:val="20"/>
        </w:rPr>
        <w:t>had unrealized mark-to-market gains of $210 million, compared to $192 million of unrealized mark-to-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gains in FY24. The unrealized mark-to-market gains in FY25 were mainly driven by the decrease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yields on EUR denominated bonds in FY25. 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Results from Borrowing Activities </w:t>
      </w:r>
    </w:p>
    <w:p>
      <w:pPr>
        <w:autoSpaceDN w:val="0"/>
        <w:autoSpaceDE w:val="0"/>
        <w:widowControl/>
        <w:spacing w:line="246" w:lineRule="exact" w:before="14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Borrowing Expenses</w:t>
      </w:r>
    </w:p>
    <w:p>
      <w:pPr>
        <w:autoSpaceDN w:val="0"/>
        <w:autoSpaceDE w:val="0"/>
        <w:widowControl/>
        <w:spacing w:line="240" w:lineRule="exact" w:before="126" w:after="0"/>
        <w:ind w:left="0" w:right="1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FY25, IDA's borrowing expenses, including related derivatives, were $2.3 billion, an increase of $0.7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billion compared with FY24. The increase in borrowing expenses was primarily due to the higher average </w:t>
      </w:r>
      <w:r>
        <w:rPr>
          <w:rFonts w:ascii="ArialMT" w:hAnsi="ArialMT" w:eastAsia="ArialMT"/>
          <w:b w:val="0"/>
          <w:i w:val="0"/>
          <w:color w:val="000000"/>
          <w:sz w:val="20"/>
        </w:rPr>
        <w:t>balance in FY25 compared to FY24.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Borrowings</w:t>
      </w:r>
    </w:p>
    <w:p>
      <w:pPr>
        <w:autoSpaceDN w:val="0"/>
        <w:autoSpaceDE w:val="0"/>
        <w:widowControl/>
        <w:spacing w:line="224" w:lineRule="exact" w:before="142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Market Borrowings Reported at Fair Value: </w:t>
      </w:r>
    </w:p>
    <w:p>
      <w:pPr>
        <w:autoSpaceDN w:val="0"/>
        <w:autoSpaceDE w:val="0"/>
        <w:widowControl/>
        <w:spacing w:line="240" w:lineRule="exact" w:before="120" w:after="0"/>
        <w:ind w:left="0" w:right="1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the value of the market borrowings carried at fair value was $45.1 billion, 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 of $18.7 billion compared to June 30, 2024 ($26.4 billion). The increase was mainly due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net new debt issuances of $16.9 billion during the year. </w:t>
      </w:r>
    </w:p>
    <w:p>
      <w:pPr>
        <w:autoSpaceDN w:val="0"/>
        <w:autoSpaceDE w:val="0"/>
        <w:widowControl/>
        <w:spacing w:line="224" w:lineRule="exact" w:before="136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Borrowings Reported at Amortized Cost:</w:t>
      </w:r>
    </w:p>
    <w:p>
      <w:pPr>
        <w:autoSpaceDN w:val="0"/>
        <w:autoSpaceDE w:val="0"/>
        <w:widowControl/>
        <w:spacing w:line="240" w:lineRule="exact" w:before="120" w:after="0"/>
        <w:ind w:left="0" w:right="1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the market borrowings recorded at amortized cost (fixed rate debt) were $18.1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billion, an increase of $6.6 billion from June 30, 2024 ($11.5 billion). The increase was mainly due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net new debt issuances of $5.2 billion during the year.</w:t>
      </w:r>
    </w:p>
    <w:p>
      <w:pPr>
        <w:autoSpaceDN w:val="0"/>
        <w:autoSpaceDE w:val="0"/>
        <w:widowControl/>
        <w:spacing w:line="240" w:lineRule="exact" w:before="120" w:after="130"/>
        <w:ind w:left="0" w:right="1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Concessional Partner loans from members recorded at amortized cost were $7.6 billion as of 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2025, an increase of $0.6 billion from June 30, 2024 ($7.0 billion). See Notes to the Financial Statements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>for the year ended June 30, 2025, Note E – Borrowings.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9"/>
        <w:gridCol w:w="1369"/>
        <w:gridCol w:w="1369"/>
        <w:gridCol w:w="1369"/>
        <w:gridCol w:w="1369"/>
        <w:gridCol w:w="1369"/>
        <w:gridCol w:w="1369"/>
      </w:tblGrid>
      <w:tr>
        <w:trPr>
          <w:trHeight w:hRule="exact" w:val="1018"/>
        </w:trPr>
        <w:tc>
          <w:tcPr>
            <w:tcW w:type="dxa" w:w="45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" w:after="0"/>
              <w:ind w:left="0" w:right="115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Figure 8: Borrowing Expenses, Net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b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illions of U.S. dollars</w:t>
            </w:r>
          </w:p>
          <w:p>
            <w:pPr>
              <w:autoSpaceDN w:val="0"/>
              <w:autoSpaceDE w:val="0"/>
              <w:widowControl/>
              <w:spacing w:line="178" w:lineRule="exact" w:before="236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2,500</w:t>
            </w:r>
          </w:p>
        </w:tc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" w:after="76"/>
              <w:ind w:left="480" w:right="244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Figure 9: Borrowings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illions of U.S. dollars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96.0000000000002" w:type="dxa"/>
            </w:tblPr>
            <w:tblGrid>
              <w:gridCol w:w="5000"/>
            </w:tblGrid>
            <w:tr>
              <w:trPr>
                <w:trHeight w:hRule="exact" w:val="3118"/>
              </w:trPr>
              <w:tc>
                <w:tcPr>
                  <w:tcW w:type="dxa" w:w="4476"/>
                  <w:tcBorders>
                    <w:start w:sz="24.030550003051758" w:val="single" w:color="#FFFFFF"/>
                    <w:top w:sz="24.030550003051758" w:val="single" w:color="#FFFFFF"/>
                    <w:end w:sz="24.030550003051758" w:val="single" w:color="#FFFFFF"/>
                    <w:bottom w:sz="24.030550003051758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0" w:after="16"/>
                    <w:ind w:left="720" w:right="432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595959"/>
                      <w:sz w:val="16"/>
                    </w:rPr>
                    <w:t xml:space="preserve">Market borrowings at fair value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595959"/>
                      <w:sz w:val="16"/>
                    </w:rPr>
                    <w:t xml:space="preserve">Market borrowings at amortized cost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595959"/>
                      <w:sz w:val="16"/>
                    </w:rPr>
                    <w:t>Concessional partner loans at amortized cost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2238"/>
                    <w:gridCol w:w="2238"/>
                  </w:tblGrid>
                  <w:tr>
                    <w:trPr>
                      <w:trHeight w:hRule="exact" w:val="270"/>
                    </w:trPr>
                    <w:tc>
                      <w:tcPr>
                        <w:tcW w:type="dxa" w:w="3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76" w:after="0"/>
                          <w:ind w:left="98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75</w:t>
                        </w:r>
                      </w:p>
                    </w:tc>
                    <w:tc>
                      <w:tcPr>
                        <w:tcW w:type="dxa" w:w="48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6"/>
                          </w:rPr>
                          <w:t>70.8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78" w:lineRule="exact" w:before="182" w:after="24"/>
                    <w:ind w:left="15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595959"/>
                      <w:sz w:val="16"/>
                    </w:rPr>
                    <w:t>60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746"/>
                    <w:gridCol w:w="746"/>
                    <w:gridCol w:w="746"/>
                    <w:gridCol w:w="746"/>
                    <w:gridCol w:w="746"/>
                    <w:gridCol w:w="74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3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22" w:after="0"/>
                          <w:ind w:left="0" w:right="96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6"/>
                          </w:rPr>
                          <w:t>44.9</w:t>
                        </w:r>
                      </w:p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96" w:after="0"/>
                          <w:ind w:left="0" w:right="9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6"/>
                          </w:rPr>
                          <w:t>45.1</w:t>
                        </w:r>
                      </w:p>
                    </w:tc>
                  </w:tr>
                  <w:tr>
                    <w:trPr>
                      <w:trHeight w:hRule="exact" w:val="300"/>
                    </w:trPr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45</w:t>
                        </w:r>
                      </w:p>
                    </w:tc>
                    <w:tc>
                      <w:tcPr>
                        <w:tcW w:type="dxa" w:w="6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22" w:after="0"/>
                          <w:ind w:left="0" w:right="106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6"/>
                          </w:rPr>
                          <w:t>28.3</w:t>
                        </w:r>
                      </w:p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48" w:after="0"/>
                          <w:ind w:left="0" w:right="102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6"/>
                          </w:rPr>
                          <w:t>32.9</w:t>
                        </w:r>
                      </w:p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62" w:after="0"/>
                          <w:ind w:left="0" w:right="10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6"/>
                          </w:rPr>
                          <w:t>32.6</w:t>
                        </w:r>
                      </w:p>
                    </w:tc>
                    <w:tc>
                      <w:tcPr>
                        <w:tcW w:type="dxa" w:w="73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20"/>
                    </w:trPr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type="dxa" w:w="6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3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51.99999999999932" w:type="dxa"/>
                        </w:tblPr>
                        <w:tblGrid>
                          <w:gridCol w:w="732"/>
                        </w:tblGrid>
                        <w:tr>
                          <w:trPr>
                            <w:trHeight w:hRule="exact" w:val="130"/>
                          </w:trPr>
                          <w:tc>
                            <w:tcPr>
                              <w:tcW w:type="dxa" w:w="480"/>
                              <w:tcBorders/>
                              <w:shd w:fill="004871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80" w:lineRule="exact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26.4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60"/>
                    </w:trPr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3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96"/>
                    </w:trPr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54.0000000000009" w:type="dxa"/>
                        </w:tblPr>
                        <w:tblGrid>
                          <w:gridCol w:w="734"/>
                        </w:tblGrid>
                        <w:tr>
                          <w:trPr>
                            <w:trHeight w:hRule="exact" w:val="166"/>
                          </w:trPr>
                          <w:tc>
                            <w:tcPr>
                              <w:tcW w:type="dxa" w:w="480"/>
                              <w:tcBorders/>
                              <w:shd w:fill="004871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80" w:lineRule="exact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19.7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51.99999999999932" w:type="dxa"/>
                        </w:tblPr>
                        <w:tblGrid>
                          <w:gridCol w:w="734"/>
                        </w:tblGrid>
                        <w:tr>
                          <w:trPr>
                            <w:trHeight w:hRule="exact" w:val="168"/>
                          </w:trPr>
                          <w:tc>
                            <w:tcPr>
                              <w:tcW w:type="dxa" w:w="482"/>
                              <w:tcBorders/>
                              <w:shd w:fill="004871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80" w:lineRule="exact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16.8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73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60"/>
                    </w:trPr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3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76"/>
                    </w:trPr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3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54"/>
                    </w:trPr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0" w:after="0"/>
                          <w:ind w:left="0" w:right="132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6"/>
                          </w:rPr>
                          <w:t>6.2</w:t>
                        </w:r>
                      </w:p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51.99999999999932" w:type="dxa"/>
                        </w:tblPr>
                        <w:tblGrid>
                          <w:gridCol w:w="734"/>
                        </w:tblGrid>
                        <w:tr>
                          <w:trPr>
                            <w:trHeight w:hRule="exact" w:val="144"/>
                          </w:trPr>
                          <w:tc>
                            <w:tcPr>
                              <w:tcW w:type="dxa" w:w="482"/>
                              <w:tcBorders/>
                              <w:shd w:fill="4b809c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80" w:lineRule="exact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8.6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73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51.99999999999932" w:type="dxa"/>
                        </w:tblPr>
                        <w:tblGrid>
                          <w:gridCol w:w="732"/>
                        </w:tblGrid>
                        <w:tr>
                          <w:trPr>
                            <w:trHeight w:hRule="exact" w:val="160"/>
                          </w:trPr>
                          <w:tc>
                            <w:tcPr>
                              <w:tcW w:type="dxa" w:w="480"/>
                              <w:tcBorders/>
                              <w:shd w:fill="4b809c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80" w:lineRule="exact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11.5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76"/>
                    </w:trPr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07.99999999999955" w:type="dxa"/>
                        </w:tblPr>
                        <w:tblGrid>
                          <w:gridCol w:w="688"/>
                        </w:tblGrid>
                        <w:tr>
                          <w:trPr>
                            <w:trHeight w:hRule="exact" w:val="176"/>
                          </w:trPr>
                          <w:tc>
                            <w:tcPr>
                              <w:tcW w:type="dxa" w:w="480"/>
                              <w:tcBorders/>
                              <w:shd w:fill="99b6c6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78" w:lineRule="exact" w:before="1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595959"/>
                                  <w:sz w:val="16"/>
                                </w:rPr>
                                <w:t>7.7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54.0000000000009" w:type="dxa"/>
                        </w:tblPr>
                        <w:tblGrid>
                          <w:gridCol w:w="734"/>
                        </w:tblGrid>
                        <w:tr>
                          <w:trPr>
                            <w:trHeight w:hRule="exact" w:val="160"/>
                          </w:trPr>
                          <w:tc>
                            <w:tcPr>
                              <w:tcW w:type="dxa" w:w="480"/>
                              <w:tcBorders/>
                              <w:shd w:fill="99b6c6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78" w:lineRule="exact" w:before="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595959"/>
                                  <w:sz w:val="16"/>
                                </w:rPr>
                                <w:t>7.0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51.99999999999932" w:type="dxa"/>
                        </w:tblPr>
                        <w:tblGrid>
                          <w:gridCol w:w="734"/>
                        </w:tblGrid>
                        <w:tr>
                          <w:trPr>
                            <w:trHeight w:hRule="exact" w:val="160"/>
                          </w:trPr>
                          <w:tc>
                            <w:tcPr>
                              <w:tcW w:type="dxa" w:w="482"/>
                              <w:tcBorders/>
                              <w:shd w:fill="99b6c6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78" w:lineRule="exact" w:before="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595959"/>
                                  <w:sz w:val="16"/>
                                </w:rPr>
                                <w:t>7.2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73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51.99999999999932" w:type="dxa"/>
                        </w:tblPr>
                        <w:tblGrid>
                          <w:gridCol w:w="732"/>
                        </w:tblGrid>
                        <w:tr>
                          <w:trPr>
                            <w:trHeight w:hRule="exact" w:val="160"/>
                          </w:trPr>
                          <w:tc>
                            <w:tcPr>
                              <w:tcW w:type="dxa" w:w="480"/>
                              <w:tcBorders/>
                              <w:shd w:fill="99b6c6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78" w:lineRule="exact" w:before="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595959"/>
                                  <w:sz w:val="16"/>
                                </w:rPr>
                                <w:t>7.0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7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52.00000000000045" w:type="dxa"/>
                        </w:tblPr>
                        <w:tblGrid>
                          <w:gridCol w:w="734"/>
                        </w:tblGrid>
                        <w:tr>
                          <w:trPr>
                            <w:trHeight w:hRule="exact" w:val="176"/>
                          </w:trPr>
                          <w:tc>
                            <w:tcPr>
                              <w:tcW w:type="dxa" w:w="482"/>
                              <w:tcBorders/>
                              <w:shd w:fill="99b6c6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78" w:lineRule="exact" w:before="1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595959"/>
                                  <w:sz w:val="16"/>
                                </w:rPr>
                                <w:t>7.6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340"/>
                    </w:trPr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type="dxa" w:w="6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22" w:after="0"/>
                          <w:ind w:left="0" w:right="26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Jun 21</w:t>
                        </w:r>
                      </w:p>
                    </w:tc>
                    <w:tc>
                      <w:tcPr>
                        <w:tcW w:type="dxa" w:w="73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22" w:after="0"/>
                          <w:ind w:left="0" w:right="2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Jun 22</w:t>
                        </w:r>
                      </w:p>
                    </w:tc>
                    <w:tc>
                      <w:tcPr>
                        <w:tcW w:type="dxa" w:w="73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22" w:after="0"/>
                          <w:ind w:left="0" w:right="22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Jun 23</w:t>
                        </w:r>
                      </w:p>
                    </w:tc>
                    <w:tc>
                      <w:tcPr>
                        <w:tcW w:type="dxa" w:w="7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22" w:after="0"/>
                          <w:ind w:left="0" w:right="32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Jun 24</w:t>
                        </w:r>
                      </w:p>
                    </w:tc>
                    <w:tc>
                      <w:tcPr>
                        <w:tcW w:type="dxa" w:w="73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22" w:after="0"/>
                          <w:ind w:left="0" w:right="3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Jun 25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1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8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2,000</w:t>
            </w:r>
          </w:p>
          <w:p>
            <w:pPr>
              <w:autoSpaceDN w:val="0"/>
              <w:autoSpaceDE w:val="0"/>
              <w:widowControl/>
              <w:spacing w:line="180" w:lineRule="exact" w:before="300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1,500</w:t>
            </w:r>
          </w:p>
          <w:p>
            <w:pPr>
              <w:autoSpaceDN w:val="0"/>
              <w:autoSpaceDE w:val="0"/>
              <w:widowControl/>
              <w:spacing w:line="178" w:lineRule="exact" w:before="316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1,000</w:t>
            </w:r>
          </w:p>
          <w:p>
            <w:pPr>
              <w:autoSpaceDN w:val="0"/>
              <w:autoSpaceDE w:val="0"/>
              <w:widowControl/>
              <w:spacing w:line="180" w:lineRule="exact" w:before="3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500</w:t>
            </w:r>
          </w:p>
        </w:tc>
        <w:tc>
          <w:tcPr>
            <w:tcW w:type="dxa" w:w="36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52600" cy="1320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32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6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45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5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1369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FY22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FY23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FY25</w:t>
            </w:r>
          </w:p>
        </w:tc>
        <w:tc>
          <w:tcPr>
            <w:tcW w:type="dxa" w:w="13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8" w:lineRule="exact" w:before="10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Transfers from Affiliated Organizations</w:t>
      </w:r>
    </w:p>
    <w:p>
      <w:pPr>
        <w:autoSpaceDN w:val="0"/>
        <w:autoSpaceDE w:val="0"/>
        <w:widowControl/>
        <w:spacing w:line="240" w:lineRule="exact" w:before="130" w:after="0"/>
        <w:ind w:left="0" w:right="1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Since 1964, IBRD has made transfers to IDA out of its net income, upon approval by the Board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Governors. Under a formula-based approach for IBRD's income support to IDA, the amount of income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transfer recommended for IDA is a function of IBRD's financial results. On September 18, 2024, IBRD’s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Board of Governors approved a transfer of $515 million, which was received by IDA on September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2024. The transfer was recorded in the Transfers from affiliated organizations line in the Condensed </w:t>
      </w:r>
      <w:r>
        <w:rPr>
          <w:rFonts w:ascii="ArialMT" w:hAnsi="ArialMT" w:eastAsia="ArialMT"/>
          <w:b w:val="0"/>
          <w:i w:val="0"/>
          <w:color w:val="000000"/>
          <w:sz w:val="20"/>
        </w:rPr>
        <w:t>Statements of Income (Table 7).</w:t>
      </w:r>
    </w:p>
    <w:p>
      <w:pPr>
        <w:autoSpaceDN w:val="0"/>
        <w:tabs>
          <w:tab w:pos="9138" w:val="left"/>
        </w:tabs>
        <w:autoSpaceDE w:val="0"/>
        <w:widowControl/>
        <w:spacing w:line="224" w:lineRule="exact" w:before="916" w:after="0"/>
        <w:ind w:left="33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23</w:t>
      </w:r>
    </w:p>
    <w:p>
      <w:pPr>
        <w:sectPr>
          <w:pgSz w:w="12240" w:h="15840"/>
          <w:pgMar w:top="216" w:right="1218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268" w:lineRule="exact" w:before="7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Net Non-Interest Expense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net non-interest expenses are primarily comprised of administrative expenses, net of revenue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externally-funded activities. IBRD and IDA's administrative budget is a single resource envelope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funds the combined work programs of both entities. The allocation of administrative expenses between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and IDA is based on an agreed cost and revenue sharing methodology, approved by their Boards.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allocation is primarily driven by the relative level of activities relating to lending, knowledge services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other services between the two institutions. The administrative expenses shown in the table below </w:t>
      </w:r>
      <w:r>
        <w:rPr>
          <w:rFonts w:ascii="ArialMT" w:hAnsi="ArialMT" w:eastAsia="ArialMT"/>
          <w:b w:val="0"/>
          <w:i w:val="0"/>
          <w:color w:val="000000"/>
          <w:sz w:val="20"/>
        </w:rPr>
        <w:t>include costs related to IDA executed trust funds and other externally funded activities.</w:t>
      </w:r>
    </w:p>
    <w:p>
      <w:pPr>
        <w:autoSpaceDN w:val="0"/>
        <w:autoSpaceDE w:val="0"/>
        <w:widowControl/>
        <w:spacing w:line="224" w:lineRule="exact" w:before="1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 10: Net Non-Interest Expenses (Reported Basis)</w:t>
      </w:r>
    </w:p>
    <w:p>
      <w:pPr>
        <w:autoSpaceDN w:val="0"/>
        <w:autoSpaceDE w:val="0"/>
        <w:widowControl/>
        <w:spacing w:line="178" w:lineRule="exact" w:before="144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tabs>
          <w:tab w:pos="840" w:val="left"/>
        </w:tabs>
        <w:autoSpaceDE w:val="0"/>
        <w:widowControl/>
        <w:spacing w:line="240" w:lineRule="auto" w:before="254" w:after="0"/>
        <w:ind w:left="200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1,600</w:t>
      </w:r>
      <w:r>
        <w:tab/>
      </w:r>
      <w:r>
        <w:drawing>
          <wp:inline xmlns:a="http://schemas.openxmlformats.org/drawingml/2006/main" xmlns:pic="http://schemas.openxmlformats.org/drawingml/2006/picture">
            <wp:extent cx="2184400" cy="177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0" w:lineRule="exact" w:before="46" w:after="0"/>
        <w:ind w:left="200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1,200</w:t>
      </w:r>
    </w:p>
    <w:p>
      <w:pPr>
        <w:autoSpaceDN w:val="0"/>
        <w:autoSpaceDE w:val="0"/>
        <w:widowControl/>
        <w:spacing w:line="178" w:lineRule="exact" w:before="166" w:after="0"/>
        <w:ind w:left="334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800</w:t>
      </w:r>
    </w:p>
    <w:p>
      <w:pPr>
        <w:autoSpaceDN w:val="0"/>
        <w:autoSpaceDE w:val="0"/>
        <w:widowControl/>
        <w:spacing w:line="178" w:lineRule="exact" w:before="152" w:after="0"/>
        <w:ind w:left="334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400</w:t>
      </w:r>
    </w:p>
    <w:p>
      <w:pPr>
        <w:autoSpaceDN w:val="0"/>
        <w:autoSpaceDE w:val="0"/>
        <w:widowControl/>
        <w:spacing w:line="178" w:lineRule="exact" w:before="152" w:after="16"/>
        <w:ind w:left="512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887"/>
        <w:gridCol w:w="1887"/>
        <w:gridCol w:w="1887"/>
        <w:gridCol w:w="1887"/>
        <w:gridCol w:w="1887"/>
      </w:tblGrid>
      <w:tr>
        <w:trPr>
          <w:trHeight w:hRule="exact" w:val="25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FY22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FY23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240" w:lineRule="exact" w:before="318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increase in net non-interest expenses from FY24 to FY25, on both a reported basis and adjusted net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income basis, was primarily due to higher administrative expenses, partially offset by the higher revenue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externally funded activities (Table 10). 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755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6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2"/>
        <w:gridCol w:w="4722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224" w:lineRule="exact" w:before="71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10: Net Non-Interest Expenses</w:t>
      </w:r>
    </w:p>
    <w:p>
      <w:pPr>
        <w:autoSpaceDN w:val="0"/>
        <w:autoSpaceDE w:val="0"/>
        <w:widowControl/>
        <w:spacing w:line="178" w:lineRule="exact" w:before="84" w:after="62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1"/>
        <w:gridCol w:w="2361"/>
        <w:gridCol w:w="2361"/>
        <w:gridCol w:w="2361"/>
      </w:tblGrid>
      <w:tr>
        <w:trPr>
          <w:trHeight w:hRule="exact" w:val="264"/>
        </w:trPr>
        <w:tc>
          <w:tcPr>
            <w:tcW w:type="dxa" w:w="439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For the fiscal year ended June 30,</w:t>
            </w:r>
          </w:p>
        </w:tc>
        <w:tc>
          <w:tcPr>
            <w:tcW w:type="dxa" w:w="276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4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2025</w:t>
            </w:r>
          </w:p>
        </w:tc>
        <w:tc>
          <w:tcPr>
            <w:tcW w:type="dxa" w:w="116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2024</w:t>
            </w:r>
          </w:p>
        </w:tc>
        <w:tc>
          <w:tcPr>
            <w:tcW w:type="dxa" w:w="107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Variance</w:t>
            </w:r>
          </w:p>
        </w:tc>
      </w:tr>
    </w:tbl>
    <w:p>
      <w:pPr>
        <w:autoSpaceDN w:val="0"/>
        <w:autoSpaceDE w:val="0"/>
        <w:widowControl/>
        <w:spacing w:line="178" w:lineRule="exact" w:before="26" w:after="2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Administrative expenses: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00"/>
        </w:trPr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Staff costs</w:t>
            </w:r>
          </w:p>
        </w:tc>
        <w:tc>
          <w:tcPr>
            <w:tcW w:type="dxa" w:w="380"/>
            <w:vMerge w:val="restart"/>
            <w:tcBorders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1,462 </w:t>
            </w:r>
          </w:p>
        </w:tc>
        <w:tc>
          <w:tcPr>
            <w:tcW w:type="dxa" w:w="630"/>
            <w:vMerge w:val="restart"/>
            <w:tcBorders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1,314 </w:t>
            </w:r>
          </w:p>
        </w:tc>
        <w:tc>
          <w:tcPr>
            <w:tcW w:type="dxa" w:w="710"/>
            <w:vMerge w:val="restart"/>
            <w:tcBorders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148 </w:t>
            </w:r>
          </w:p>
        </w:tc>
      </w:tr>
      <w:tr>
        <w:trPr>
          <w:trHeight w:hRule="exact" w:val="220"/>
        </w:trPr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Travel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197 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180 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 </w:t>
            </w:r>
          </w:p>
        </w:tc>
      </w:tr>
      <w:tr>
        <w:trPr>
          <w:trHeight w:hRule="exact" w:val="220"/>
        </w:trPr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Consultant and contractual services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661 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578 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 </w:t>
            </w:r>
          </w:p>
        </w:tc>
      </w:tr>
      <w:tr>
        <w:trPr>
          <w:trHeight w:hRule="exact" w:val="220"/>
        </w:trPr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Pension and other post-retirement benefits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128 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 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</w:tr>
      <w:tr>
        <w:trPr>
          <w:trHeight w:hRule="exact" w:val="240"/>
        </w:trPr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Communications and technology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118 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107 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</w:tr>
      <w:tr>
        <w:trPr>
          <w:trHeight w:hRule="exact" w:val="220"/>
        </w:trPr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Premises and equipment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149 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139 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</w:tr>
      <w:tr>
        <w:trPr>
          <w:trHeight w:hRule="exact" w:val="256"/>
        </w:trPr>
        <w:tc>
          <w:tcPr>
            <w:tcW w:type="dxa" w:w="564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expenses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9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9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10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184"/>
        </w:trPr>
        <w:tc>
          <w:tcPr>
            <w:tcW w:type="dxa" w:w="564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 administrative expenses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a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(Table 7)</w:t>
            </w:r>
          </w:p>
        </w:tc>
        <w:tc>
          <w:tcPr>
            <w:tcW w:type="dxa" w:w="380"/>
            <w:vMerge w:val="restart"/>
            <w:tcBorders>
              <w:top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2,737 </w:t>
            </w:r>
          </w:p>
        </w:tc>
        <w:tc>
          <w:tcPr>
            <w:tcW w:type="dxa" w:w="630"/>
            <w:vMerge w:val="restart"/>
            <w:tcBorders>
              <w:top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8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2,435 </w:t>
            </w:r>
          </w:p>
        </w:tc>
        <w:tc>
          <w:tcPr>
            <w:tcW w:type="dxa" w:w="710"/>
            <w:vMerge w:val="restart"/>
            <w:tcBorders>
              <w:top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302 </w:t>
            </w:r>
          </w:p>
        </w:tc>
      </w:tr>
      <w:tr>
        <w:trPr>
          <w:trHeight w:hRule="exact" w:val="530"/>
        </w:trPr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9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Contributions to special programs (Table 7)</w:t>
            </w:r>
          </w:p>
        </w:tc>
        <w:tc>
          <w:tcPr>
            <w:tcW w:type="dxa" w:w="1349"/>
            <w:vMerge/>
            <w:tcBorders>
              <w:top w:sz="8.0" w:val="single" w:color="#929292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1349"/>
            <w:vMerge/>
            <w:tcBorders>
              <w:top w:sz="8.0" w:val="single" w:color="#929292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1349"/>
            <w:vMerge/>
            <w:tcBorders>
              <w:top w:sz="8.0" w:val="single" w:color="#929292"/>
            </w:tcBorders>
          </w:tcPr>
          <w:p/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178" w:lineRule="exact" w:before="212" w:after="1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Revenue from externally funded activities: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02"/>
        </w:trPr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Reimbursable revenue – Bank-executed activities for trust funds</w:t>
            </w:r>
          </w:p>
        </w:tc>
        <w:tc>
          <w:tcPr>
            <w:tcW w:type="dxa" w:w="340"/>
            <w:vMerge w:val="restart"/>
            <w:tcBorders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(768) </w:t>
            </w:r>
          </w:p>
        </w:tc>
        <w:tc>
          <w:tcPr>
            <w:tcW w:type="dxa" w:w="590"/>
            <w:vMerge w:val="restart"/>
            <w:tcBorders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(705) </w:t>
            </w:r>
          </w:p>
        </w:tc>
        <w:tc>
          <w:tcPr>
            <w:tcW w:type="dxa" w:w="690"/>
            <w:vMerge w:val="restart"/>
            <w:tcBorders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(63) </w:t>
            </w:r>
          </w:p>
        </w:tc>
      </w:tr>
      <w:tr>
        <w:trPr>
          <w:trHeight w:hRule="exact" w:val="220"/>
        </w:trPr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Reimbursable advisory services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(47) 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(44) 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(3) </w:t>
            </w:r>
          </w:p>
        </w:tc>
      </w:tr>
      <w:tr>
        <w:trPr>
          <w:trHeight w:hRule="exact" w:val="220"/>
        </w:trPr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Revenue – trust funds administration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(88) 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(93) 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  <w:tr>
        <w:trPr>
          <w:trHeight w:hRule="exact" w:val="220"/>
        </w:trPr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Restricted revenue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(5) 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(8) 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60"/>
        </w:trPr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Revenue - Asset Management Services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(17) 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(16) 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</w:tr>
      <w:tr>
        <w:trPr>
          <w:trHeight w:hRule="exact" w:val="248"/>
        </w:trPr>
        <w:tc>
          <w:tcPr>
            <w:tcW w:type="dxa" w:w="564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revenue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730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(173) 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730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(165) </w:t>
            </w:r>
          </w:p>
        </w:tc>
        <w:tc>
          <w:tcPr>
            <w:tcW w:type="dxa" w:w="1349"/>
            <w:vMerge/>
            <w:tcBorders>
              <w:bottom w:sz="8.0" w:val="single" w:color="#929292"/>
            </w:tcBorders>
          </w:tcPr>
          <w:p/>
        </w:tc>
        <w:tc>
          <w:tcPr>
            <w:tcW w:type="dxa" w:w="63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(8) </w:t>
            </w:r>
          </w:p>
        </w:tc>
      </w:tr>
      <w:tr>
        <w:trPr>
          <w:trHeight w:hRule="exact" w:val="224"/>
        </w:trPr>
        <w:tc>
          <w:tcPr>
            <w:tcW w:type="dxa" w:w="564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Total revenue from externally funded activities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(Table 7)</w:t>
            </w:r>
          </w:p>
        </w:tc>
        <w:tc>
          <w:tcPr>
            <w:tcW w:type="dxa" w:w="34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(1,098) </w:t>
            </w:r>
          </w:p>
        </w:tc>
        <w:tc>
          <w:tcPr>
            <w:tcW w:type="dxa" w:w="59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(1,031) </w:t>
            </w:r>
          </w:p>
        </w:tc>
        <w:tc>
          <w:tcPr>
            <w:tcW w:type="dxa" w:w="69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(67) </w:t>
            </w:r>
          </w:p>
        </w:tc>
      </w:tr>
      <w:tr>
        <w:trPr>
          <w:trHeight w:hRule="exact" w:val="186"/>
        </w:trPr>
        <w:tc>
          <w:tcPr>
            <w:tcW w:type="dxa" w:w="564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net non-interest expenses - Reported Basis</w:t>
            </w:r>
          </w:p>
        </w:tc>
        <w:tc>
          <w:tcPr>
            <w:tcW w:type="dxa" w:w="34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1,659 </w:t>
            </w:r>
          </w:p>
        </w:tc>
        <w:tc>
          <w:tcPr>
            <w:tcW w:type="dxa" w:w="59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1,424 </w:t>
            </w:r>
          </w:p>
        </w:tc>
        <w:tc>
          <w:tcPr>
            <w:tcW w:type="dxa" w:w="69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235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6"/>
        <w:ind w:left="0" w:right="0"/>
      </w:pPr>
    </w:p>
    <w:p>
      <w:pPr>
        <w:sectPr>
          <w:pgSz w:w="12240" w:h="15840"/>
          <w:pgMar w:top="216" w:right="1366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1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Adjustments to arrive at Net non-interest expenses - Non-GAAP measure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Pension, RAMP and EFO adjustments </w:t>
      </w:r>
      <w:r>
        <w:rPr>
          <w:w w:val="103.99999618530273"/>
          <w:rFonts w:ascii="ArialMT" w:hAnsi="ArialMT" w:eastAsia="ArialMT"/>
          <w:b w:val="0"/>
          <w:i w:val="0"/>
          <w:color w:val="000000"/>
          <w:sz w:val="10"/>
        </w:rPr>
        <w:t xml:space="preserve">c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>Net non-interest expenses (Table 8) - Non-GAAP measure</w:t>
      </w:r>
    </w:p>
    <w:p>
      <w:pPr>
        <w:sectPr>
          <w:type w:val="continuous"/>
          <w:pgSz w:w="12240" w:h="15840"/>
          <w:pgMar w:top="216" w:right="1366" w:bottom="360" w:left="1430" w:header="720" w:footer="720" w:gutter="0"/>
          <w:cols w:num="2" w:equalWidth="0">
            <w:col w:w="5666" w:space="0"/>
            <w:col w:w="3778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268"/>
        </w:trPr>
        <w:tc>
          <w:tcPr>
            <w:tcW w:type="dxa" w:w="3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187 </w:t>
            </w:r>
          </w:p>
        </w:tc>
        <w:tc>
          <w:tcPr>
            <w:tcW w:type="dxa" w:w="6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211 </w:t>
            </w:r>
          </w:p>
        </w:tc>
        <w:tc>
          <w:tcPr>
            <w:tcW w:type="dxa" w:w="6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(24) </w:t>
            </w:r>
          </w:p>
        </w:tc>
      </w:tr>
      <w:tr>
        <w:trPr>
          <w:trHeight w:hRule="exact" w:val="186"/>
        </w:trPr>
        <w:tc>
          <w:tcPr>
            <w:tcW w:type="dxa" w:w="380"/>
            <w:tcBorders>
              <w:top w:sz="8.0" w:val="single" w:color="#000000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8.0" w:val="single" w:color="#000000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1,846 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8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8.0" w:val="single" w:color="#000000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1,635 </w:t>
            </w:r>
          </w:p>
        </w:tc>
        <w:tc>
          <w:tcPr>
            <w:tcW w:type="dxa" w:w="690"/>
            <w:tcBorders>
              <w:top w:sz="8.0" w:val="single" w:color="#000000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211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2"/>
        <w:ind w:left="0" w:right="0"/>
      </w:pPr>
    </w:p>
    <w:p>
      <w:pPr>
        <w:sectPr>
          <w:type w:val="nextColumn"/>
          <w:pgSz w:w="12240" w:h="15840"/>
          <w:pgMar w:top="216" w:right="1366" w:bottom="360" w:left="1430" w:header="720" w:footer="720" w:gutter="0"/>
          <w:cols w:num="2" w:equalWidth="0">
            <w:col w:w="5666" w:space="0"/>
            <w:col w:w="3778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4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expenses related to Bank-executed activities for trust funds of $768 million for FY25 and $705 million for FY24.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3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Includes fee revenue associated with services provided to affiliated organizations of $113 million in FY25 ($106 million in FY24).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See Notes to Financial Statements, Note H: Transactions with Affiliated Organizations.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20" w:after="0"/>
        <w:ind w:left="62" w:right="57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Components of this adjustment are included in Table 9, and are excluded from Net non-interest expenses on adjusted net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income basis. </w:t>
      </w:r>
    </w:p>
    <w:p>
      <w:pPr>
        <w:autoSpaceDN w:val="0"/>
        <w:autoSpaceDE w:val="0"/>
        <w:widowControl/>
        <w:spacing w:line="240" w:lineRule="exact" w:before="19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IDA's goal is to have its net administrative expenses covered by its loan revenue (interest, service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charges, commitment fees, and guarantee fees). Thus, IDA monitors its net administrative expenses as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percentage of its loan revenue, using a measure referred to as the budget anchor. In FY25, IDA’s budget </w:t>
      </w:r>
      <w:r>
        <w:rPr>
          <w:rFonts w:ascii="ArialMT" w:hAnsi="ArialMT" w:eastAsia="ArialMT"/>
          <w:b w:val="0"/>
          <w:i w:val="0"/>
          <w:color w:val="000000"/>
          <w:sz w:val="20"/>
        </w:rPr>
        <w:t>anchor was 66.7%, higher by 1.1% compared to FY24, primarily due to the relative increase in net non-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interest expenses outpacing the increase in budget anchor revenue in FY25 when compared to FY24. </w:t>
      </w:r>
      <w:r>
        <w:rPr>
          <w:rFonts w:ascii="ArialMT" w:hAnsi="ArialMT" w:eastAsia="ArialMT"/>
          <w:b w:val="0"/>
          <w:i w:val="0"/>
          <w:color w:val="000000"/>
          <w:sz w:val="20"/>
        </w:rPr>
        <w:t>See Table 11.</w:t>
      </w:r>
    </w:p>
    <w:p>
      <w:pPr>
        <w:autoSpaceDN w:val="0"/>
        <w:tabs>
          <w:tab w:pos="9148" w:val="left"/>
        </w:tabs>
        <w:autoSpaceDE w:val="0"/>
        <w:widowControl/>
        <w:spacing w:line="224" w:lineRule="exact" w:before="4096" w:after="0"/>
        <w:ind w:left="338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25</w:t>
      </w:r>
    </w:p>
    <w:p>
      <w:pPr>
        <w:sectPr>
          <w:type w:val="continuous"/>
          <w:pgSz w:w="12240" w:h="15840"/>
          <w:pgMar w:top="216" w:right="1366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2"/>
        <w:gridCol w:w="4722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224" w:lineRule="exact" w:before="71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11: Budget Anchor</w:t>
      </w:r>
    </w:p>
    <w:p>
      <w:pPr>
        <w:autoSpaceDN w:val="0"/>
        <w:autoSpaceDE w:val="0"/>
        <w:widowControl/>
        <w:spacing w:line="178" w:lineRule="exact" w:before="84" w:after="62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64"/>
        </w:trPr>
        <w:tc>
          <w:tcPr>
            <w:tcW w:type="dxa" w:w="594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For the fiscal year ended June 30,</w:t>
            </w:r>
          </w:p>
        </w:tc>
        <w:tc>
          <w:tcPr>
            <w:tcW w:type="dxa" w:w="29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2025</w:t>
            </w:r>
          </w:p>
        </w:tc>
        <w:tc>
          <w:tcPr>
            <w:tcW w:type="dxa" w:w="60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4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  <w:tc>
          <w:tcPr>
            <w:tcW w:type="dxa" w:w="516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Variance</w:t>
            </w:r>
          </w:p>
        </w:tc>
      </w:tr>
      <w:tr>
        <w:trPr>
          <w:trHeight w:hRule="exact" w:val="204"/>
        </w:trPr>
        <w:tc>
          <w:tcPr>
            <w:tcW w:type="dxa" w:w="5940"/>
            <w:tcBorders>
              <w:top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Non-interest Expenses (Table 10)</w:t>
            </w:r>
          </w:p>
        </w:tc>
        <w:tc>
          <w:tcPr>
            <w:tcW w:type="dxa" w:w="290"/>
            <w:vMerge w:val="restart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0"/>
            <w:tcBorders>
              <w:top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1,659 </w:t>
            </w:r>
          </w:p>
        </w:tc>
        <w:tc>
          <w:tcPr>
            <w:tcW w:type="dxa" w:w="600"/>
            <w:vMerge w:val="restart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4"/>
            <w:tcBorders>
              <w:top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1,424 </w:t>
            </w:r>
          </w:p>
        </w:tc>
        <w:tc>
          <w:tcPr>
            <w:tcW w:type="dxa" w:w="516"/>
            <w:vMerge w:val="restart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235 </w:t>
            </w:r>
          </w:p>
        </w:tc>
      </w:tr>
      <w:tr>
        <w:trPr>
          <w:trHeight w:hRule="exact" w:val="246"/>
        </w:trPr>
        <w:tc>
          <w:tcPr>
            <w:tcW w:type="dxa" w:w="5940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Pension, RAMP, EFO and other adjustments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34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6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189 </w:t>
            </w:r>
          </w:p>
        </w:tc>
        <w:tc>
          <w:tcPr>
            <w:tcW w:type="dxa" w:w="134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44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211 </w:t>
            </w:r>
          </w:p>
        </w:tc>
        <w:tc>
          <w:tcPr>
            <w:tcW w:type="dxa" w:w="134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73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(22) </w:t>
            </w:r>
          </w:p>
        </w:tc>
      </w:tr>
      <w:tr>
        <w:trPr>
          <w:trHeight w:hRule="exact" w:val="220"/>
        </w:trPr>
        <w:tc>
          <w:tcPr>
            <w:tcW w:type="dxa" w:w="594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expenses for Budget Anchor</w:t>
            </w:r>
          </w:p>
        </w:tc>
        <w:tc>
          <w:tcPr>
            <w:tcW w:type="dxa" w:w="29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1,848 </w:t>
            </w:r>
          </w:p>
        </w:tc>
        <w:tc>
          <w:tcPr>
            <w:tcW w:type="dxa" w:w="60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4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1,635 </w:t>
            </w:r>
          </w:p>
        </w:tc>
        <w:tc>
          <w:tcPr>
            <w:tcW w:type="dxa" w:w="516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213 </w:t>
            </w:r>
          </w:p>
        </w:tc>
      </w:tr>
      <w:tr>
        <w:trPr>
          <w:trHeight w:hRule="exact" w:val="474"/>
        </w:trPr>
        <w:tc>
          <w:tcPr>
            <w:tcW w:type="dxa" w:w="594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Revenue from Loans (Table 7)</w:t>
            </w:r>
          </w:p>
        </w:tc>
        <w:tc>
          <w:tcPr>
            <w:tcW w:type="dxa" w:w="290"/>
            <w:vMerge w:val="restart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3,021 </w:t>
            </w:r>
          </w:p>
        </w:tc>
        <w:tc>
          <w:tcPr>
            <w:tcW w:type="dxa" w:w="600"/>
            <w:vMerge w:val="restart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8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4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2,639 </w:t>
            </w:r>
          </w:p>
        </w:tc>
        <w:tc>
          <w:tcPr>
            <w:tcW w:type="dxa" w:w="516"/>
            <w:vMerge w:val="restart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382 </w:t>
            </w:r>
          </w:p>
        </w:tc>
      </w:tr>
      <w:tr>
        <w:trPr>
          <w:trHeight w:hRule="exact" w:val="252"/>
        </w:trPr>
        <w:tc>
          <w:tcPr>
            <w:tcW w:type="dxa" w:w="594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Less: Borrowing expenses associated with loans</w:t>
            </w:r>
          </w:p>
        </w:tc>
        <w:tc>
          <w:tcPr>
            <w:tcW w:type="dxa" w:w="134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60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(321) </w:t>
            </w:r>
          </w:p>
        </w:tc>
        <w:tc>
          <w:tcPr>
            <w:tcW w:type="dxa" w:w="134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44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(209) </w:t>
            </w:r>
          </w:p>
        </w:tc>
        <w:tc>
          <w:tcPr>
            <w:tcW w:type="dxa" w:w="134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730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(112) </w:t>
            </w:r>
          </w:p>
        </w:tc>
      </w:tr>
      <w:tr>
        <w:trPr>
          <w:trHeight w:hRule="exact" w:val="220"/>
        </w:trPr>
        <w:tc>
          <w:tcPr>
            <w:tcW w:type="dxa" w:w="594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revenue from Loans, net of associated borrowing expenses</w:t>
            </w:r>
          </w:p>
        </w:tc>
        <w:tc>
          <w:tcPr>
            <w:tcW w:type="dxa" w:w="29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2,700 </w:t>
            </w:r>
          </w:p>
        </w:tc>
        <w:tc>
          <w:tcPr>
            <w:tcW w:type="dxa" w:w="60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4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2,430 </w:t>
            </w:r>
          </w:p>
        </w:tc>
        <w:tc>
          <w:tcPr>
            <w:tcW w:type="dxa" w:w="516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270 </w:t>
            </w:r>
          </w:p>
        </w:tc>
      </w:tr>
      <w:tr>
        <w:trPr>
          <w:trHeight w:hRule="exact" w:val="448"/>
        </w:trPr>
        <w:tc>
          <w:tcPr>
            <w:tcW w:type="dxa" w:w="5940"/>
            <w:tcBorders>
              <w:top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Commitment charges, Guarantee fees and others (Table 12)</w:t>
            </w:r>
          </w:p>
        </w:tc>
        <w:tc>
          <w:tcPr>
            <w:tcW w:type="dxa" w:w="290"/>
            <w:vMerge w:val="restart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 </w:t>
            </w:r>
          </w:p>
        </w:tc>
        <w:tc>
          <w:tcPr>
            <w:tcW w:type="dxa" w:w="600"/>
            <w:vMerge w:val="restart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44"/>
            <w:tcBorders>
              <w:top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 </w:t>
            </w:r>
          </w:p>
        </w:tc>
        <w:tc>
          <w:tcPr>
            <w:tcW w:type="dxa" w:w="516"/>
            <w:vMerge w:val="restart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>
              <w:top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  <w:tr>
        <w:trPr>
          <w:trHeight w:hRule="exact" w:val="246"/>
        </w:trPr>
        <w:tc>
          <w:tcPr>
            <w:tcW w:type="dxa" w:w="5940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Gains on revenue-related forward currency contracts and loan-related derivatives</w:t>
            </w:r>
          </w:p>
        </w:tc>
        <w:tc>
          <w:tcPr>
            <w:tcW w:type="dxa" w:w="134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6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134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44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134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73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06"/>
        </w:trPr>
        <w:tc>
          <w:tcPr>
            <w:tcW w:type="dxa" w:w="594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revenue for Budget Anchor</w:t>
            </w:r>
          </w:p>
        </w:tc>
        <w:tc>
          <w:tcPr>
            <w:tcW w:type="dxa" w:w="29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2,772 </w:t>
            </w:r>
          </w:p>
        </w:tc>
        <w:tc>
          <w:tcPr>
            <w:tcW w:type="dxa" w:w="60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4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2,494 </w:t>
            </w:r>
          </w:p>
        </w:tc>
        <w:tc>
          <w:tcPr>
            <w:tcW w:type="dxa" w:w="516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278 </w:t>
            </w:r>
          </w:p>
        </w:tc>
      </w:tr>
      <w:tr>
        <w:trPr>
          <w:trHeight w:hRule="exact" w:val="694"/>
        </w:trPr>
        <w:tc>
          <w:tcPr>
            <w:tcW w:type="dxa" w:w="594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Budget Anchor</w:t>
            </w:r>
          </w:p>
        </w:tc>
        <w:tc>
          <w:tcPr>
            <w:tcW w:type="dxa" w:w="29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66.7 %</w:t>
            </w:r>
          </w:p>
        </w:tc>
        <w:tc>
          <w:tcPr>
            <w:tcW w:type="dxa" w:w="60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4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65.6 %</w:t>
            </w:r>
          </w:p>
        </w:tc>
        <w:tc>
          <w:tcPr>
            <w:tcW w:type="dxa" w:w="516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2" w:after="0"/>
              <w:ind w:left="0" w:right="8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1.1 %</w:t>
            </w:r>
          </w:p>
        </w:tc>
      </w:tr>
    </w:tbl>
    <w:p>
      <w:pPr>
        <w:autoSpaceDN w:val="0"/>
        <w:autoSpaceDE w:val="0"/>
        <w:widowControl/>
        <w:spacing w:line="178" w:lineRule="exact" w:before="1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These adjustments are made to arrive at total expenses for budget anchor purpose.</w:t>
      </w:r>
    </w:p>
    <w:p>
      <w:pPr>
        <w:autoSpaceDN w:val="0"/>
        <w:autoSpaceDE w:val="0"/>
        <w:widowControl/>
        <w:spacing w:line="224" w:lineRule="exact" w:before="27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12: Other Revenue (Expenses), Net</w:t>
      </w:r>
    </w:p>
    <w:p>
      <w:pPr>
        <w:autoSpaceDN w:val="0"/>
        <w:autoSpaceDE w:val="0"/>
        <w:widowControl/>
        <w:spacing w:line="178" w:lineRule="exact" w:before="84" w:after="66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76"/>
        </w:trPr>
        <w:tc>
          <w:tcPr>
            <w:tcW w:type="dxa" w:w="5626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For the fiscal year ended June 30,</w:t>
            </w:r>
          </w:p>
        </w:tc>
        <w:tc>
          <w:tcPr>
            <w:tcW w:type="dxa" w:w="444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2025</w:t>
            </w:r>
          </w:p>
        </w:tc>
        <w:tc>
          <w:tcPr>
            <w:tcW w:type="dxa" w:w="384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9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  <w:tc>
          <w:tcPr>
            <w:tcW w:type="dxa" w:w="296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Variance</w:t>
            </w:r>
          </w:p>
        </w:tc>
      </w:tr>
      <w:tr>
        <w:trPr>
          <w:trHeight w:hRule="exact" w:val="196"/>
        </w:trPr>
        <w:tc>
          <w:tcPr>
            <w:tcW w:type="dxa" w:w="5626"/>
            <w:tcBorders>
              <w:top w:sz="8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PPA grants and others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444"/>
            <w:tcBorders>
              <w:top w:sz="8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(28) </w:t>
            </w:r>
          </w:p>
        </w:tc>
        <w:tc>
          <w:tcPr>
            <w:tcW w:type="dxa" w:w="384"/>
            <w:tcBorders>
              <w:top w:sz="8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4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(23) </w:t>
            </w:r>
          </w:p>
        </w:tc>
        <w:tc>
          <w:tcPr>
            <w:tcW w:type="dxa" w:w="296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(5) </w:t>
            </w:r>
          </w:p>
        </w:tc>
      </w:tr>
      <w:tr>
        <w:trPr>
          <w:trHeight w:hRule="exact" w:val="283"/>
        </w:trPr>
        <w:tc>
          <w:tcPr>
            <w:tcW w:type="dxa" w:w="56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Guarantee fees and others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4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9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 </w:t>
            </w:r>
          </w:p>
        </w:tc>
        <w:tc>
          <w:tcPr>
            <w:tcW w:type="dxa" w:w="38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9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  <w:tc>
          <w:tcPr>
            <w:tcW w:type="dxa" w:w="2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9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</w:tr>
      <w:tr>
        <w:trPr>
          <w:trHeight w:hRule="exact" w:val="240"/>
        </w:trPr>
        <w:tc>
          <w:tcPr>
            <w:tcW w:type="dxa" w:w="56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Commitment charges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(3) </w:t>
            </w:r>
          </w:p>
        </w:tc>
      </w:tr>
      <w:tr>
        <w:trPr>
          <w:trHeight w:hRule="exact" w:val="240"/>
        </w:trPr>
        <w:tc>
          <w:tcPr>
            <w:tcW w:type="dxa" w:w="5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Gains (losses) from revenue-related forward currency contracts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60"/>
        </w:trPr>
        <w:tc>
          <w:tcPr>
            <w:tcW w:type="dxa" w:w="562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Other revenue (expenses), net (Table 8)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9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43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8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41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178" w:lineRule="exact" w:before="22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Reflects exclusion of $28 million of Project Preparation Facility Grant expenses directly funded by members (FY24 - nil).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 Included in Non-interest revenue – Other in the Statements of Income.</w:t>
      </w:r>
    </w:p>
    <w:p>
      <w:pPr>
        <w:autoSpaceDN w:val="0"/>
        <w:autoSpaceDE w:val="0"/>
        <w:widowControl/>
        <w:spacing w:line="268" w:lineRule="exact" w:before="20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Unrealized mark-to-market gains (losses) on non-trading portfolios, net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FY25, the non-trading portfolios had $470 million net unrealized mark-to-market gains ($405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net unrealized mark-to-market gains in FY24). The increase was mainly driven by higher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unrealized mark-to-market gains from the derivatives held for the Capital Value Protection Program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(CVP), managed as part of Asset/Liability Management (ALM), as a result of a higher increase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interest rates for long tenors in FY25 compared to FY24.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451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6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224" w:lineRule="exact" w:before="71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13: Unrealized Mark-to-Market Gains (Losses) on Non-trading Portfolios, Net</w:t>
      </w:r>
    </w:p>
    <w:p>
      <w:pPr>
        <w:autoSpaceDN w:val="0"/>
        <w:autoSpaceDE w:val="0"/>
        <w:widowControl/>
        <w:spacing w:line="178" w:lineRule="exact" w:before="84" w:after="74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68"/>
        </w:trPr>
        <w:tc>
          <w:tcPr>
            <w:tcW w:type="dxa" w:w="371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For the fiscal year ended June 30,</w:t>
            </w:r>
          </w:p>
        </w:tc>
        <w:tc>
          <w:tcPr>
            <w:tcW w:type="dxa" w:w="172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4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2025 </w:t>
            </w:r>
          </w:p>
        </w:tc>
        <w:tc>
          <w:tcPr>
            <w:tcW w:type="dxa" w:w="58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4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2024 </w:t>
            </w:r>
          </w:p>
        </w:tc>
        <w:tc>
          <w:tcPr>
            <w:tcW w:type="dxa" w:w="46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Variance</w:t>
            </w:r>
          </w:p>
        </w:tc>
      </w:tr>
      <w:tr>
        <w:trPr>
          <w:trHeight w:hRule="exact" w:val="228"/>
        </w:trPr>
        <w:tc>
          <w:tcPr>
            <w:tcW w:type="dxa" w:w="371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Asset/liability management (ALM)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720"/>
            <w:vMerge w:val="restart"/>
            <w:tcBorders>
              <w:top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484 </w:t>
            </w:r>
          </w:p>
        </w:tc>
        <w:tc>
          <w:tcPr>
            <w:tcW w:type="dxa" w:w="580"/>
            <w:vMerge w:val="restart"/>
            <w:tcBorders>
              <w:top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6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393 </w:t>
            </w:r>
          </w:p>
        </w:tc>
        <w:tc>
          <w:tcPr>
            <w:tcW w:type="dxa" w:w="460"/>
            <w:vMerge w:val="restart"/>
            <w:tcBorders>
              <w:top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</w:tr>
      <w:tr>
        <w:trPr>
          <w:trHeight w:hRule="exact" w:val="240"/>
        </w:trPr>
        <w:tc>
          <w:tcPr>
            <w:tcW w:type="dxa" w:w="3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 portfolio</w:t>
            </w:r>
          </w:p>
        </w:tc>
        <w:tc>
          <w:tcPr>
            <w:tcW w:type="dxa" w:w="1349"/>
            <w:vMerge/>
            <w:tcBorders>
              <w:top w:sz="8.0" w:val="single" w:color="#B6B6B6"/>
            </w:tcBorders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1349"/>
            <w:vMerge/>
            <w:tcBorders>
              <w:top w:sz="8.0" w:val="single" w:color="#B6B6B6"/>
            </w:tcBorders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1349"/>
            <w:vMerge/>
            <w:tcBorders>
              <w:top w:sz="8.0" w:val="single" w:color="#B6B6B6"/>
            </w:tcBorders>
          </w:tcPr>
          <w:p/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  <w:tr>
        <w:trPr>
          <w:trHeight w:hRule="exact" w:val="240"/>
        </w:trPr>
        <w:tc>
          <w:tcPr>
            <w:tcW w:type="dxa" w:w="3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 portfolio</w:t>
            </w:r>
          </w:p>
        </w:tc>
        <w:tc>
          <w:tcPr>
            <w:tcW w:type="dxa" w:w="1349"/>
            <w:vMerge/>
            <w:tcBorders>
              <w:top w:sz="8.0" w:val="single" w:color="#B6B6B6"/>
            </w:tcBorders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1349"/>
            <w:vMerge/>
            <w:tcBorders>
              <w:top w:sz="8.0" w:val="single" w:color="#B6B6B6"/>
            </w:tcBorders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 </w:t>
            </w:r>
          </w:p>
        </w:tc>
        <w:tc>
          <w:tcPr>
            <w:tcW w:type="dxa" w:w="1349"/>
            <w:vMerge/>
            <w:tcBorders>
              <w:top w:sz="8.0" w:val="single" w:color="#B6B6B6"/>
            </w:tcBorders>
          </w:tcPr>
          <w:p/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(36) </w:t>
            </w:r>
          </w:p>
        </w:tc>
      </w:tr>
      <w:tr>
        <w:trPr>
          <w:trHeight w:hRule="exact" w:val="240"/>
        </w:trPr>
        <w:tc>
          <w:tcPr>
            <w:tcW w:type="dxa" w:w="3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Loan-related derivatives</w:t>
            </w:r>
          </w:p>
        </w:tc>
        <w:tc>
          <w:tcPr>
            <w:tcW w:type="dxa" w:w="1349"/>
            <w:vMerge/>
            <w:tcBorders>
              <w:top w:sz="8.0" w:val="single" w:color="#B6B6B6"/>
            </w:tcBorders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(5) </w:t>
            </w:r>
          </w:p>
        </w:tc>
        <w:tc>
          <w:tcPr>
            <w:tcW w:type="dxa" w:w="1349"/>
            <w:vMerge/>
            <w:tcBorders>
              <w:top w:sz="8.0" w:val="single" w:color="#B6B6B6"/>
            </w:tcBorders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1349"/>
            <w:vMerge/>
            <w:tcBorders>
              <w:top w:sz="8.0" w:val="single" w:color="#B6B6B6"/>
            </w:tcBorders>
          </w:tcPr>
          <w:p/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(3) </w:t>
            </w:r>
          </w:p>
        </w:tc>
      </w:tr>
      <w:tr>
        <w:trPr>
          <w:trHeight w:hRule="exact" w:val="238"/>
        </w:trPr>
        <w:tc>
          <w:tcPr>
            <w:tcW w:type="dxa" w:w="3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349"/>
            <w:vMerge/>
            <w:tcBorders>
              <w:top w:sz="8.0" w:val="single" w:color="#B6B6B6"/>
            </w:tcBorders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(12) </w:t>
            </w:r>
          </w:p>
        </w:tc>
        <w:tc>
          <w:tcPr>
            <w:tcW w:type="dxa" w:w="1349"/>
            <w:vMerge/>
            <w:tcBorders>
              <w:top w:sz="8.0" w:val="single" w:color="#B6B6B6"/>
            </w:tcBorders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(24) </w:t>
            </w:r>
          </w:p>
        </w:tc>
        <w:tc>
          <w:tcPr>
            <w:tcW w:type="dxa" w:w="1349"/>
            <w:vMerge/>
            <w:tcBorders>
              <w:top w:sz="8.0" w:val="single" w:color="#B6B6B6"/>
            </w:tcBorders>
          </w:tcPr>
          <w:p/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180" w:lineRule="exact" w:before="18" w:after="6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Unrealized Mark-to-Market Gains (Losses) on Non-trading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61"/>
        <w:gridCol w:w="2361"/>
        <w:gridCol w:w="2361"/>
        <w:gridCol w:w="2361"/>
      </w:tblGrid>
      <w:tr>
        <w:trPr>
          <w:trHeight w:hRule="exact" w:val="194"/>
        </w:trPr>
        <w:tc>
          <w:tcPr>
            <w:tcW w:type="dxa" w:w="4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Portfolios, Net - Reported Basis (Table 7)</w:t>
            </w:r>
          </w:p>
        </w:tc>
        <w:tc>
          <w:tcPr>
            <w:tcW w:type="dxa" w:w="14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470</w:t>
            </w:r>
          </w:p>
        </w:tc>
        <w:tc>
          <w:tcPr>
            <w:tcW w:type="dxa" w:w="1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405</w:t>
            </w:r>
          </w:p>
        </w:tc>
        <w:tc>
          <w:tcPr>
            <w:tcW w:type="dxa" w:w="1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65</w:t>
            </w:r>
          </w:p>
        </w:tc>
      </w:tr>
    </w:tbl>
    <w:p>
      <w:pPr>
        <w:autoSpaceDN w:val="0"/>
        <w:autoSpaceDE w:val="0"/>
        <w:widowControl/>
        <w:spacing w:line="180" w:lineRule="exact" w:before="29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unrealized mark-to-market gains (losses) on the CVP portfolio and other ALM portfolios.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Represents unrealized mark-to-market gains (losses) on PSW associated instruments.</w:t>
      </w:r>
    </w:p>
    <w:p>
      <w:pPr>
        <w:autoSpaceDN w:val="0"/>
        <w:autoSpaceDE w:val="0"/>
        <w:widowControl/>
        <w:spacing w:line="246" w:lineRule="exact" w:before="27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Currency remeasurement gains (losses), net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Currency remeasurement gains or losses represent unrealized exchange rate gains or losses resulting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the hedging of exchange rate risk related to future donor contributions, borrowings, and all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assets and liabilities held on IDA’s Balance Sheet, that are denominated in currencies other than the SDR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its component currencies. The remeasurement losses in FY25 and FY24 were primarily driven by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hedging of exchange rate risk related to future donor contributions. Certain members pledge their future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equity contributions in non-SDR currencies. These future cash flows are economically hedged using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currency forwards. The economic offset is inherent in the future contribution inflows. The payable portion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the currency forward contracts are denominated in non-functional currencies. The depreciation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appreciation of these currencies against the U.S. dollar results in exchange rate gains or losses which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recorded in the income statements. Accordingly, the remeasurement losses on non-functional currencies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were $57 million in FY25 and $21 million in FY24. The remeasurement losses in FY25 and FY24 were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primarily driven by the appreciation of certain non-functional currencies against the U.S. dollar. </w:t>
      </w:r>
    </w:p>
    <w:p>
      <w:pPr>
        <w:autoSpaceDN w:val="0"/>
        <w:tabs>
          <w:tab w:pos="9148" w:val="left"/>
        </w:tabs>
        <w:autoSpaceDE w:val="0"/>
        <w:widowControl/>
        <w:spacing w:line="224" w:lineRule="exact" w:before="6848" w:after="0"/>
        <w:ind w:left="338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27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V: Development Activities, Products and Programs</w:t>
            </w:r>
          </w:p>
        </w:tc>
      </w:tr>
    </w:tbl>
    <w:p>
      <w:pPr>
        <w:autoSpaceDN w:val="0"/>
        <w:autoSpaceDE w:val="0"/>
        <w:widowControl/>
        <w:spacing w:line="358" w:lineRule="exact" w:before="75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2"/>
        </w:rPr>
        <w:t>Section V: Development Activities, Products and Programs</w:t>
      </w:r>
    </w:p>
    <w:p>
      <w:pPr>
        <w:autoSpaceDN w:val="0"/>
        <w:autoSpaceDE w:val="0"/>
        <w:widowControl/>
        <w:spacing w:line="312" w:lineRule="exact" w:before="12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Lending Framework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provides financing to lower-income countries primarily through loans, grants and guarantees. IDA has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common framework which extends across all of its development activities. The main elements of this </w:t>
      </w:r>
      <w:r>
        <w:rPr>
          <w:rFonts w:ascii="ArialMT" w:hAnsi="ArialMT" w:eastAsia="ArialMT"/>
          <w:b w:val="0"/>
          <w:i w:val="0"/>
          <w:color w:val="000000"/>
          <w:sz w:val="20"/>
        </w:rPr>
        <w:t>framework are financing principles, financing cycles and financing categories.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Financing Principles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operations are required to conform to the general principles derived from its Articles of Agreement.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financing principles are described in Box 2. Within the scope permitted by the Articles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Agreement, application of these financing principles must be developed and adjusted in light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experience and changing conditions. </w:t>
      </w:r>
    </w:p>
    <w:p>
      <w:pPr>
        <w:autoSpaceDN w:val="0"/>
        <w:autoSpaceDE w:val="0"/>
        <w:widowControl/>
        <w:spacing w:line="222" w:lineRule="exact" w:before="138" w:after="104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Box 2: Financing Principles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446"/>
      </w:tblGrid>
      <w:tr>
        <w:trPr>
          <w:trHeight w:hRule="exact" w:val="4604"/>
        </w:trPr>
        <w:tc>
          <w:tcPr>
            <w:tcW w:type="dxa" w:w="9360"/>
            <w:tcBorders>
              <w:start w:sz="8.0" w:val="single" w:color="#4C7F9B"/>
              <w:top w:sz="8.0" w:val="single" w:color="#4C7F9B"/>
              <w:end w:sz="8.0" w:val="single" w:color="#4C7F9B"/>
              <w:bottom w:sz="8.0" w:val="single" w:color="#4C7F9B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2" w:val="left"/>
              </w:tabs>
              <w:autoSpaceDE w:val="0"/>
              <w:widowControl/>
              <w:spacing w:line="192" w:lineRule="exact" w:before="26" w:after="0"/>
              <w:ind w:left="4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(i)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IDA may provide financing for its development operations in the form of loans, grants, and guarantees directly to its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members, public or private entities and regional or public international organizations.</w:t>
            </w:r>
          </w:p>
          <w:p>
            <w:pPr>
              <w:autoSpaceDN w:val="0"/>
              <w:tabs>
                <w:tab w:pos="402" w:val="left"/>
              </w:tabs>
              <w:autoSpaceDE w:val="0"/>
              <w:widowControl/>
              <w:spacing w:line="192" w:lineRule="exact" w:before="120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(ii)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IDA’s financing of its development operations is designed to promote economic development, increase productivity, and thus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raise standards of living in its member countries. Investment projects financed by IDA are required to meet IDA’s standards for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technical, economic, financial, institutional, and environmental soundness. Specific provisions apply to development policy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financing, including the treatment of the macroeconomic framework, poverty and social impact, environment, forests, and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natural resources.</w:t>
            </w:r>
          </w:p>
          <w:p>
            <w:pPr>
              <w:autoSpaceDN w:val="0"/>
              <w:tabs>
                <w:tab w:pos="402" w:val="left"/>
              </w:tabs>
              <w:autoSpaceDE w:val="0"/>
              <w:widowControl/>
              <w:spacing w:line="192" w:lineRule="exact" w:before="120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(iii)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Decisions to approve financing are based upon, among other things, studies by IDA of a member country’s economic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structure, including assessments of its resources and ability to generate sufficient foreign exchange to meet debt-service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obligations.</w:t>
            </w:r>
          </w:p>
          <w:p>
            <w:pPr>
              <w:autoSpaceDN w:val="0"/>
              <w:tabs>
                <w:tab w:pos="402" w:val="left"/>
              </w:tabs>
              <w:autoSpaceDE w:val="0"/>
              <w:widowControl/>
              <w:spacing w:line="192" w:lineRule="exact" w:before="120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(iv)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IDA must be satisfied that in the prevailing market conditions (taking into account the member’s overall external financing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requirements); the recipient would be unable to obtain financing under conditions which, in the opinion of IDA, are reasonable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for the recipient. This would include loans made by private sources or IBRD.</w:t>
            </w:r>
          </w:p>
          <w:p>
            <w:pPr>
              <w:autoSpaceDN w:val="0"/>
              <w:tabs>
                <w:tab w:pos="402" w:val="left"/>
              </w:tabs>
              <w:autoSpaceDE w:val="0"/>
              <w:widowControl/>
              <w:spacing w:line="192" w:lineRule="exact" w:before="120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(v)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The use of funds by recipients is supervised. IDA makes arrangements intended to ensure that funds provided are used only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for authorized purposes and, where relevant, with due attention to considerations of cost-effectiveness. This policy is enforced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primarily by requiring recipients (a) to submit documentation establishing, to IDA’s satisfaction, that the expenditures financed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with the proceeds of loans or grants are made in conformity with the applicable financing agreements, and (b) to maximize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competition in the procurement of goods and services by using, wherever possible, international competitive bidding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procedures or, when it is not appropriate, other procedures that ensure maximum economy and efficiency. In addition, IDA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considers the use of recipient country procurement, financial management and environmental and social safeguard systems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 selected operations once these systems and capacity have been assessed by IDA as acceptable. </w:t>
            </w:r>
          </w:p>
        </w:tc>
      </w:tr>
    </w:tbl>
    <w:p>
      <w:pPr>
        <w:autoSpaceDN w:val="0"/>
        <w:autoSpaceDE w:val="0"/>
        <w:widowControl/>
        <w:spacing w:line="268" w:lineRule="exact" w:before="10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Financing Cycles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Financing cycles involve identifying and appraising a project and approving and disbursing the funds.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response to emergency situations, such as natural disasters and other crises, IDA is able to accelerate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preparation and approval cycle. In most cases, IDA’s Board approves each loan, grant, and guarantee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after appraisal of a project by staff. Under a Multiphase Programmatic Approach (MPA), the Board may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approve an overall program framework, its financing envelope and the first appraised phase, and then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authorize management to appraise and commit financing for later program phases. Disbursements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subject to the fulfillment of conditions set out in the loan or grant agreement. As of June 30, 2025, $25.8 </w:t>
      </w:r>
      <w:r>
        <w:rPr>
          <w:rFonts w:ascii="ArialMT" w:hAnsi="ArialMT" w:eastAsia="ArialMT"/>
          <w:b w:val="0"/>
          <w:i w:val="0"/>
          <w:color w:val="000000"/>
          <w:sz w:val="20"/>
        </w:rPr>
        <w:t>billion was committed under the MPA.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implementation of IDA-supported operations, staff review progress, monitor compliance with IDA’s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policies, and assist in resolving any problems that may arise. An independent unit, the Independent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Evaluations Group, assesses the extent to which operations have met their objectives, and reports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directly to the Board.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172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V: Development Activities, Products and Programs</w:t>
            </w:r>
          </w:p>
        </w:tc>
      </w:tr>
    </w:tbl>
    <w:p>
      <w:pPr>
        <w:autoSpaceDN w:val="0"/>
        <w:autoSpaceDE w:val="0"/>
        <w:widowControl/>
        <w:spacing w:line="268" w:lineRule="exact" w:before="7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Financing Categories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Most of IDA’s lending is of three types: investment project financing, development policy financing,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program-for-results. Figure 11 shows the percentage of loans, grants, and guarantees approved for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three financing instruments over the past five fiscal years.</w:t>
      </w:r>
    </w:p>
    <w:p>
      <w:pPr>
        <w:autoSpaceDN w:val="0"/>
        <w:autoSpaceDE w:val="0"/>
        <w:widowControl/>
        <w:spacing w:line="224" w:lineRule="exact" w:before="1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 11: Percentage Share of Lending Categories for Annual Net Commitments</w:t>
      </w:r>
    </w:p>
    <w:p>
      <w:pPr>
        <w:autoSpaceDN w:val="0"/>
        <w:autoSpaceDE w:val="0"/>
        <w:widowControl/>
        <w:spacing w:line="178" w:lineRule="exact" w:before="84" w:after="52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billions of U.S. dollars, except rates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9"/>
        <w:gridCol w:w="1179"/>
        <w:gridCol w:w="1179"/>
        <w:gridCol w:w="1179"/>
        <w:gridCol w:w="1179"/>
        <w:gridCol w:w="1179"/>
        <w:gridCol w:w="1179"/>
        <w:gridCol w:w="1179"/>
      </w:tblGrid>
      <w:tr>
        <w:trPr>
          <w:trHeight w:hRule="exact" w:val="230"/>
        </w:trPr>
        <w:tc>
          <w:tcPr>
            <w:tcW w:type="dxa" w:w="33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6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ents</w:t>
            </w:r>
          </w:p>
        </w:tc>
        <w:tc>
          <w:tcPr>
            <w:tcW w:type="dxa" w:w="5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100%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$36.0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$37.7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$34.2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$31.2</w:t>
            </w:r>
          </w:p>
        </w:tc>
        <w:tc>
          <w:tcPr>
            <w:tcW w:type="dxa" w:w="2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4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$39.9</w:t>
            </w:r>
          </w:p>
        </w:tc>
      </w:tr>
      <w:tr>
        <w:trPr>
          <w:trHeight w:hRule="exact" w:val="542"/>
        </w:trPr>
        <w:tc>
          <w:tcPr>
            <w:tcW w:type="dxa" w:w="1179"/>
            <w:vMerge/>
            <w:tcBorders/>
          </w:tcPr>
          <w:p/>
        </w:tc>
        <w:tc>
          <w:tcPr>
            <w:tcW w:type="dxa" w:w="1179"/>
            <w:vMerge/>
            <w:tcBorders/>
          </w:tcPr>
          <w:p/>
        </w:tc>
        <w:tc>
          <w:tcPr>
            <w:tcW w:type="dxa" w:w="65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.0000000000001" w:type="dxa"/>
            </w:tblPr>
            <w:tblGrid>
              <w:gridCol w:w="6560"/>
            </w:tblGrid>
            <w:tr>
              <w:trPr>
                <w:trHeight w:hRule="exact" w:val="566"/>
              </w:trPr>
              <w:tc>
                <w:tcPr>
                  <w:tcW w:type="dxa" w:w="4610"/>
                  <w:tcBorders>
                    <w:start w:sz="6.013314247131348" w:val="single" w:color="#898A89"/>
                    <w:bottom w:sz="6.013314247131348" w:val="single" w:color="#585958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7.99999999999955" w:type="dxa"/>
                  </w:tblPr>
                  <w:tblGrid>
                    <w:gridCol w:w="922"/>
                    <w:gridCol w:w="922"/>
                    <w:gridCol w:w="922"/>
                    <w:gridCol w:w="922"/>
                    <w:gridCol w:w="922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452"/>
                        <w:tcBorders/>
                        <w:shd w:fill="00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6"/>
                          </w:rPr>
                          <w:t>12%</w:t>
                        </w:r>
                      </w:p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67.99999999999955" w:type="dxa"/>
                        </w:tblPr>
                        <w:tblGrid>
                          <w:gridCol w:w="918"/>
                        </w:tblGrid>
                        <w:tr>
                          <w:trPr>
                            <w:trHeight w:hRule="exact" w:val="266"/>
                          </w:trPr>
                          <w:tc>
                            <w:tcPr>
                              <w:tcW w:type="dxa" w:w="450"/>
                              <w:tcBorders/>
                              <w:shd w:fill="00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80" w:lineRule="exact" w:before="7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12%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68.0000000000001" w:type="dxa"/>
                        </w:tblPr>
                        <w:tblGrid>
                          <w:gridCol w:w="918"/>
                        </w:tblGrid>
                        <w:tr>
                          <w:trPr>
                            <w:trHeight w:hRule="exact" w:val="290"/>
                          </w:trPr>
                          <w:tc>
                            <w:tcPr>
                              <w:tcW w:type="dxa" w:w="450"/>
                              <w:tcBorders/>
                              <w:shd w:fill="00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80" w:lineRule="exact" w:before="13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19%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70.0" w:type="dxa"/>
                        </w:tblPr>
                        <w:tblGrid>
                          <w:gridCol w:w="920"/>
                        </w:tblGrid>
                        <w:tr>
                          <w:trPr>
                            <w:trHeight w:hRule="exact" w:val="250"/>
                          </w:trPr>
                          <w:tc>
                            <w:tcPr>
                              <w:tcW w:type="dxa" w:w="450"/>
                              <w:tcBorders/>
                              <w:shd w:fill="00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78" w:lineRule="exact" w:before="6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11%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67.99999999999955" w:type="dxa"/>
                        </w:tblPr>
                        <w:tblGrid>
                          <w:gridCol w:w="918"/>
                        </w:tblGrid>
                        <w:tr>
                          <w:trPr>
                            <w:trHeight w:hRule="exact" w:val="258"/>
                          </w:trPr>
                          <w:tc>
                            <w:tcPr>
                              <w:tcW w:type="dxa" w:w="450"/>
                              <w:tcBorders/>
                              <w:shd w:fill="00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80" w:lineRule="exact" w:before="9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14%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210"/>
                    </w:trPr>
                    <w:tc>
                      <w:tcPr>
                        <w:tcW w:type="dxa" w:w="452"/>
                        <w:tcBorders/>
                        <w:shd w:fill="4b809c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67.99999999999955" w:type="dxa"/>
                        </w:tblPr>
                        <w:tblGrid>
                          <w:gridCol w:w="918"/>
                        </w:tblGrid>
                        <w:tr>
                          <w:trPr>
                            <w:trHeight w:hRule="exact" w:val="190"/>
                          </w:trPr>
                          <w:tc>
                            <w:tcPr>
                              <w:tcW w:type="dxa" w:w="450"/>
                              <w:tcBorders/>
                              <w:shd w:fill="4b809c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78" w:lineRule="exact" w:before="3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9%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226"/>
                    </w:trPr>
                    <w:tc>
                      <w:tcPr>
                        <w:tcW w:type="dxa" w:w="452"/>
                        <w:tcBorders/>
                        <w:shd w:fill="4b809c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6"/>
                          </w:rPr>
                          <w:t>19%</w:t>
                        </w:r>
                      </w:p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68.0000000000001" w:type="dxa"/>
                        </w:tblPr>
                        <w:tblGrid>
                          <w:gridCol w:w="918"/>
                        </w:tblGrid>
                        <w:tr>
                          <w:trPr>
                            <w:trHeight w:hRule="exact" w:val="182"/>
                          </w:trPr>
                          <w:tc>
                            <w:tcPr>
                              <w:tcW w:type="dxa" w:w="450"/>
                              <w:tcBorders/>
                              <w:shd w:fill="4b809c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78" w:lineRule="exact" w:before="2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19%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70.0" w:type="dxa"/>
                        </w:tblPr>
                        <w:tblGrid>
                          <w:gridCol w:w="920"/>
                        </w:tblGrid>
                        <w:tr>
                          <w:trPr>
                            <w:trHeight w:hRule="exact" w:val="244"/>
                          </w:trPr>
                          <w:tc>
                            <w:tcPr>
                              <w:tcW w:type="dxa" w:w="450"/>
                              <w:tcBorders/>
                              <w:shd w:fill="4b809c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80" w:lineRule="exact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20%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67.99999999999955" w:type="dxa"/>
                        </w:tblPr>
                        <w:tblGrid>
                          <w:gridCol w:w="918"/>
                        </w:tblGrid>
                        <w:tr>
                          <w:trPr>
                            <w:trHeight w:hRule="exact" w:val="226"/>
                          </w:trPr>
                          <w:tc>
                            <w:tcPr>
                              <w:tcW w:type="dxa" w:w="450"/>
                              <w:tcBorders/>
                              <w:shd w:fill="4b809c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78" w:lineRule="exact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17%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166"/>
                    </w:trPr>
                    <w:tc>
                      <w:tcPr>
                        <w:tcW w:type="dxa" w:w="45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54"/>
                    </w:trPr>
                    <w:tc>
                      <w:tcPr>
                        <w:tcW w:type="dxa" w:w="45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5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69%</w:t>
                        </w:r>
                      </w:p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438" w:after="0"/>
                          <w:ind w:left="0" w:right="72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79%</w:t>
                        </w:r>
                      </w:p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634" w:after="0"/>
                          <w:ind w:left="0" w:right="7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62%</w:t>
                        </w:r>
                      </w:p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558" w:after="0"/>
                          <w:ind w:left="0" w:right="78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69%</w:t>
                        </w:r>
                      </w:p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558" w:after="0"/>
                          <w:ind w:left="0" w:right="8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69%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6"/>
        </w:trPr>
        <w:tc>
          <w:tcPr>
            <w:tcW w:type="dxa" w:w="33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80" w:lineRule="exact" w:before="1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itm</w:t>
            </w:r>
          </w:p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75%</w:t>
            </w:r>
          </w:p>
        </w:tc>
        <w:tc>
          <w:tcPr>
            <w:tcW w:type="dxa" w:w="7074"/>
            <w:gridSpan w:val="6"/>
            <w:vMerge/>
            <w:tcBorders/>
          </w:tcPr>
          <w:p/>
        </w:tc>
      </w:tr>
      <w:tr>
        <w:trPr>
          <w:trHeight w:hRule="exact" w:val="1672"/>
        </w:trPr>
        <w:tc>
          <w:tcPr>
            <w:tcW w:type="dxa" w:w="33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% of total net comm</w:t>
            </w:r>
          </w:p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50%</w:t>
            </w:r>
          </w:p>
          <w:p>
            <w:pPr>
              <w:autoSpaceDN w:val="0"/>
              <w:autoSpaceDE w:val="0"/>
              <w:widowControl/>
              <w:spacing w:line="180" w:lineRule="exact" w:before="39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25%</w:t>
            </w:r>
          </w:p>
          <w:p>
            <w:pPr>
              <w:autoSpaceDN w:val="0"/>
              <w:autoSpaceDE w:val="0"/>
              <w:widowControl/>
              <w:spacing w:line="180" w:lineRule="exact" w:before="39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0%</w:t>
            </w:r>
          </w:p>
        </w:tc>
        <w:tc>
          <w:tcPr>
            <w:tcW w:type="dxa" w:w="7074"/>
            <w:gridSpan w:val="6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179"/>
            <w:vMerge/>
            <w:tcBorders/>
          </w:tcPr>
          <w:p/>
        </w:tc>
        <w:tc>
          <w:tcPr>
            <w:tcW w:type="dxa" w:w="14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FY21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FY22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FY23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FY24</w:t>
            </w:r>
          </w:p>
        </w:tc>
        <w:tc>
          <w:tcPr>
            <w:tcW w:type="dxa" w:w="2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4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FY25</w:t>
            </w:r>
          </w:p>
        </w:tc>
      </w:tr>
      <w:tr>
        <w:trPr>
          <w:trHeight w:hRule="exact" w:val="136"/>
        </w:trPr>
        <w:tc>
          <w:tcPr>
            <w:tcW w:type="dxa" w:w="33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2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Investment Project </w:t>
            </w:r>
          </w:p>
        </w:tc>
        <w:tc>
          <w:tcPr>
            <w:tcW w:type="dxa" w:w="230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4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Development Policy </w:t>
            </w:r>
          </w:p>
        </w:tc>
        <w:tc>
          <w:tcPr>
            <w:tcW w:type="dxa" w:w="341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Program-for-Results</w:t>
            </w:r>
          </w:p>
        </w:tc>
      </w:tr>
      <w:tr>
        <w:trPr>
          <w:trHeight w:hRule="exact" w:val="72"/>
        </w:trPr>
        <w:tc>
          <w:tcPr>
            <w:tcW w:type="dxa" w:w="33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358"/>
            <w:gridSpan w:val="2"/>
            <w:vMerge/>
            <w:tcBorders/>
          </w:tcPr>
          <w:p/>
        </w:tc>
        <w:tc>
          <w:tcPr>
            <w:tcW w:type="dxa" w:w="3537"/>
            <w:gridSpan w:val="3"/>
            <w:vMerge/>
            <w:tcBorders/>
          </w:tcPr>
          <w:p/>
        </w:tc>
        <w:tc>
          <w:tcPr>
            <w:tcW w:type="dxa" w:w="2358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408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specific results by strengthening institutions and building capacity. PforR disburses when agreed results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achieved and verified. Results are identified and agreed upon during the preparation stage. FY25 net </w:t>
      </w:r>
    </w:p>
    <w:p>
      <w:pPr>
        <w:autoSpaceDN w:val="0"/>
        <w:autoSpaceDE w:val="0"/>
        <w:widowControl/>
        <w:spacing w:line="240" w:lineRule="exact" w:before="1224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currency of commitment for IDA grants and concessional loans is predominantly the SDR. However,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response to client needs to reduce currency exposure and simplify debt management, IDA offers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Single Currency Lending option that allows IDA financing recipients to denominate new IDA loans in U.S.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0.0" w:type="dxa"/>
      </w:tblPr>
      <w:tblGrid>
        <w:gridCol w:w="4718"/>
        <w:gridCol w:w="4718"/>
      </w:tblGrid>
      <w:tr>
        <w:trPr>
          <w:trHeight w:hRule="exact" w:val="8900"/>
        </w:trPr>
        <w:tc>
          <w:tcPr>
            <w:tcW w:type="dxa" w:w="84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4972"/>
                <w:sz w:val="22"/>
              </w:rPr>
              <w:t>Investment Project Financing (IPF)</w:t>
            </w:r>
          </w:p>
          <w:p>
            <w:pPr>
              <w:autoSpaceDN w:val="0"/>
              <w:autoSpaceDE w:val="0"/>
              <w:widowControl/>
              <w:spacing w:line="246" w:lineRule="exact" w:before="97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4972"/>
                <w:sz w:val="22"/>
              </w:rPr>
              <w:t>Development Policy Financing (DPF)</w:t>
            </w:r>
          </w:p>
          <w:p>
            <w:pPr>
              <w:autoSpaceDN w:val="0"/>
              <w:autoSpaceDE w:val="0"/>
              <w:widowControl/>
              <w:spacing w:line="246" w:lineRule="exact" w:before="169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4972"/>
                <w:sz w:val="22"/>
              </w:rPr>
              <w:t>Program-for-Results (PforR)</w:t>
            </w:r>
          </w:p>
          <w:p>
            <w:pPr>
              <w:autoSpaceDN w:val="0"/>
              <w:autoSpaceDE w:val="0"/>
              <w:widowControl/>
              <w:spacing w:line="224" w:lineRule="exact" w:before="86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commitments under PforR totaled $5.6 billion, compared with $3.5 billion in FY24.</w:t>
            </w:r>
          </w:p>
          <w:p>
            <w:pPr>
              <w:autoSpaceDN w:val="0"/>
              <w:autoSpaceDE w:val="0"/>
              <w:widowControl/>
              <w:spacing w:line="314" w:lineRule="exact" w:before="1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4972"/>
                <w:sz w:val="28"/>
              </w:rPr>
              <w:t>Financial Terms</w:t>
            </w:r>
          </w:p>
          <w:p>
            <w:pPr>
              <w:autoSpaceDN w:val="0"/>
              <w:autoSpaceDE w:val="0"/>
              <w:widowControl/>
              <w:spacing w:line="268" w:lineRule="exact" w:before="15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Commitment Currency</w:t>
            </w:r>
          </w:p>
          <w:p>
            <w:pPr>
              <w:autoSpaceDN w:val="0"/>
              <w:autoSpaceDE w:val="0"/>
              <w:widowControl/>
              <w:spacing w:line="224" w:lineRule="exact" w:before="86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dollar, euro, pound sterling, or Japanese yen. </w:t>
            </w:r>
          </w:p>
          <w:p>
            <w:pPr>
              <w:autoSpaceDN w:val="0"/>
              <w:autoSpaceDE w:val="0"/>
              <w:widowControl/>
              <w:spacing w:line="224" w:lineRule="exact" w:before="172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IDA Management's Discussion and Analysis: June 30, 2025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676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IPF provides financing for a wide range of activities aimed at creating the physical and social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infrastructure necessary to reduce poverty and create sustainable development. IPF generally disburses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over 5 to 10 years. FY25 net IPF commitments totaled $27.3 billion, compared with $21.6 billion in FY24. </w:t>
      </w:r>
    </w:p>
    <w:p>
      <w:pPr>
        <w:autoSpaceDN w:val="0"/>
        <w:autoSpaceDE w:val="0"/>
        <w:widowControl/>
        <w:spacing w:line="240" w:lineRule="exact" w:before="504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DPF provides fast-disbursing financing to support borrowers in achieving sustainable development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through a program of policy and institutional actions. Examples of DPF projects include strengthening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public financial management, improving the investment climate, addressing bottlenecks to improve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service delivery, and diversifying the economy. DPF supports such reforms through non-earmarked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general budget financing. FY25 net commitments under DPF totaled $7.0 billion, compared with $6.2 </w:t>
      </w:r>
      <w:r>
        <w:rPr>
          <w:rFonts w:ascii="ArialMT" w:hAnsi="ArialMT" w:eastAsia="ArialMT"/>
          <w:b w:val="0"/>
          <w:i w:val="0"/>
          <w:color w:val="000000"/>
          <w:sz w:val="20"/>
        </w:rPr>
        <w:t>billion in FY24.</w:t>
      </w:r>
    </w:p>
    <w:p>
      <w:pPr>
        <w:autoSpaceDN w:val="0"/>
        <w:autoSpaceDE w:val="0"/>
        <w:widowControl/>
        <w:spacing w:line="224" w:lineRule="exact" w:before="52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PforR helps countries improve the design and implementation of their development programs and achieve </w:t>
      </w: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V: Development Activities, Products and Programs</w:t>
            </w:r>
          </w:p>
        </w:tc>
      </w:tr>
    </w:tbl>
    <w:p>
      <w:pPr>
        <w:autoSpaceDN w:val="0"/>
        <w:autoSpaceDE w:val="0"/>
        <w:widowControl/>
        <w:spacing w:line="224" w:lineRule="exact" w:before="718" w:after="112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Box 3: Summary of Financial Terms for IDA Lending Products, Effective 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00"/>
        </w:trPr>
        <w:tc>
          <w:tcPr>
            <w:tcW w:type="dxa" w:w="2130"/>
            <w:gridSpan w:val="2"/>
            <w:vMerge w:val="restart"/>
            <w:tcBorders>
              <w:bottom w:sz="8.0" w:val="single" w:color="#FFFFFF"/>
            </w:tcBorders>
            <w:shd w:fill="00487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4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 xml:space="preserve">Instrument type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FFFFFF"/>
                <w:sz w:val="10"/>
              </w:rPr>
              <w:t>a</w:t>
            </w:r>
          </w:p>
        </w:tc>
        <w:tc>
          <w:tcPr>
            <w:tcW w:type="dxa" w:w="180"/>
            <w:vMerge w:val="restart"/>
            <w:tcBorders>
              <w:bottom w:sz="8.0" w:val="single" w:color="#FFFFFF"/>
            </w:tcBorders>
            <w:shd w:fill="00487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vMerge w:val="restart"/>
            <w:tcBorders>
              <w:bottom w:sz="8.0" w:val="single" w:color="#FFFFFF"/>
            </w:tcBorders>
            <w:shd w:fill="00487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Currencies</w:t>
            </w:r>
          </w:p>
        </w:tc>
        <w:tc>
          <w:tcPr>
            <w:tcW w:type="dxa" w:w="1580"/>
            <w:tcBorders/>
            <w:shd w:fill="00487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 xml:space="preserve">Maturity/Grace </w:t>
            </w:r>
          </w:p>
        </w:tc>
        <w:tc>
          <w:tcPr>
            <w:tcW w:type="dxa" w:w="2020"/>
            <w:vMerge w:val="restart"/>
            <w:tcBorders>
              <w:bottom w:sz="8.0" w:val="single" w:color="#FFFFFF"/>
            </w:tcBorders>
            <w:shd w:fill="00487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Service Charges</w:t>
            </w:r>
          </w:p>
        </w:tc>
        <w:tc>
          <w:tcPr>
            <w:tcW w:type="dxa" w:w="1964"/>
            <w:vMerge w:val="restart"/>
            <w:tcBorders>
              <w:bottom w:sz="8.0" w:val="single" w:color="#FFFFFF"/>
            </w:tcBorders>
            <w:shd w:fill="00487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Interest rates</w:t>
            </w:r>
          </w:p>
        </w:tc>
      </w:tr>
      <w:tr>
        <w:trPr>
          <w:trHeight w:hRule="exact" w:val="220"/>
        </w:trPr>
        <w:tc>
          <w:tcPr>
            <w:tcW w:type="dxa" w:w="2698"/>
            <w:gridSpan w:val="2"/>
            <w:vMerge/>
            <w:tcBorders>
              <w:bottom w:sz="8.0" w:val="single" w:color="#FFFFFF"/>
            </w:tcBorders>
          </w:tcPr>
          <w:p/>
        </w:tc>
        <w:tc>
          <w:tcPr>
            <w:tcW w:type="dxa" w:w="1349"/>
            <w:vMerge/>
            <w:tcBorders>
              <w:bottom w:sz="8.0" w:val="single" w:color="#FFFFFF"/>
            </w:tcBorders>
          </w:tcPr>
          <w:p/>
        </w:tc>
        <w:tc>
          <w:tcPr>
            <w:tcW w:type="dxa" w:w="1349"/>
            <w:vMerge/>
            <w:tcBorders>
              <w:bottom w:sz="8.0" w:val="single" w:color="#FFFFFF"/>
            </w:tcBorders>
          </w:tcPr>
          <w:p/>
        </w:tc>
        <w:tc>
          <w:tcPr>
            <w:tcW w:type="dxa" w:w="1580"/>
            <w:tcBorders>
              <w:bottom w:sz="8.0" w:val="single" w:color="#FFFFFF"/>
            </w:tcBorders>
            <w:shd w:fill="00487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Period</w:t>
            </w:r>
          </w:p>
        </w:tc>
        <w:tc>
          <w:tcPr>
            <w:tcW w:type="dxa" w:w="1349"/>
            <w:vMerge/>
            <w:tcBorders>
              <w:bottom w:sz="8.0" w:val="single" w:color="#FFFFFF"/>
            </w:tcBorders>
          </w:tcPr>
          <w:p/>
        </w:tc>
        <w:tc>
          <w:tcPr>
            <w:tcW w:type="dxa" w:w="1349"/>
            <w:vMerge/>
            <w:tcBorders>
              <w:bottom w:sz="8.0" w:val="single" w:color="#FFFFFF"/>
            </w:tcBorders>
          </w:tcPr>
          <w:p/>
        </w:tc>
      </w:tr>
      <w:tr>
        <w:trPr>
          <w:trHeight w:hRule="exact" w:val="240"/>
        </w:trPr>
        <w:tc>
          <w:tcPr>
            <w:tcW w:type="dxa" w:w="2130"/>
            <w:gridSpan w:val="2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Grant</w:t>
            </w:r>
          </w:p>
        </w:tc>
        <w:tc>
          <w:tcPr>
            <w:tcW w:type="dxa" w:w="18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SDR</w:t>
            </w:r>
          </w:p>
        </w:tc>
        <w:tc>
          <w:tcPr>
            <w:tcW w:type="dxa" w:w="158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Not applicable</w:t>
            </w:r>
          </w:p>
        </w:tc>
        <w:tc>
          <w:tcPr>
            <w:tcW w:type="dxa" w:w="202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Not applicable</w:t>
            </w:r>
          </w:p>
        </w:tc>
        <w:tc>
          <w:tcPr>
            <w:tcW w:type="dxa" w:w="1964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Not applicable</w:t>
            </w:r>
          </w:p>
        </w:tc>
      </w:tr>
      <w:tr>
        <w:trPr>
          <w:trHeight w:hRule="exact" w:val="200"/>
        </w:trPr>
        <w:tc>
          <w:tcPr>
            <w:tcW w:type="dxa" w:w="2130"/>
            <w:gridSpan w:val="2"/>
            <w:vMerge w:val="restart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Regular-Term loan</w:t>
            </w:r>
          </w:p>
        </w:tc>
        <w:tc>
          <w:tcPr>
            <w:tcW w:type="dxa" w:w="180"/>
            <w:vMerge w:val="restart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SDR, USD, EUR, </w:t>
            </w:r>
          </w:p>
        </w:tc>
        <w:tc>
          <w:tcPr>
            <w:tcW w:type="dxa" w:w="1580"/>
            <w:vMerge w:val="restart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38/6 years</w:t>
            </w:r>
          </w:p>
        </w:tc>
        <w:tc>
          <w:tcPr>
            <w:tcW w:type="dxa" w:w="2020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75bps SDR equivalent </w:t>
            </w:r>
          </w:p>
        </w:tc>
        <w:tc>
          <w:tcPr>
            <w:tcW w:type="dxa" w:w="1964"/>
            <w:vMerge w:val="restart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Not applicable</w:t>
            </w:r>
          </w:p>
        </w:tc>
      </w:tr>
      <w:tr>
        <w:trPr>
          <w:trHeight w:hRule="exact" w:val="234"/>
        </w:trPr>
        <w:tc>
          <w:tcPr>
            <w:tcW w:type="dxa" w:w="2698"/>
            <w:gridSpan w:val="2"/>
            <w:vMerge/>
            <w:tcBorders>
              <w:top w:sz="8.0" w:val="single" w:color="#FFFFFF"/>
              <w:bottom w:sz="8.0" w:val="single" w:color="#FFFFFF"/>
            </w:tcBorders>
          </w:tcPr>
          <w:p/>
        </w:tc>
        <w:tc>
          <w:tcPr>
            <w:tcW w:type="dxa" w:w="1349"/>
            <w:vMerge/>
            <w:tcBorders>
              <w:top w:sz="8.0" w:val="single" w:color="#FFFFFF"/>
              <w:bottom w:sz="8.0" w:val="single" w:color="#FFFFFF"/>
            </w:tcBorders>
          </w:tcPr>
          <w:p/>
        </w:tc>
        <w:tc>
          <w:tcPr>
            <w:tcW w:type="dxa" w:w="146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GBP, JPY</w:t>
            </w:r>
          </w:p>
        </w:tc>
        <w:tc>
          <w:tcPr>
            <w:tcW w:type="dxa" w:w="1349"/>
            <w:vMerge/>
            <w:tcBorders>
              <w:top w:sz="8.0" w:val="single" w:color="#FFFFFF"/>
              <w:bottom w:sz="8.0" w:val="single" w:color="#FFFFFF"/>
            </w:tcBorders>
          </w:tcPr>
          <w:p/>
        </w:tc>
        <w:tc>
          <w:tcPr>
            <w:tcW w:type="dxa" w:w="202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service charge</w:t>
            </w:r>
          </w:p>
        </w:tc>
        <w:tc>
          <w:tcPr>
            <w:tcW w:type="dxa" w:w="1349"/>
            <w:vMerge/>
            <w:tcBorders>
              <w:top w:sz="8.0" w:val="single" w:color="#FFFFFF"/>
              <w:bottom w:sz="8.0" w:val="single" w:color="#FFFFFF"/>
            </w:tcBorders>
          </w:tcPr>
          <w:p/>
        </w:tc>
      </w:tr>
      <w:tr>
        <w:trPr>
          <w:trHeight w:hRule="exact" w:val="206"/>
        </w:trPr>
        <w:tc>
          <w:tcPr>
            <w:tcW w:type="dxa" w:w="2130"/>
            <w:gridSpan w:val="2"/>
            <w:vMerge w:val="restart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Regular-Small Economy loan</w:t>
            </w:r>
          </w:p>
        </w:tc>
        <w:tc>
          <w:tcPr>
            <w:tcW w:type="dxa" w:w="180"/>
            <w:vMerge w:val="restart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SDR, USD, EUR, </w:t>
            </w:r>
          </w:p>
        </w:tc>
        <w:tc>
          <w:tcPr>
            <w:tcW w:type="dxa" w:w="1580"/>
            <w:vMerge w:val="restart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40/10 years</w:t>
            </w:r>
          </w:p>
        </w:tc>
        <w:tc>
          <w:tcPr>
            <w:tcW w:type="dxa" w:w="2020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75bps SDR equivalent </w:t>
            </w:r>
          </w:p>
        </w:tc>
        <w:tc>
          <w:tcPr>
            <w:tcW w:type="dxa" w:w="1964"/>
            <w:vMerge w:val="restart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Not applicable</w:t>
            </w:r>
          </w:p>
        </w:tc>
      </w:tr>
      <w:tr>
        <w:trPr>
          <w:trHeight w:hRule="exact" w:val="230"/>
        </w:trPr>
        <w:tc>
          <w:tcPr>
            <w:tcW w:type="dxa" w:w="2698"/>
            <w:gridSpan w:val="2"/>
            <w:vMerge/>
            <w:tcBorders>
              <w:top w:sz="8.0" w:val="single" w:color="#FFFFFF"/>
              <w:bottom w:sz="8.0" w:val="single" w:color="#FFFFFF"/>
            </w:tcBorders>
          </w:tcPr>
          <w:p/>
        </w:tc>
        <w:tc>
          <w:tcPr>
            <w:tcW w:type="dxa" w:w="1349"/>
            <w:vMerge/>
            <w:tcBorders>
              <w:top w:sz="8.0" w:val="single" w:color="#FFFFFF"/>
              <w:bottom w:sz="8.0" w:val="single" w:color="#FFFFFF"/>
            </w:tcBorders>
          </w:tcPr>
          <w:p/>
        </w:tc>
        <w:tc>
          <w:tcPr>
            <w:tcW w:type="dxa" w:w="146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GBP, JPY</w:t>
            </w:r>
          </w:p>
        </w:tc>
        <w:tc>
          <w:tcPr>
            <w:tcW w:type="dxa" w:w="1349"/>
            <w:vMerge/>
            <w:tcBorders>
              <w:top w:sz="8.0" w:val="single" w:color="#FFFFFF"/>
              <w:bottom w:sz="8.0" w:val="single" w:color="#FFFFFF"/>
            </w:tcBorders>
          </w:tcPr>
          <w:p/>
        </w:tc>
        <w:tc>
          <w:tcPr>
            <w:tcW w:type="dxa" w:w="202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service charge</w:t>
            </w:r>
          </w:p>
        </w:tc>
        <w:tc>
          <w:tcPr>
            <w:tcW w:type="dxa" w:w="1349"/>
            <w:vMerge/>
            <w:tcBorders>
              <w:top w:sz="8.0" w:val="single" w:color="#FFFFFF"/>
              <w:bottom w:sz="8.0" w:val="single" w:color="#FFFFFF"/>
            </w:tcBorders>
          </w:tcPr>
          <w:p/>
        </w:tc>
      </w:tr>
      <w:tr>
        <w:trPr>
          <w:trHeight w:hRule="exact" w:val="210"/>
        </w:trPr>
        <w:tc>
          <w:tcPr>
            <w:tcW w:type="dxa" w:w="2130"/>
            <w:gridSpan w:val="2"/>
            <w:vMerge w:val="restart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Blend-Term loan</w:t>
            </w:r>
          </w:p>
        </w:tc>
        <w:tc>
          <w:tcPr>
            <w:tcW w:type="dxa" w:w="180"/>
            <w:vMerge w:val="restart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SDR, USD, EUR, </w:t>
            </w:r>
          </w:p>
        </w:tc>
        <w:tc>
          <w:tcPr>
            <w:tcW w:type="dxa" w:w="1580"/>
            <w:vMerge w:val="restart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30/5 years</w:t>
            </w:r>
          </w:p>
        </w:tc>
        <w:tc>
          <w:tcPr>
            <w:tcW w:type="dxa" w:w="2020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75bps SDR equivalent </w:t>
            </w:r>
          </w:p>
        </w:tc>
        <w:tc>
          <w:tcPr>
            <w:tcW w:type="dxa" w:w="1964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1.25% SDR equivalent </w:t>
            </w:r>
          </w:p>
        </w:tc>
      </w:tr>
      <w:tr>
        <w:trPr>
          <w:trHeight w:hRule="exact" w:val="226"/>
        </w:trPr>
        <w:tc>
          <w:tcPr>
            <w:tcW w:type="dxa" w:w="2698"/>
            <w:gridSpan w:val="2"/>
            <w:vMerge/>
            <w:tcBorders>
              <w:top w:sz="8.0" w:val="single" w:color="#FFFFFF"/>
              <w:bottom w:sz="8.0" w:val="single" w:color="#FFFFFF"/>
            </w:tcBorders>
          </w:tcPr>
          <w:p/>
        </w:tc>
        <w:tc>
          <w:tcPr>
            <w:tcW w:type="dxa" w:w="1349"/>
            <w:vMerge/>
            <w:tcBorders>
              <w:top w:sz="8.0" w:val="single" w:color="#FFFFFF"/>
              <w:bottom w:sz="8.0" w:val="single" w:color="#FFFFFF"/>
            </w:tcBorders>
          </w:tcPr>
          <w:p/>
        </w:tc>
        <w:tc>
          <w:tcPr>
            <w:tcW w:type="dxa" w:w="146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GBP, JPY</w:t>
            </w:r>
          </w:p>
        </w:tc>
        <w:tc>
          <w:tcPr>
            <w:tcW w:type="dxa" w:w="1349"/>
            <w:vMerge/>
            <w:tcBorders>
              <w:top w:sz="8.0" w:val="single" w:color="#FFFFFF"/>
              <w:bottom w:sz="8.0" w:val="single" w:color="#FFFFFF"/>
            </w:tcBorders>
          </w:tcPr>
          <w:p/>
        </w:tc>
        <w:tc>
          <w:tcPr>
            <w:tcW w:type="dxa" w:w="202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service charge</w:t>
            </w:r>
          </w:p>
        </w:tc>
        <w:tc>
          <w:tcPr>
            <w:tcW w:type="dxa" w:w="1964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</w:t>
            </w:r>
          </w:p>
        </w:tc>
      </w:tr>
      <w:tr>
        <w:trPr>
          <w:trHeight w:hRule="exact" w:val="214"/>
        </w:trPr>
        <w:tc>
          <w:tcPr>
            <w:tcW w:type="dxa" w:w="2130"/>
            <w:gridSpan w:val="2"/>
            <w:vMerge w:val="restart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50-year loan</w:t>
            </w:r>
          </w:p>
        </w:tc>
        <w:tc>
          <w:tcPr>
            <w:tcW w:type="dxa" w:w="180"/>
            <w:vMerge w:val="restart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SDR, USD, EUR, </w:t>
            </w:r>
          </w:p>
        </w:tc>
        <w:tc>
          <w:tcPr>
            <w:tcW w:type="dxa" w:w="1580"/>
            <w:vMerge w:val="restart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50/10 years</w:t>
            </w:r>
          </w:p>
        </w:tc>
        <w:tc>
          <w:tcPr>
            <w:tcW w:type="dxa" w:w="2020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Zero interest and service </w:t>
            </w:r>
          </w:p>
        </w:tc>
        <w:tc>
          <w:tcPr>
            <w:tcW w:type="dxa" w:w="1964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Zero interest and service </w:t>
            </w:r>
          </w:p>
        </w:tc>
      </w:tr>
      <w:tr>
        <w:trPr>
          <w:trHeight w:hRule="exact" w:val="220"/>
        </w:trPr>
        <w:tc>
          <w:tcPr>
            <w:tcW w:type="dxa" w:w="2698"/>
            <w:gridSpan w:val="2"/>
            <w:vMerge/>
            <w:tcBorders>
              <w:top w:sz="8.0" w:val="single" w:color="#FFFFFF"/>
              <w:bottom w:sz="8.0" w:val="single" w:color="#FFFFFF"/>
            </w:tcBorders>
          </w:tcPr>
          <w:p/>
        </w:tc>
        <w:tc>
          <w:tcPr>
            <w:tcW w:type="dxa" w:w="1349"/>
            <w:vMerge/>
            <w:tcBorders>
              <w:top w:sz="8.0" w:val="single" w:color="#FFFFFF"/>
              <w:bottom w:sz="8.0" w:val="single" w:color="#FFFFFF"/>
            </w:tcBorders>
          </w:tcPr>
          <w:p/>
        </w:tc>
        <w:tc>
          <w:tcPr>
            <w:tcW w:type="dxa" w:w="146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GBP, JPY</w:t>
            </w:r>
          </w:p>
        </w:tc>
        <w:tc>
          <w:tcPr>
            <w:tcW w:type="dxa" w:w="1349"/>
            <w:vMerge/>
            <w:tcBorders>
              <w:top w:sz="8.0" w:val="single" w:color="#FFFFFF"/>
              <w:bottom w:sz="8.0" w:val="single" w:color="#FFFFFF"/>
            </w:tcBorders>
          </w:tcPr>
          <w:p/>
        </w:tc>
        <w:tc>
          <w:tcPr>
            <w:tcW w:type="dxa" w:w="202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charge</w:t>
            </w:r>
          </w:p>
        </w:tc>
        <w:tc>
          <w:tcPr>
            <w:tcW w:type="dxa" w:w="1964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charge</w:t>
            </w:r>
          </w:p>
        </w:tc>
      </w:tr>
      <w:tr>
        <w:trPr>
          <w:trHeight w:hRule="exact" w:val="200"/>
        </w:trPr>
        <w:tc>
          <w:tcPr>
            <w:tcW w:type="dxa" w:w="2130"/>
            <w:gridSpan w:val="2"/>
            <w:vMerge w:val="restart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Shorter Maturity Loan (SML)</w:t>
            </w:r>
          </w:p>
        </w:tc>
        <w:tc>
          <w:tcPr>
            <w:tcW w:type="dxa" w:w="180"/>
            <w:vMerge w:val="restart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SDR, USD, EUR, </w:t>
            </w:r>
          </w:p>
        </w:tc>
        <w:tc>
          <w:tcPr>
            <w:tcW w:type="dxa" w:w="1580"/>
            <w:vMerge w:val="restart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12/6 years</w:t>
            </w:r>
          </w:p>
        </w:tc>
        <w:tc>
          <w:tcPr>
            <w:tcW w:type="dxa" w:w="2020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Zero interest and service </w:t>
            </w:r>
          </w:p>
        </w:tc>
        <w:tc>
          <w:tcPr>
            <w:tcW w:type="dxa" w:w="1964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Zero interest and service </w:t>
            </w:r>
          </w:p>
        </w:tc>
      </w:tr>
      <w:tr>
        <w:trPr>
          <w:trHeight w:hRule="exact" w:val="234"/>
        </w:trPr>
        <w:tc>
          <w:tcPr>
            <w:tcW w:type="dxa" w:w="2698"/>
            <w:gridSpan w:val="2"/>
            <w:vMerge/>
            <w:tcBorders>
              <w:top w:sz="8.0" w:val="single" w:color="#FFFFFF"/>
              <w:bottom w:sz="8.0" w:val="single" w:color="#FFFFFF"/>
            </w:tcBorders>
          </w:tcPr>
          <w:p/>
        </w:tc>
        <w:tc>
          <w:tcPr>
            <w:tcW w:type="dxa" w:w="1349"/>
            <w:vMerge/>
            <w:tcBorders>
              <w:top w:sz="8.0" w:val="single" w:color="#FFFFFF"/>
              <w:bottom w:sz="8.0" w:val="single" w:color="#FFFFFF"/>
            </w:tcBorders>
          </w:tcPr>
          <w:p/>
        </w:tc>
        <w:tc>
          <w:tcPr>
            <w:tcW w:type="dxa" w:w="146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GBP, JPY</w:t>
            </w:r>
          </w:p>
        </w:tc>
        <w:tc>
          <w:tcPr>
            <w:tcW w:type="dxa" w:w="1349"/>
            <w:vMerge/>
            <w:tcBorders>
              <w:top w:sz="8.0" w:val="single" w:color="#FFFFFF"/>
              <w:bottom w:sz="8.0" w:val="single" w:color="#FFFFFF"/>
            </w:tcBorders>
          </w:tcPr>
          <w:p/>
        </w:tc>
        <w:tc>
          <w:tcPr>
            <w:tcW w:type="dxa" w:w="202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charge</w:t>
            </w:r>
          </w:p>
        </w:tc>
        <w:tc>
          <w:tcPr>
            <w:tcW w:type="dxa" w:w="1964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charge</w:t>
            </w:r>
          </w:p>
        </w:tc>
      </w:tr>
      <w:tr>
        <w:trPr>
          <w:trHeight w:hRule="exact" w:val="206"/>
        </w:trPr>
        <w:tc>
          <w:tcPr>
            <w:tcW w:type="dxa" w:w="1450"/>
            <w:vMerge w:val="restart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Non-concessional </w:t>
            </w:r>
          </w:p>
        </w:tc>
        <w:tc>
          <w:tcPr>
            <w:tcW w:type="dxa" w:w="680"/>
            <w:vMerge w:val="restart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</w:t>
            </w:r>
          </w:p>
        </w:tc>
        <w:tc>
          <w:tcPr>
            <w:tcW w:type="dxa" w:w="180"/>
            <w:vMerge w:val="restart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460"/>
            <w:vMerge w:val="restart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USD, EUR, GBP, </w:t>
            </w:r>
          </w:p>
        </w:tc>
        <w:tc>
          <w:tcPr>
            <w:tcW w:type="dxa" w:w="1580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Up to 35 years </w:t>
            </w:r>
          </w:p>
        </w:tc>
        <w:tc>
          <w:tcPr>
            <w:tcW w:type="dxa" w:w="2020"/>
            <w:vMerge w:val="restart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bps one-time front-end </w:t>
            </w:r>
          </w:p>
        </w:tc>
        <w:tc>
          <w:tcPr>
            <w:tcW w:type="dxa" w:w="1964"/>
            <w:vMerge w:val="restart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 Flexible Loan </w:t>
            </w:r>
          </w:p>
        </w:tc>
      </w:tr>
      <w:tr>
        <w:trPr>
          <w:trHeight w:hRule="exact" w:val="100"/>
        </w:trPr>
        <w:tc>
          <w:tcPr>
            <w:tcW w:type="dxa" w:w="1349"/>
            <w:vMerge/>
            <w:tcBorders>
              <w:top w:sz="8.0" w:val="single" w:color="#FFFFFF"/>
            </w:tcBorders>
          </w:tcPr>
          <w:p/>
        </w:tc>
        <w:tc>
          <w:tcPr>
            <w:tcW w:type="dxa" w:w="1349"/>
            <w:vMerge/>
            <w:tcBorders>
              <w:top w:sz="8.0" w:val="single" w:color="#FFFFFF"/>
            </w:tcBorders>
          </w:tcPr>
          <w:p/>
        </w:tc>
        <w:tc>
          <w:tcPr>
            <w:tcW w:type="dxa" w:w="1349"/>
            <w:vMerge/>
            <w:tcBorders>
              <w:top w:sz="8.0" w:val="single" w:color="#FFFFFF"/>
              <w:bottom w:sz="8.0" w:val="single" w:color="#FFFFFF"/>
            </w:tcBorders>
          </w:tcPr>
          <w:p/>
        </w:tc>
        <w:tc>
          <w:tcPr>
            <w:tcW w:type="dxa" w:w="1349"/>
            <w:vMerge/>
            <w:tcBorders>
              <w:top w:sz="8.0" w:val="single" w:color="#FFFFFF"/>
            </w:tcBorders>
          </w:tcPr>
          <w:p/>
        </w:tc>
        <w:tc>
          <w:tcPr>
            <w:tcW w:type="dxa" w:w="1580"/>
            <w:vMerge w:val="restart"/>
            <w:tcBorders/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maximum; up to 20 </w:t>
            </w:r>
          </w:p>
        </w:tc>
        <w:tc>
          <w:tcPr>
            <w:tcW w:type="dxa" w:w="1349"/>
            <w:vMerge/>
            <w:tcBorders>
              <w:top w:sz="8.0" w:val="single" w:color="#FFFFFF"/>
            </w:tcBorders>
          </w:tcPr>
          <w:p/>
        </w:tc>
        <w:tc>
          <w:tcPr>
            <w:tcW w:type="dxa" w:w="1349"/>
            <w:vMerge/>
            <w:tcBorders>
              <w:top w:sz="8.0" w:val="single" w:color="#FFFFFF"/>
            </w:tcBorders>
          </w:tcPr>
          <w:p/>
        </w:tc>
      </w:tr>
      <w:tr>
        <w:trPr>
          <w:trHeight w:hRule="exact" w:val="80"/>
        </w:trPr>
        <w:tc>
          <w:tcPr>
            <w:tcW w:type="dxa" w:w="1349"/>
            <w:vMerge/>
            <w:tcBorders>
              <w:top w:sz="8.0" w:val="single" w:color="#FFFFFF"/>
            </w:tcBorders>
          </w:tcPr>
          <w:p/>
        </w:tc>
        <w:tc>
          <w:tcPr>
            <w:tcW w:type="dxa" w:w="1349"/>
            <w:vMerge/>
            <w:tcBorders>
              <w:top w:sz="8.0" w:val="single" w:color="#FFFFFF"/>
            </w:tcBorders>
          </w:tcPr>
          <w:p/>
        </w:tc>
        <w:tc>
          <w:tcPr>
            <w:tcW w:type="dxa" w:w="1349"/>
            <w:vMerge/>
            <w:tcBorders>
              <w:top w:sz="8.0" w:val="single" w:color="#FFFFFF"/>
              <w:bottom w:sz="8.0" w:val="single" w:color="#FFFFFF"/>
            </w:tcBorders>
          </w:tcPr>
          <w:p/>
        </w:tc>
        <w:tc>
          <w:tcPr>
            <w:tcW w:type="dxa" w:w="1349"/>
            <w:vMerge/>
            <w:tcBorders>
              <w:top w:sz="8.0" w:val="single" w:color="#FFFFFF"/>
            </w:tcBorders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2020"/>
            <w:vMerge w:val="restart"/>
            <w:tcBorders/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fee </w:t>
            </w:r>
          </w:p>
        </w:tc>
        <w:tc>
          <w:tcPr>
            <w:tcW w:type="dxa" w:w="1349"/>
            <w:vMerge/>
            <w:tcBorders>
              <w:top w:sz="8.0" w:val="single" w:color="#FFFFFF"/>
            </w:tcBorders>
          </w:tcPr>
          <w:p/>
        </w:tc>
      </w:tr>
      <w:tr>
        <w:trPr>
          <w:trHeight w:hRule="exact" w:val="120"/>
        </w:trPr>
        <w:tc>
          <w:tcPr>
            <w:tcW w:type="dxa" w:w="2130"/>
            <w:gridSpan w:val="2"/>
            <w:vMerge w:val="restart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Scale-up Window (SUW)</w:t>
            </w:r>
          </w:p>
        </w:tc>
        <w:tc>
          <w:tcPr>
            <w:tcW w:type="dxa" w:w="1349"/>
            <w:vMerge/>
            <w:tcBorders>
              <w:top w:sz="8.0" w:val="single" w:color="#FFFFFF"/>
              <w:bottom w:sz="8.0" w:val="single" w:color="#FFFFFF"/>
            </w:tcBorders>
          </w:tcPr>
          <w:p/>
        </w:tc>
        <w:tc>
          <w:tcPr>
            <w:tcW w:type="dxa" w:w="1460"/>
            <w:vMerge w:val="restart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JPY</w:t>
            </w:r>
          </w:p>
        </w:tc>
        <w:tc>
          <w:tcPr>
            <w:tcW w:type="dxa" w:w="1580"/>
            <w:vMerge w:val="restart"/>
            <w:tcBorders/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years average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964"/>
            <w:vMerge w:val="restart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terms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</w:tr>
      <w:tr>
        <w:trPr>
          <w:trHeight w:hRule="exact" w:val="80"/>
        </w:trPr>
        <w:tc>
          <w:tcPr>
            <w:tcW w:type="dxa" w:w="2698"/>
            <w:gridSpan w:val="2"/>
            <w:vMerge/>
            <w:tcBorders>
              <w:bottom w:sz="8.0" w:val="single" w:color="#FFFFFF"/>
            </w:tcBorders>
          </w:tcPr>
          <w:p/>
        </w:tc>
        <w:tc>
          <w:tcPr>
            <w:tcW w:type="dxa" w:w="1349"/>
            <w:vMerge/>
            <w:tcBorders>
              <w:top w:sz="8.0" w:val="single" w:color="#FFFFFF"/>
              <w:bottom w:sz="8.0" w:val="single" w:color="#FFFFFF"/>
            </w:tcBorders>
          </w:tcPr>
          <w:p/>
        </w:tc>
        <w:tc>
          <w:tcPr>
            <w:tcW w:type="dxa" w:w="1349"/>
            <w:vMerge/>
            <w:tcBorders>
              <w:bottom w:sz="8.0" w:val="single" w:color="#FFFFFF"/>
            </w:tcBorders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2020"/>
            <w:vMerge w:val="restart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 bps commitment fee</w:t>
            </w:r>
          </w:p>
        </w:tc>
        <w:tc>
          <w:tcPr>
            <w:tcW w:type="dxa" w:w="1349"/>
            <w:vMerge/>
            <w:tcBorders>
              <w:bottom w:sz="8.0" w:val="single" w:color="#FFFFFF"/>
            </w:tcBorders>
          </w:tcPr>
          <w:p/>
        </w:tc>
      </w:tr>
      <w:tr>
        <w:trPr>
          <w:trHeight w:hRule="exact" w:val="240"/>
        </w:trPr>
        <w:tc>
          <w:tcPr>
            <w:tcW w:type="dxa" w:w="2698"/>
            <w:gridSpan w:val="2"/>
            <w:vMerge/>
            <w:tcBorders>
              <w:bottom w:sz="8.0" w:val="single" w:color="#FFFFFF"/>
            </w:tcBorders>
          </w:tcPr>
          <w:p/>
        </w:tc>
        <w:tc>
          <w:tcPr>
            <w:tcW w:type="dxa" w:w="1349"/>
            <w:vMerge/>
            <w:tcBorders>
              <w:top w:sz="8.0" w:val="single" w:color="#FFFFFF"/>
              <w:bottom w:sz="8.0" w:val="single" w:color="#FFFFFF"/>
            </w:tcBorders>
          </w:tcPr>
          <w:p/>
        </w:tc>
        <w:tc>
          <w:tcPr>
            <w:tcW w:type="dxa" w:w="1349"/>
            <w:vMerge/>
            <w:tcBorders>
              <w:bottom w:sz="8.0" w:val="single" w:color="#FFFFFF"/>
            </w:tcBorders>
          </w:tcPr>
          <w:p/>
        </w:tc>
        <w:tc>
          <w:tcPr>
            <w:tcW w:type="dxa" w:w="158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maturity</w:t>
            </w:r>
          </w:p>
        </w:tc>
        <w:tc>
          <w:tcPr>
            <w:tcW w:type="dxa" w:w="1349"/>
            <w:vMerge/>
            <w:tcBorders>
              <w:bottom w:sz="8.0" w:val="single" w:color="#FFFFFF"/>
            </w:tcBorders>
          </w:tcPr>
          <w:p/>
        </w:tc>
        <w:tc>
          <w:tcPr>
            <w:tcW w:type="dxa" w:w="1349"/>
            <w:vMerge/>
            <w:tcBorders>
              <w:bottom w:sz="8.0" w:val="single" w:color="#FFFFFF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90.0" w:type="dxa"/>
      </w:tblPr>
      <w:tblGrid>
        <w:gridCol w:w="9446"/>
      </w:tblGrid>
      <w:tr>
        <w:trPr>
          <w:trHeight w:hRule="exact" w:val="220"/>
        </w:trPr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Before Drawdown: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Front end fee and renewal fee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361"/>
        <w:gridCol w:w="2361"/>
        <w:gridCol w:w="2361"/>
        <w:gridCol w:w="2361"/>
      </w:tblGrid>
      <w:tr>
        <w:trPr>
          <w:trHeight w:hRule="exact" w:val="182"/>
        </w:trPr>
        <w:tc>
          <w:tcPr>
            <w:tcW w:type="dxa" w:w="2280"/>
            <w:vMerge w:val="restart"/>
            <w:tcBorders/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Catastrophe Deferred Draw </w:t>
            </w:r>
          </w:p>
        </w:tc>
        <w:tc>
          <w:tcPr>
            <w:tcW w:type="dxa" w:w="1440"/>
            <w:vMerge w:val="restart"/>
            <w:tcBorders/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SDR, USD, EUR, </w:t>
            </w:r>
          </w:p>
        </w:tc>
        <w:tc>
          <w:tcPr>
            <w:tcW w:type="dxa" w:w="1620"/>
            <w:vMerge w:val="restart"/>
            <w:tcBorders/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Three years that </w:t>
            </w:r>
          </w:p>
        </w:tc>
        <w:tc>
          <w:tcPr>
            <w:tcW w:type="dxa" w:w="400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are set at 0.5% and 0.25% respectively under SUW </w:t>
            </w:r>
          </w:p>
        </w:tc>
      </w:tr>
      <w:tr>
        <w:trPr>
          <w:trHeight w:hRule="exact" w:val="200"/>
        </w:trPr>
        <w:tc>
          <w:tcPr>
            <w:tcW w:type="dxa" w:w="2361"/>
            <w:vMerge/>
            <w:tcBorders/>
          </w:tcPr>
          <w:p/>
        </w:tc>
        <w:tc>
          <w:tcPr>
            <w:tcW w:type="dxa" w:w="2361"/>
            <w:vMerge/>
            <w:tcBorders/>
          </w:tcPr>
          <w:p/>
        </w:tc>
        <w:tc>
          <w:tcPr>
            <w:tcW w:type="dxa" w:w="2361"/>
            <w:vMerge/>
            <w:tcBorders/>
          </w:tcPr>
          <w:p/>
        </w:tc>
        <w:tc>
          <w:tcPr>
            <w:tcW w:type="dxa" w:w="400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option, and at 0% under PBA or Undisbursed </w:t>
            </w:r>
          </w:p>
        </w:tc>
      </w:tr>
      <w:tr>
        <w:trPr>
          <w:trHeight w:hRule="exact" w:val="120"/>
        </w:trPr>
        <w:tc>
          <w:tcPr>
            <w:tcW w:type="dxa" w:w="2361"/>
            <w:vMerge/>
            <w:tcBorders/>
          </w:tcPr>
          <w:p/>
        </w:tc>
        <w:tc>
          <w:tcPr>
            <w:tcW w:type="dxa" w:w="2361"/>
            <w:vMerge/>
            <w:tcBorders/>
          </w:tcPr>
          <w:p/>
        </w:tc>
        <w:tc>
          <w:tcPr>
            <w:tcW w:type="dxa" w:w="2361"/>
            <w:vMerge/>
            <w:tcBorders/>
          </w:tcPr>
          <w:p/>
        </w:tc>
        <w:tc>
          <w:tcPr>
            <w:tcW w:type="dxa" w:w="4000"/>
            <w:vMerge w:val="restart"/>
            <w:tcBorders/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balances option.</w:t>
            </w:r>
          </w:p>
        </w:tc>
      </w:tr>
      <w:tr>
        <w:trPr>
          <w:trHeight w:hRule="exact" w:val="100"/>
        </w:trPr>
        <w:tc>
          <w:tcPr>
            <w:tcW w:type="dxa" w:w="2361"/>
            <w:vMerge/>
            <w:tcBorders/>
          </w:tcPr>
          <w:p/>
        </w:tc>
        <w:tc>
          <w:tcPr>
            <w:tcW w:type="dxa" w:w="2361"/>
            <w:vMerge/>
            <w:tcBorders/>
          </w:tcPr>
          <w:p/>
        </w:tc>
        <w:tc>
          <w:tcPr>
            <w:tcW w:type="dxa" w:w="1620"/>
            <w:vMerge w:val="restart"/>
            <w:tcBorders/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may be renewed </w:t>
            </w:r>
          </w:p>
        </w:tc>
        <w:tc>
          <w:tcPr>
            <w:tcW w:type="dxa" w:w="2361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2361"/>
            <w:vMerge/>
            <w:tcBorders/>
          </w:tcPr>
          <w:p/>
        </w:tc>
        <w:tc>
          <w:tcPr>
            <w:tcW w:type="dxa" w:w="2361"/>
            <w:vMerge/>
            <w:tcBorders/>
          </w:tcPr>
          <w:p/>
        </w:tc>
        <w:tc>
          <w:tcPr>
            <w:tcW w:type="dxa" w:w="2361"/>
            <w:vMerge/>
            <w:tcBorders/>
          </w:tcPr>
          <w:p/>
        </w:tc>
        <w:tc>
          <w:tcPr>
            <w:tcW w:type="dxa" w:w="4000"/>
            <w:vMerge w:val="restart"/>
            <w:tcBorders/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After Drawdown: </w:t>
            </w:r>
          </w:p>
        </w:tc>
      </w:tr>
      <w:tr>
        <w:trPr>
          <w:trHeight w:hRule="exact" w:val="140"/>
        </w:trPr>
        <w:tc>
          <w:tcPr>
            <w:tcW w:type="dxa" w:w="2280"/>
            <w:vMerge w:val="restart"/>
            <w:tcBorders/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Down Option (CAT DDO)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 d</w:t>
            </w:r>
          </w:p>
        </w:tc>
        <w:tc>
          <w:tcPr>
            <w:tcW w:type="dxa" w:w="1440"/>
            <w:vMerge w:val="restart"/>
            <w:tcBorders/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GBP, JPY</w:t>
            </w:r>
          </w:p>
        </w:tc>
        <w:tc>
          <w:tcPr>
            <w:tcW w:type="dxa" w:w="1620"/>
            <w:vMerge w:val="restart"/>
            <w:tcBorders/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once for a maximum </w:t>
            </w:r>
          </w:p>
        </w:tc>
        <w:tc>
          <w:tcPr>
            <w:tcW w:type="dxa" w:w="2361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2361"/>
            <w:vMerge/>
            <w:tcBorders/>
          </w:tcPr>
          <w:p/>
        </w:tc>
        <w:tc>
          <w:tcPr>
            <w:tcW w:type="dxa" w:w="2361"/>
            <w:vMerge/>
            <w:tcBorders/>
          </w:tcPr>
          <w:p/>
        </w:tc>
        <w:tc>
          <w:tcPr>
            <w:tcW w:type="dxa" w:w="2361"/>
            <w:vMerge/>
            <w:tcBorders/>
          </w:tcPr>
          <w:p/>
        </w:tc>
        <w:tc>
          <w:tcPr>
            <w:tcW w:type="dxa" w:w="4000"/>
            <w:vMerge w:val="restart"/>
            <w:tcBorders/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Under PBA or Undisbursed balances option - IDA </w:t>
            </w:r>
          </w:p>
        </w:tc>
      </w:tr>
      <w:tr>
        <w:trPr>
          <w:trHeight w:hRule="exact" w:val="120"/>
        </w:trPr>
        <w:tc>
          <w:tcPr>
            <w:tcW w:type="dxa" w:w="2361"/>
            <w:vMerge/>
            <w:tcBorders/>
          </w:tcPr>
          <w:p/>
        </w:tc>
        <w:tc>
          <w:tcPr>
            <w:tcW w:type="dxa" w:w="2361"/>
            <w:vMerge/>
            <w:tcBorders/>
          </w:tcPr>
          <w:p/>
        </w:tc>
        <w:tc>
          <w:tcPr>
            <w:tcW w:type="dxa" w:w="1620"/>
            <w:vMerge w:val="restart"/>
            <w:tcBorders/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of six years in total</w:t>
            </w:r>
          </w:p>
        </w:tc>
        <w:tc>
          <w:tcPr>
            <w:tcW w:type="dxa" w:w="2361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2361"/>
            <w:vMerge/>
            <w:tcBorders/>
          </w:tcPr>
          <w:p/>
        </w:tc>
        <w:tc>
          <w:tcPr>
            <w:tcW w:type="dxa" w:w="2361"/>
            <w:vMerge/>
            <w:tcBorders/>
          </w:tcPr>
          <w:p/>
        </w:tc>
        <w:tc>
          <w:tcPr>
            <w:tcW w:type="dxa" w:w="2361"/>
            <w:vMerge/>
            <w:tcBorders/>
          </w:tcPr>
          <w:p/>
        </w:tc>
        <w:tc>
          <w:tcPr>
            <w:tcW w:type="dxa" w:w="400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concessional rates would apply.</w:t>
            </w:r>
          </w:p>
        </w:tc>
      </w:tr>
    </w:tbl>
    <w:p>
      <w:pPr>
        <w:autoSpaceDN w:val="0"/>
        <w:autoSpaceDE w:val="0"/>
        <w:widowControl/>
        <w:spacing w:line="188" w:lineRule="exact" w:before="0" w:after="28"/>
        <w:ind w:left="5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- Under SUW option - non-concessional rates would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apply.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1"/>
        <w:gridCol w:w="2361"/>
        <w:gridCol w:w="2361"/>
        <w:gridCol w:w="2361"/>
      </w:tblGrid>
      <w:tr>
        <w:trPr>
          <w:trHeight w:hRule="exact" w:val="194"/>
        </w:trPr>
        <w:tc>
          <w:tcPr>
            <w:tcW w:type="dxa" w:w="1590"/>
            <w:vMerge w:val="restart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IPF DDO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2180"/>
            <w:vMerge w:val="restart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SDR, USD, EUR, </w:t>
            </w:r>
          </w:p>
        </w:tc>
        <w:tc>
          <w:tcPr>
            <w:tcW w:type="dxa" w:w="1580"/>
            <w:vMerge w:val="restart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Up to 5 years, and </w:t>
            </w:r>
          </w:p>
        </w:tc>
        <w:tc>
          <w:tcPr>
            <w:tcW w:type="dxa" w:w="3984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Before Drawdown: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Front-End Fee and Stand-by Fee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f </w:t>
            </w:r>
          </w:p>
        </w:tc>
      </w:tr>
      <w:tr>
        <w:trPr>
          <w:trHeight w:hRule="exact" w:val="200"/>
        </w:trPr>
        <w:tc>
          <w:tcPr>
            <w:tcW w:type="dxa" w:w="2361"/>
            <w:vMerge/>
            <w:tcBorders>
              <w:top w:sz="8.0" w:val="single" w:color="#FFFFFF"/>
            </w:tcBorders>
          </w:tcPr>
          <w:p/>
        </w:tc>
        <w:tc>
          <w:tcPr>
            <w:tcW w:type="dxa" w:w="2361"/>
            <w:vMerge/>
            <w:tcBorders>
              <w:top w:sz="8.0" w:val="single" w:color="#FFFFFF"/>
            </w:tcBorders>
          </w:tcPr>
          <w:p/>
        </w:tc>
        <w:tc>
          <w:tcPr>
            <w:tcW w:type="dxa" w:w="2361"/>
            <w:vMerge/>
            <w:tcBorders>
              <w:top w:sz="8.0" w:val="single" w:color="#FFFFFF"/>
            </w:tcBorders>
          </w:tcPr>
          <w:p/>
        </w:tc>
        <w:tc>
          <w:tcPr>
            <w:tcW w:type="dxa" w:w="3984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are set at 25 and 50 bps respectively. There is no </w:t>
            </w:r>
          </w:p>
        </w:tc>
      </w:tr>
      <w:tr>
        <w:trPr>
          <w:trHeight w:hRule="exact" w:val="60"/>
        </w:trPr>
        <w:tc>
          <w:tcPr>
            <w:tcW w:type="dxa" w:w="2361"/>
            <w:vMerge/>
            <w:tcBorders>
              <w:top w:sz="8.0" w:val="single" w:color="#FFFFFF"/>
            </w:tcBorders>
          </w:tcPr>
          <w:p/>
        </w:tc>
        <w:tc>
          <w:tcPr>
            <w:tcW w:type="dxa" w:w="2361"/>
            <w:vMerge/>
            <w:tcBorders>
              <w:top w:sz="8.0" w:val="single" w:color="#FFFFFF"/>
            </w:tcBorders>
          </w:tcPr>
          <w:p/>
        </w:tc>
        <w:tc>
          <w:tcPr>
            <w:tcW w:type="dxa" w:w="2361"/>
            <w:vMerge/>
            <w:tcBorders>
              <w:top w:sz="8.0" w:val="single" w:color="#FFFFFF"/>
            </w:tcBorders>
          </w:tcPr>
          <w:p/>
        </w:tc>
        <w:tc>
          <w:tcPr>
            <w:tcW w:type="dxa" w:w="3984"/>
            <w:vMerge w:val="restart"/>
            <w:tcBorders/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Renewal Fee.</w:t>
            </w:r>
          </w:p>
        </w:tc>
      </w:tr>
      <w:tr>
        <w:trPr>
          <w:trHeight w:hRule="exact" w:val="100"/>
        </w:trPr>
        <w:tc>
          <w:tcPr>
            <w:tcW w:type="dxa" w:w="2361"/>
            <w:vMerge/>
            <w:tcBorders>
              <w:top w:sz="8.0" w:val="single" w:color="#FFFFFF"/>
            </w:tcBorders>
          </w:tcPr>
          <w:p/>
        </w:tc>
        <w:tc>
          <w:tcPr>
            <w:tcW w:type="dxa" w:w="2361"/>
            <w:vMerge/>
            <w:tcBorders>
              <w:top w:sz="8.0" w:val="single" w:color="#FFFFFF"/>
            </w:tcBorders>
          </w:tcPr>
          <w:p/>
        </w:tc>
        <w:tc>
          <w:tcPr>
            <w:tcW w:type="dxa" w:w="1580"/>
            <w:vMerge w:val="restart"/>
            <w:tcBorders/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can be renewed for </w:t>
            </w:r>
          </w:p>
        </w:tc>
        <w:tc>
          <w:tcPr>
            <w:tcW w:type="dxa" w:w="2361"/>
            <w:vMerge/>
            <w:tcBorders/>
          </w:tcPr>
          <w:p/>
        </w:tc>
      </w:tr>
      <w:tr>
        <w:trPr>
          <w:trHeight w:hRule="exact" w:val="89"/>
        </w:trPr>
        <w:tc>
          <w:tcPr>
            <w:tcW w:type="dxa" w:w="2361"/>
            <w:vMerge/>
            <w:tcBorders>
              <w:top w:sz="8.0" w:val="single" w:color="#FFFFFF"/>
            </w:tcBorders>
          </w:tcPr>
          <w:p/>
        </w:tc>
        <w:tc>
          <w:tcPr>
            <w:tcW w:type="dxa" w:w="2180"/>
            <w:vMerge w:val="restart"/>
            <w:tcBorders/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GBP, JPY</w:t>
            </w:r>
          </w:p>
        </w:tc>
        <w:tc>
          <w:tcPr>
            <w:tcW w:type="dxa" w:w="2361"/>
            <w:vMerge/>
            <w:tcBorders/>
          </w:tcPr>
          <w:p/>
        </w:tc>
        <w:tc>
          <w:tcPr>
            <w:tcW w:type="dxa" w:w="2361"/>
            <w:vMerge/>
            <w:tcBorders/>
          </w:tcPr>
          <w:p/>
        </w:tc>
      </w:tr>
      <w:tr>
        <w:trPr>
          <w:trHeight w:hRule="exact" w:val="207"/>
        </w:trPr>
        <w:tc>
          <w:tcPr>
            <w:tcW w:type="dxa" w:w="2361"/>
            <w:vMerge/>
            <w:tcBorders>
              <w:top w:sz="8.0" w:val="single" w:color="#FFFFFF"/>
            </w:tcBorders>
          </w:tcPr>
          <w:p/>
        </w:tc>
        <w:tc>
          <w:tcPr>
            <w:tcW w:type="dxa" w:w="2361"/>
            <w:vMerge/>
            <w:tcBorders/>
          </w:tcPr>
          <w:p/>
        </w:tc>
        <w:tc>
          <w:tcPr>
            <w:tcW w:type="dxa" w:w="158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 more years</w:t>
            </w:r>
          </w:p>
        </w:tc>
        <w:tc>
          <w:tcPr>
            <w:tcW w:type="dxa" w:w="3984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After Drawdown: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Follow standard IDA concessional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6"/>
      </w:tblGrid>
      <w:tr>
        <w:trPr>
          <w:trHeight w:hRule="exact" w:val="290"/>
        </w:trPr>
        <w:tc>
          <w:tcPr>
            <w:tcW w:type="dxa" w:w="9334"/>
            <w:tcBorders>
              <w:bottom w:sz="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fee terms.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9446"/>
      </w:tblGrid>
      <w:tr>
        <w:trPr>
          <w:trHeight w:hRule="exact" w:val="246"/>
        </w:trPr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a. Prior to July 1, 2017, IDA offered Hard-Term loans to Blend Countries (excluding Small Island Economies). They had a single </w:t>
            </w:r>
          </w:p>
        </w:tc>
      </w:tr>
    </w:tbl>
    <w:p>
      <w:pPr>
        <w:autoSpaceDN w:val="0"/>
        <w:autoSpaceDE w:val="0"/>
        <w:widowControl/>
        <w:spacing w:line="188" w:lineRule="exact" w:before="0" w:after="0"/>
        <w:ind w:left="24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currency option, and had terms equivalent to IBRD’s fixed spread loans, less 200 bps, a variable option was also available. </w:t>
      </w:r>
      <w:r>
        <w:rPr>
          <w:rFonts w:ascii="Arial" w:hAnsi="Arial" w:eastAsia="Arial"/>
          <w:b w:val="0"/>
          <w:i/>
          <w:color w:val="000000"/>
          <w:sz w:val="16"/>
        </w:rPr>
        <w:t>Hard-term loans are no longer offered.</w:t>
      </w:r>
    </w:p>
    <w:p>
      <w:pPr>
        <w:autoSpaceDN w:val="0"/>
        <w:autoSpaceDE w:val="0"/>
        <w:widowControl/>
        <w:spacing w:line="180" w:lineRule="exact" w:before="1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There is an implicit floor of zero on the overall interest rate in IDA’s non-concessional loans. 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The volume of committed and undisbursed CAT DDOs financed by IDA is limited to 1.0 percent of the country’s GDP or USD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500 million, whichever is lower. </w:t>
      </w:r>
    </w:p>
    <w:p>
      <w:pPr>
        <w:autoSpaceDN w:val="0"/>
        <w:autoSpaceDE w:val="0"/>
        <w:widowControl/>
        <w:spacing w:line="180" w:lineRule="exact" w:before="1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The Cat DDO may be renewed once, for a maximum of six years in total.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e. For IPF DDO operations confirmed to have a specific crisis or emergency preparedness objective, IDA would cover half the cost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of the IPF DDO for IDA countries.</w:t>
      </w:r>
    </w:p>
    <w:p>
      <w:pPr>
        <w:autoSpaceDN w:val="0"/>
        <w:autoSpaceDE w:val="0"/>
        <w:widowControl/>
        <w:spacing w:line="180" w:lineRule="exact" w:before="12" w:after="6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f. The standby fee for IPF DDO financed from IDA’s concessional windows is determined on an annual basis from 0% up to 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6"/>
      </w:tblGrid>
      <w:tr>
        <w:trPr>
          <w:trHeight w:hRule="exact" w:val="256"/>
        </w:trPr>
        <w:tc>
          <w:tcPr>
            <w:tcW w:type="dxa" w:w="9334"/>
            <w:tcBorders>
              <w:bottom w:sz="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maximum of 0.50% per year (0% for FY25).</w:t>
            </w:r>
          </w:p>
        </w:tc>
      </w:tr>
    </w:tbl>
    <w:p>
      <w:pPr>
        <w:autoSpaceDN w:val="0"/>
        <w:autoSpaceDE w:val="0"/>
        <w:widowControl/>
        <w:spacing w:line="268" w:lineRule="exact" w:before="17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Charges on Loans and Grants</w:t>
      </w:r>
    </w:p>
    <w:p>
      <w:pPr>
        <w:autoSpaceDN w:val="0"/>
        <w:autoSpaceDE w:val="0"/>
        <w:widowControl/>
        <w:spacing w:line="240" w:lineRule="exact" w:before="130" w:after="0"/>
        <w:ind w:left="10" w:right="2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Service charges and interest income earned on IDA’s loans are reported as Interest revenue on loans, net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Statements of Income. Commitment charges earned on loans and grants, if any, are reported as </w:t>
      </w:r>
      <w:r>
        <w:rPr>
          <w:rFonts w:ascii="ArialMT" w:hAnsi="ArialMT" w:eastAsia="ArialMT"/>
          <w:b w:val="0"/>
          <w:i w:val="0"/>
          <w:color w:val="000000"/>
          <w:sz w:val="20"/>
        </w:rPr>
        <w:t>non-interest revenue in the Statements of Income.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Service Charge: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 service charge is levied on the principal amount disbursed and outstanding on all </w:t>
      </w:r>
      <w:r>
        <w:rPr>
          <w:rFonts w:ascii="ArialMT" w:hAnsi="ArialMT" w:eastAsia="ArialMT"/>
          <w:b w:val="0"/>
          <w:i w:val="0"/>
          <w:color w:val="000000"/>
          <w:sz w:val="20"/>
        </w:rPr>
        <w:t>Regular, Small Economy, and Blend term loans, regardless of repayment terms, at 0.75% per annum.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Interest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Interest is charged on all loans subject to blend terms, hard-term loans, and non-concessional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loans. Further, loans offered under non-concessional terms are available at variable interest rates on </w:t>
      </w:r>
      <w:r>
        <w:rPr>
          <w:rFonts w:ascii="ArialMT" w:hAnsi="ArialMT" w:eastAsia="ArialMT"/>
          <w:b w:val="0"/>
          <w:i w:val="0"/>
          <w:color w:val="000000"/>
          <w:sz w:val="20"/>
        </w:rPr>
        <w:t>IBRD terms. All other rates are fixed, see Box 3.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Commitment Charge: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 commitment charge, which is payable on any undisbursed loan or grant amount,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set by the Board at the beginning of each fiscal year. Commitment charges are set at a level to ensure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net loan revenue covers IDA's administrative expenses over the medium term. For FY25,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70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V: Development Activities, Products and Programs</w:t>
            </w:r>
          </w:p>
        </w:tc>
      </w:tr>
    </w:tbl>
    <w:p>
      <w:pPr>
        <w:autoSpaceDN w:val="0"/>
        <w:autoSpaceDE w:val="0"/>
        <w:widowControl/>
        <w:spacing w:line="240" w:lineRule="exact" w:before="70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commitment charges on concessional loans remain at zero. The commitment charge on non-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concessional loans is aligned to IBRD terms, which is 0.25% per annum. 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Repayment Terms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lending terms recognize the variation in economic development of broad categories of IDA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recipients. Since 1987, the legal agreements of IDA concessional loans include an accelerated repayment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clause to double the principal repayments of the loan if the borrower’s GNI per capita exceeds a specific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threshold and the borrower is eligible for IBRD financing. Implementation is subject to negotiation with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borrower and approval by IDA’s Board after considering a borrower’s economic development.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borrower can further negotiate either to (a) shorten the loan’s maturity (principal option), (b) pay interest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rate that would result in the same net present value (interest option), or a combination of the two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options.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$22.4 billion of qualifying loans outstanding from 13 borrowers that have graduated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IDA since the introduction of the accelerated repayment clause have accelerated repayment terms.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these 13 borrowers, 7 borrowers selected the principal option, 5 borrowers selected the interest option, </w:t>
      </w:r>
      <w:r>
        <w:rPr>
          <w:rFonts w:ascii="ArialMT" w:hAnsi="ArialMT" w:eastAsia="ArialMT"/>
          <w:b w:val="0"/>
          <w:i w:val="0"/>
          <w:color w:val="000000"/>
          <w:sz w:val="20"/>
        </w:rPr>
        <w:t>and 1 borrower selected a combination of the two options.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accelerated repayment clauses in all of these legal agreements also allow a borrower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subsequently request pausing of those accelerated terms or cancellation if economic conditions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borrower’s country have deteriorated, in which case, the terms of repayment can revert to the original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terms of the financing agreements. As repayment accelerations, pausing of accelerations,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cancellation are contemplated in the original terms of the instruments, they do not constitute loan </w:t>
      </w:r>
      <w:r>
        <w:rPr>
          <w:rFonts w:ascii="ArialMT" w:hAnsi="ArialMT" w:eastAsia="ArialMT"/>
          <w:b w:val="0"/>
          <w:i w:val="0"/>
          <w:color w:val="000000"/>
          <w:sz w:val="20"/>
        </w:rPr>
        <w:t>modifications.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has started offering climate resilient debt clauses (CRDCs) in some of its new and existing loans (with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>minimum remaining maturity of five years), for certain borrowers</w:t>
      </w:r>
      <w:r>
        <w:rPr>
          <w:rFonts w:ascii="ArialMT" w:hAnsi="ArialMT" w:eastAsia="ArialMT"/>
          <w:b w:val="0"/>
          <w:i w:val="0"/>
          <w:color w:val="000000"/>
          <w:sz w:val="13"/>
        </w:rPr>
        <w:t>4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See paragraph Climate Resilient Debt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Clause (CRDC) for details. </w:t>
      </w:r>
    </w:p>
    <w:p>
      <w:pPr>
        <w:autoSpaceDN w:val="0"/>
        <w:autoSpaceDE w:val="0"/>
        <w:widowControl/>
        <w:spacing w:line="314" w:lineRule="exact" w:before="1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Loans, Grants and Guarantee Activity</w:t>
      </w:r>
    </w:p>
    <w:p>
      <w:pPr>
        <w:autoSpaceDN w:val="0"/>
        <w:autoSpaceDE w:val="0"/>
        <w:widowControl/>
        <w:spacing w:line="268" w:lineRule="exact" w:before="15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Commitments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FY25 net loan and guarantee commitments were $31.7 billion, an increase of $8.6 billion or 37% over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FY24 ($23.1 billion). There were $611 million of guarantee commitments in FY25 and none in FY24 (Table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>14). See Section VI: Other Development Activities and Programs.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FY25 net commitments of grants were $8.2 billion, an increase of $0.1 billion compared to FY24 ($8.1 </w:t>
      </w:r>
      <w:r>
        <w:rPr>
          <w:rFonts w:ascii="ArialMT" w:hAnsi="ArialMT" w:eastAsia="ArialMT"/>
          <w:b w:val="0"/>
          <w:i w:val="0"/>
          <w:color w:val="000000"/>
          <w:sz w:val="20"/>
        </w:rPr>
        <w:t>billion) (Table 15).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14: Net Commitments of Loans and Guarantees by Region</w:t>
      </w:r>
    </w:p>
    <w:p>
      <w:pPr>
        <w:autoSpaceDN w:val="0"/>
        <w:autoSpaceDE w:val="0"/>
        <w:widowControl/>
        <w:spacing w:line="178" w:lineRule="exact" w:before="84" w:after="7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72"/>
        </w:trPr>
        <w:tc>
          <w:tcPr>
            <w:tcW w:type="dxa" w:w="450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For the fiscal year ended June 30,</w:t>
            </w:r>
          </w:p>
        </w:tc>
        <w:tc>
          <w:tcPr>
            <w:tcW w:type="dxa" w:w="27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2025</w:t>
            </w:r>
          </w:p>
        </w:tc>
        <w:tc>
          <w:tcPr>
            <w:tcW w:type="dxa" w:w="1046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total</w:t>
            </w:r>
          </w:p>
        </w:tc>
        <w:tc>
          <w:tcPr>
            <w:tcW w:type="dxa" w:w="264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6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  <w:tc>
          <w:tcPr>
            <w:tcW w:type="dxa" w:w="90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total</w:t>
            </w:r>
          </w:p>
        </w:tc>
        <w:tc>
          <w:tcPr>
            <w:tcW w:type="dxa" w:w="344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Variance</w:t>
            </w:r>
          </w:p>
        </w:tc>
      </w:tr>
      <w:tr>
        <w:trPr>
          <w:trHeight w:hRule="exact" w:val="236"/>
        </w:trPr>
        <w:tc>
          <w:tcPr>
            <w:tcW w:type="dxa" w:w="450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Eastern and Southern Africa</w:t>
            </w:r>
          </w:p>
        </w:tc>
        <w:tc>
          <w:tcPr>
            <w:tcW w:type="dxa" w:w="270"/>
            <w:vMerge w:val="restart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6,803 </w:t>
            </w:r>
          </w:p>
        </w:tc>
        <w:tc>
          <w:tcPr>
            <w:tcW w:type="dxa" w:w="1046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21 %</w:t>
            </w:r>
          </w:p>
        </w:tc>
        <w:tc>
          <w:tcPr>
            <w:tcW w:type="dxa" w:w="264"/>
            <w:vMerge w:val="restart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6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7,119 </w:t>
            </w:r>
          </w:p>
        </w:tc>
        <w:tc>
          <w:tcPr>
            <w:tcW w:type="dxa" w:w="90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31 %</w:t>
            </w:r>
          </w:p>
        </w:tc>
        <w:tc>
          <w:tcPr>
            <w:tcW w:type="dxa" w:w="344"/>
            <w:vMerge w:val="restart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(316) </w:t>
            </w:r>
          </w:p>
        </w:tc>
      </w:tr>
      <w:tr>
        <w:trPr>
          <w:trHeight w:hRule="exact" w:val="240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Western and Central Africa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9,669 </w:t>
            </w:r>
          </w:p>
        </w:tc>
        <w:tc>
          <w:tcPr>
            <w:tcW w:type="dxa" w:w="1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31 %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7,777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34 %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1,892 </w:t>
            </w:r>
          </w:p>
        </w:tc>
      </w:tr>
      <w:tr>
        <w:trPr>
          <w:trHeight w:hRule="exact" w:val="240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 Asia and Pacific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590 </w:t>
            </w:r>
          </w:p>
        </w:tc>
        <w:tc>
          <w:tcPr>
            <w:tcW w:type="dxa" w:w="1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2 %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1,056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5 %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(466) </w:t>
            </w:r>
          </w:p>
        </w:tc>
      </w:tr>
      <w:tr>
        <w:trPr>
          <w:trHeight w:hRule="exact" w:val="240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Europe and Central Asia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7,635 </w:t>
            </w:r>
          </w:p>
        </w:tc>
        <w:tc>
          <w:tcPr>
            <w:tcW w:type="dxa" w:w="1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24 %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989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4 %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6,646 </w:t>
            </w:r>
          </w:p>
        </w:tc>
      </w:tr>
      <w:tr>
        <w:trPr>
          <w:trHeight w:hRule="exact" w:val="240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Latin America and the Caribbean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914 </w:t>
            </w:r>
          </w:p>
        </w:tc>
        <w:tc>
          <w:tcPr>
            <w:tcW w:type="dxa" w:w="1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3%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251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1 %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663 </w:t>
            </w:r>
          </w:p>
        </w:tc>
      </w:tr>
      <w:tr>
        <w:trPr>
          <w:trHeight w:hRule="exact" w:val="240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Middle East and North Africa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—%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(40) </w:t>
            </w:r>
          </w:p>
        </w:tc>
      </w:tr>
      <w:tr>
        <w:trPr>
          <w:trHeight w:hRule="exact" w:val="244"/>
        </w:trPr>
        <w:tc>
          <w:tcPr>
            <w:tcW w:type="dxa" w:w="450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Asia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5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6,041 </w:t>
            </w:r>
          </w:p>
        </w:tc>
        <w:tc>
          <w:tcPr>
            <w:tcW w:type="dxa" w:w="1046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19 %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56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5,862 </w:t>
            </w:r>
          </w:p>
        </w:tc>
        <w:tc>
          <w:tcPr>
            <w:tcW w:type="dxa" w:w="90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25 %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7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179 </w:t>
            </w:r>
          </w:p>
        </w:tc>
      </w:tr>
      <w:tr>
        <w:trPr>
          <w:trHeight w:hRule="exact" w:val="220"/>
        </w:trPr>
        <w:tc>
          <w:tcPr>
            <w:tcW w:type="dxa" w:w="450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7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31,652 </w:t>
            </w:r>
          </w:p>
        </w:tc>
        <w:tc>
          <w:tcPr>
            <w:tcW w:type="dxa" w:w="1046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264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6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23,094 </w:t>
            </w:r>
          </w:p>
        </w:tc>
        <w:tc>
          <w:tcPr>
            <w:tcW w:type="dxa" w:w="90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344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8,558 </w:t>
            </w:r>
          </w:p>
        </w:tc>
      </w:tr>
      <w:tr>
        <w:trPr>
          <w:trHeight w:hRule="exact" w:val="260"/>
        </w:trPr>
        <w:tc>
          <w:tcPr>
            <w:tcW w:type="dxa" w:w="450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6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6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4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72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indicates percentage less than 0.5%.</w:t>
      </w:r>
    </w:p>
    <w:p>
      <w:pPr>
        <w:autoSpaceDN w:val="0"/>
        <w:autoSpaceDE w:val="0"/>
        <w:widowControl/>
        <w:spacing w:line="168" w:lineRule="exact" w:before="554" w:after="0"/>
        <w:ind w:left="10" w:right="0" w:firstLine="0"/>
        <w:jc w:val="left"/>
      </w:pPr>
      <w:r>
        <w:rPr>
          <w:w w:val="101.11111534966363"/>
          <w:rFonts w:ascii="Arial" w:hAnsi="Arial" w:eastAsia="Arial"/>
          <w:b w:val="0"/>
          <w:i/>
          <w:color w:val="000000"/>
          <w:sz w:val="9"/>
        </w:rPr>
        <w:t>4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 Eligible borrowers are IDA Small State Economies, members of the Small States Forum, and Small Island Developing States as defined by the United </w:t>
      </w:r>
      <w:r>
        <w:rPr>
          <w:rFonts w:ascii="Arial" w:hAnsi="Arial" w:eastAsia="Arial"/>
          <w:b w:val="0"/>
          <w:i/>
          <w:color w:val="000000"/>
          <w:sz w:val="14"/>
        </w:rPr>
        <w:t>Nations.</w:t>
      </w:r>
    </w:p>
    <w:p>
      <w:pPr>
        <w:autoSpaceDN w:val="0"/>
        <w:tabs>
          <w:tab w:pos="9148" w:val="left"/>
        </w:tabs>
        <w:autoSpaceDE w:val="0"/>
        <w:widowControl/>
        <w:spacing w:line="224" w:lineRule="exact" w:before="532" w:after="0"/>
        <w:ind w:left="338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31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V: Development Activities, Products and Programs</w:t>
            </w:r>
          </w:p>
        </w:tc>
      </w:tr>
    </w:tbl>
    <w:p>
      <w:pPr>
        <w:autoSpaceDN w:val="0"/>
        <w:autoSpaceDE w:val="0"/>
        <w:widowControl/>
        <w:spacing w:line="262" w:lineRule="exact" w:before="932" w:after="70"/>
        <w:ind w:left="10" w:right="475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15: Net Commitments of Grants by Region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72"/>
        </w:trPr>
        <w:tc>
          <w:tcPr>
            <w:tcW w:type="dxa" w:w="450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For the fiscal year ended June 30,</w:t>
            </w:r>
          </w:p>
        </w:tc>
        <w:tc>
          <w:tcPr>
            <w:tcW w:type="dxa" w:w="3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2025</w:t>
            </w:r>
          </w:p>
        </w:tc>
        <w:tc>
          <w:tcPr>
            <w:tcW w:type="dxa" w:w="90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total</w:t>
            </w:r>
          </w:p>
        </w:tc>
        <w:tc>
          <w:tcPr>
            <w:tcW w:type="dxa" w:w="45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6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  <w:tc>
          <w:tcPr>
            <w:tcW w:type="dxa" w:w="90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total</w:t>
            </w:r>
          </w:p>
        </w:tc>
        <w:tc>
          <w:tcPr>
            <w:tcW w:type="dxa" w:w="344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Variance</w:t>
            </w:r>
          </w:p>
        </w:tc>
      </w:tr>
      <w:tr>
        <w:trPr>
          <w:trHeight w:hRule="exact" w:val="236"/>
        </w:trPr>
        <w:tc>
          <w:tcPr>
            <w:tcW w:type="dxa" w:w="4500"/>
            <w:tcBorders>
              <w:top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Eastern and Southern Africa</w:t>
            </w:r>
          </w:p>
        </w:tc>
        <w:tc>
          <w:tcPr>
            <w:tcW w:type="dxa" w:w="310"/>
            <w:vMerge w:val="restart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5,035 </w:t>
            </w:r>
          </w:p>
        </w:tc>
        <w:tc>
          <w:tcPr>
            <w:tcW w:type="dxa" w:w="90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61 %</w:t>
            </w:r>
          </w:p>
        </w:tc>
        <w:tc>
          <w:tcPr>
            <w:tcW w:type="dxa" w:w="450"/>
            <w:vMerge w:val="restart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6"/>
            <w:tcBorders>
              <w:top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5,616 </w:t>
            </w:r>
          </w:p>
        </w:tc>
        <w:tc>
          <w:tcPr>
            <w:tcW w:type="dxa" w:w="90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69 %</w:t>
            </w:r>
          </w:p>
        </w:tc>
        <w:tc>
          <w:tcPr>
            <w:tcW w:type="dxa" w:w="344"/>
            <w:vMerge w:val="restart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top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(581) </w:t>
            </w:r>
          </w:p>
        </w:tc>
      </w:tr>
      <w:tr>
        <w:trPr>
          <w:trHeight w:hRule="exact" w:val="240"/>
        </w:trPr>
        <w:tc>
          <w:tcPr>
            <w:tcW w:type="dxa" w:w="4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Western and Central Africa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882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11 %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1,497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19 %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(615) </w:t>
            </w:r>
          </w:p>
        </w:tc>
      </w:tr>
      <w:tr>
        <w:trPr>
          <w:trHeight w:hRule="exact" w:val="240"/>
        </w:trPr>
        <w:tc>
          <w:tcPr>
            <w:tcW w:type="dxa" w:w="4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 Asia and Pacific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698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9 %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182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2 %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516 </w:t>
            </w:r>
          </w:p>
        </w:tc>
      </w:tr>
      <w:tr>
        <w:trPr>
          <w:trHeight w:hRule="exact" w:val="240"/>
        </w:trPr>
        <w:tc>
          <w:tcPr>
            <w:tcW w:type="dxa" w:w="4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Europe and Central Asia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448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5 %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1 %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337 </w:t>
            </w:r>
          </w:p>
        </w:tc>
      </w:tr>
      <w:tr>
        <w:trPr>
          <w:trHeight w:hRule="exact" w:val="240"/>
        </w:trPr>
        <w:tc>
          <w:tcPr>
            <w:tcW w:type="dxa" w:w="4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Latin America and the Caribbean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166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2 %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148 </w:t>
            </w:r>
          </w:p>
        </w:tc>
      </w:tr>
      <w:tr>
        <w:trPr>
          <w:trHeight w:hRule="exact" w:val="240"/>
        </w:trPr>
        <w:tc>
          <w:tcPr>
            <w:tcW w:type="dxa" w:w="4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Middle East and North Africa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465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6 %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300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4 %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165 </w:t>
            </w:r>
          </w:p>
        </w:tc>
      </w:tr>
      <w:tr>
        <w:trPr>
          <w:trHeight w:hRule="exact" w:val="244"/>
        </w:trPr>
        <w:tc>
          <w:tcPr>
            <w:tcW w:type="dxa" w:w="4500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Asia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10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520 </w:t>
            </w:r>
          </w:p>
        </w:tc>
        <w:tc>
          <w:tcPr>
            <w:tcW w:type="dxa" w:w="900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6 %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616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377 </w:t>
            </w:r>
          </w:p>
        </w:tc>
        <w:tc>
          <w:tcPr>
            <w:tcW w:type="dxa" w:w="900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5 %</w:t>
            </w:r>
          </w:p>
        </w:tc>
        <w:tc>
          <w:tcPr>
            <w:tcW w:type="dxa" w:w="1050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720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143 </w:t>
            </w:r>
          </w:p>
        </w:tc>
      </w:tr>
      <w:tr>
        <w:trPr>
          <w:trHeight w:hRule="exact" w:val="220"/>
        </w:trPr>
        <w:tc>
          <w:tcPr>
            <w:tcW w:type="dxa" w:w="450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1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8,214 </w:t>
            </w:r>
          </w:p>
        </w:tc>
        <w:tc>
          <w:tcPr>
            <w:tcW w:type="dxa" w:w="90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45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6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8,101 </w:t>
            </w:r>
          </w:p>
        </w:tc>
        <w:tc>
          <w:tcPr>
            <w:tcW w:type="dxa" w:w="90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344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113 </w:t>
            </w:r>
          </w:p>
        </w:tc>
      </w:tr>
      <w:tr>
        <w:trPr>
          <w:trHeight w:hRule="exact" w:val="260"/>
        </w:trPr>
        <w:tc>
          <w:tcPr>
            <w:tcW w:type="dxa" w:w="450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16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4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72" w:after="0"/>
        <w:ind w:left="1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indicates percentage less than 0.5%.</w:t>
      </w:r>
    </w:p>
    <w:p>
      <w:pPr>
        <w:autoSpaceDN w:val="0"/>
        <w:autoSpaceDE w:val="0"/>
        <w:widowControl/>
        <w:spacing w:line="262" w:lineRule="exact" w:before="88" w:after="74"/>
        <w:ind w:left="10" w:right="331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16: Gross Disbursements of Loans and Grants by Region </w:t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</w:tblGrid>
      <w:tr>
        <w:trPr>
          <w:trHeight w:hRule="exact" w:val="268"/>
        </w:trPr>
        <w:tc>
          <w:tcPr>
            <w:tcW w:type="dxa" w:w="26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2025</w:t>
            </w:r>
          </w:p>
        </w:tc>
        <w:tc>
          <w:tcPr>
            <w:tcW w:type="dxa" w:w="664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5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  <w:tc>
          <w:tcPr>
            <w:tcW w:type="dxa" w:w="656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4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6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261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For the fiscal year  ended June 30,</w:t>
            </w:r>
          </w:p>
        </w:tc>
        <w:tc>
          <w:tcPr>
            <w:tcW w:type="dxa" w:w="26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Loans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808080"/>
                <w:sz w:val="10"/>
              </w:rPr>
              <w:t>a</w:t>
            </w:r>
          </w:p>
        </w:tc>
        <w:tc>
          <w:tcPr>
            <w:tcW w:type="dxa" w:w="96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Grants </w:t>
            </w:r>
          </w:p>
        </w:tc>
        <w:tc>
          <w:tcPr>
            <w:tcW w:type="dxa" w:w="664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Total</w:t>
            </w:r>
          </w:p>
        </w:tc>
        <w:tc>
          <w:tcPr>
            <w:tcW w:type="dxa" w:w="396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Loans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808080"/>
                <w:sz w:val="10"/>
              </w:rPr>
              <w:t>a</w:t>
            </w:r>
          </w:p>
        </w:tc>
        <w:tc>
          <w:tcPr>
            <w:tcW w:type="dxa" w:w="96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Grants </w:t>
            </w:r>
          </w:p>
        </w:tc>
        <w:tc>
          <w:tcPr>
            <w:tcW w:type="dxa" w:w="656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Total</w:t>
            </w:r>
          </w:p>
        </w:tc>
        <w:tc>
          <w:tcPr>
            <w:tcW w:type="dxa" w:w="344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6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Variance</w:t>
            </w:r>
          </w:p>
        </w:tc>
      </w:tr>
      <w:tr>
        <w:trPr>
          <w:trHeight w:hRule="exact" w:val="232"/>
        </w:trPr>
        <w:tc>
          <w:tcPr>
            <w:tcW w:type="dxa" w:w="261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Eastern and Southern Africa</w:t>
            </w:r>
          </w:p>
        </w:tc>
        <w:tc>
          <w:tcPr>
            <w:tcW w:type="dxa" w:w="260"/>
            <w:vMerge w:val="restart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7,031 $ </w:t>
            </w:r>
          </w:p>
        </w:tc>
        <w:tc>
          <w:tcPr>
            <w:tcW w:type="dxa" w:w="96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4,943 $ </w:t>
            </w:r>
          </w:p>
        </w:tc>
        <w:tc>
          <w:tcPr>
            <w:tcW w:type="dxa" w:w="664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11,974 </w:t>
            </w:r>
          </w:p>
        </w:tc>
        <w:tc>
          <w:tcPr>
            <w:tcW w:type="dxa" w:w="396"/>
            <w:vMerge w:val="restart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6,672 $ </w:t>
            </w:r>
          </w:p>
        </w:tc>
        <w:tc>
          <w:tcPr>
            <w:tcW w:type="dxa" w:w="96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4,024 $ </w:t>
            </w:r>
          </w:p>
        </w:tc>
        <w:tc>
          <w:tcPr>
            <w:tcW w:type="dxa" w:w="656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10,696 </w:t>
            </w:r>
          </w:p>
        </w:tc>
        <w:tc>
          <w:tcPr>
            <w:tcW w:type="dxa" w:w="344"/>
            <w:vMerge w:val="restart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6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1,278 </w:t>
            </w:r>
          </w:p>
        </w:tc>
      </w:tr>
      <w:tr>
        <w:trPr>
          <w:trHeight w:hRule="exact" w:val="240"/>
        </w:trPr>
        <w:tc>
          <w:tcPr>
            <w:tcW w:type="dxa" w:w="2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Western and Central Africa</w:t>
            </w:r>
          </w:p>
        </w:tc>
        <w:tc>
          <w:tcPr>
            <w:tcW w:type="dxa" w:w="85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6,261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1,882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8,143 </w:t>
            </w:r>
          </w:p>
        </w:tc>
        <w:tc>
          <w:tcPr>
            <w:tcW w:type="dxa" w:w="85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7,216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1,791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9,007 </w:t>
            </w:r>
          </w:p>
        </w:tc>
        <w:tc>
          <w:tcPr>
            <w:tcW w:type="dxa" w:w="85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(864) </w:t>
            </w:r>
          </w:p>
        </w:tc>
      </w:tr>
      <w:tr>
        <w:trPr>
          <w:trHeight w:hRule="exact" w:val="240"/>
        </w:trPr>
        <w:tc>
          <w:tcPr>
            <w:tcW w:type="dxa" w:w="2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 Asia and Pacific</w:t>
            </w:r>
          </w:p>
        </w:tc>
        <w:tc>
          <w:tcPr>
            <w:tcW w:type="dxa" w:w="85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946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286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1,232 </w:t>
            </w:r>
          </w:p>
        </w:tc>
        <w:tc>
          <w:tcPr>
            <w:tcW w:type="dxa" w:w="85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839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176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1,015 </w:t>
            </w:r>
          </w:p>
        </w:tc>
        <w:tc>
          <w:tcPr>
            <w:tcW w:type="dxa" w:w="85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217 </w:t>
            </w:r>
          </w:p>
        </w:tc>
      </w:tr>
      <w:tr>
        <w:trPr>
          <w:trHeight w:hRule="exact" w:val="240"/>
        </w:trPr>
        <w:tc>
          <w:tcPr>
            <w:tcW w:type="dxa" w:w="2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Europe and Central Asia</w:t>
            </w:r>
          </w:p>
        </w:tc>
        <w:tc>
          <w:tcPr>
            <w:tcW w:type="dxa" w:w="85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5,897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268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6,165 </w:t>
            </w:r>
          </w:p>
        </w:tc>
        <w:tc>
          <w:tcPr>
            <w:tcW w:type="dxa" w:w="85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900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1,187 </w:t>
            </w:r>
          </w:p>
        </w:tc>
        <w:tc>
          <w:tcPr>
            <w:tcW w:type="dxa" w:w="85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4,978 </w:t>
            </w:r>
          </w:p>
        </w:tc>
      </w:tr>
      <w:tr>
        <w:trPr>
          <w:trHeight w:hRule="exact" w:val="240"/>
        </w:trPr>
        <w:tc>
          <w:tcPr>
            <w:tcW w:type="dxa" w:w="2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Latin America and the Caribbean</w:t>
            </w:r>
          </w:p>
        </w:tc>
        <w:tc>
          <w:tcPr>
            <w:tcW w:type="dxa" w:w="85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447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169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616 </w:t>
            </w:r>
          </w:p>
        </w:tc>
        <w:tc>
          <w:tcPr>
            <w:tcW w:type="dxa" w:w="85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430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172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602 </w:t>
            </w:r>
          </w:p>
        </w:tc>
        <w:tc>
          <w:tcPr>
            <w:tcW w:type="dxa" w:w="85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</w:tr>
      <w:tr>
        <w:trPr>
          <w:trHeight w:hRule="exact" w:val="240"/>
        </w:trPr>
        <w:tc>
          <w:tcPr>
            <w:tcW w:type="dxa" w:w="2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Middle East and North Africa</w:t>
            </w:r>
          </w:p>
        </w:tc>
        <w:tc>
          <w:tcPr>
            <w:tcW w:type="dxa" w:w="85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436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466 </w:t>
            </w:r>
          </w:p>
        </w:tc>
        <w:tc>
          <w:tcPr>
            <w:tcW w:type="dxa" w:w="85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490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587 </w:t>
            </w:r>
          </w:p>
        </w:tc>
        <w:tc>
          <w:tcPr>
            <w:tcW w:type="dxa" w:w="85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(121) </w:t>
            </w:r>
          </w:p>
        </w:tc>
      </w:tr>
      <w:tr>
        <w:trPr>
          <w:trHeight w:hRule="exact" w:val="248"/>
        </w:trPr>
        <w:tc>
          <w:tcPr>
            <w:tcW w:type="dxa" w:w="261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Asia</w:t>
            </w:r>
          </w:p>
        </w:tc>
        <w:tc>
          <w:tcPr>
            <w:tcW w:type="dxa" w:w="85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88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4,179 </w:t>
            </w:r>
          </w:p>
        </w:tc>
        <w:tc>
          <w:tcPr>
            <w:tcW w:type="dxa" w:w="96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348 </w:t>
            </w:r>
          </w:p>
        </w:tc>
        <w:tc>
          <w:tcPr>
            <w:tcW w:type="dxa" w:w="664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4,527 </w:t>
            </w:r>
          </w:p>
        </w:tc>
        <w:tc>
          <w:tcPr>
            <w:tcW w:type="dxa" w:w="85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90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4,902 </w:t>
            </w:r>
          </w:p>
        </w:tc>
        <w:tc>
          <w:tcPr>
            <w:tcW w:type="dxa" w:w="96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251 </w:t>
            </w:r>
          </w:p>
        </w:tc>
        <w:tc>
          <w:tcPr>
            <w:tcW w:type="dxa" w:w="656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5,153 </w:t>
            </w:r>
          </w:p>
        </w:tc>
        <w:tc>
          <w:tcPr>
            <w:tcW w:type="dxa" w:w="85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736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(626) </w:t>
            </w:r>
          </w:p>
        </w:tc>
      </w:tr>
      <w:tr>
        <w:trPr>
          <w:trHeight w:hRule="exact" w:val="220"/>
        </w:trPr>
        <w:tc>
          <w:tcPr>
            <w:tcW w:type="dxa" w:w="261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6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24,791 $ </w:t>
            </w:r>
          </w:p>
        </w:tc>
        <w:tc>
          <w:tcPr>
            <w:tcW w:type="dxa" w:w="96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8,332 $ </w:t>
            </w:r>
          </w:p>
        </w:tc>
        <w:tc>
          <w:tcPr>
            <w:tcW w:type="dxa" w:w="664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33,123 </w:t>
            </w:r>
          </w:p>
        </w:tc>
        <w:tc>
          <w:tcPr>
            <w:tcW w:type="dxa" w:w="396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21,056 $ </w:t>
            </w:r>
          </w:p>
        </w:tc>
        <w:tc>
          <w:tcPr>
            <w:tcW w:type="dxa" w:w="96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7,191 $ </w:t>
            </w:r>
          </w:p>
        </w:tc>
        <w:tc>
          <w:tcPr>
            <w:tcW w:type="dxa" w:w="656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28,247 </w:t>
            </w:r>
          </w:p>
        </w:tc>
        <w:tc>
          <w:tcPr>
            <w:tcW w:type="dxa" w:w="344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6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4,876 </w:t>
            </w:r>
          </w:p>
        </w:tc>
      </w:tr>
      <w:tr>
        <w:trPr>
          <w:trHeight w:hRule="exact" w:val="260"/>
        </w:trPr>
        <w:tc>
          <w:tcPr>
            <w:tcW w:type="dxa" w:w="2610"/>
            <w:tcBorders>
              <w:top w:sz="8.0" w:val="single" w:color="#929292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>
              <w:top w:sz="8.0" w:val="single" w:color="#929292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8.0" w:val="single" w:color="#929292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top w:sz="8.0" w:val="single" w:color="#929292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top w:sz="8.0" w:val="single" w:color="#929292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"/>
            <w:tcBorders>
              <w:top w:sz="8.0" w:val="single" w:color="#929292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top w:sz="8.0" w:val="single" w:color="#929292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top w:sz="8.0" w:val="single" w:color="#929292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6"/>
            <w:tcBorders>
              <w:top w:sz="8.0" w:val="single" w:color="#929292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4"/>
            <w:tcBorders>
              <w:top w:sz="8.0" w:val="single" w:color="#929292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6"/>
            <w:tcBorders>
              <w:top w:sz="8.0" w:val="single" w:color="#929292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Excludes PSW related disbursements - $93 million (FY24 - $137 million) and includes disbursements towards guarantees called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- $212 million (FY24 - $100</w:t>
      </w:r>
      <w:r>
        <w:rPr>
          <w:rFonts w:ascii="Arial" w:hAnsi="Arial" w:eastAsia="Arial"/>
          <w:b w:val="0"/>
          <w:i/>
          <w:color w:val="000000"/>
          <w:sz w:val="16"/>
        </w:rPr>
        <w:t>million).</w:t>
      </w:r>
    </w:p>
    <w:p>
      <w:pPr>
        <w:autoSpaceDN w:val="0"/>
        <w:autoSpaceDE w:val="0"/>
        <w:widowControl/>
        <w:spacing w:line="240" w:lineRule="exact" w:before="19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50% of IDA’s loans were on regular terms (75 basis points SDR-equivalent service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charge) (Table 17). The increase in IDA’s revenue from loans in FY25 compared to FY24 was primarily </w:t>
      </w:r>
      <w:r>
        <w:rPr>
          <w:rFonts w:ascii="ArialMT" w:hAnsi="ArialMT" w:eastAsia="ArialMT"/>
          <w:b w:val="0"/>
          <w:i w:val="0"/>
          <w:color w:val="000000"/>
          <w:sz w:val="20"/>
        </w:rPr>
        <w:t>due to the higher average balances by $16.3 billion.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532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4763"/>
        <w:gridCol w:w="476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V: Development Activities, Products and Programs</w:t>
            </w:r>
          </w:p>
        </w:tc>
      </w:tr>
    </w:tbl>
    <w:p>
      <w:pPr>
        <w:autoSpaceDN w:val="0"/>
        <w:autoSpaceDE w:val="0"/>
        <w:widowControl/>
        <w:spacing w:line="224" w:lineRule="exact" w:before="718" w:after="0"/>
        <w:ind w:left="9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17: Revenue and Loan Balances by Product Category</w:t>
      </w:r>
    </w:p>
    <w:p>
      <w:pPr>
        <w:autoSpaceDN w:val="0"/>
        <w:autoSpaceDE w:val="0"/>
        <w:widowControl/>
        <w:spacing w:line="178" w:lineRule="exact" w:before="84" w:after="0"/>
        <w:ind w:left="9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202" w:lineRule="exact" w:before="100" w:after="14"/>
        <w:ind w:left="0" w:right="526" w:firstLine="0"/>
        <w:jc w:val="right"/>
      </w:pPr>
      <w:r>
        <w:rPr>
          <w:rFonts w:ascii="Arial" w:hAnsi="Arial" w:eastAsia="Arial"/>
          <w:b w:val="0"/>
          <w:i/>
          <w:color w:val="808080"/>
          <w:sz w:val="16"/>
        </w:rPr>
        <w:t xml:space="preserve">Interest revenue on loans </w:t>
      </w:r>
      <w:r>
        <w:rPr>
          <w:w w:val="103.99999618530273"/>
          <w:rFonts w:ascii="Arial" w:hAnsi="Arial" w:eastAsia="Arial"/>
          <w:b w:val="0"/>
          <w:i/>
          <w:color w:val="808080"/>
          <w:sz w:val="10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905"/>
        <w:gridCol w:w="1905"/>
        <w:gridCol w:w="1905"/>
        <w:gridCol w:w="1905"/>
        <w:gridCol w:w="1905"/>
      </w:tblGrid>
      <w:tr>
        <w:trPr>
          <w:trHeight w:hRule="exact" w:val="226"/>
        </w:trPr>
        <w:tc>
          <w:tcPr>
            <w:tcW w:type="dxa" w:w="243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Balance as of June 30,</w:t>
            </w:r>
          </w:p>
        </w:tc>
        <w:tc>
          <w:tcPr>
            <w:tcW w:type="dxa" w:w="68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24"/>
            <w:gridSpan w:val="2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5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For the fiscal year ended June 30,</w:t>
            </w:r>
          </w:p>
        </w:tc>
      </w:tr>
      <w:tr>
        <w:trPr>
          <w:trHeight w:hRule="exact" w:val="224"/>
        </w:trPr>
        <w:tc>
          <w:tcPr>
            <w:tcW w:type="dxa" w:w="243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Category</w:t>
            </w:r>
          </w:p>
        </w:tc>
        <w:tc>
          <w:tcPr>
            <w:tcW w:type="dxa" w:w="340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0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2025</w:t>
            </w:r>
          </w:p>
        </w:tc>
        <w:tc>
          <w:tcPr>
            <w:tcW w:type="dxa" w:w="68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  <w:tc>
          <w:tcPr>
            <w:tcW w:type="dxa" w:w="182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5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2025</w:t>
            </w:r>
          </w:p>
        </w:tc>
        <w:tc>
          <w:tcPr>
            <w:tcW w:type="dxa" w:w="1004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178" w:lineRule="exact" w:before="12" w:after="0"/>
        <w:ind w:left="1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Loans</w:t>
      </w:r>
    </w:p>
    <w:p>
      <w:pPr>
        <w:autoSpaceDN w:val="0"/>
        <w:autoSpaceDE w:val="0"/>
        <w:widowControl/>
        <w:spacing w:line="180" w:lineRule="exact" w:before="46" w:after="24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Concessional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>
        <w:trPr>
          <w:trHeight w:hRule="exact" w:val="204"/>
        </w:trPr>
        <w:tc>
          <w:tcPr>
            <w:tcW w:type="dxa" w:w="325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Regular</w:t>
            </w:r>
          </w:p>
        </w:tc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113,455 </w:t>
            </w:r>
          </w:p>
        </w:tc>
        <w:tc>
          <w:tcPr>
            <w:tcW w:type="dxa" w:w="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106,972 </w:t>
            </w:r>
          </w:p>
        </w:tc>
        <w:tc>
          <w:tcPr>
            <w:tcW w:type="dxa" w:w="6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844 </w:t>
            </w:r>
          </w:p>
        </w:tc>
        <w:tc>
          <w:tcPr>
            <w:tcW w:type="dxa" w:w="8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824 </w:t>
            </w:r>
          </w:p>
        </w:tc>
      </w:tr>
      <w:tr>
        <w:trPr>
          <w:trHeight w:hRule="exact" w:val="220"/>
        </w:trPr>
        <w:tc>
          <w:tcPr>
            <w:tcW w:type="dxa" w:w="325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Blend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81,160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74,162 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1,308 </w:t>
            </w:r>
          </w:p>
        </w:tc>
        <w:tc>
          <w:tcPr>
            <w:tcW w:type="dxa" w:w="15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1,183 </w:t>
            </w:r>
          </w:p>
        </w:tc>
      </w:tr>
      <w:tr>
        <w:trPr>
          <w:trHeight w:hRule="exact" w:val="240"/>
        </w:trPr>
        <w:tc>
          <w:tcPr>
            <w:tcW w:type="dxa" w:w="325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Hard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1,279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1,240 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 </w:t>
            </w:r>
          </w:p>
        </w:tc>
        <w:tc>
          <w:tcPr>
            <w:tcW w:type="dxa" w:w="15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</w:tr>
      <w:tr>
        <w:trPr>
          <w:trHeight w:hRule="exact" w:val="240"/>
        </w:trPr>
        <w:tc>
          <w:tcPr>
            <w:tcW w:type="dxa" w:w="325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Concessional Shorter-Maturity Loans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7,559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5,287 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NA</w:t>
            </w:r>
          </w:p>
        </w:tc>
        <w:tc>
          <w:tcPr>
            <w:tcW w:type="dxa" w:w="15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NA</w:t>
            </w:r>
          </w:p>
        </w:tc>
      </w:tr>
      <w:tr>
        <w:trPr>
          <w:trHeight w:hRule="exact" w:val="220"/>
        </w:trPr>
        <w:tc>
          <w:tcPr>
            <w:tcW w:type="dxa" w:w="325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50-year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4,672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2,390 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NA</w:t>
            </w:r>
          </w:p>
        </w:tc>
        <w:tc>
          <w:tcPr>
            <w:tcW w:type="dxa" w:w="15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NA</w:t>
            </w:r>
          </w:p>
        </w:tc>
      </w:tr>
      <w:tr>
        <w:trPr>
          <w:trHeight w:hRule="exact" w:val="240"/>
        </w:trPr>
        <w:tc>
          <w:tcPr>
            <w:tcW w:type="dxa" w:w="32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Non-concessional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19,118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12,111 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783 </w:t>
            </w:r>
          </w:p>
        </w:tc>
        <w:tc>
          <w:tcPr>
            <w:tcW w:type="dxa" w:w="15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553 </w:t>
            </w:r>
          </w:p>
        </w:tc>
      </w:tr>
      <w:tr>
        <w:trPr>
          <w:trHeight w:hRule="exact" w:val="242"/>
        </w:trPr>
        <w:tc>
          <w:tcPr>
            <w:tcW w:type="dxa" w:w="3250"/>
            <w:gridSpan w:val="2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1720"/>
            <w:gridSpan w:val="2"/>
            <w:tcBorders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644 </w:t>
            </w:r>
          </w:p>
        </w:tc>
        <w:tc>
          <w:tcPr>
            <w:tcW w:type="dxa" w:w="1500"/>
            <w:gridSpan w:val="2"/>
            <w:tcBorders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386 </w:t>
            </w:r>
          </w:p>
        </w:tc>
        <w:tc>
          <w:tcPr>
            <w:tcW w:type="dxa" w:w="1320"/>
            <w:gridSpan w:val="3"/>
            <w:tcBorders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  <w:tc>
          <w:tcPr>
            <w:tcW w:type="dxa" w:w="1544"/>
            <w:gridSpan w:val="3"/>
            <w:tcBorders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</w:tr>
      <w:tr>
        <w:trPr>
          <w:trHeight w:hRule="exact" w:val="204"/>
        </w:trPr>
        <w:tc>
          <w:tcPr>
            <w:tcW w:type="dxa" w:w="3250"/>
            <w:gridSpan w:val="2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38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1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2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227,887 </w:t>
            </w:r>
          </w:p>
        </w:tc>
        <w:tc>
          <w:tcPr>
            <w:tcW w:type="dxa" w:w="518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2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202,548 </w:t>
            </w:r>
          </w:p>
        </w:tc>
        <w:tc>
          <w:tcPr>
            <w:tcW w:type="dxa" w:w="608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2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2"/>
            <w:gridSpan w:val="2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3,006 </w:t>
            </w:r>
          </w:p>
        </w:tc>
        <w:tc>
          <w:tcPr>
            <w:tcW w:type="dxa" w:w="788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2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6"/>
            <w:gridSpan w:val="2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2,620 </w:t>
            </w:r>
          </w:p>
        </w:tc>
      </w:tr>
      <w:tr>
        <w:trPr>
          <w:trHeight w:hRule="exact" w:val="432"/>
        </w:trPr>
        <w:tc>
          <w:tcPr>
            <w:tcW w:type="dxa" w:w="29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a.</w:t>
            </w:r>
          </w:p>
        </w:tc>
        <w:tc>
          <w:tcPr>
            <w:tcW w:type="dxa" w:w="9044"/>
            <w:gridSpan w:val="11"/>
            <w:tcBorders>
              <w:top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Excludes interest rate swap income or expense from loan related derivatives - $15 million of income in FY25 ($19 million of </w:t>
            </w:r>
          </w:p>
        </w:tc>
      </w:tr>
    </w:tbl>
    <w:p>
      <w:pPr>
        <w:autoSpaceDN w:val="0"/>
        <w:autoSpaceDE w:val="0"/>
        <w:widowControl/>
        <w:spacing w:line="178" w:lineRule="exact" w:before="2" w:after="18"/>
        <w:ind w:left="50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income in FY24).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4763"/>
        <w:gridCol w:w="4763"/>
      </w:tblGrid>
      <w:tr>
        <w:trPr>
          <w:trHeight w:hRule="exact" w:val="416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b.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c.</w:t>
            </w:r>
          </w:p>
        </w:tc>
        <w:tc>
          <w:tcPr>
            <w:tcW w:type="dxa" w:w="9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Effective FY18, Hard-term loans are no longer offered.</w:t>
            </w:r>
          </w:p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 addition, $23 million of commitment charges were earned in FY25 on undisbursed balances of non-concessional loans </w:t>
            </w:r>
          </w:p>
        </w:tc>
      </w:tr>
    </w:tbl>
    <w:p>
      <w:pPr>
        <w:autoSpaceDN w:val="0"/>
        <w:autoSpaceDE w:val="0"/>
        <w:widowControl/>
        <w:spacing w:line="180" w:lineRule="exact" w:before="6" w:after="12"/>
        <w:ind w:left="50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($26 million in FY24).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4763"/>
        <w:gridCol w:w="4763"/>
      </w:tblGrid>
      <w:tr>
        <w:trPr>
          <w:trHeight w:hRule="exact" w:val="252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d.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Represents loans under the PSW and others.</w:t>
            </w:r>
          </w:p>
        </w:tc>
      </w:tr>
    </w:tbl>
    <w:p>
      <w:pPr>
        <w:autoSpaceDN w:val="0"/>
        <w:autoSpaceDE w:val="0"/>
        <w:widowControl/>
        <w:spacing w:line="246" w:lineRule="exact" w:before="140" w:after="0"/>
        <w:ind w:left="9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Climate Resilient Debt Clause (CRDC)</w:t>
      </w:r>
    </w:p>
    <w:p>
      <w:pPr>
        <w:autoSpaceDN w:val="0"/>
        <w:autoSpaceDE w:val="0"/>
        <w:widowControl/>
        <w:spacing w:line="240" w:lineRule="exact" w:before="126" w:after="0"/>
        <w:ind w:left="9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offers CRDCs for eligible new and existing loans (with minimum remaining maturity of five years),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>certain borrowers</w:t>
      </w:r>
      <w:r>
        <w:rPr>
          <w:rFonts w:ascii="ArialMT" w:hAnsi="ArialMT" w:eastAsia="ArialMT"/>
          <w:b w:val="0"/>
          <w:i w:val="0"/>
          <w:color w:val="000000"/>
          <w:sz w:val="13"/>
        </w:rPr>
        <w:t>5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CRDCs allow eligible borrowing countries to defer payments of principal and/or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interest (and other loan charges) for up to two years after an eligible event. After the deferral period,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borrower will restart payments of the deferred amounts according to a modified amortization schedule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maintains the original weighted average maturity of the loan and does not extend the final maturity date.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eligible events when the clause was first offered were tropical cyclones and earthquakes. In October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2024, the Board approved an extension of the covered events to include all natural catastrophes,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including droughts, floods, and public health emergencies caused by a biological event. Total IDA loans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outstanding as of June 30, 2025 for the 27 countries (including Blend countries) that are eligible to adopt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clause for CRDCs was $5.2 billion. </w:t>
      </w:r>
    </w:p>
    <w:p>
      <w:pPr>
        <w:autoSpaceDN w:val="0"/>
        <w:autoSpaceDE w:val="0"/>
        <w:widowControl/>
        <w:spacing w:line="238" w:lineRule="exact" w:before="459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3"/>
        </w:rPr>
        <w:t>5</w:t>
      </w:r>
      <w:r>
        <w:rPr>
          <w:rFonts w:ascii="Arial" w:hAnsi="Arial" w:eastAsia="Arial"/>
          <w:b w:val="0"/>
          <w:i/>
          <w:color w:val="000000"/>
          <w:sz w:val="14"/>
        </w:rPr>
        <w:t>Eligible borrowers are IDA Small State Economies, members of the Small States Forum, and Small Island Developing States as defined by the United</w:t>
      </w:r>
    </w:p>
    <w:p>
      <w:pPr>
        <w:autoSpaceDN w:val="0"/>
        <w:autoSpaceDE w:val="0"/>
        <w:widowControl/>
        <w:spacing w:line="156" w:lineRule="exact" w:before="40" w:after="0"/>
        <w:ind w:left="9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Nations.</w:t>
      </w:r>
    </w:p>
    <w:p>
      <w:pPr>
        <w:autoSpaceDN w:val="0"/>
        <w:tabs>
          <w:tab w:pos="9228" w:val="left"/>
        </w:tabs>
        <w:autoSpaceDE w:val="0"/>
        <w:widowControl/>
        <w:spacing w:line="224" w:lineRule="exact" w:before="532" w:after="0"/>
        <w:ind w:left="346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33</w:t>
      </w:r>
    </w:p>
    <w:p>
      <w:pPr>
        <w:sectPr>
          <w:pgSz w:w="12240" w:h="15840"/>
          <w:pgMar w:top="216" w:right="1364" w:bottom="360" w:left="13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VI: Other Development Activities and Programs</w:t>
            </w:r>
          </w:p>
        </w:tc>
      </w:tr>
    </w:tbl>
    <w:p>
      <w:pPr>
        <w:autoSpaceDN w:val="0"/>
        <w:autoSpaceDE w:val="0"/>
        <w:widowControl/>
        <w:spacing w:line="358" w:lineRule="exact" w:before="75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2"/>
        </w:rPr>
        <w:t>Section VI: Other Development Activities and Programs</w:t>
      </w:r>
    </w:p>
    <w:p>
      <w:pPr>
        <w:autoSpaceDN w:val="0"/>
        <w:autoSpaceDE w:val="0"/>
        <w:widowControl/>
        <w:spacing w:line="240" w:lineRule="exact" w:before="218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has products, services, and programs, other than lending, that it offers to its borrowing member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countries to help them meet their development goals. These include guarantees, debt relief, trust fund </w:t>
      </w:r>
      <w:r>
        <w:rPr>
          <w:rFonts w:ascii="ArialMT" w:hAnsi="ArialMT" w:eastAsia="ArialMT"/>
          <w:b w:val="0"/>
          <w:i w:val="0"/>
          <w:color w:val="000000"/>
          <w:sz w:val="20"/>
        </w:rPr>
        <w:t>administration, and externally funded reimbursable advisory services.</w:t>
      </w:r>
    </w:p>
    <w:p>
      <w:pPr>
        <w:autoSpaceDN w:val="0"/>
        <w:autoSpaceDE w:val="0"/>
        <w:widowControl/>
        <w:spacing w:line="312" w:lineRule="exact" w:before="12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Guarantees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offers both project-based and policy-based guarantees. These guarantees are available for projects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programs in member countries to help mobilize private financing for development purposes. IDA’s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guarantees are partial in nature as they are intended to cover risks only to the extent necessary to obtain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required private financing, taking into account country, market and, if appropriate, project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circumstances. IDA’s guarantees require a sovereign counter-guarantee and indemnity, comparable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requirement of a sovereign guarantee for IDA lending to sub-sovereign and non-sovereign borrowers. See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Box 4 for the types of guarantees that IDA provides. These guarantees are separate and distinct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those offered under the Private Sector Window. On July 1, 2024, the WBG Guarantee Platform, housed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MIGA, was launched to bring together products and experts from the World Bank, IFC, and MIGA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help boost WBG annual guarantee issuances for all entities.</w:t>
      </w:r>
    </w:p>
    <w:p>
      <w:pPr>
        <w:autoSpaceDN w:val="0"/>
        <w:autoSpaceDE w:val="0"/>
        <w:widowControl/>
        <w:spacing w:line="224" w:lineRule="exact" w:before="204" w:after="30"/>
        <w:ind w:left="9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Box 4: Types of Guarantees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.99999999999994" w:type="dxa"/>
      </w:tblPr>
      <w:tblGrid>
        <w:gridCol w:w="3149"/>
        <w:gridCol w:w="3149"/>
        <w:gridCol w:w="3149"/>
      </w:tblGrid>
      <w:tr>
        <w:trPr>
          <w:trHeight w:hRule="exact" w:val="374"/>
        </w:trPr>
        <w:tc>
          <w:tcPr>
            <w:tcW w:type="dxa" w:w="1576"/>
            <w:vMerge w:val="restart"/>
            <w:tcBorders/>
            <w:shd w:fill="4c7f9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4" w:after="0"/>
              <w:ind w:left="234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 xml:space="preserve">Project-based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guarantees</w:t>
            </w:r>
          </w:p>
          <w:p>
            <w:pPr>
              <w:autoSpaceDN w:val="0"/>
              <w:autoSpaceDE w:val="0"/>
              <w:widowControl/>
              <w:spacing w:line="180" w:lineRule="exact" w:before="836" w:after="0"/>
              <w:ind w:left="234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 xml:space="preserve">Policy-based </w:t>
            </w: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guarantees</w:t>
            </w:r>
          </w:p>
        </w:tc>
        <w:tc>
          <w:tcPr>
            <w:tcW w:type="dxa" w:w="7800"/>
            <w:gridSpan w:val="2"/>
            <w:tcBorders/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Project-based guarantees are provided to mobilize private financing for a project and/or mitigate payment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and/or performance related risks of a project. There are two types:</w:t>
            </w:r>
          </w:p>
        </w:tc>
      </w:tr>
      <w:tr>
        <w:trPr>
          <w:trHeight w:hRule="exact" w:val="860"/>
        </w:trPr>
        <w:tc>
          <w:tcPr>
            <w:tcW w:type="dxa" w:w="3149"/>
            <w:vMerge/>
            <w:tcBorders/>
          </w:tcPr>
          <w:p/>
        </w:tc>
        <w:tc>
          <w:tcPr>
            <w:tcW w:type="dxa" w:w="418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7382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122" w:right="6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 guarantees: these cover loan-related debt service defaults caused by the government’s failure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to meet specific payment and/or performance obligations arising from contract, law, or regulation.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 guarantees include coverage for debt service defaults on: (i) commercial debt, normally for 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private sector project; and, (ii) a specific portion of commercial debt irrespective of the cause of such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default, normally for a public-sector project.</w:t>
            </w:r>
          </w:p>
        </w:tc>
      </w:tr>
      <w:tr>
        <w:trPr>
          <w:trHeight w:hRule="exact" w:val="380"/>
        </w:trPr>
        <w:tc>
          <w:tcPr>
            <w:tcW w:type="dxa" w:w="3149"/>
            <w:vMerge/>
            <w:tcBorders/>
          </w:tcPr>
          <w:p/>
        </w:tc>
        <w:tc>
          <w:tcPr>
            <w:tcW w:type="dxa" w:w="418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7382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Payment guarantees: These cover payment default on non-loan related government payment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obligations to private entities and foreign public entities arising from contract, law, or regulation.</w:t>
            </w:r>
          </w:p>
        </w:tc>
      </w:tr>
      <w:tr>
        <w:trPr>
          <w:trHeight w:hRule="exact" w:val="742"/>
        </w:trPr>
        <w:tc>
          <w:tcPr>
            <w:tcW w:type="dxa" w:w="3149"/>
            <w:vMerge/>
            <w:tcBorders/>
          </w:tcPr>
          <w:p/>
        </w:tc>
        <w:tc>
          <w:tcPr>
            <w:tcW w:type="dxa" w:w="7800"/>
            <w:gridSpan w:val="2"/>
            <w:tcBorders/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52" w:right="15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Policy-based guarantees are provided to mobilize private financing for sovereigns or sub-sovereigns. They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cover debt service default, irrespective of the cause of such default, on a specific portion of commercial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debt owed by government and associated with the supported government’s program of policy and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institutional actions.</w:t>
            </w:r>
          </w:p>
        </w:tc>
      </w:tr>
    </w:tbl>
    <w:p>
      <w:pPr>
        <w:autoSpaceDN w:val="0"/>
        <w:autoSpaceDE w:val="0"/>
        <w:widowControl/>
        <w:spacing w:line="268" w:lineRule="exact" w:before="17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Guarantee Exposure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guarantee exposure is measured by discounting each guaranteed amount from its next call date.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had $2,813 million of guarantee exposure as of June 30, 2025 ($2,774 million — June 30, 2024),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including guarantee exposure under PSW guarantees of $1,173 million as of June 30, 2025 ($1,169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— June 30, 2024). For additional information, see Notes to the Financial Statements for the year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ended June 30, 2025, Notes D – Loans and Other Exposures and Note H – Transactions with Affiliated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>Organizations.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436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VI: Other Development Activities and Programs</w:t>
            </w:r>
          </w:p>
        </w:tc>
      </w:tr>
    </w:tbl>
    <w:p>
      <w:pPr>
        <w:autoSpaceDN w:val="0"/>
        <w:autoSpaceDE w:val="0"/>
        <w:widowControl/>
        <w:spacing w:line="314" w:lineRule="exact" w:before="70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Other Financial Products and Services</w:t>
      </w:r>
    </w:p>
    <w:p>
      <w:pPr>
        <w:autoSpaceDN w:val="0"/>
        <w:autoSpaceDE w:val="0"/>
        <w:widowControl/>
        <w:spacing w:line="240" w:lineRule="exact" w:before="14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facilitates access to risk management solutions to mitigate the financial effects of natural disasters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borrowing members. Financial solutions can include disaster risk financing through catastrophe swaps, </w:t>
      </w:r>
      <w:r>
        <w:rPr>
          <w:rFonts w:ascii="ArialMT" w:hAnsi="ArialMT" w:eastAsia="ArialMT"/>
          <w:b w:val="0"/>
          <w:i w:val="0"/>
          <w:color w:val="000000"/>
          <w:sz w:val="20"/>
        </w:rPr>
        <w:t>insurance and reinsurance contracts, and regional pooling facilities.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Catastrophe Deferred Draw-Down Option (CAT-DDO) promotes countries' resilience to disasters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expands the range of IDA's crisis instruments. The CAT-DDO is a contingent credit line that provides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immediate liquidity to countries in the aftermath of a catastrophe and serves as early financing while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funds from other sources such as bilateral aid or reconstruction loans are being mobilized. CAT-DDOs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intended to enhance IDA countries’ capacity to plan for and manage crises. As of June 30, 2025,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amount of CAT DDOs disbursed and outstanding was $677 million ($436 million as of June 30, 2024),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the undisbursed amount of effective or disbursing CAT DDOs was $460 million, compared to $224 </w:t>
      </w:r>
      <w:r>
        <w:rPr>
          <w:rFonts w:ascii="ArialMT" w:hAnsi="ArialMT" w:eastAsia="ArialMT"/>
          <w:b w:val="0"/>
          <w:i w:val="0"/>
          <w:color w:val="000000"/>
          <w:sz w:val="20"/>
        </w:rPr>
        <w:t>million a year earlier.</w:t>
      </w:r>
    </w:p>
    <w:p>
      <w:pPr>
        <w:autoSpaceDN w:val="0"/>
        <w:autoSpaceDE w:val="0"/>
        <w:widowControl/>
        <w:spacing w:line="314" w:lineRule="exact" w:before="1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Grant Making Facilities</w:t>
      </w:r>
    </w:p>
    <w:p>
      <w:pPr>
        <w:autoSpaceDN w:val="0"/>
        <w:autoSpaceDE w:val="0"/>
        <w:widowControl/>
        <w:spacing w:line="240" w:lineRule="exact" w:before="14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Grant Making Facilities (GMFs) are contributions to specific trust funds and are complementary to IDA’s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work. In FY25, the amount under this program was $20 million in accordance with the cost sharing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agreement with IBRD (FY24 - $20 million). These amounts are recorded in Non-Interest Expenses - </w:t>
      </w:r>
      <w:r>
        <w:rPr>
          <w:rFonts w:ascii="ArialMT" w:hAnsi="ArialMT" w:eastAsia="ArialMT"/>
          <w:b w:val="0"/>
          <w:i w:val="0"/>
          <w:color w:val="000000"/>
          <w:sz w:val="20"/>
        </w:rPr>
        <w:t>Contribution to Special Programs in IDA’s Statements of Income.</w:t>
      </w:r>
    </w:p>
    <w:p>
      <w:pPr>
        <w:autoSpaceDN w:val="0"/>
        <w:autoSpaceDE w:val="0"/>
        <w:widowControl/>
        <w:spacing w:line="314" w:lineRule="exact" w:before="1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Debt Relief</w:t>
      </w:r>
    </w:p>
    <w:p>
      <w:pPr>
        <w:autoSpaceDN w:val="0"/>
        <w:autoSpaceDE w:val="0"/>
        <w:widowControl/>
        <w:spacing w:line="240" w:lineRule="exact" w:before="14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Heavily Indebted Poor Countries Debt Initiative (HIPC Initiative) was launched in 1996 as a joint effort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bilateral and multilateral creditors to provide debt relief to the poorest countries to reduce their external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debt payments to sustainable levels. Under the HIPC initiative, implementation mechanisms include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partial forgiveness of IDA debt service as it comes due and partial repayment with IDA resources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outstanding IBRD debt. The Multilateral Debt Relief Initiative (MDRI) was implemented in 2006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provides debt relief by writing-off eligible loans upon qualifying borrowers reaching the HIPC Completion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Point. Both initiatives are part of a global effort focused on heavily indebted poor countries with strong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policy performance. The initiatives aim to reduce the external debt of eligible countries as part of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broader poverty reduction strategy, whilst safeguarding the long-term financial capacity of IDA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participating multilateral institutions; and encouraging the best use of additional member resources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>development, by allocating these resources to low-income countries on the basis of policy performance.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order to receive irrevocable debt relief, eligible countries are required to maintain macroeconomic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stability, carry out key structural and social reforms, and implement a Poverty Reduction Strategy,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addition to being in good standing with respect to all eligible debt repayments. To ensure IDA’s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capacity was not eroded, members agreed to compensate IDA with additional contributions to offset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impact of the forgone reflows, resulting from the provision of debt relief.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accumulated provision for debt relief was recorded at the inception of the initiative and is based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both quantitative and qualitative analyses of various factors, including estimates of the Decision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Completion Point dates. These factors are periodically reviewed, and the adequacy of the accumulated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provision is reassessed and adjusted to reflect the impact of any changes.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FY25, HIPC debt relief was provided on $12 million of loans ($10 million in FY24). HIPC debt relief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service charges for FY25 was less than $1 million (FY24 - Nil). On a cumulative basis, debt relief has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been provided on $2.2 billion of loans and $335 million of service charges under HIPC as of 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>2025.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FY25, there were no loans eligible for relief under MDRI. On a cumulative basis, debt relief has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been provided on $40.3 billion of loans under the MDRI as of June 30, 2025. The provision for the debt </w:t>
      </w:r>
      <w:r>
        <w:rPr>
          <w:rFonts w:ascii="ArialMT" w:hAnsi="ArialMT" w:eastAsia="ArialMT"/>
          <w:b w:val="0"/>
          <w:i w:val="0"/>
          <w:color w:val="000000"/>
          <w:sz w:val="20"/>
        </w:rPr>
        <w:t>relief was recorded at the beginning of the MDRI Initiative.</w:t>
      </w:r>
    </w:p>
    <w:p>
      <w:pPr>
        <w:autoSpaceDN w:val="0"/>
        <w:tabs>
          <w:tab w:pos="9138" w:val="left"/>
        </w:tabs>
        <w:autoSpaceDE w:val="0"/>
        <w:widowControl/>
        <w:spacing w:line="224" w:lineRule="exact" w:before="1220" w:after="0"/>
        <w:ind w:left="33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35</w:t>
      </w: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VI: Other Development Activities and Programs</w:t>
            </w:r>
          </w:p>
        </w:tc>
      </w:tr>
    </w:tbl>
    <w:p>
      <w:pPr>
        <w:autoSpaceDN w:val="0"/>
        <w:autoSpaceDE w:val="0"/>
        <w:widowControl/>
        <w:spacing w:line="314" w:lineRule="exact" w:before="70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Externally-Funded Activities</w:t>
      </w:r>
    </w:p>
    <w:p>
      <w:pPr>
        <w:autoSpaceDN w:val="0"/>
        <w:autoSpaceDE w:val="0"/>
        <w:widowControl/>
        <w:spacing w:line="240" w:lineRule="exact" w:before="14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Mobilization of external funds from third-party partners includes trust funds. Additional external funds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 reimbursable funds and revenues from fee-based services to member countries, which are related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>to Reimbursable Advisory Services (RAS) and EFO.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Trust Funds 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Trust Funds are a part of the WBG’s development activities, providing resources and added flexibility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providing development solutions that serve member recipients and donors alike. The partnerships funded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trust funds often serve as a platform from which IDA and its members can draw on the WBG’s diverse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technical and financial resources to achieve development goals that cannot be addressed effectively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any single member, given their complexity, scale, and scope. IDA’s roles and responsibilities in managing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trust funds depend on the type of fund, outlined as follows:</w:t>
      </w:r>
    </w:p>
    <w:p>
      <w:pPr>
        <w:autoSpaceDN w:val="0"/>
        <w:tabs>
          <w:tab w:pos="540" w:val="left"/>
        </w:tabs>
        <w:autoSpaceDE w:val="0"/>
        <w:widowControl/>
        <w:spacing w:line="240" w:lineRule="exact" w:before="120" w:after="0"/>
        <w:ind w:left="18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Bank-executed activities for trust funds: IDA, alone or jointly with one or more of its affiliated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organizations, manages the funds and implements the activities financed. These trust funds support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work program. IDA, as an executing agency, disbursed $768 million in FY25 ($705 million in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FY24) of trust fund program funds, which was included in Non-interest expense, Administrative in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IDA's Statements of Income with corresponding revenue included in Non-interest revenue,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Revenue from externally funded activities.</w:t>
      </w:r>
    </w:p>
    <w:p>
      <w:pPr>
        <w:autoSpaceDN w:val="0"/>
        <w:tabs>
          <w:tab w:pos="540" w:val="left"/>
        </w:tabs>
        <w:autoSpaceDE w:val="0"/>
        <w:widowControl/>
        <w:spacing w:line="240" w:lineRule="exact" w:before="120" w:after="0"/>
        <w:ind w:left="18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Recipient-executed activities for trust funds: Funds are provided to a third party, normally in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form of project grant financing, and are supervised by IDA.</w:t>
      </w:r>
    </w:p>
    <w:p>
      <w:pPr>
        <w:autoSpaceDN w:val="0"/>
        <w:tabs>
          <w:tab w:pos="540" w:val="left"/>
        </w:tabs>
        <w:autoSpaceDE w:val="0"/>
        <w:widowControl/>
        <w:spacing w:line="240" w:lineRule="exact" w:before="120" w:after="0"/>
        <w:ind w:left="18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Intermediary Funds (FIFs): IDA, as a trustee, administrator, or treasury manager, offers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specific administrative or financial services with a limited operational role. Arrangements include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administration of debt service trust funds, fiscal agency funds and other more specialized limited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fund management roles.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uses a cost recovery framework for trust funds, which aims to recover the costs of performing agreed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roles in administrating trust funds, and is guided by principles of transparency, fairness, simplification, </w:t>
      </w:r>
      <w:r>
        <w:rPr>
          <w:rFonts w:ascii="ArialMT" w:hAnsi="ArialMT" w:eastAsia="ArialMT"/>
          <w:b w:val="0"/>
          <w:i w:val="0"/>
          <w:color w:val="000000"/>
          <w:sz w:val="20"/>
        </w:rPr>
        <w:t>standardization, predictability, and consistent treatment across all trust fund donors.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continues to implement measures to better integrate planning, support sustainability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enhance alignment of external funds with mission priorities through greater use of umbrella trust fund </w:t>
      </w:r>
      <w:r>
        <w:rPr>
          <w:rFonts w:ascii="ArialMT" w:hAnsi="ArialMT" w:eastAsia="ArialMT"/>
          <w:b w:val="0"/>
          <w:i w:val="0"/>
          <w:color w:val="000000"/>
          <w:sz w:val="20"/>
        </w:rPr>
        <w:t>programs.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FY25, IDA’s share of revenue and fees from trust fund administration activity was $88 million ($93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in FY24). The decrease in fees was mainly driven by lower levels of trust fund disbursement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activity. For additional information, see Notes to the Financial Statements for the year ended 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2025, Note K - Trust Funds Administration.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noted in the discussion of trust fund activities above, IDA, alone or jointly with one or more of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affiliated organizations, administers funds restricted for specific uses on the donors’ behalf. Such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administration is governed by agreements with donors, who include members, their agencies,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entities. These funds are held in trust and are not included on IDA’s Balance Sheets. See Table 18.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funds did not include $734 million of undisbursed third-party contributions made to Bank-executed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activities for trust funds, which are recognized on IDA's Balance Sheets. These amounts are included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assets and the corresponding liabilities are included in Accounts payable and miscellaneous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liabilities on the Balance Sheets. 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232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VI: Other Development Activities and Programs</w:t>
            </w:r>
          </w:p>
        </w:tc>
      </w:tr>
    </w:tbl>
    <w:p>
      <w:pPr>
        <w:autoSpaceDN w:val="0"/>
        <w:autoSpaceDE w:val="0"/>
        <w:widowControl/>
        <w:spacing w:line="224" w:lineRule="exact" w:before="71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18: Funds Held in Trust by IDA</w:t>
      </w:r>
    </w:p>
    <w:p>
      <w:pPr>
        <w:autoSpaceDN w:val="0"/>
        <w:autoSpaceDE w:val="0"/>
        <w:widowControl/>
        <w:spacing w:line="178" w:lineRule="exact" w:before="84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</w:p>
    <w:p>
      <w:pPr>
        <w:autoSpaceDN w:val="0"/>
        <w:autoSpaceDE w:val="0"/>
        <w:widowControl/>
        <w:spacing w:line="178" w:lineRule="exact" w:before="130" w:after="32"/>
        <w:ind w:left="0" w:right="804" w:firstLine="0"/>
        <w:jc w:val="right"/>
      </w:pPr>
      <w:r>
        <w:rPr>
          <w:rFonts w:ascii="Arial" w:hAnsi="Arial" w:eastAsia="Arial"/>
          <w:b w:val="0"/>
          <w:i/>
          <w:color w:val="808080"/>
          <w:sz w:val="16"/>
        </w:rPr>
        <w:t>Total Fiduciary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42"/>
        </w:trPr>
        <w:tc>
          <w:tcPr>
            <w:tcW w:type="dxa" w:w="6330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As of June 30,</w:t>
            </w:r>
          </w:p>
        </w:tc>
        <w:tc>
          <w:tcPr>
            <w:tcW w:type="dxa" w:w="480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2025 </w:t>
            </w:r>
          </w:p>
        </w:tc>
        <w:tc>
          <w:tcPr>
            <w:tcW w:type="dxa" w:w="680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</w:tr>
      <w:tr>
        <w:trPr>
          <w:trHeight w:hRule="exact" w:val="228"/>
        </w:trPr>
        <w:tc>
          <w:tcPr>
            <w:tcW w:type="dxa" w:w="6330"/>
            <w:tcBorders>
              <w:top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Bank-executed activities</w:t>
            </w:r>
          </w:p>
        </w:tc>
        <w:tc>
          <w:tcPr>
            <w:tcW w:type="dxa" w:w="480"/>
            <w:vMerge w:val="restart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>
              <w:top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 </w:t>
            </w:r>
          </w:p>
        </w:tc>
        <w:tc>
          <w:tcPr>
            <w:tcW w:type="dxa" w:w="680"/>
            <w:vMerge w:val="restart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$ </w:t>
            </w:r>
          </w:p>
        </w:tc>
        <w:tc>
          <w:tcPr>
            <w:tcW w:type="dxa" w:w="870"/>
            <w:tcBorders>
              <w:top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 </w:t>
            </w:r>
          </w:p>
        </w:tc>
      </w:tr>
      <w:tr>
        <w:trPr>
          <w:trHeight w:hRule="exact" w:val="240"/>
        </w:trPr>
        <w:tc>
          <w:tcPr>
            <w:tcW w:type="dxa" w:w="63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Jointly executed with affiliated organization</w:t>
            </w:r>
          </w:p>
        </w:tc>
        <w:tc>
          <w:tcPr>
            <w:tcW w:type="dxa" w:w="188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1,059 </w:t>
            </w:r>
          </w:p>
        </w:tc>
        <w:tc>
          <w:tcPr>
            <w:tcW w:type="dxa" w:w="188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1,085 </w:t>
            </w:r>
          </w:p>
        </w:tc>
      </w:tr>
      <w:tr>
        <w:trPr>
          <w:trHeight w:hRule="exact" w:val="240"/>
        </w:trPr>
        <w:tc>
          <w:tcPr>
            <w:tcW w:type="dxa" w:w="63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Recipient-executed activities</w:t>
            </w:r>
          </w:p>
        </w:tc>
        <w:tc>
          <w:tcPr>
            <w:tcW w:type="dxa" w:w="188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2,147 </w:t>
            </w:r>
          </w:p>
        </w:tc>
        <w:tc>
          <w:tcPr>
            <w:tcW w:type="dxa" w:w="188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2,173 </w:t>
            </w:r>
          </w:p>
        </w:tc>
      </w:tr>
      <w:tr>
        <w:trPr>
          <w:trHeight w:hRule="exact" w:val="220"/>
        </w:trPr>
        <w:tc>
          <w:tcPr>
            <w:tcW w:type="dxa" w:w="63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Financial intermediary funds</w:t>
            </w:r>
          </w:p>
        </w:tc>
        <w:tc>
          <w:tcPr>
            <w:tcW w:type="dxa" w:w="188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252 </w:t>
            </w:r>
          </w:p>
        </w:tc>
        <w:tc>
          <w:tcPr>
            <w:tcW w:type="dxa" w:w="188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301 </w:t>
            </w:r>
          </w:p>
        </w:tc>
      </w:tr>
      <w:tr>
        <w:trPr>
          <w:trHeight w:hRule="exact" w:val="272"/>
        </w:trPr>
        <w:tc>
          <w:tcPr>
            <w:tcW w:type="dxa" w:w="6330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Execution not yet assigned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88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1020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6,643 </w:t>
            </w:r>
          </w:p>
        </w:tc>
        <w:tc>
          <w:tcPr>
            <w:tcW w:type="dxa" w:w="1889"/>
            <w:vMerge/>
            <w:tcBorders>
              <w:top w:sz="8.0" w:val="single" w:color="#929292"/>
              <w:bottom w:sz="8.0" w:val="single" w:color="#929292"/>
            </w:tcBorders>
          </w:tcPr>
          <w:p/>
        </w:tc>
        <w:tc>
          <w:tcPr>
            <w:tcW w:type="dxa" w:w="870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6,447 </w:t>
            </w:r>
          </w:p>
        </w:tc>
      </w:tr>
      <w:tr>
        <w:trPr>
          <w:trHeight w:hRule="exact" w:val="220"/>
        </w:trPr>
        <w:tc>
          <w:tcPr>
            <w:tcW w:type="dxa" w:w="633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8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9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10,129 </w:t>
            </w:r>
          </w:p>
        </w:tc>
        <w:tc>
          <w:tcPr>
            <w:tcW w:type="dxa" w:w="68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$ </w:t>
            </w:r>
          </w:p>
        </w:tc>
        <w:tc>
          <w:tcPr>
            <w:tcW w:type="dxa" w:w="87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10,033 </w:t>
            </w:r>
          </w:p>
        </w:tc>
      </w:tr>
    </w:tbl>
    <w:p>
      <w:pPr>
        <w:autoSpaceDN w:val="0"/>
        <w:autoSpaceDE w:val="0"/>
        <w:widowControl/>
        <w:spacing w:line="178" w:lineRule="exact" w:before="29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These represent assets held in trust for which the determination as to the type of execution is yet to be finalized.</w:t>
      </w:r>
    </w:p>
    <w:p>
      <w:pPr>
        <w:autoSpaceDN w:val="0"/>
        <w:autoSpaceDE w:val="0"/>
        <w:widowControl/>
        <w:spacing w:line="268" w:lineRule="exact" w:before="20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Reimbursable Advisory Services (RAS)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While most of IDA’s advisory and analytical work is financed by its own budget or donor contributions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(e.g., trust funds), clients may also pay for services. IDA offers technical assistance and other advisory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services to its member countries, in connection with, and independent of, lending operations. Available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services include, for example, assigning qualified professionals to survey developmental opportunities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member countries; analyzing member countries fiscal, economic, and developmental environments;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helping members devise coordinated development programs; and improving their asset and liability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techniques. In FY25, income relating to reimbursable advisory services was $47 million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(FY24 - $44 million).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Externally Financed Outputs (EFOs) 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offers donors the ability to contribute to specific projects and programs. EFO contributions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recorded as restricted revenue when received because they are for contractually specified purposes. IDA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received and recorded $5 million of restricted revenue in FY25 (FY24 - $8 million), which was included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line "Total net non-interest expenses – Reported basis" in Table 10.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Restrictions are released once the funds are used for the purposes specified by donors. In FY25, there </w:t>
      </w:r>
      <w:r>
        <w:rPr>
          <w:rFonts w:ascii="ArialMT" w:hAnsi="ArialMT" w:eastAsia="ArialMT"/>
          <w:b w:val="0"/>
          <w:i w:val="0"/>
          <w:color w:val="000000"/>
          <w:sz w:val="20"/>
        </w:rPr>
        <w:t>was a release of $8 million (FY24 - $8 million).</w:t>
      </w:r>
    </w:p>
    <w:p>
      <w:pPr>
        <w:autoSpaceDN w:val="0"/>
        <w:tabs>
          <w:tab w:pos="9148" w:val="left"/>
        </w:tabs>
        <w:autoSpaceDE w:val="0"/>
        <w:widowControl/>
        <w:spacing w:line="224" w:lineRule="exact" w:before="5920" w:after="0"/>
        <w:ind w:left="338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37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VII: Investment Activities</w:t>
            </w:r>
          </w:p>
        </w:tc>
      </w:tr>
    </w:tbl>
    <w:p>
      <w:pPr>
        <w:autoSpaceDN w:val="0"/>
        <w:autoSpaceDE w:val="0"/>
        <w:widowControl/>
        <w:spacing w:line="402" w:lineRule="exact" w:before="74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>Section VII: Investment Activities</w:t>
      </w:r>
    </w:p>
    <w:p>
      <w:pPr>
        <w:autoSpaceDN w:val="0"/>
        <w:autoSpaceDE w:val="0"/>
        <w:widowControl/>
        <w:spacing w:line="240" w:lineRule="exact" w:before="21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As of June 30, 2025, IDA’s investments totaled $47.3 billion (Figure 12)</w:t>
      </w:r>
      <w:r>
        <w:rPr>
          <w:rFonts w:ascii="Arial" w:hAnsi="Arial" w:eastAsia="Arial"/>
          <w:b/>
          <w:i w:val="0"/>
          <w:color w:val="000000"/>
          <w:sz w:val="20"/>
        </w:rPr>
        <w:t>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See the Notes to the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>Statements for the year ended June 30, 2025, Note C – Investments.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 12: Investments</w:t>
      </w:r>
    </w:p>
    <w:p>
      <w:pPr>
        <w:autoSpaceDN w:val="0"/>
        <w:autoSpaceDE w:val="0"/>
        <w:widowControl/>
        <w:spacing w:line="180" w:lineRule="exact" w:before="84" w:after="342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billions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166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6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Trading</w:t>
            </w:r>
          </w:p>
        </w:tc>
        <w:tc>
          <w:tcPr>
            <w:tcW w:type="dxa" w:w="14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Non-trading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6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66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4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</w:t>
            </w:r>
          </w:p>
        </w:tc>
      </w:tr>
      <w:tr>
        <w:trPr>
          <w:trHeight w:hRule="exact" w:val="572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6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6" w:after="0"/>
              <w:ind w:left="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</w:t>
            </w:r>
          </w:p>
        </w:tc>
        <w:tc>
          <w:tcPr>
            <w:tcW w:type="dxa" w:w="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</w:t>
            </w:r>
          </w:p>
        </w:tc>
        <w:tc>
          <w:tcPr>
            <w:tcW w:type="dxa" w:w="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8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72" w:after="0"/>
              <w:ind w:left="0" w:right="4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</w:t>
            </w:r>
          </w:p>
        </w:tc>
        <w:tc>
          <w:tcPr>
            <w:tcW w:type="dxa" w:w="360"/>
            <w:tcBorders/>
            <w:shd w:fill="004972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16" w:after="38"/>
        <w:ind w:left="20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54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8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362"/>
            <w:tcBorders/>
            <w:shd w:fill="00497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36.9</w:t>
            </w:r>
          </w:p>
        </w:tc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8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39.4</w:t>
            </w:r>
          </w:p>
        </w:tc>
        <w:tc>
          <w:tcPr>
            <w:tcW w:type="dxa" w:w="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54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31.5</w:t>
            </w:r>
          </w:p>
        </w:tc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9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34.2</w:t>
            </w:r>
          </w:p>
        </w:tc>
        <w:tc>
          <w:tcPr>
            <w:tcW w:type="dxa" w:w="3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3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47.2</w:t>
            </w:r>
          </w:p>
        </w:tc>
      </w:tr>
    </w:tbl>
    <w:p>
      <w:pPr>
        <w:autoSpaceDN w:val="0"/>
        <w:autoSpaceDE w:val="0"/>
        <w:widowControl/>
        <w:spacing w:line="180" w:lineRule="exact" w:before="8" w:after="0"/>
        <w:ind w:left="20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180" w:lineRule="exact" w:before="212" w:after="16"/>
        <w:ind w:left="2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54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25</w:t>
            </w:r>
          </w:p>
        </w:tc>
      </w:tr>
    </w:tbl>
    <w:p>
      <w:pPr>
        <w:autoSpaceDN w:val="0"/>
        <w:autoSpaceDE w:val="0"/>
        <w:widowControl/>
        <w:spacing w:line="312" w:lineRule="exact" w:before="3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Investments – Trading </w:t>
      </w:r>
    </w:p>
    <w:p>
      <w:pPr>
        <w:autoSpaceDN w:val="0"/>
        <w:autoSpaceDE w:val="0"/>
        <w:widowControl/>
        <w:spacing w:line="240" w:lineRule="exact" w:before="142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primary objective of IDA’s investments-trading strategy continues to be preservation of capital within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institutional constraints. Consistent with this primary objective, IDA invests in high quality instruments. IDA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aims to earn reasonable investment returns, while ensuring timely availability of funds for future cash flow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requirements, including disbursements for loans, grants, debt service, and administrative expenses (see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Note C —Investments).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$33.1 billion (approximately 70% of total volume) of the Investments - Trading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due to mature within six months, of which $10.9 billion was expected to mature within one month.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total return on its investments-trading portfolio for FY25 excluding unrealized mark-to-market gains /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losses on PEBP and PCRF assets (liquid asset portfolio) was 4.36%, compared to 4.58% in FY24,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consistent with the decreasing interest rate environment.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liquid assets are held mainly in the following types of highly rated, fixed-income instruments. See </w:t>
      </w:r>
      <w:r>
        <w:rPr>
          <w:rFonts w:ascii="ArialMT" w:hAnsi="ArialMT" w:eastAsia="ArialMT"/>
          <w:b w:val="0"/>
          <w:i w:val="0"/>
          <w:color w:val="000000"/>
          <w:sz w:val="20"/>
        </w:rPr>
        <w:t>Box 7 for eligibility criteria for IDA’s investments.</w:t>
      </w:r>
    </w:p>
    <w:p>
      <w:pPr>
        <w:autoSpaceDN w:val="0"/>
        <w:tabs>
          <w:tab w:pos="370" w:val="left"/>
        </w:tabs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Government, Agency and Corporate Obligations.</w:t>
      </w:r>
    </w:p>
    <w:p>
      <w:pPr>
        <w:autoSpaceDN w:val="0"/>
        <w:tabs>
          <w:tab w:pos="370" w:val="left"/>
        </w:tabs>
        <w:autoSpaceDE w:val="0"/>
        <w:widowControl/>
        <w:spacing w:line="224" w:lineRule="exact" w:before="7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Time deposits, and other unconditional obligations of banks and financial institutions.</w:t>
      </w:r>
    </w:p>
    <w:p>
      <w:pPr>
        <w:autoSpaceDN w:val="0"/>
        <w:tabs>
          <w:tab w:pos="370" w:val="left"/>
        </w:tabs>
        <w:autoSpaceDE w:val="0"/>
        <w:widowControl/>
        <w:spacing w:line="224" w:lineRule="exact" w:before="7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Asset-backed securities (including mortgage-backed securities).</w:t>
      </w:r>
    </w:p>
    <w:p>
      <w:pPr>
        <w:autoSpaceDN w:val="0"/>
        <w:tabs>
          <w:tab w:pos="370" w:val="left"/>
        </w:tabs>
        <w:autoSpaceDE w:val="0"/>
        <w:widowControl/>
        <w:spacing w:line="224" w:lineRule="exact" w:before="7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Currency and interest rate derivatives (including currency forward contracts).</w:t>
      </w:r>
    </w:p>
    <w:p>
      <w:pPr>
        <w:autoSpaceDN w:val="0"/>
        <w:tabs>
          <w:tab w:pos="370" w:val="left"/>
        </w:tabs>
        <w:autoSpaceDE w:val="0"/>
        <w:widowControl/>
        <w:spacing w:line="224" w:lineRule="exact" w:before="7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Exchange-traded options and futures.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prudential minimum liquidity policy ensures that it holds sufficient liquidity. The prudential minimum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liquidity level is set at 80% of 24 months of projected net outflows. The prudential minimum for FY26 has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been set at $37.0 billion, compared to $29.5 billion for FY25, a $7.5 billion increase due to higher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projected debt service and net loan disbursements. See Section IX: Risk Management for details on how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manages liquidity risk.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185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VII: Investment Activities</w:t>
            </w:r>
          </w:p>
        </w:tc>
      </w:tr>
    </w:tbl>
    <w:p>
      <w:pPr>
        <w:autoSpaceDN w:val="0"/>
        <w:autoSpaceDE w:val="0"/>
        <w:widowControl/>
        <w:spacing w:line="314" w:lineRule="exact" w:before="70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Investments - Non-Trading</w:t>
      </w:r>
    </w:p>
    <w:p>
      <w:pPr>
        <w:autoSpaceDN w:val="0"/>
        <w:autoSpaceDE w:val="0"/>
        <w:widowControl/>
        <w:spacing w:line="240" w:lineRule="exact" w:before="14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FY15, with the proceeds of a concessional loan from a member, IDA purchased a debt security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issued by the IFC. IDA elected to measure the security at fair value, so that the measurement method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could be consistently applied to all its investments. As of June 30, 2025, the investments non-trading had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fair value of $115 million ($171 million in FY24). The changes in fair value for this security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recognized in the Unrealized mark-to-market gains (losses) on non-trading portfolios, net line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Statements of Income. See Notes to the Financial Statements for the year ended June 30, 2025, Note C </w:t>
      </w:r>
      <w:r>
        <w:rPr>
          <w:rFonts w:ascii="ArialMT" w:hAnsi="ArialMT" w:eastAsia="ArialMT"/>
          <w:b w:val="0"/>
          <w:i w:val="0"/>
          <w:color w:val="000000"/>
          <w:sz w:val="20"/>
        </w:rPr>
        <w:t>– Investments and Note H - Transactions with Affiliated Organizations.</w:t>
      </w:r>
    </w:p>
    <w:p>
      <w:pPr>
        <w:autoSpaceDN w:val="0"/>
        <w:tabs>
          <w:tab w:pos="9138" w:val="left"/>
        </w:tabs>
        <w:autoSpaceDE w:val="0"/>
        <w:widowControl/>
        <w:spacing w:line="224" w:lineRule="exact" w:before="11372" w:after="0"/>
        <w:ind w:left="33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39</w:t>
      </w: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4789"/>
        <w:gridCol w:w="4789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VIII: Borrowing Activities</w:t>
            </w:r>
          </w:p>
        </w:tc>
      </w:tr>
    </w:tbl>
    <w:p>
      <w:pPr>
        <w:autoSpaceDN w:val="0"/>
        <w:autoSpaceDE w:val="0"/>
        <w:widowControl/>
        <w:spacing w:line="402" w:lineRule="exact" w:before="742" w:after="0"/>
        <w:ind w:left="194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>Section VIII: Borrowing Activities</w:t>
      </w:r>
    </w:p>
    <w:p>
      <w:pPr>
        <w:autoSpaceDN w:val="0"/>
        <w:autoSpaceDE w:val="0"/>
        <w:widowControl/>
        <w:spacing w:line="240" w:lineRule="exact" w:before="212" w:after="0"/>
        <w:ind w:left="1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borrowings comprises market borrowings (carried at amortized cost or fair value) and concessional </w:t>
      </w:r>
      <w:r>
        <w:rPr>
          <w:rFonts w:ascii="ArialMT" w:hAnsi="ArialMT" w:eastAsia="ArialMT"/>
          <w:b w:val="0"/>
          <w:i w:val="0"/>
          <w:color w:val="000000"/>
          <w:sz w:val="20"/>
        </w:rPr>
        <w:t>partner loans made by certain IDA members (carried at amortized cost).</w:t>
      </w:r>
    </w:p>
    <w:p>
      <w:pPr>
        <w:autoSpaceDN w:val="0"/>
        <w:autoSpaceDE w:val="0"/>
        <w:widowControl/>
        <w:spacing w:line="222" w:lineRule="exact" w:before="138" w:after="0"/>
        <w:ind w:left="14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19: Borrowings</w:t>
      </w:r>
    </w:p>
    <w:p>
      <w:pPr>
        <w:autoSpaceDN w:val="0"/>
        <w:autoSpaceDE w:val="0"/>
        <w:widowControl/>
        <w:spacing w:line="180" w:lineRule="exact" w:before="84" w:after="80"/>
        <w:ind w:left="14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rates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" w:type="dxa"/>
      </w:tblPr>
      <w:tblGrid>
        <w:gridCol w:w="3193"/>
        <w:gridCol w:w="3193"/>
        <w:gridCol w:w="3193"/>
      </w:tblGrid>
      <w:tr>
        <w:trPr>
          <w:trHeight w:hRule="exact" w:val="234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44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Outstanding excluding 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Interest expense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808080"/>
                <w:sz w:val="10"/>
              </w:rPr>
              <w:t>a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2" w:after="0"/>
              <w:ind w:left="4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Weighted average rate</w:t>
            </w:r>
          </w:p>
        </w:tc>
      </w:tr>
      <w:tr>
        <w:trPr>
          <w:trHeight w:hRule="exact" w:val="204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8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related derivatives as of </w:t>
            </w:r>
          </w:p>
        </w:tc>
        <w:tc>
          <w:tcPr>
            <w:tcW w:type="dxa" w:w="3193"/>
            <w:vMerge/>
            <w:tcBorders/>
          </w:tcPr>
          <w:p/>
        </w:tc>
        <w:tc>
          <w:tcPr>
            <w:tcW w:type="dxa" w:w="319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6" w:after="36"/>
        <w:ind w:left="0" w:right="5804" w:firstLine="0"/>
        <w:jc w:val="right"/>
      </w:pPr>
      <w:r>
        <w:rPr>
          <w:rFonts w:ascii="Arial" w:hAnsi="Arial" w:eastAsia="Arial"/>
          <w:b w:val="0"/>
          <w:i/>
          <w:color w:val="808080"/>
          <w:sz w:val="16"/>
        </w:rPr>
        <w:t>June 30,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71"/>
        <w:gridCol w:w="871"/>
        <w:gridCol w:w="871"/>
        <w:gridCol w:w="871"/>
        <w:gridCol w:w="871"/>
        <w:gridCol w:w="871"/>
        <w:gridCol w:w="871"/>
        <w:gridCol w:w="871"/>
        <w:gridCol w:w="871"/>
        <w:gridCol w:w="871"/>
        <w:gridCol w:w="871"/>
      </w:tblGrid>
      <w:tr>
        <w:trPr>
          <w:trHeight w:hRule="exact" w:val="248"/>
        </w:trPr>
        <w:tc>
          <w:tcPr>
            <w:tcW w:type="dxa" w:w="239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8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1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2025</w:t>
            </w:r>
          </w:p>
        </w:tc>
        <w:tc>
          <w:tcPr>
            <w:tcW w:type="dxa" w:w="452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1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  <w:tc>
          <w:tcPr>
            <w:tcW w:type="dxa" w:w="498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8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FY25</w:t>
            </w:r>
          </w:p>
        </w:tc>
        <w:tc>
          <w:tcPr>
            <w:tcW w:type="dxa" w:w="502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2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FY24</w:t>
            </w:r>
          </w:p>
        </w:tc>
        <w:tc>
          <w:tcPr>
            <w:tcW w:type="dxa" w:w="1326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8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FY25</w:t>
            </w:r>
          </w:p>
        </w:tc>
        <w:tc>
          <w:tcPr>
            <w:tcW w:type="dxa" w:w="13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8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FY24</w:t>
            </w:r>
          </w:p>
        </w:tc>
      </w:tr>
      <w:tr>
        <w:trPr>
          <w:trHeight w:hRule="exact" w:val="228"/>
        </w:trPr>
        <w:tc>
          <w:tcPr>
            <w:tcW w:type="dxa" w:w="239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 debt, at fair value</w:t>
            </w:r>
          </w:p>
        </w:tc>
        <w:tc>
          <w:tcPr>
            <w:tcW w:type="dxa" w:w="312"/>
            <w:vMerge w:val="restart"/>
            <w:tcBorders>
              <w:top w:sz="8.0" w:val="single" w:color="#929292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8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45,154 </w:t>
            </w:r>
          </w:p>
        </w:tc>
        <w:tc>
          <w:tcPr>
            <w:tcW w:type="dxa" w:w="452"/>
            <w:vMerge w:val="restart"/>
            <w:tcBorders>
              <w:top w:sz="8.0" w:val="single" w:color="#929292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2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26,425 </w:t>
            </w:r>
          </w:p>
        </w:tc>
        <w:tc>
          <w:tcPr>
            <w:tcW w:type="dxa" w:w="498"/>
            <w:vMerge w:val="restart"/>
            <w:tcBorders>
              <w:top w:sz="8.0" w:val="single" w:color="#929292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8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1,862 </w:t>
            </w:r>
          </w:p>
        </w:tc>
        <w:tc>
          <w:tcPr>
            <w:tcW w:type="dxa" w:w="502"/>
            <w:vMerge w:val="restart"/>
            <w:tcBorders>
              <w:top w:sz="8.0" w:val="single" w:color="#929292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2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1,282 </w:t>
            </w:r>
          </w:p>
        </w:tc>
        <w:tc>
          <w:tcPr>
            <w:tcW w:type="dxa" w:w="1326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4.27 %</w:t>
            </w:r>
          </w:p>
        </w:tc>
        <w:tc>
          <w:tcPr>
            <w:tcW w:type="dxa" w:w="132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5.27 %</w:t>
            </w:r>
          </w:p>
        </w:tc>
      </w:tr>
      <w:tr>
        <w:trPr>
          <w:trHeight w:hRule="exact" w:val="240"/>
        </w:trPr>
        <w:tc>
          <w:tcPr>
            <w:tcW w:type="dxa" w:w="2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 debt, at amortized cost</w:t>
            </w:r>
          </w:p>
        </w:tc>
        <w:tc>
          <w:tcPr>
            <w:tcW w:type="dxa" w:w="871"/>
            <w:vMerge/>
            <w:tcBorders>
              <w:top w:sz="8.0" w:val="single" w:color="#929292"/>
              <w:bottom w:sz="4.0" w:val="single" w:color="#000000"/>
            </w:tcBorders>
          </w:tcPr>
          <w:p/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18,127 </w:t>
            </w:r>
          </w:p>
        </w:tc>
        <w:tc>
          <w:tcPr>
            <w:tcW w:type="dxa" w:w="871"/>
            <w:vMerge/>
            <w:tcBorders>
              <w:top w:sz="8.0" w:val="single" w:color="#929292"/>
              <w:bottom w:sz="4.0" w:val="single" w:color="#000000"/>
            </w:tcBorders>
          </w:tcPr>
          <w:p/>
        </w:tc>
        <w:tc>
          <w:tcPr>
            <w:tcW w:type="dxa" w:w="7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11,494 </w:t>
            </w:r>
          </w:p>
        </w:tc>
        <w:tc>
          <w:tcPr>
            <w:tcW w:type="dxa" w:w="871"/>
            <w:vMerge/>
            <w:tcBorders>
              <w:top w:sz="8.0" w:val="single" w:color="#929292"/>
              <w:bottom w:sz="4.0" w:val="single" w:color="#000000"/>
            </w:tcBorders>
          </w:tcPr>
          <w:p/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274 </w:t>
            </w:r>
          </w:p>
        </w:tc>
        <w:tc>
          <w:tcPr>
            <w:tcW w:type="dxa" w:w="871"/>
            <w:vMerge/>
            <w:tcBorders>
              <w:top w:sz="8.0" w:val="single" w:color="#929292"/>
              <w:bottom w:sz="4.0" w:val="single" w:color="#000000"/>
            </w:tcBorders>
          </w:tcPr>
          <w:p/>
        </w:tc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159 </w:t>
            </w:r>
          </w:p>
        </w:tc>
        <w:tc>
          <w:tcPr>
            <w:tcW w:type="dxa" w:w="1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2.05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1.82 </w:t>
            </w:r>
          </w:p>
        </w:tc>
      </w:tr>
      <w:tr>
        <w:trPr>
          <w:trHeight w:hRule="exact" w:val="252"/>
        </w:trPr>
        <w:tc>
          <w:tcPr>
            <w:tcW w:type="dxa" w:w="239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Concessional partner loans</w:t>
            </w:r>
          </w:p>
        </w:tc>
        <w:tc>
          <w:tcPr>
            <w:tcW w:type="dxa" w:w="871"/>
            <w:vMerge/>
            <w:tcBorders>
              <w:top w:sz="8.0" w:val="single" w:color="#929292"/>
              <w:bottom w:sz="4.0" w:val="single" w:color="#000000"/>
            </w:tcBorders>
          </w:tcPr>
          <w:p/>
        </w:tc>
        <w:tc>
          <w:tcPr>
            <w:tcW w:type="dxa" w:w="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7,551 </w:t>
            </w:r>
          </w:p>
        </w:tc>
        <w:tc>
          <w:tcPr>
            <w:tcW w:type="dxa" w:w="871"/>
            <w:vMerge/>
            <w:tcBorders>
              <w:top w:sz="8.0" w:val="single" w:color="#929292"/>
              <w:bottom w:sz="4.0" w:val="single" w:color="#000000"/>
            </w:tcBorders>
          </w:tcPr>
          <w:p/>
        </w:tc>
        <w:tc>
          <w:tcPr>
            <w:tcW w:type="dxa" w:w="70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7,004 </w:t>
            </w:r>
          </w:p>
        </w:tc>
        <w:tc>
          <w:tcPr>
            <w:tcW w:type="dxa" w:w="871"/>
            <w:vMerge/>
            <w:tcBorders>
              <w:top w:sz="8.0" w:val="single" w:color="#929292"/>
              <w:bottom w:sz="4.0" w:val="single" w:color="#000000"/>
            </w:tcBorders>
          </w:tcPr>
          <w:p/>
        </w:tc>
        <w:tc>
          <w:tcPr>
            <w:tcW w:type="dxa" w:w="65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142 </w:t>
            </w:r>
          </w:p>
        </w:tc>
        <w:tc>
          <w:tcPr>
            <w:tcW w:type="dxa" w:w="871"/>
            <w:vMerge/>
            <w:tcBorders>
              <w:top w:sz="8.0" w:val="single" w:color="#929292"/>
              <w:bottom w:sz="4.0" w:val="single" w:color="#000000"/>
            </w:tcBorders>
          </w:tcPr>
          <w:p/>
        </w:tc>
        <w:tc>
          <w:tcPr>
            <w:tcW w:type="dxa" w:w="6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143 </w:t>
            </w:r>
          </w:p>
        </w:tc>
        <w:tc>
          <w:tcPr>
            <w:tcW w:type="dxa" w:w="132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1.92 </w:t>
            </w:r>
          </w:p>
        </w:tc>
        <w:tc>
          <w:tcPr>
            <w:tcW w:type="dxa" w:w="13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2.01 </w:t>
            </w:r>
          </w:p>
        </w:tc>
      </w:tr>
      <w:tr>
        <w:trPr>
          <w:trHeight w:hRule="exact" w:val="270"/>
        </w:trPr>
        <w:tc>
          <w:tcPr>
            <w:tcW w:type="dxa" w:w="239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Total</w:t>
            </w:r>
          </w:p>
        </w:tc>
        <w:tc>
          <w:tcPr>
            <w:tcW w:type="dxa" w:w="31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70,832 </w:t>
            </w:r>
          </w:p>
        </w:tc>
        <w:tc>
          <w:tcPr>
            <w:tcW w:type="dxa" w:w="45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44,923 </w:t>
            </w:r>
          </w:p>
        </w:tc>
        <w:tc>
          <w:tcPr>
            <w:tcW w:type="dxa" w:w="4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2,278 </w:t>
            </w:r>
          </w:p>
        </w:tc>
        <w:tc>
          <w:tcPr>
            <w:tcW w:type="dxa" w:w="50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1,584 </w:t>
            </w:r>
          </w:p>
        </w:tc>
        <w:tc>
          <w:tcPr>
            <w:tcW w:type="dxa" w:w="13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6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3.46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  <w:tc>
          <w:tcPr>
            <w:tcW w:type="dxa" w:w="13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6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3.93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72" w:after="0"/>
        <w:ind w:left="62" w:right="288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Includes interest expenses associated with derivatives and excludes interest expenses associated with repurchase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agreements - $14 million in FY25 (FY24 - $32 million).</w:t>
      </w:r>
    </w:p>
    <w:p>
      <w:pPr>
        <w:autoSpaceDN w:val="0"/>
        <w:autoSpaceDE w:val="0"/>
        <w:widowControl/>
        <w:spacing w:line="314" w:lineRule="exact" w:before="204" w:after="0"/>
        <w:ind w:left="14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Market Debt</w:t>
      </w:r>
    </w:p>
    <w:p>
      <w:pPr>
        <w:autoSpaceDN w:val="0"/>
        <w:autoSpaceDE w:val="0"/>
        <w:widowControl/>
        <w:spacing w:line="240" w:lineRule="exact" w:before="140" w:after="0"/>
        <w:ind w:left="142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the market borrowings recorded at fair value, excluding related derivatives were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$45.1 billion, an increase of $18.7 billion compared to June 30, 2024, primarily due to net issuances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$16.9 billion during the year. </w:t>
      </w:r>
    </w:p>
    <w:p>
      <w:pPr>
        <w:autoSpaceDN w:val="0"/>
        <w:autoSpaceDE w:val="0"/>
        <w:widowControl/>
        <w:spacing w:line="240" w:lineRule="exact" w:before="120" w:after="0"/>
        <w:ind w:left="1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market borrowings recorded at amortized cost were $18.1 billion, an increase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$6.6 billion compared to June 30, 2024, primarily due to new issuances of $5.2 billion during the year.</w:t>
      </w:r>
    </w:p>
    <w:p>
      <w:pPr>
        <w:autoSpaceDN w:val="0"/>
        <w:autoSpaceDE w:val="0"/>
        <w:widowControl/>
        <w:spacing w:line="314" w:lineRule="exact" w:before="122" w:after="0"/>
        <w:ind w:left="14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Concessional Partner Loans</w:t>
      </w:r>
    </w:p>
    <w:p>
      <w:pPr>
        <w:autoSpaceDN w:val="0"/>
        <w:autoSpaceDE w:val="0"/>
        <w:widowControl/>
        <w:spacing w:line="240" w:lineRule="exact" w:before="140" w:after="0"/>
        <w:ind w:left="1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Concessional Partner Loans (CPLs) continue as a source of funding, whereby the borrowing terms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concessional loans from members aim to follow the concessional features of IDA’s loans. </w:t>
      </w:r>
    </w:p>
    <w:p>
      <w:pPr>
        <w:autoSpaceDN w:val="0"/>
        <w:autoSpaceDE w:val="0"/>
        <w:widowControl/>
        <w:spacing w:line="240" w:lineRule="exact" w:before="120" w:after="0"/>
        <w:ind w:left="1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maturities of the CPLs can be 25, 40 or 50 years to match the terms of IDA’s loans, with a grace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 on principal repayments of 5 years for a 25-year loan and 10 years for a 40-year or a 50-year loan. </w:t>
      </w:r>
    </w:p>
    <w:p>
      <w:pPr>
        <w:autoSpaceDN w:val="0"/>
        <w:autoSpaceDE w:val="0"/>
        <w:widowControl/>
        <w:spacing w:line="224" w:lineRule="exact" w:before="16" w:after="0"/>
        <w:ind w:left="1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Under IDA21, the loans are subject to maximum coupon rates equivalent to 1.59% in USD terms.</w:t>
      </w:r>
    </w:p>
    <w:p>
      <w:pPr>
        <w:autoSpaceDN w:val="0"/>
        <w:autoSpaceDE w:val="0"/>
        <w:widowControl/>
        <w:spacing w:line="240" w:lineRule="exact" w:before="120" w:after="0"/>
        <w:ind w:left="142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Voting rights are allocated to members who provide concessional loans following the drawdowns by IDA,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are based on the cash paid, computed as the derived grant element of the loan. The grant element,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is paid in cash and recorded as equity, is a function of the terms of the loan and the discount rate </w:t>
      </w:r>
      <w:r>
        <w:rPr>
          <w:rFonts w:ascii="ArialMT" w:hAnsi="ArialMT" w:eastAsia="ArialMT"/>
          <w:b w:val="0"/>
          <w:i w:val="0"/>
          <w:color w:val="000000"/>
          <w:sz w:val="20"/>
        </w:rPr>
        <w:t>agreed upon during the replenishment discussions. See Table 20.</w:t>
      </w:r>
    </w:p>
    <w:p>
      <w:pPr>
        <w:autoSpaceDN w:val="0"/>
        <w:autoSpaceDE w:val="0"/>
        <w:widowControl/>
        <w:spacing w:line="224" w:lineRule="exact" w:before="136" w:after="76"/>
        <w:ind w:left="14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20: Concessional Partner Loans Terms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.9999999999999" w:type="dxa"/>
      </w:tblPr>
      <w:tblGrid>
        <w:gridCol w:w="2394"/>
        <w:gridCol w:w="2394"/>
        <w:gridCol w:w="2394"/>
        <w:gridCol w:w="2394"/>
      </w:tblGrid>
      <w:tr>
        <w:trPr>
          <w:trHeight w:hRule="exact" w:val="276"/>
        </w:trPr>
        <w:tc>
          <w:tcPr>
            <w:tcW w:type="dxa" w:w="1750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Maturity</w:t>
            </w:r>
          </w:p>
        </w:tc>
        <w:tc>
          <w:tcPr>
            <w:tcW w:type="dxa" w:w="2230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7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Grace period</w:t>
            </w:r>
          </w:p>
        </w:tc>
        <w:tc>
          <w:tcPr>
            <w:tcW w:type="dxa" w:w="2714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40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SDR Discount rates (IDA20)</w:t>
            </w:r>
          </w:p>
        </w:tc>
        <w:tc>
          <w:tcPr>
            <w:tcW w:type="dxa" w:w="2656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SDR Discount rates (IDA21)</w:t>
            </w:r>
          </w:p>
        </w:tc>
      </w:tr>
      <w:tr>
        <w:trPr>
          <w:trHeight w:hRule="exact" w:val="216"/>
        </w:trPr>
        <w:tc>
          <w:tcPr>
            <w:tcW w:type="dxa" w:w="1750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25-year</w:t>
            </w:r>
          </w:p>
        </w:tc>
        <w:tc>
          <w:tcPr>
            <w:tcW w:type="dxa" w:w="2230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 years</w:t>
            </w:r>
          </w:p>
        </w:tc>
        <w:tc>
          <w:tcPr>
            <w:tcW w:type="dxa" w:w="2714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1.41%</w:t>
            </w:r>
          </w:p>
        </w:tc>
        <w:tc>
          <w:tcPr>
            <w:tcW w:type="dxa" w:w="2656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3.83%</w:t>
            </w:r>
          </w:p>
        </w:tc>
      </w:tr>
      <w:tr>
        <w:trPr>
          <w:trHeight w:hRule="exact" w:val="240"/>
        </w:trPr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40-year</w:t>
            </w:r>
          </w:p>
        </w:tc>
        <w:tc>
          <w:tcPr>
            <w:tcW w:type="dxa" w:w="2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 years</w:t>
            </w:r>
          </w:p>
        </w:tc>
        <w:tc>
          <w:tcPr>
            <w:tcW w:type="dxa" w:w="2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0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1.79%</w:t>
            </w:r>
          </w:p>
        </w:tc>
        <w:tc>
          <w:tcPr>
            <w:tcW w:type="dxa" w:w="2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4.01%</w:t>
            </w:r>
          </w:p>
        </w:tc>
      </w:tr>
      <w:tr>
        <w:trPr>
          <w:trHeight w:hRule="exact" w:val="490"/>
        </w:trPr>
        <w:tc>
          <w:tcPr>
            <w:tcW w:type="dxa" w:w="1750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50-year</w:t>
            </w:r>
          </w:p>
        </w:tc>
        <w:tc>
          <w:tcPr>
            <w:tcW w:type="dxa" w:w="2230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 years</w:t>
            </w:r>
          </w:p>
        </w:tc>
        <w:tc>
          <w:tcPr>
            <w:tcW w:type="dxa" w:w="2714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0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1.84%</w:t>
            </w:r>
          </w:p>
        </w:tc>
        <w:tc>
          <w:tcPr>
            <w:tcW w:type="dxa" w:w="2656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4.02%</w:t>
            </w:r>
          </w:p>
        </w:tc>
      </w:tr>
    </w:tbl>
    <w:p>
      <w:pPr>
        <w:autoSpaceDN w:val="0"/>
        <w:autoSpaceDE w:val="0"/>
        <w:widowControl/>
        <w:spacing w:line="240" w:lineRule="exact" w:before="46" w:after="0"/>
        <w:ind w:left="142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concessional partner loans outstanding were $7.6 billion as of June 30, 2025, an increase of $0.6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billion from $7.0 billion in June 30, 2024. Interest expense associated with these loans was $142 million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FY25 (FY24 - $143 million). </w:t>
      </w:r>
    </w:p>
    <w:p>
      <w:pPr>
        <w:autoSpaceDN w:val="0"/>
        <w:autoSpaceDE w:val="0"/>
        <w:widowControl/>
        <w:spacing w:line="240" w:lineRule="exact" w:before="120" w:after="0"/>
        <w:ind w:left="1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uses currency and interest rate derivatives in connection with its borrowings for asset and liability </w:t>
      </w:r>
      <w:r>
        <w:rPr>
          <w:rFonts w:ascii="ArialMT" w:hAnsi="ArialMT" w:eastAsia="ArialMT"/>
          <w:b w:val="0"/>
          <w:i w:val="0"/>
          <w:color w:val="000000"/>
          <w:sz w:val="20"/>
        </w:rPr>
        <w:t>management purposes. For more details, see Section IX: Risk Management.</w:t>
      </w:r>
    </w:p>
    <w:p>
      <w:pPr>
        <w:autoSpaceDN w:val="0"/>
        <w:tabs>
          <w:tab w:pos="862" w:val="left"/>
        </w:tabs>
        <w:autoSpaceDE w:val="0"/>
        <w:widowControl/>
        <w:spacing w:line="224" w:lineRule="exact" w:before="1140" w:after="0"/>
        <w:ind w:left="1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2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VIII: Borrowing Activities</w:t>
            </w:r>
          </w:p>
        </w:tc>
      </w:tr>
    </w:tbl>
    <w:p>
      <w:pPr>
        <w:autoSpaceDN w:val="0"/>
        <w:autoSpaceDE w:val="0"/>
        <w:widowControl/>
        <w:spacing w:line="224" w:lineRule="exact" w:before="71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21: Effect of Derivatives on Currency Composition of the Borrowing Portfolio</w:t>
      </w:r>
    </w:p>
    <w:p>
      <w:pPr>
        <w:autoSpaceDN w:val="0"/>
        <w:autoSpaceDE w:val="0"/>
        <w:widowControl/>
        <w:spacing w:line="178" w:lineRule="exact" w:before="84" w:after="312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Ratios are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38"/>
        </w:trPr>
        <w:tc>
          <w:tcPr>
            <w:tcW w:type="dxa" w:w="4634"/>
            <w:vMerge w:val="restart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 of June 30, 2025</w:t>
            </w:r>
          </w:p>
        </w:tc>
        <w:tc>
          <w:tcPr>
            <w:tcW w:type="dxa" w:w="2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46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Borrowings excluding </w:t>
            </w:r>
          </w:p>
        </w:tc>
        <w:tc>
          <w:tcPr>
            <w:tcW w:type="dxa" w:w="2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Borrowings including </w:t>
            </w:r>
          </w:p>
        </w:tc>
      </w:tr>
      <w:tr>
        <w:trPr>
          <w:trHeight w:hRule="exact" w:val="226"/>
        </w:trPr>
        <w:tc>
          <w:tcPr>
            <w:tcW w:type="dxa" w:w="3149"/>
            <w:vMerge/>
            <w:tcBorders>
              <w:bottom w:sz="8.0" w:val="single" w:color="#929292"/>
            </w:tcBorders>
          </w:tcPr>
          <w:p/>
        </w:tc>
        <w:tc>
          <w:tcPr>
            <w:tcW w:type="dxa" w:w="2046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derivatives</w:t>
            </w:r>
          </w:p>
        </w:tc>
        <w:tc>
          <w:tcPr>
            <w:tcW w:type="dxa" w:w="2594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derivatives</w:t>
            </w:r>
          </w:p>
        </w:tc>
      </w:tr>
      <w:tr>
        <w:trPr>
          <w:trHeight w:hRule="exact" w:val="194"/>
        </w:trPr>
        <w:tc>
          <w:tcPr>
            <w:tcW w:type="dxa" w:w="4634"/>
            <w:tcBorders>
              <w:top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US Dollar</w:t>
            </w:r>
          </w:p>
        </w:tc>
        <w:tc>
          <w:tcPr>
            <w:tcW w:type="dxa" w:w="2046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47 %</w:t>
            </w:r>
          </w:p>
        </w:tc>
        <w:tc>
          <w:tcPr>
            <w:tcW w:type="dxa" w:w="2594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50 %</w:t>
            </w:r>
          </w:p>
        </w:tc>
      </w:tr>
      <w:tr>
        <w:trPr>
          <w:trHeight w:hRule="exact" w:val="240"/>
        </w:trPr>
        <w:tc>
          <w:tcPr>
            <w:tcW w:type="dxa" w:w="4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</w:t>
            </w:r>
          </w:p>
        </w:tc>
        <w:tc>
          <w:tcPr>
            <w:tcW w:type="dxa" w:w="2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37 %</w:t>
            </w:r>
          </w:p>
        </w:tc>
        <w:tc>
          <w:tcPr>
            <w:tcW w:type="dxa" w:w="2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38 %</w:t>
            </w:r>
          </w:p>
        </w:tc>
      </w:tr>
      <w:tr>
        <w:trPr>
          <w:trHeight w:hRule="exact" w:val="240"/>
        </w:trPr>
        <w:tc>
          <w:tcPr>
            <w:tcW w:type="dxa" w:w="46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GBP</w:t>
            </w:r>
          </w:p>
        </w:tc>
        <w:tc>
          <w:tcPr>
            <w:tcW w:type="dxa" w:w="2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10 %</w:t>
            </w:r>
          </w:p>
        </w:tc>
        <w:tc>
          <w:tcPr>
            <w:tcW w:type="dxa" w:w="2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8 %</w:t>
            </w:r>
          </w:p>
        </w:tc>
      </w:tr>
      <w:tr>
        <w:trPr>
          <w:trHeight w:hRule="exact" w:val="240"/>
        </w:trPr>
        <w:tc>
          <w:tcPr>
            <w:tcW w:type="dxa" w:w="46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JPY</w:t>
            </w:r>
          </w:p>
        </w:tc>
        <w:tc>
          <w:tcPr>
            <w:tcW w:type="dxa" w:w="2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4 %</w:t>
            </w:r>
          </w:p>
        </w:tc>
        <w:tc>
          <w:tcPr>
            <w:tcW w:type="dxa" w:w="2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4 %</w:t>
            </w:r>
          </w:p>
        </w:tc>
      </w:tr>
      <w:tr>
        <w:trPr>
          <w:trHeight w:hRule="exact" w:val="286"/>
        </w:trPr>
        <w:tc>
          <w:tcPr>
            <w:tcW w:type="dxa" w:w="4634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Others</w:t>
            </w:r>
          </w:p>
        </w:tc>
        <w:tc>
          <w:tcPr>
            <w:tcW w:type="dxa" w:w="2046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2 %</w:t>
            </w:r>
          </w:p>
        </w:tc>
        <w:tc>
          <w:tcPr>
            <w:tcW w:type="dxa" w:w="2594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— %</w:t>
            </w:r>
          </w:p>
        </w:tc>
      </w:tr>
      <w:tr>
        <w:trPr>
          <w:trHeight w:hRule="exact" w:val="220"/>
        </w:trPr>
        <w:tc>
          <w:tcPr>
            <w:tcW w:type="dxa" w:w="4634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046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8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2594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8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</w:tr>
    </w:tbl>
    <w:p>
      <w:pPr>
        <w:autoSpaceDN w:val="0"/>
        <w:autoSpaceDE w:val="0"/>
        <w:widowControl/>
        <w:spacing w:line="240" w:lineRule="exact" w:before="744" w:after="0"/>
        <w:ind w:left="1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22: Medium- and Long-Term Borrowings Issued by Currency During the Year, Excluding </w:t>
      </w:r>
      <w:r>
        <w:rPr>
          <w:rFonts w:ascii="Arial" w:hAnsi="Arial" w:eastAsia="Arial"/>
          <w:b/>
          <w:i w:val="0"/>
          <w:color w:val="000000"/>
          <w:sz w:val="20"/>
        </w:rPr>
        <w:t>Derivatives</w:t>
      </w:r>
    </w:p>
    <w:p>
      <w:pPr>
        <w:autoSpaceDN w:val="0"/>
        <w:autoSpaceDE w:val="0"/>
        <w:widowControl/>
        <w:spacing w:line="178" w:lineRule="exact" w:before="84" w:after="31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Ratios are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72"/>
        </w:trPr>
        <w:tc>
          <w:tcPr>
            <w:tcW w:type="dxa" w:w="4634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For the period ended June 30,</w:t>
            </w:r>
          </w:p>
        </w:tc>
        <w:tc>
          <w:tcPr>
            <w:tcW w:type="dxa" w:w="240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26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 </w:t>
            </w:r>
          </w:p>
        </w:tc>
        <w:tc>
          <w:tcPr>
            <w:tcW w:type="dxa" w:w="224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  <w:tr>
        <w:trPr>
          <w:trHeight w:hRule="exact" w:val="206"/>
        </w:trPr>
        <w:tc>
          <w:tcPr>
            <w:tcW w:type="dxa" w:w="4634"/>
            <w:tcBorders>
              <w:top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US Dollar</w:t>
            </w:r>
          </w:p>
        </w:tc>
        <w:tc>
          <w:tcPr>
            <w:tcW w:type="dxa" w:w="240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56 %</w:t>
            </w:r>
          </w:p>
        </w:tc>
        <w:tc>
          <w:tcPr>
            <w:tcW w:type="dxa" w:w="224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54 %</w:t>
            </w:r>
          </w:p>
        </w:tc>
      </w:tr>
      <w:tr>
        <w:trPr>
          <w:trHeight w:hRule="exact" w:val="240"/>
        </w:trPr>
        <w:tc>
          <w:tcPr>
            <w:tcW w:type="dxa" w:w="4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42 %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27 %</w:t>
            </w:r>
          </w:p>
        </w:tc>
      </w:tr>
      <w:tr>
        <w:trPr>
          <w:trHeight w:hRule="exact" w:val="240"/>
        </w:trPr>
        <w:tc>
          <w:tcPr>
            <w:tcW w:type="dxa" w:w="46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GBP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— %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16 %</w:t>
            </w:r>
          </w:p>
        </w:tc>
      </w:tr>
      <w:tr>
        <w:trPr>
          <w:trHeight w:hRule="exact" w:val="274"/>
        </w:trPr>
        <w:tc>
          <w:tcPr>
            <w:tcW w:type="dxa" w:w="4634"/>
            <w:tcBorders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NOK</w:t>
            </w:r>
          </w:p>
        </w:tc>
        <w:tc>
          <w:tcPr>
            <w:tcW w:type="dxa" w:w="240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2 %</w:t>
            </w:r>
          </w:p>
        </w:tc>
        <w:tc>
          <w:tcPr>
            <w:tcW w:type="dxa" w:w="224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3 %</w:t>
            </w:r>
          </w:p>
        </w:tc>
      </w:tr>
      <w:tr>
        <w:trPr>
          <w:trHeight w:hRule="exact" w:val="220"/>
        </w:trPr>
        <w:tc>
          <w:tcPr>
            <w:tcW w:type="dxa" w:w="4634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40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4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224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8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</w:tr>
    </w:tbl>
    <w:p>
      <w:pPr>
        <w:autoSpaceDN w:val="0"/>
        <w:autoSpaceDE w:val="0"/>
        <w:widowControl/>
        <w:spacing w:line="312" w:lineRule="exact" w:before="74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Other Short-Term Borrowings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its Investment Guidelines, IDA is allowed to enter into transactions involving securities sold under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repurchase agreements and securities lent under securities lending agreements. These transactions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accounted for as short-term borrowings. The agreements are secured predominantly by high quality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collateral, including government issued debt, and are used both to enhance returns and for liquidity </w:t>
      </w:r>
      <w:r>
        <w:rPr>
          <w:rFonts w:ascii="ArialMT" w:hAnsi="ArialMT" w:eastAsia="ArialMT"/>
          <w:b w:val="0"/>
          <w:i w:val="0"/>
          <w:color w:val="000000"/>
          <w:sz w:val="20"/>
        </w:rPr>
        <w:t>management purposes.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23: Short-Term Borrowings</w:t>
      </w:r>
    </w:p>
    <w:p>
      <w:pPr>
        <w:autoSpaceDN w:val="0"/>
        <w:autoSpaceDE w:val="0"/>
        <w:widowControl/>
        <w:spacing w:line="180" w:lineRule="exact" w:before="84" w:after="34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rates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46"/>
        </w:trPr>
        <w:tc>
          <w:tcPr>
            <w:tcW w:type="dxa" w:w="3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 of June 30,</w:t>
            </w:r>
          </w:p>
        </w:tc>
        <w:tc>
          <w:tcPr>
            <w:tcW w:type="dxa" w:w="3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74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11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192" w:lineRule="exact" w:before="18" w:after="32"/>
        <w:ind w:left="62" w:right="475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Securities sold under repurchase agreements and securities lent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under securities lending agreements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30"/>
        </w:trPr>
        <w:tc>
          <w:tcPr>
            <w:tcW w:type="dxa" w:w="4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Average monthly balance during the year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221 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599 </w:t>
            </w:r>
          </w:p>
        </w:tc>
      </w:tr>
      <w:tr>
        <w:trPr>
          <w:trHeight w:hRule="exact" w:val="492"/>
        </w:trPr>
        <w:tc>
          <w:tcPr>
            <w:tcW w:type="dxa" w:w="4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Weighted average rate during the fiscal year</w:t>
            </w:r>
          </w:p>
        </w:tc>
        <w:tc>
          <w:tcPr>
            <w:tcW w:type="dxa" w:w="2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6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3.87 %</w:t>
            </w:r>
          </w:p>
        </w:tc>
        <w:tc>
          <w:tcPr>
            <w:tcW w:type="dxa" w:w="12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1.35 %</w:t>
            </w:r>
          </w:p>
        </w:tc>
      </w:tr>
    </w:tbl>
    <w:p>
      <w:pPr>
        <w:autoSpaceDN w:val="0"/>
        <w:autoSpaceDE w:val="0"/>
        <w:widowControl/>
        <w:spacing w:line="314" w:lineRule="exact" w:before="24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Contractual Obligations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conducting its business, IDA takes on contractual obligations that may require future payments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mainly associated with IDA’s borrowings. See Notes to the Financial Statements for the year ended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June 30, 2025, Note E – Borrowings – Table E6. Other contractual obligations are reflected on IDA’s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balance sheets including undisbursed loans, amounts payable for currency and interest rate swaps,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amounts payable for investment securities purchased, guarantees, and cash received under agency </w:t>
      </w:r>
      <w:r>
        <w:rPr>
          <w:rFonts w:ascii="ArialMT" w:hAnsi="ArialMT" w:eastAsia="ArialMT"/>
          <w:b w:val="0"/>
          <w:i w:val="0"/>
          <w:color w:val="000000"/>
          <w:sz w:val="20"/>
        </w:rPr>
        <w:t>arrangements.</w:t>
      </w:r>
    </w:p>
    <w:p>
      <w:pPr>
        <w:autoSpaceDN w:val="0"/>
        <w:tabs>
          <w:tab w:pos="9148" w:val="left"/>
        </w:tabs>
        <w:autoSpaceDE w:val="0"/>
        <w:widowControl/>
        <w:spacing w:line="224" w:lineRule="exact" w:before="968" w:after="0"/>
        <w:ind w:left="338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41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402" w:lineRule="exact" w:before="74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>Section IX: Risk Management</w:t>
      </w:r>
    </w:p>
    <w:p>
      <w:pPr>
        <w:autoSpaceDN w:val="0"/>
        <w:autoSpaceDE w:val="0"/>
        <w:widowControl/>
        <w:spacing w:line="312" w:lineRule="exact" w:before="21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Risk Governance</w:t>
      </w:r>
    </w:p>
    <w:p>
      <w:pPr>
        <w:autoSpaceDN w:val="0"/>
        <w:autoSpaceDE w:val="0"/>
        <w:widowControl/>
        <w:spacing w:line="240" w:lineRule="exact" w:before="14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risk management processes and practices continually evolve to reflect changes in activities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response to market, credit, product, operational, and other developments. The Board, particularly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Audit Committee members, periodically review trends in IDA’s risk profiles and performance, and any </w:t>
      </w:r>
      <w:r>
        <w:rPr>
          <w:rFonts w:ascii="ArialMT" w:hAnsi="ArialMT" w:eastAsia="ArialMT"/>
          <w:b w:val="0"/>
          <w:i w:val="0"/>
          <w:color w:val="000000"/>
          <w:sz w:val="20"/>
        </w:rPr>
        <w:t>major developments in risk management policies and controls.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believes that effective risk management is critical for IDA’s overall operations. Accordingly,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risk management governance structure is designed to manage the principal risks IDA assumes in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activities, and supports management in its oversight function, particularly in coordinating different aspects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risk management and in connection with risks that are common across functional areas.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risk governance structure is built on the “three lines model” where: </w:t>
      </w:r>
    </w:p>
    <w:p>
      <w:pPr>
        <w:autoSpaceDN w:val="0"/>
        <w:tabs>
          <w:tab w:pos="460" w:val="left"/>
        </w:tabs>
        <w:autoSpaceDE w:val="0"/>
        <w:widowControl/>
        <w:spacing w:line="240" w:lineRule="exact" w:before="120" w:after="0"/>
        <w:ind w:left="10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Business units, with support from specialized functions, are responsible for directly managing risks in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their respective functional areas, </w:t>
      </w:r>
    </w:p>
    <w:p>
      <w:pPr>
        <w:autoSpaceDN w:val="0"/>
        <w:tabs>
          <w:tab w:pos="460" w:val="left"/>
        </w:tabs>
        <w:autoSpaceDE w:val="0"/>
        <w:widowControl/>
        <w:spacing w:line="240" w:lineRule="exact" w:before="60" w:after="0"/>
        <w:ind w:left="10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Vice President and WBG Chief Risk Officer (CRO) provides direction, challenge, and oversight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over risk management practices, and </w:t>
      </w:r>
    </w:p>
    <w:p>
      <w:pPr>
        <w:autoSpaceDN w:val="0"/>
        <w:tabs>
          <w:tab w:pos="460" w:val="left"/>
        </w:tabs>
        <w:autoSpaceDE w:val="0"/>
        <w:widowControl/>
        <w:spacing w:line="222" w:lineRule="exact" w:before="78" w:after="0"/>
        <w:ind w:left="10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Internal Audit provides independent assurance and advice on the effectiveness of risk management.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risk management process comprises of risk identification, assessment, response, and risk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monitoring and reporting. IDA has policies and procedures under which risk owners are responsible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>identifying, assessing, responding to, monitoring, and reporting risks.</w:t>
      </w:r>
    </w:p>
    <w:p>
      <w:pPr>
        <w:autoSpaceDN w:val="0"/>
        <w:autoSpaceDE w:val="0"/>
        <w:widowControl/>
        <w:spacing w:line="312" w:lineRule="exact" w:before="12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Risk Oversight and Coverage</w:t>
      </w:r>
    </w:p>
    <w:p>
      <w:pPr>
        <w:autoSpaceDN w:val="0"/>
        <w:autoSpaceDE w:val="0"/>
        <w:widowControl/>
        <w:spacing w:line="268" w:lineRule="exact" w:before="15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Financial and Operational Risk Management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CRO oversees both financial and operational risks. These risks include (i) country credit risks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core sovereign lending business, (ii) market and counterparty risks including liquidity and model risks,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(iii) operational risks relating to people, processes, and systems, or from external events. In addition,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CRO works closely with IBRD, IFC, and MIGA’s management to review, measure, aggregate, and report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risks and share best practices across the WBG. The CRO also helps enhance cooperation between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entities and facilitates knowledge sharing in the risk management function.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following three departments report directly to the CRO:</w:t>
      </w:r>
    </w:p>
    <w:p>
      <w:pPr>
        <w:autoSpaceDN w:val="0"/>
        <w:autoSpaceDE w:val="0"/>
        <w:widowControl/>
        <w:spacing w:line="246" w:lineRule="exact" w:before="13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Credit Risk Department</w:t>
      </w:r>
    </w:p>
    <w:p>
      <w:pPr>
        <w:autoSpaceDN w:val="0"/>
        <w:tabs>
          <w:tab w:pos="370" w:val="left"/>
        </w:tabs>
        <w:autoSpaceDE w:val="0"/>
        <w:widowControl/>
        <w:spacing w:line="240" w:lineRule="exact" w:before="12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Identifies, measures, monitors, and manages country credit risk faced by IDA. By agreement with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Board, the individual country credit risk ratings are not shared with the Board and are not made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public.</w:t>
      </w:r>
    </w:p>
    <w:p>
      <w:pPr>
        <w:autoSpaceDN w:val="0"/>
        <w:tabs>
          <w:tab w:pos="370" w:val="left"/>
        </w:tabs>
        <w:autoSpaceDE w:val="0"/>
        <w:widowControl/>
        <w:spacing w:line="240" w:lineRule="exact" w:before="6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Assesses loan portfolio risk and capital requirements, determines the adequacy of provisions for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losses on loans and other exposures, and monitors borrowers that are vulnerable to crises in the near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term. The department assesses the consistency of country lending programs as determined in IDA’s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PBA allocation framework with overall capital adequacy.</w:t>
      </w:r>
    </w:p>
    <w:p>
      <w:pPr>
        <w:autoSpaceDN w:val="0"/>
        <w:tabs>
          <w:tab w:pos="370" w:val="left"/>
        </w:tabs>
        <w:autoSpaceDE w:val="0"/>
        <w:widowControl/>
        <w:spacing w:line="222" w:lineRule="exact" w:before="7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Reviews proposed new financial products for any implications for country credit risk.</w:t>
      </w:r>
    </w:p>
    <w:p>
      <w:pPr>
        <w:autoSpaceDN w:val="0"/>
        <w:autoSpaceDE w:val="0"/>
        <w:widowControl/>
        <w:spacing w:line="246" w:lineRule="exact" w:before="13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Market and Counterparty Risk Department</w:t>
      </w:r>
    </w:p>
    <w:p>
      <w:pPr>
        <w:autoSpaceDN w:val="0"/>
        <w:tabs>
          <w:tab w:pos="370" w:val="left"/>
        </w:tabs>
        <w:autoSpaceDE w:val="0"/>
        <w:widowControl/>
        <w:spacing w:line="240" w:lineRule="exact" w:before="12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Responsible for market, liquidity, and counterparty credit risk oversight, assessment, and reporting. It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does these in coordination with IDA’s financial managers who are responsible for the day-to-day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execution of trades for the liquid asset and derivative portfolios, within applicable policy and guideline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limits.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92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5"/>
        <w:gridCol w:w="3145"/>
        <w:gridCol w:w="3145"/>
      </w:tblGrid>
      <w:tr>
        <w:trPr>
          <w:trHeight w:hRule="exact" w:val="255"/>
        </w:trPr>
        <w:tc>
          <w:tcPr>
            <w:tcW w:type="dxa" w:w="3950"/>
            <w:gridSpan w:val="2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IX: Risk Management</w:t>
            </w:r>
          </w:p>
        </w:tc>
      </w:tr>
      <w:tr>
        <w:trPr>
          <w:trHeight w:hRule="exact" w:val="949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1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18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Ensures effective oversight, including: i) maintaining sound credit assessments, ii) addressing 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36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transaction and product risk issues, iii) providing an independent review function, iv) monitoring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and counterparty risk in the investment, borrowing and client operation portfolios, and v)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model risk for financial and capital models. It also provides reports to the Audit Committee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Board on the extent and nature of risks, risk management, and oversight.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Responsible for validation of market data and models used for fair valuation of financial instruments.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Undertakes model verification to ensure robust implementation of the models for products measured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at fair value.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Operational Risk Department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1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Provides direction and oversight for operational risk activities by business function.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6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Key operational risk management responsibilities include: (i) administering the Operational Risk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Committee (ORC) for IDA, (ii) implementing the operational risk management framework which is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aligned with Basel principles and provides direction to business unit partners to ensure consistent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application, (iii) assisting and guiding business units in identifying and prioritizing significant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operational risks and enabling monitoring and reporting of risks through suitable metrics (or risk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indicators), (iv) helping identify emerging risks and trends through monitoring of internal and external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 events, (v) supporting risk response and mitigating actions, and prepares a corporate Operational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Risk Report for review and discussion by the ORC.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6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Responsible for the oversight of the enterprise risk, operational risk, business continuity, operational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resilience, corporate insurance, and data privacy functions.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risk of IDA’s operations not meeting their development outcomes (development outcome risk) in IDA’s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lending activities is monitored at the corporate level by Operations Policy and Country Services (OPCS).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Where fraud and corruption risks may impact IDA-financed projects, OPCS, the regions and practice </w:t>
      </w:r>
      <w:r>
        <w:rPr>
          <w:rFonts w:ascii="ArialMT" w:hAnsi="ArialMT" w:eastAsia="ArialMT"/>
          <w:b w:val="0"/>
          <w:i w:val="0"/>
          <w:color w:val="000000"/>
          <w:sz w:val="20"/>
        </w:rPr>
        <w:t>groups, and the Integrity Vice Presidency jointly address such issues.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Risk Committees</w:t>
      </w:r>
    </w:p>
    <w:p>
      <w:pPr>
        <w:autoSpaceDN w:val="0"/>
        <w:autoSpaceDE w:val="0"/>
        <w:widowControl/>
        <w:spacing w:line="224" w:lineRule="exact" w:before="146" w:after="11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Figure 13: Management Risk Committee Structure for Financial and Operational Risks </w:t>
      </w: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540"/>
        </w:trPr>
        <w:tc>
          <w:tcPr>
            <w:tcW w:type="dxa" w:w="5700"/>
            <w:gridSpan w:val="2"/>
            <w:tcBorders/>
            <w:shd w:fill="00487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Financial Risk</w:t>
            </w:r>
          </w:p>
        </w:tc>
      </w:tr>
      <w:tr>
        <w:trPr>
          <w:trHeight w:hRule="exact" w:val="808"/>
        </w:trPr>
        <w:tc>
          <w:tcPr>
            <w:tcW w:type="dxa" w:w="2726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2726"/>
            </w:tblGrid>
            <w:tr>
              <w:trPr>
                <w:trHeight w:hRule="exact" w:val="390"/>
              </w:trPr>
              <w:tc>
                <w:tcPr>
                  <w:tcW w:type="dxa" w:w="2636"/>
                  <w:tcBorders/>
                  <w:shd w:fill="4c7f9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15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0"/>
                    </w:rPr>
                    <w:t>FRC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2726"/>
            </w:tblGrid>
            <w:tr>
              <w:trPr>
                <w:trHeight w:hRule="exact" w:val="230"/>
              </w:trPr>
              <w:tc>
                <w:tcPr>
                  <w:tcW w:type="dxa" w:w="2400"/>
                  <w:tcBorders/>
                  <w:shd w:fill="4c7f9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Finance and Risk Committee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74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7.99999999999955" w:type="dxa"/>
            </w:tblPr>
            <w:tblGrid>
              <w:gridCol w:w="2974"/>
            </w:tblGrid>
            <w:tr>
              <w:trPr>
                <w:trHeight w:hRule="exact" w:val="330"/>
              </w:trPr>
              <w:tc>
                <w:tcPr>
                  <w:tcW w:type="dxa" w:w="2636"/>
                  <w:tcBorders/>
                  <w:shd w:fill="4c7f9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9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0"/>
                    </w:rPr>
                    <w:t>ALCO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3.9999999999998" w:type="dxa"/>
            </w:tblPr>
            <w:tblGrid>
              <w:gridCol w:w="2974"/>
            </w:tblGrid>
            <w:tr>
              <w:trPr>
                <w:trHeight w:hRule="exact" w:val="196"/>
              </w:trPr>
              <w:tc>
                <w:tcPr>
                  <w:tcW w:type="dxa" w:w="2160"/>
                  <w:tcBorders/>
                  <w:shd w:fill="4c7f9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Asset and Liability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3.9999999999998" w:type="dxa"/>
            </w:tblPr>
            <w:tblGrid>
              <w:gridCol w:w="2974"/>
            </w:tblGrid>
            <w:tr>
              <w:trPr>
                <w:trHeight w:hRule="exact" w:val="176"/>
              </w:trPr>
              <w:tc>
                <w:tcPr>
                  <w:tcW w:type="dxa" w:w="2360"/>
                  <w:tcBorders/>
                  <w:shd w:fill="4c7f9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Management Committee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18"/>
        </w:trPr>
        <w:tc>
          <w:tcPr>
            <w:tcW w:type="dxa" w:w="2726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7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Chair: MDCFO</w:t>
            </w:r>
          </w:p>
        </w:tc>
        <w:tc>
          <w:tcPr>
            <w:tcW w:type="dxa" w:w="2974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Chair: MDCFO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9436"/>
      </w:tblGrid>
      <w:tr>
        <w:trPr>
          <w:trHeight w:hRule="exact" w:val="840"/>
        </w:trPr>
        <w:tc>
          <w:tcPr>
            <w:tcW w:type="dxa" w:w="2636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NBC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9436"/>
      </w:tblGrid>
      <w:tr>
        <w:trPr>
          <w:trHeight w:hRule="exact" w:val="570"/>
        </w:trPr>
        <w:tc>
          <w:tcPr>
            <w:tcW w:type="dxa" w:w="2634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New Business Committee</w:t>
            </w:r>
          </w:p>
        </w:tc>
      </w:tr>
    </w:tbl>
    <w:p>
      <w:pPr>
        <w:autoSpaceDN w:val="0"/>
        <w:autoSpaceDE w:val="0"/>
        <w:widowControl/>
        <w:spacing w:line="246" w:lineRule="exact" w:before="67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Financial Risk Committees:</w:t>
      </w:r>
    </w:p>
    <w:p>
      <w:pPr>
        <w:sectPr>
          <w:type w:val="continuous"/>
          <w:pgSz w:w="12240" w:h="15840"/>
          <w:pgMar w:top="216" w:right="1364" w:bottom="360" w:left="1440" w:header="720" w:footer="720" w:gutter="0"/>
          <w:cols w:num="2" w:equalWidth="0">
            <w:col w:w="5790" w:space="0"/>
            <w:col w:w="36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9436"/>
      </w:tblGrid>
      <w:tr>
        <w:trPr>
          <w:trHeight w:hRule="exact" w:val="540"/>
        </w:trPr>
        <w:tc>
          <w:tcPr>
            <w:tcW w:type="dxa" w:w="3480"/>
            <w:tcBorders/>
            <w:shd w:fill="00487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Operational Risk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9436"/>
      </w:tblGrid>
      <w:tr>
        <w:trPr>
          <w:trHeight w:hRule="exact" w:val="500"/>
        </w:trPr>
        <w:tc>
          <w:tcPr>
            <w:tcW w:type="dxa" w:w="348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ERC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6.0000000000002" w:type="dxa"/>
      </w:tblPr>
      <w:tblGrid>
        <w:gridCol w:w="9436"/>
      </w:tblGrid>
      <w:tr>
        <w:trPr>
          <w:trHeight w:hRule="exact" w:val="250"/>
        </w:trPr>
        <w:tc>
          <w:tcPr>
            <w:tcW w:type="dxa" w:w="2774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Enterprise Risk Committee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6.0000000000002" w:type="dxa"/>
      </w:tblPr>
      <w:tblGrid>
        <w:gridCol w:w="9436"/>
      </w:tblGrid>
      <w:tr>
        <w:trPr>
          <w:trHeight w:hRule="exact" w:val="462"/>
        </w:trPr>
        <w:tc>
          <w:tcPr>
            <w:tcW w:type="dxa" w:w="2774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Chair: MDCAO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6.0000000000002" w:type="dxa"/>
      </w:tblPr>
      <w:tblGrid>
        <w:gridCol w:w="9436"/>
      </w:tblGrid>
      <w:tr>
        <w:trPr>
          <w:trHeight w:hRule="exact" w:val="840"/>
        </w:trPr>
        <w:tc>
          <w:tcPr>
            <w:tcW w:type="dxa" w:w="2774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ORC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6.0000000000002" w:type="dxa"/>
      </w:tblPr>
      <w:tblGrid>
        <w:gridCol w:w="9436"/>
      </w:tblGrid>
      <w:tr>
        <w:trPr>
          <w:trHeight w:hRule="exact" w:val="550"/>
        </w:trPr>
        <w:tc>
          <w:tcPr>
            <w:tcW w:type="dxa" w:w="2774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Operational Risk Committee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888"/>
        <w:ind w:left="0" w:right="0"/>
      </w:pPr>
    </w:p>
    <w:p>
      <w:pPr>
        <w:sectPr>
          <w:type w:val="nextColumn"/>
          <w:pgSz w:w="12240" w:h="15840"/>
          <w:pgMar w:top="216" w:right="1364" w:bottom="360" w:left="1440" w:header="720" w:footer="720" w:gutter="0"/>
          <w:cols w:num="2" w:equalWidth="0">
            <w:col w:w="5790" w:space="0"/>
            <w:col w:w="3645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The Finance and Risk Committee (FRC)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, a Vice President level committee, provides a high-level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governance structure for decisions that may have financial risks. The FRC is chaired by the Managing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Director and WBG Chief Financial Officer (MDCFO) and approves, clears, or discusses: (a) policy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procedure documents related to financial integrity, income sustainability and balance sheet strength,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(b) issues and new business initiatives with policy implications related to IDA’s financial and operational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risks in the areas of finance, which include country credit, market, counterparty, liquidity, and model risks, </w:t>
      </w:r>
    </w:p>
    <w:p>
      <w:pPr>
        <w:autoSpaceDN w:val="0"/>
        <w:tabs>
          <w:tab w:pos="9138" w:val="left"/>
        </w:tabs>
        <w:autoSpaceDE w:val="0"/>
        <w:widowControl/>
        <w:spacing w:line="224" w:lineRule="exact" w:before="588" w:after="0"/>
        <w:ind w:left="33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43</w:t>
      </w:r>
    </w:p>
    <w:p>
      <w:pPr>
        <w:sectPr>
          <w:type w:val="continuous"/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40" w:lineRule="exact" w:before="702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operational risks related to the finance business functions. The FRC helps to integrate individual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components of finance and risk management activities by building on mechanisms and processes already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place and provides a forum for discussing and communicating significant risk related issues. The FRC </w:t>
      </w:r>
      <w:r>
        <w:rPr>
          <w:rFonts w:ascii="ArialMT" w:hAnsi="ArialMT" w:eastAsia="ArialMT"/>
          <w:b w:val="0"/>
          <w:i w:val="0"/>
          <w:color w:val="000000"/>
          <w:sz w:val="20"/>
        </w:rPr>
        <w:t>meets regularly to discuss the new products and services and financial risk management of IDA.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The New Business Committee (NBC)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is a standing subcommittee of the FRC. The NBC provides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advice, guidance, and recommendations to the FRC, by performing due diligence over new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products or services to ensure that management has a full understanding of the rationale, costs, risks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rewards of the product or service being considered.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Asset and Liability Management Committee (ALCO)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, a Vice President level committee chaired by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MDCFO provides a high-level forum to ensure prudent balance sheet management of IDA by: a)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monitoring its financial positions and ALM activities for compliance with its respective guidelines, policies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procedures, including borrowing and investment activities; b) identifying and providing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recommendations on emerging ALM issues for IDA, as well as those related to capital, balance-sheet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planning, and financial sustainability; and c) serving as a reviewing and recommending body for ongoing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decisions as part of implementing the ALM policies and procedures of IDA, including those that impact </w:t>
      </w:r>
      <w:r>
        <w:rPr>
          <w:rFonts w:ascii="ArialMT" w:hAnsi="ArialMT" w:eastAsia="ArialMT"/>
          <w:b w:val="0"/>
          <w:i w:val="0"/>
          <w:color w:val="000000"/>
          <w:sz w:val="20"/>
        </w:rPr>
        <w:t>lending rates and net income.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Operational Risk Committees: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The Enterprise Risk Committee (ERC)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is a Vice President-level committee chaired by the Managing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Director and Chief Administrative Officer (MDCAO) that oversees IDA’s non-financial risks through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reviewing, discussing and/or formulating proposed policies, procedures, directives, guidance,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matters requested by its members. ERC’s scope comprises : a) operational risk, including business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continuity, corporate security, cyber security, and IT service continuity; b) enterprise risk; c) Integrity Vice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Presidency (INT) and Ethics and Business Conduct (EBC) policies and methodologies; d) shared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services; and e) any other matters brought by the MDCAO. The ERC leverages existing risk management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>mechanisms that are in place to provide a corporate view of operational and non-financial risks.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Operational Risk Committee (ORC)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is the main governance committee for operational risk and provides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mechanism for an integrated review and response across IDA units on operational risks associated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people, processes, and systems or from external events and recognizing that business units remain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responsible for managing operational risks. The Committee’s key responsibilities include monitoring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significant operational risk matters and events on a quarterly basis to ensure that appropriate risk-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response measures are taken and reviewing and concluding on IDA’s overall operational risk profile.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ORC is chaired by the CROVP and escalates significant risks and decisions to the FRC and ERC.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Other Risk Councils 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Financial Risk Council and Non-Financial Risk Council facilitate regular coordination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collaboration across WBG entities in financial and non-financial risk functions, respectively.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councils, chaired by the MDCFO and MDCAO, respectively, meet regularly to identify opportunities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collaboration across the risk functions that serve to enhance the effectiveness of each of the risk functions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while respecting the fiduciary obligations of each entity and considering the different mandates, clients,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products, and business models. They also provide a common forum for the systematic exchange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information and encourage joint reporting of risks across the entities to form an overall picture on risk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purposes of information sharing, identifying interdependencies, connections, and concentrations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risk.</w:t>
      </w:r>
    </w:p>
    <w:p>
      <w:pPr>
        <w:autoSpaceDN w:val="0"/>
        <w:autoSpaceDE w:val="0"/>
        <w:widowControl/>
        <w:spacing w:line="314" w:lineRule="exact" w:before="1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Management of IDA's Risks</w:t>
      </w:r>
    </w:p>
    <w:p>
      <w:pPr>
        <w:autoSpaceDN w:val="0"/>
        <w:autoSpaceDE w:val="0"/>
        <w:widowControl/>
        <w:spacing w:line="240" w:lineRule="exact" w:before="14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assumes financial risks in order to achieve its development and strategic objectives. IDA’s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 management framework is designed to enable and support the institution in achieving its goals in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financially sustainable manner. IDA manages credit, market, and operational risks in its financial activities,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include lending, borrowing and investing (Box 5). The primary financial risk to IDA is the country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credit risk inherent in its loan and guarantee portfolio. IDA is also exposed to risks in its liquid asset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derivative portfolios, where the major risks are interest rate, exchange rate, commercial counterparty, and 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50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40" w:lineRule="exact" w:before="70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liquidity risks. IDA’s operational risk management framework is based on a structured and uniform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approach to identify, assess, and monitor key operational risks across business units. </w:t>
      </w:r>
    </w:p>
    <w:p>
      <w:pPr>
        <w:autoSpaceDN w:val="0"/>
        <w:autoSpaceDE w:val="0"/>
        <w:widowControl/>
        <w:spacing w:line="224" w:lineRule="exact" w:before="136" w:after="112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Box 5: Summary of IDA's Specific Risk Categories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40"/>
        </w:trPr>
        <w:tc>
          <w:tcPr>
            <w:tcW w:type="dxa" w:w="2290"/>
            <w:tcBorders>
              <w:bottom w:sz="8.0" w:val="single" w:color="#FFFFFF"/>
            </w:tcBorders>
            <w:shd w:fill="00487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Types of Financial Risk</w:t>
            </w:r>
          </w:p>
        </w:tc>
        <w:tc>
          <w:tcPr>
            <w:tcW w:type="dxa" w:w="7090"/>
            <w:tcBorders>
              <w:bottom w:sz="8.0" w:val="single" w:color="#FFFFFF"/>
            </w:tcBorders>
            <w:shd w:fill="00487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4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How the risk is managed</w:t>
            </w:r>
          </w:p>
        </w:tc>
      </w:tr>
      <w:tr>
        <w:trPr>
          <w:trHeight w:hRule="exact" w:val="1006"/>
        </w:trPr>
        <w:tc>
          <w:tcPr>
            <w:tcW w:type="dxa" w:w="229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08" w:after="0"/>
              <w:ind w:left="62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Credit Risk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Country Credit Risk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Counterparty Credit Risk</w:t>
            </w:r>
          </w:p>
        </w:tc>
        <w:tc>
          <w:tcPr>
            <w:tcW w:type="dxa" w:w="709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" w:after="0"/>
              <w:ind w:left="472" w:right="158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E5EDF1"/>
                <w:sz w:val="16"/>
              </w:rPr>
              <w:t xml:space="preserve">Credit Risk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IDA’s credit-risk-bearing capacity and individual country exposure limits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Counterparty credit limits and collateral</w:t>
            </w:r>
          </w:p>
        </w:tc>
      </w:tr>
      <w:tr>
        <w:trPr>
          <w:trHeight w:hRule="exact" w:val="1304"/>
        </w:trPr>
        <w:tc>
          <w:tcPr>
            <w:tcW w:type="dxa" w:w="229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8" w:after="0"/>
              <w:ind w:left="62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Market Risk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Interest Rate Risk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Exchange Rate Risk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Liquidity Risk</w:t>
            </w:r>
          </w:p>
        </w:tc>
        <w:tc>
          <w:tcPr>
            <w:tcW w:type="dxa" w:w="7090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2" w:after="0"/>
              <w:ind w:left="472" w:right="100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E5EDF1"/>
                <w:sz w:val="16"/>
              </w:rPr>
              <w:t xml:space="preserve">Market Risk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Interest rate derivatives to match the sensitivity of assets and liabilities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derivatives to align the currency composition of assets and liabilities</w:t>
            </w:r>
          </w:p>
          <w:p>
            <w:pPr>
              <w:autoSpaceDN w:val="0"/>
              <w:autoSpaceDE w:val="0"/>
              <w:widowControl/>
              <w:spacing w:line="178" w:lineRule="exact" w:before="74" w:after="0"/>
              <w:ind w:left="4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Prudential Minimum liquidity level</w:t>
            </w:r>
          </w:p>
        </w:tc>
      </w:tr>
      <w:tr>
        <w:trPr>
          <w:trHeight w:hRule="exact" w:val="554"/>
        </w:trPr>
        <w:tc>
          <w:tcPr>
            <w:tcW w:type="dxa" w:w="2290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Operational Risk</w:t>
            </w:r>
          </w:p>
        </w:tc>
        <w:tc>
          <w:tcPr>
            <w:tcW w:type="dxa" w:w="7090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4" w:after="0"/>
              <w:ind w:left="472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Risk assessment and monitoring of key risk indicators and internal and external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operational risk events</w:t>
            </w:r>
          </w:p>
        </w:tc>
      </w:tr>
    </w:tbl>
    <w:p>
      <w:pPr>
        <w:autoSpaceDN w:val="0"/>
        <w:autoSpaceDE w:val="0"/>
        <w:widowControl/>
        <w:spacing w:line="312" w:lineRule="exact" w:before="17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Capital Adequacy</w:t>
      </w:r>
    </w:p>
    <w:p>
      <w:pPr>
        <w:autoSpaceDN w:val="0"/>
        <w:autoSpaceDE w:val="0"/>
        <w:widowControl/>
        <w:spacing w:line="240" w:lineRule="exact" w:before="14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uses a solvency-based capital adequacy model, which mandates that IDA hold capital for credit risk,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risk and operational risk covering all activities and assets on its books. IDA's main measure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capital adequacy is the Deployable Strategic Capital (DSC), which represents the capital available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>support future commitments, over and above the current portfolio. IDA is required, based on a Board-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approved policy, to keep the DSC at no lower than zero. The DSC is calculated as the amount by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Total Resources Available (TRA) exceeds Total Resources Required (TRR) and Conservation Buffer (CB).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June 2024, IDA implemented enhancements to the DSC, as part of the review of IDA’s Capital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Adequacy Framework (CAF) to increase the efficiency of IDA’s capital utilization while continuing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protect IDA’s triple-A rating and long-term financial sustainability. TRA represents IDA’s available equity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plus accumulated provision for losses on loans and other exposures. It includes, as a subtraction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equity, the present value adjustment of IDA’s concessional loan portfolio based on the prevailing interest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rates and development grants approved but not yet expensed. In addition, it includes expected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encashment of donor contributions in IDA’s 3-year risk horizon and excludes pension-related adjustments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>and other restricted assets.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TRR is the minimum capital required to cover expected and unexpected losses in connection with 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IDA’s operations and assets. Since June 2024, TRR also includes a capital charge for: a) interest rate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 on the expected net disbursements of concessional loans in IDA’s 3-year risk horizon and b) updated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capital charges for the components of the PSW based on actual transaction data. The Conservation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Buffer is calculated as 10% of TRA.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the DSC ratio was 30.8% (34.8% as of June 30, 2024). IDA's capital continues to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adequate to support its operations. See Table 24. The decrease was mainly due to a larger percentage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 in TRR compared to the percentage increase in TRA. The increase in TRR was primarily due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higher capital requirements for the increase in total exposure during the year. The increase in TRA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primarily due to the increase in equity, mainly reflecting the subscriptions and contributions received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members during the year. </w:t>
      </w:r>
    </w:p>
    <w:p>
      <w:pPr>
        <w:autoSpaceDN w:val="0"/>
        <w:tabs>
          <w:tab w:pos="9148" w:val="left"/>
        </w:tabs>
        <w:autoSpaceDE w:val="0"/>
        <w:widowControl/>
        <w:spacing w:line="224" w:lineRule="exact" w:before="2468" w:after="0"/>
        <w:ind w:left="338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45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24" w:lineRule="exact" w:before="71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24: Deployable Strategic Capital Ratio</w:t>
      </w:r>
    </w:p>
    <w:p>
      <w:pPr>
        <w:autoSpaceDN w:val="0"/>
        <w:autoSpaceDE w:val="0"/>
        <w:widowControl/>
        <w:spacing w:line="178" w:lineRule="exact" w:before="84" w:after="292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billions of U.S. dollars except ratios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320"/>
        </w:trPr>
        <w:tc>
          <w:tcPr>
            <w:tcW w:type="dxa" w:w="4170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As of </w:t>
            </w:r>
          </w:p>
        </w:tc>
        <w:tc>
          <w:tcPr>
            <w:tcW w:type="dxa" w:w="276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4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Jun-25</w:t>
            </w:r>
          </w:p>
        </w:tc>
        <w:tc>
          <w:tcPr>
            <w:tcW w:type="dxa" w:w="576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Jun-24</w:t>
            </w:r>
          </w:p>
        </w:tc>
        <w:tc>
          <w:tcPr>
            <w:tcW w:type="dxa" w:w="448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6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Change</w:t>
            </w:r>
          </w:p>
        </w:tc>
      </w:tr>
      <w:tr>
        <w:trPr>
          <w:trHeight w:hRule="exact" w:val="238"/>
        </w:trPr>
        <w:tc>
          <w:tcPr>
            <w:tcW w:type="dxa" w:w="4170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Resources Available (TRA)</w:t>
            </w:r>
          </w:p>
        </w:tc>
        <w:tc>
          <w:tcPr>
            <w:tcW w:type="dxa" w:w="276"/>
            <w:vMerge w:val="restart"/>
            <w:tcBorders>
              <w:top w:sz="8.0" w:val="single" w:color="#7F7F7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644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165.5 </w:t>
            </w:r>
          </w:p>
        </w:tc>
        <w:tc>
          <w:tcPr>
            <w:tcW w:type="dxa" w:w="576"/>
            <w:vMerge w:val="restart"/>
            <w:tcBorders>
              <w:top w:sz="8.0" w:val="single" w:color="#7F7F7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180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149.5 </w:t>
            </w:r>
          </w:p>
        </w:tc>
        <w:tc>
          <w:tcPr>
            <w:tcW w:type="dxa" w:w="448"/>
            <w:vMerge w:val="restart"/>
            <w:tcBorders>
              <w:top w:sz="8.0" w:val="single" w:color="#7F7F7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086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16.0 </w:t>
            </w:r>
          </w:p>
        </w:tc>
      </w:tr>
      <w:tr>
        <w:trPr>
          <w:trHeight w:hRule="exact" w:val="300"/>
        </w:trPr>
        <w:tc>
          <w:tcPr>
            <w:tcW w:type="dxa" w:w="4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Resources Required (TRR)</w:t>
            </w:r>
          </w:p>
        </w:tc>
        <w:tc>
          <w:tcPr>
            <w:tcW w:type="dxa" w:w="1349"/>
            <w:vMerge/>
            <w:tcBorders>
              <w:top w:sz="8.0" w:val="single" w:color="#7F7F7F"/>
              <w:bottom w:sz="4.0" w:val="single" w:color="#000000"/>
            </w:tcBorders>
          </w:tcPr>
          <w:p/>
        </w:tc>
        <w:tc>
          <w:tcPr>
            <w:tcW w:type="dxa" w:w="1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97.9 </w:t>
            </w:r>
          </w:p>
        </w:tc>
        <w:tc>
          <w:tcPr>
            <w:tcW w:type="dxa" w:w="1349"/>
            <w:vMerge/>
            <w:tcBorders>
              <w:top w:sz="8.0" w:val="single" w:color="#7F7F7F"/>
              <w:bottom w:sz="4.0" w:val="single" w:color="#000000"/>
            </w:tcBorders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82.5 </w:t>
            </w:r>
          </w:p>
        </w:tc>
        <w:tc>
          <w:tcPr>
            <w:tcW w:type="dxa" w:w="1349"/>
            <w:vMerge/>
            <w:tcBorders>
              <w:top w:sz="8.0" w:val="single" w:color="#7F7F7F"/>
              <w:bottom w:sz="4.0" w:val="single" w:color="#000000"/>
            </w:tcBorders>
          </w:tcPr>
          <w:p/>
        </w:tc>
        <w:tc>
          <w:tcPr>
            <w:tcW w:type="dxa" w:w="1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15.4 </w:t>
            </w:r>
          </w:p>
        </w:tc>
      </w:tr>
      <w:tr>
        <w:trPr>
          <w:trHeight w:hRule="exact" w:val="316"/>
        </w:trPr>
        <w:tc>
          <w:tcPr>
            <w:tcW w:type="dxa" w:w="417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Conservation Buffer (CB)</w:t>
            </w:r>
          </w:p>
        </w:tc>
        <w:tc>
          <w:tcPr>
            <w:tcW w:type="dxa" w:w="1349"/>
            <w:vMerge/>
            <w:tcBorders>
              <w:top w:sz="8.0" w:val="single" w:color="#7F7F7F"/>
              <w:bottom w:sz="4.0" w:val="single" w:color="#000000"/>
            </w:tcBorders>
          </w:tcPr>
          <w:p/>
        </w:tc>
        <w:tc>
          <w:tcPr>
            <w:tcW w:type="dxa" w:w="164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16.6 </w:t>
            </w:r>
          </w:p>
        </w:tc>
        <w:tc>
          <w:tcPr>
            <w:tcW w:type="dxa" w:w="1349"/>
            <w:vMerge/>
            <w:tcBorders>
              <w:top w:sz="8.0" w:val="single" w:color="#7F7F7F"/>
              <w:bottom w:sz="4.0" w:val="single" w:color="#000000"/>
            </w:tcBorders>
          </w:tcPr>
          <w:p/>
        </w:tc>
        <w:tc>
          <w:tcPr>
            <w:tcW w:type="dxa" w:w="11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15.0 </w:t>
            </w:r>
          </w:p>
        </w:tc>
        <w:tc>
          <w:tcPr>
            <w:tcW w:type="dxa" w:w="1349"/>
            <w:vMerge/>
            <w:tcBorders>
              <w:top w:sz="8.0" w:val="single" w:color="#7F7F7F"/>
              <w:bottom w:sz="4.0" w:val="single" w:color="#000000"/>
            </w:tcBorders>
          </w:tcPr>
          <w:p/>
        </w:tc>
        <w:tc>
          <w:tcPr>
            <w:tcW w:type="dxa" w:w="108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1.6 </w:t>
            </w:r>
          </w:p>
        </w:tc>
      </w:tr>
      <w:tr>
        <w:trPr>
          <w:trHeight w:hRule="exact" w:val="286"/>
        </w:trPr>
        <w:tc>
          <w:tcPr>
            <w:tcW w:type="dxa" w:w="417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Deployable Strategic Capital (DSC = TRA-TRR-CB)</w:t>
            </w:r>
          </w:p>
        </w:tc>
        <w:tc>
          <w:tcPr>
            <w:tcW w:type="dxa" w:w="27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64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51.0 </w:t>
            </w:r>
          </w:p>
        </w:tc>
        <w:tc>
          <w:tcPr>
            <w:tcW w:type="dxa" w:w="57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18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52.0 </w:t>
            </w:r>
          </w:p>
        </w:tc>
        <w:tc>
          <w:tcPr>
            <w:tcW w:type="dxa" w:w="448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08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(1.0) </w:t>
            </w:r>
          </w:p>
        </w:tc>
      </w:tr>
      <w:tr>
        <w:trPr>
          <w:trHeight w:hRule="exact" w:val="284"/>
        </w:trPr>
        <w:tc>
          <w:tcPr>
            <w:tcW w:type="dxa" w:w="4170"/>
            <w:tcBorders>
              <w:top w:sz="4.0" w:val="single" w:color="#000000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Deployable Strategic Capital as a percentage of TRA</w:t>
            </w:r>
          </w:p>
        </w:tc>
        <w:tc>
          <w:tcPr>
            <w:tcW w:type="dxa" w:w="276"/>
            <w:tcBorders>
              <w:top w:sz="4.0" w:val="single" w:color="#000000"/>
              <w:bottom w:sz="8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4"/>
            <w:tcBorders>
              <w:top w:sz="4.0" w:val="single" w:color="#000000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2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30.8 %</w:t>
            </w:r>
          </w:p>
        </w:tc>
        <w:tc>
          <w:tcPr>
            <w:tcW w:type="dxa" w:w="576"/>
            <w:tcBorders>
              <w:top w:sz="4.0" w:val="single" w:color="#000000"/>
              <w:bottom w:sz="8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top w:sz="4.0" w:val="single" w:color="#000000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2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34.8 %</w:t>
            </w:r>
          </w:p>
        </w:tc>
        <w:tc>
          <w:tcPr>
            <w:tcW w:type="dxa" w:w="448"/>
            <w:tcBorders>
              <w:top w:sz="4.0" w:val="single" w:color="#000000"/>
              <w:bottom w:sz="8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6"/>
            <w:tcBorders>
              <w:top w:sz="4.0" w:val="single" w:color="#000000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(4.0) %</w:t>
            </w:r>
          </w:p>
        </w:tc>
      </w:tr>
    </w:tbl>
    <w:p>
      <w:pPr>
        <w:autoSpaceDN w:val="0"/>
        <w:autoSpaceDE w:val="0"/>
        <w:widowControl/>
        <w:spacing w:line="268" w:lineRule="exact" w:before="40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Asset/Liability Management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Since FY22, IDA's interim ALM policy allows, under specific criteria, funding fixed rate loans with long-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term fixed rate market debt and CPLs (both reported at amortized cost), as part of IDA’s interest rate risk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to align the interest rate and maturities of the debt with those of the loan portfolio. For more </w:t>
      </w:r>
      <w:r>
        <w:rPr>
          <w:rFonts w:ascii="ArialMT" w:hAnsi="ArialMT" w:eastAsia="ArialMT"/>
          <w:b w:val="0"/>
          <w:i w:val="0"/>
          <w:color w:val="000000"/>
          <w:sz w:val="20"/>
        </w:rPr>
        <w:t>details, see Notes to the Financial Statements for the year ended June 30, 2025, Note E - Borrowings.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Capital Value Protection Program (CVP)</w:t>
      </w:r>
    </w:p>
    <w:p>
      <w:pPr>
        <w:autoSpaceDN w:val="0"/>
        <w:autoSpaceDE w:val="0"/>
        <w:widowControl/>
        <w:spacing w:line="240" w:lineRule="exact" w:before="12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part of IDA’s ALM policies, IDA executed pay fixed, receive floating forward-starting swaps with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current notional of $15.4 billion under a Board-approved Capital Value Protection Program. The objective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>of the program is to partially reduce the sensitivity of IDA’s capital adequacy model to changes in long-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term interest rates and allow for more resources to be available for lending under the capital adequacy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framework.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Changes in the values of these forward-starting swaps partially offset changes in the present value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loans, thereby reducing the sensitivity of IDA’s capital adequacy to long-term interest rate movements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providing greater stability in IDA’s long-term financing to clients. These swaps are included in the ALM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portfolio. For more details, see Notes to the Financial Statements for the year ended June 30, 2025, Note </w:t>
      </w:r>
      <w:r>
        <w:rPr>
          <w:rFonts w:ascii="ArialMT" w:hAnsi="ArialMT" w:eastAsia="ArialMT"/>
          <w:b w:val="0"/>
          <w:i w:val="0"/>
          <w:color w:val="000000"/>
          <w:sz w:val="20"/>
        </w:rPr>
        <w:t>F - Derivative Instruments.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Asset Coverage Principles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addition to the DSC framework, IDA has policies in place to ensure alignment of its lending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borrowing activities. Specifically, the Board approved the following asset coverage principles:</w:t>
      </w:r>
    </w:p>
    <w:p>
      <w:pPr>
        <w:autoSpaceDN w:val="0"/>
        <w:tabs>
          <w:tab w:pos="460" w:val="left"/>
        </w:tabs>
        <w:autoSpaceDE w:val="0"/>
        <w:widowControl/>
        <w:spacing w:line="240" w:lineRule="exact" w:before="120" w:after="0"/>
        <w:ind w:left="10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monitors the level of assets available to satisfy all of IDA’s borrowings and adjusts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future lending and grant commitments should the level of asset coverage fall below the level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expected for a triple-A rated entity.</w:t>
      </w:r>
    </w:p>
    <w:p>
      <w:pPr>
        <w:autoSpaceDN w:val="0"/>
        <w:tabs>
          <w:tab w:pos="460" w:val="left"/>
        </w:tabs>
        <w:autoSpaceDE w:val="0"/>
        <w:widowControl/>
        <w:spacing w:line="240" w:lineRule="exact" w:before="60" w:after="0"/>
        <w:ind w:left="10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monitors IDA’s liquidity to ensure its ability to satisfy its borrowing and commitment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obligations even under stressed conditions taking into account the level expected for a triple-A rated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entity without callable capital.</w:t>
      </w:r>
    </w:p>
    <w:p>
      <w:pPr>
        <w:autoSpaceDN w:val="0"/>
        <w:tabs>
          <w:tab w:pos="460" w:val="left"/>
        </w:tabs>
        <w:autoSpaceDE w:val="0"/>
        <w:widowControl/>
        <w:spacing w:line="240" w:lineRule="exact" w:before="60" w:after="0"/>
        <w:ind w:left="10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If IDA’s access to the capital markets or alternative sources of cash funding is impaired, then no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additional loan or grant commitments will be approved until access to cash funding has resumed 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all market debt is repaid.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Credit Risk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faces two types of credit risk: country credit risk and counterparty credit risk. Country credit risk is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 of loss due to a country not meeting its contractual obligations, and counterparty credit risk is the risk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loss attributable to a counterparty not honoring its contractual obligations. IDA is exposed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commercial as well as noncommercial counterparty credit risk.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128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46" w:lineRule="exact" w:before="7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Country Credit Risk</w:t>
      </w:r>
    </w:p>
    <w:p>
      <w:pPr>
        <w:autoSpaceDN w:val="0"/>
        <w:autoSpaceDE w:val="0"/>
        <w:widowControl/>
        <w:spacing w:line="240" w:lineRule="exact" w:before="126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lending management framework encompasses the long-standing PBA mechanism and allocation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framework agreed at each replenishment, complemented by additional considerations required when </w:t>
      </w:r>
      <w:r>
        <w:rPr>
          <w:rFonts w:ascii="ArialMT" w:hAnsi="ArialMT" w:eastAsia="ArialMT"/>
          <w:b w:val="0"/>
          <w:i w:val="0"/>
          <w:color w:val="000000"/>
          <w:sz w:val="20"/>
        </w:rPr>
        <w:t>accessing debt markets to ensure adherence to risk management (capital adequacy) requirements.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While the PBA framework was not originally intended as a credit quality metric, it incorporates factors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related to country credit risk. The PBA determines the volume of concessional IDA resources allocated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each country, based on performance in implementing policies that promote economic growth and poverty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reduction, as assessed under the Country Policy and Institutional Assessment (CPIA). The CPIA includes </w:t>
      </w:r>
      <w:r>
        <w:rPr>
          <w:rFonts w:ascii="ArialMT" w:hAnsi="ArialMT" w:eastAsia="ArialMT"/>
          <w:b w:val="0"/>
          <w:i w:val="0"/>
          <w:color w:val="000000"/>
          <w:sz w:val="20"/>
        </w:rPr>
        <w:t>economic management criteria, such as fiscal policy and debt policy and management.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addition to these considerations in the PBA, IDA regularly assesses the country credit risk of all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borrowers. IDA produces credit risk ratings for all its borrowing countries, which reflect country economic,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financial, and political circumstances, and also considers environmental, social and governance (ESG)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 factors. Based on these risk ratings, to manage overall portfolio risk, the allocation outcomes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PBA and other mechanisms are reviewed to ensure that they are compatible with the Deployable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>Strategic Capital Framework and Single Borrower Limit.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Single Borrower Limit</w:t>
      </w:r>
    </w:p>
    <w:p>
      <w:pPr>
        <w:autoSpaceDN w:val="0"/>
        <w:autoSpaceDE w:val="0"/>
        <w:widowControl/>
        <w:spacing w:line="240" w:lineRule="exact" w:before="12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Portfolio concentration risk, which arises when a small group of borrowing countries account for a large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share of loans outstanding, is a key consideration for IDA. Concentration risk is managed through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SBL, which caps exposure to any single borrowing country at 25 percent of equity, in line with the Basel-</w:t>
      </w:r>
      <w:r>
        <w:rPr>
          <w:rFonts w:ascii="ArialMT" w:hAnsi="ArialMT" w:eastAsia="ArialMT"/>
          <w:b w:val="0"/>
          <w:i w:val="0"/>
          <w:color w:val="000000"/>
          <w:sz w:val="20"/>
        </w:rPr>
        <w:t>based maximum exposure limit.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FY26, the SBL has been set at $51.0 billion (25% of $204.2 billion of total equity as of June 30, 2025),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marginal increase compared to FY25 ($47.5 billion). Currently, the maximum country exposure levels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compatible with IDA’s overall capital adequacy target are lower than the SBL for all IDA borrowing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countries. As a consequence, the SBL is currently not a constraining factor.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the ten countries with the highest exposures accounted for 61% of IDA’s total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exposure (Figure 14). Monitoring these exposures relative to the SBL, requires consideration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repayment profiles of existing loans, as well as disbursement profiles and projected new loans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guarantees.</w:t>
      </w:r>
    </w:p>
    <w:p>
      <w:pPr>
        <w:autoSpaceDN w:val="0"/>
        <w:tabs>
          <w:tab w:pos="9138" w:val="left"/>
        </w:tabs>
        <w:autoSpaceDE w:val="0"/>
        <w:widowControl/>
        <w:spacing w:line="224" w:lineRule="exact" w:before="5900" w:after="0"/>
        <w:ind w:left="33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47</w:t>
      </w: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24" w:lineRule="exact" w:before="7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 14: Country Exposures as of June 30, 2025</w:t>
      </w:r>
    </w:p>
    <w:p>
      <w:pPr>
        <w:autoSpaceDN w:val="0"/>
        <w:autoSpaceDE w:val="0"/>
        <w:widowControl/>
        <w:spacing w:line="178" w:lineRule="exact" w:before="84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billions of U.S. dollars</w:t>
      </w:r>
    </w:p>
    <w:p>
      <w:pPr>
        <w:autoSpaceDN w:val="0"/>
        <w:autoSpaceDE w:val="0"/>
        <w:widowControl/>
        <w:spacing w:line="222" w:lineRule="exact" w:before="292" w:after="210"/>
        <w:ind w:left="0" w:right="398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>Top Ten Country Exposures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</w:tblGrid>
      <w:tr>
        <w:trPr>
          <w:trHeight w:hRule="exact" w:val="382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Bangladesh</w:t>
            </w:r>
          </w:p>
        </w:tc>
        <w:tc>
          <w:tcPr>
            <w:tcW w:type="dxa" w:w="7560"/>
            <w:gridSpan w:val="1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8.0000000000001" w:type="dxa"/>
            </w:tblPr>
            <w:tblGrid>
              <w:gridCol w:w="630"/>
              <w:gridCol w:w="630"/>
              <w:gridCol w:w="630"/>
              <w:gridCol w:w="630"/>
              <w:gridCol w:w="630"/>
              <w:gridCol w:w="630"/>
              <w:gridCol w:w="630"/>
              <w:gridCol w:w="630"/>
              <w:gridCol w:w="630"/>
              <w:gridCol w:w="630"/>
              <w:gridCol w:w="630"/>
              <w:gridCol w:w="630"/>
            </w:tblGrid>
            <w:tr>
              <w:trPr>
                <w:trHeight w:hRule="exact" w:val="190"/>
              </w:trPr>
              <w:tc>
                <w:tcPr>
                  <w:tcW w:type="dxa" w:w="6662"/>
                  <w:tcBorders>
                    <w:start w:sz="6.001110553741455" w:val="single" w:color="#585958"/>
                    <w:bottom w:sz="6.001110553741455" w:val="single" w:color="#898A8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680" w:val="left"/>
                      <w:tab w:pos="2820" w:val="left"/>
                      <w:tab w:pos="3180" w:val="left"/>
                      <w:tab w:pos="3390" w:val="left"/>
                      <w:tab w:pos="3480" w:val="left"/>
                      <w:tab w:pos="3526" w:val="left"/>
                      <w:tab w:pos="4636" w:val="left"/>
                      <w:tab w:pos="4952" w:val="left"/>
                      <w:tab w:pos="5866" w:val="left"/>
                    </w:tabs>
                    <w:autoSpaceDE w:val="0"/>
                    <w:widowControl/>
                    <w:spacing w:line="374" w:lineRule="exact" w:before="0" w:after="0"/>
                    <w:ind w:left="1410" w:right="432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22.6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19.3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18.2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14.2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14.0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13.7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13.0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11.6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7.2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6.2</w:t>
                  </w:r>
                </w:p>
              </w:tc>
              <w:tc>
                <w:tcPr>
                  <w:tcW w:type="dxa" w:w="630"/>
                  <w:tcBorders>
                    <w:start w:sz="6.001110553741455" w:val="single" w:color="#585958"/>
                    <w:bottom w:sz="6.00111055374145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start w:sz="6.001110553741455" w:val="single" w:color="#585958"/>
                    <w:bottom w:sz="6.00111055374145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start w:sz="6.001110553741455" w:val="single" w:color="#585958"/>
                    <w:bottom w:sz="6.00111055374145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start w:sz="6.001110553741455" w:val="single" w:color="#585958"/>
                    <w:bottom w:sz="6.00111055374145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start w:sz="6.001110553741455" w:val="single" w:color="#585958"/>
                    <w:bottom w:sz="6.00111055374145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start w:sz="6.001110553741455" w:val="single" w:color="#585958"/>
                    <w:bottom w:sz="6.00111055374145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start w:sz="6.001110553741455" w:val="single" w:color="#585958"/>
                    <w:bottom w:sz="6.00111055374145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start w:sz="6.001110553741455" w:val="single" w:color="#585958"/>
                    <w:bottom w:sz="6.00111055374145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start w:sz="6.001110553741455" w:val="single" w:color="#585958"/>
                    <w:bottom w:sz="6.00111055374145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start w:sz="6.001110553741455" w:val="single" w:color="#585958"/>
                    <w:bottom w:sz="6.00111055374145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start w:sz="6.001110553741455" w:val="single" w:color="#585958"/>
                    <w:bottom w:sz="6.00111055374145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2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Pakistan</w:t>
            </w:r>
          </w:p>
        </w:tc>
        <w:tc>
          <w:tcPr>
            <w:tcW w:type="dxa" w:w="8762"/>
            <w:gridSpan w:val="13"/>
            <w:vMerge/>
            <w:tcBorders/>
          </w:tcPr>
          <w:p/>
        </w:tc>
      </w:tr>
      <w:tr>
        <w:trPr>
          <w:trHeight w:hRule="exact" w:val="382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Nigeria</w:t>
            </w:r>
          </w:p>
        </w:tc>
        <w:tc>
          <w:tcPr>
            <w:tcW w:type="dxa" w:w="8762"/>
            <w:gridSpan w:val="13"/>
            <w:vMerge/>
            <w:tcBorders/>
          </w:tcPr>
          <w:p/>
        </w:tc>
      </w:tr>
      <w:tr>
        <w:trPr>
          <w:trHeight w:hRule="exact" w:val="384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India</w:t>
            </w:r>
          </w:p>
        </w:tc>
        <w:tc>
          <w:tcPr>
            <w:tcW w:type="dxa" w:w="8762"/>
            <w:gridSpan w:val="13"/>
            <w:vMerge/>
            <w:tcBorders/>
          </w:tcPr>
          <w:p/>
        </w:tc>
      </w:tr>
      <w:tr>
        <w:trPr>
          <w:trHeight w:hRule="exact" w:val="382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Ethiopia</w:t>
            </w:r>
          </w:p>
        </w:tc>
        <w:tc>
          <w:tcPr>
            <w:tcW w:type="dxa" w:w="8762"/>
            <w:gridSpan w:val="13"/>
            <w:vMerge/>
            <w:tcBorders/>
          </w:tcPr>
          <w:p/>
        </w:tc>
      </w:tr>
      <w:tr>
        <w:trPr>
          <w:trHeight w:hRule="exact" w:val="382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Tanzania</w:t>
            </w:r>
          </w:p>
        </w:tc>
        <w:tc>
          <w:tcPr>
            <w:tcW w:type="dxa" w:w="8762"/>
            <w:gridSpan w:val="13"/>
            <w:vMerge/>
            <w:tcBorders/>
          </w:tcPr>
          <w:p/>
        </w:tc>
      </w:tr>
      <w:tr>
        <w:trPr>
          <w:trHeight w:hRule="exact" w:val="382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Kenya</w:t>
            </w:r>
          </w:p>
        </w:tc>
        <w:tc>
          <w:tcPr>
            <w:tcW w:type="dxa" w:w="8762"/>
            <w:gridSpan w:val="13"/>
            <w:vMerge/>
            <w:tcBorders/>
          </w:tcPr>
          <w:p/>
        </w:tc>
      </w:tr>
      <w:tr>
        <w:trPr>
          <w:trHeight w:hRule="exact" w:val="384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Viet Nam</w:t>
            </w:r>
          </w:p>
        </w:tc>
        <w:tc>
          <w:tcPr>
            <w:tcW w:type="dxa" w:w="8762"/>
            <w:gridSpan w:val="13"/>
            <w:vMerge/>
            <w:tcBorders/>
          </w:tcPr>
          <w:p/>
        </w:tc>
      </w:tr>
      <w:tr>
        <w:trPr>
          <w:trHeight w:hRule="exact" w:val="382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Ghana</w:t>
            </w:r>
          </w:p>
        </w:tc>
        <w:tc>
          <w:tcPr>
            <w:tcW w:type="dxa" w:w="8762"/>
            <w:gridSpan w:val="13"/>
            <w:vMerge/>
            <w:tcBorders/>
          </w:tcPr>
          <w:p/>
        </w:tc>
      </w:tr>
      <w:tr>
        <w:trPr>
          <w:trHeight w:hRule="exact" w:val="504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Cote d'Ivoire</w:t>
            </w:r>
          </w:p>
        </w:tc>
        <w:tc>
          <w:tcPr>
            <w:tcW w:type="dxa" w:w="8762"/>
            <w:gridSpan w:val="13"/>
            <w:vMerge/>
            <w:tcBorders/>
          </w:tcPr>
          <w:p/>
        </w:tc>
      </w:tr>
      <w:tr>
        <w:trPr>
          <w:trHeight w:hRule="exact" w:val="322"/>
        </w:trPr>
        <w:tc>
          <w:tcPr>
            <w:tcW w:type="dxa" w:w="674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4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6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246" w:lineRule="exact" w:before="39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Debt Relief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has participated in two comprehensive debt relief initiatives, HIPC and MDRI, adopted by the global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development community to reduce the debt burdens of developing countries. In each case, IDA agreed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provide debt relief in return for future compensation from members for forgone reflows, ensuring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financial capacity would not be reduced. For a borrower to be eligible for debt relief on its loans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IDA, it is required to maintain macroeconomic stability, carry out key structural and social reforms,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maintain all loans in accrual status.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Expected Losses, Overdue Payments and Non-Performing Loans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a borrower fails to make payments on any principal, interest, or other charges due to IDA, IDA may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suspend disbursements immediately on all loans and grants to that borrower. IDA’s current practice is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exercise this option using a gradual approach (Box 6). These practices also apply to member countries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eligible to borrow from both IDA and IBRD, and whose payments on IBRD loans may become overdue. 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IDA’s practice not to reschedule service charges, interest or principal payments on its loans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participate in debt rescheduling agreements with respect to its loans. As of June 30, 2025, none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IDA borrowing countries in the accrual portfolio had overdue payments beyond three months.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May 12, 2025, the Syrian Arab Republic, with the assistance of 2 member countries, cleared all of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>overdue principal and charges due to IDA.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302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6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24" w:lineRule="exact" w:before="718" w:after="102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Box 6: Treatment of Overdue Payments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766"/>
        </w:trPr>
        <w:tc>
          <w:tcPr>
            <w:tcW w:type="dxa" w:w="1066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4c7f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 xml:space="preserve">Overdue by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30 days</w:t>
            </w:r>
          </w:p>
        </w:tc>
        <w:tc>
          <w:tcPr>
            <w:tcW w:type="dxa" w:w="8234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6" w:right="14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Where the borrower is the member country, no new loans, or grants to the member country, or to any other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borrower in the country, will be presented to the Board for approval nor will any previously approved loans 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grants be signed, until payments for all amounts 30 days overdue or longer have been received. Where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borrower is not the member country, no new loans or grants to that borrower will be signed or approved.</w:t>
            </w:r>
          </w:p>
        </w:tc>
      </w:tr>
      <w:tr>
        <w:trPr>
          <w:trHeight w:hRule="exact" w:val="944"/>
        </w:trPr>
        <w:tc>
          <w:tcPr>
            <w:tcW w:type="dxa" w:w="1066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4c7f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 xml:space="preserve">Overdue by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45 days</w:t>
            </w:r>
          </w:p>
        </w:tc>
        <w:tc>
          <w:tcPr>
            <w:tcW w:type="dxa" w:w="8234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86" w:right="14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 addition to the provisions cited above for payments overdue by 30 days, to avoid proceeding further on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notification process leading to suspension of disbursements, the country as borrower or guarantor and all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borrowers in the country must pay not only all payments overdue by 30 days or more, but also all payments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due regardless of the number of days since they have fallen due. Where the borrower is not the member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country, no new loans, or grants to, or guaranteed by, the member country, will be signed or approved. </w:t>
            </w:r>
          </w:p>
        </w:tc>
      </w:tr>
      <w:tr>
        <w:trPr>
          <w:trHeight w:hRule="exact" w:val="736"/>
        </w:trPr>
        <w:tc>
          <w:tcPr>
            <w:tcW w:type="dxa" w:w="1066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4c7f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 xml:space="preserve">Overdue by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60 days</w:t>
            </w:r>
          </w:p>
        </w:tc>
        <w:tc>
          <w:tcPr>
            <w:tcW w:type="dxa" w:w="8234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186" w:right="14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 addition to the suspension of approval for new loans or grants and signing of previously approved loans 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grants, disbursements on all grants or loans to or guaranteed by the member country are suspended until all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overdue amounts are paid. This policy applies even when the borrower is not the member country. Under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exceptional circumstances, disbursements can be made to a member country upon the Board’s approval.</w:t>
            </w:r>
          </w:p>
        </w:tc>
      </w:tr>
      <w:tr>
        <w:trPr>
          <w:trHeight w:hRule="exact" w:val="1574"/>
        </w:trPr>
        <w:tc>
          <w:tcPr>
            <w:tcW w:type="dxa" w:w="1066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4c7f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 xml:space="preserve">Overdue by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 xml:space="preserve">more than six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months</w:t>
            </w:r>
          </w:p>
        </w:tc>
        <w:tc>
          <w:tcPr>
            <w:tcW w:type="dxa" w:w="8234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" w:after="0"/>
              <w:ind w:left="186" w:right="14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 addition to the suspension of disbursements on all loans to, or guaranteed by, the member country, all loans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made to or guaranteed by a member or to the territory of a member of IDA are placed in nonaccrual status,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unless IDA determines that the overdue amount will be collected in the immediate future. Unpaid service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charges and other charges not yet paid on loans outstanding are deducted from loan revenue in the current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period. To the extent that these payments are received, they are included in loan revenue. At the time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arrears clearance, if collectability risk is considered to be particularly high, the member’s exposures may not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automatically emerge from nonaccrual status. In such instances, a decision is made on the restoration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accrual status on a case-by-case basis and in certain cases, this decision may be deferred until after a suitable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period of payment or policy performance has passed.</w:t>
            </w:r>
          </w:p>
        </w:tc>
      </w:tr>
    </w:tbl>
    <w:p>
      <w:pPr>
        <w:autoSpaceDN w:val="0"/>
        <w:autoSpaceDE w:val="0"/>
        <w:widowControl/>
        <w:spacing w:line="240" w:lineRule="exact" w:before="15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an exception to the practices set forth in Box 6, IDA has provided financing to countries with overdue </w:t>
      </w:r>
      <w:r>
        <w:rPr>
          <w:rFonts w:ascii="ArialMT" w:hAnsi="ArialMT" w:eastAsia="ArialMT"/>
          <w:b w:val="0"/>
          <w:i w:val="0"/>
          <w:color w:val="000000"/>
          <w:sz w:val="20"/>
        </w:rPr>
        <w:t>payments, in very specific situations:</w:t>
      </w:r>
    </w:p>
    <w:p>
      <w:pPr>
        <w:autoSpaceDN w:val="0"/>
        <w:tabs>
          <w:tab w:pos="280" w:val="left"/>
        </w:tabs>
        <w:autoSpaceDE w:val="0"/>
        <w:widowControl/>
        <w:spacing w:line="228" w:lineRule="exact" w:before="212" w:after="12"/>
        <w:ind w:left="1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has provided grants from its Crisis Response Window to third party agencies for use in  Federal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Republic of Somalia and Zimbabwe in response to major crises, during FY17 and FY19 respectively,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4723"/>
        <w:gridCol w:w="4723"/>
      </w:tblGrid>
      <w:tr>
        <w:trPr>
          <w:trHeight w:hRule="exact" w:val="428"/>
        </w:trPr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and;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IDA has financed a few regional projects, for the benefit of countries with overdue payments to IDA, </w:t>
            </w:r>
          </w:p>
        </w:tc>
      </w:tr>
    </w:tbl>
    <w:p>
      <w:pPr>
        <w:autoSpaceDN w:val="0"/>
        <w:autoSpaceDE w:val="0"/>
        <w:widowControl/>
        <w:spacing w:line="224" w:lineRule="exact" w:before="8" w:after="0"/>
        <w:ind w:left="28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through its Regional Program Window.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past, on an exceptional basis, IDA financed through concessional loans and grants the following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regional projects, where participation of a country with overdue payments was crucial to the success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regional project.</w:t>
      </w:r>
    </w:p>
    <w:p>
      <w:pPr>
        <w:autoSpaceDN w:val="0"/>
        <w:tabs>
          <w:tab w:pos="280" w:val="left"/>
        </w:tabs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April 2017, the Kenya Displacement project ($103 million) through Intergovernmental Authority 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Development (IGAD) that included financing for Federal Republic of Somalia, a country with overdue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payments at the time.</w:t>
      </w:r>
    </w:p>
    <w:p>
      <w:pPr>
        <w:autoSpaceDN w:val="0"/>
        <w:tabs>
          <w:tab w:pos="280" w:val="left"/>
        </w:tabs>
        <w:autoSpaceDE w:val="0"/>
        <w:widowControl/>
        <w:spacing w:line="240" w:lineRule="exact" w:before="6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December 2014, Kariba Dam Rehabilitation Project ($75 million) that included benefits for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Zimbabwe, a country with overdue payments.</w:t>
      </w:r>
    </w:p>
    <w:p>
      <w:pPr>
        <w:autoSpaceDN w:val="0"/>
        <w:tabs>
          <w:tab w:pos="280" w:val="left"/>
        </w:tabs>
        <w:autoSpaceDE w:val="0"/>
        <w:widowControl/>
        <w:spacing w:line="240" w:lineRule="exact" w:before="6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September 2003, West Africa HIV/AIDS project for the Abidjan-Lagos Transport Corridor ($17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million) that included benefits for Togo, a country with overdue payments at that time.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above cases, financing was not made directly to the country with overdue payments.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Implementation arrangements were such that a regional bank or another participating country took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obligation of the regional project on behalf of the country with overdue payments to IDA.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addition, IDA may engage with countries with overdue payments when a very narrow and well-defined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set of criteria are met, including a clear path to arrears clearance. For more details on exceptional </w:t>
      </w:r>
      <w:r>
        <w:rPr>
          <w:rFonts w:ascii="ArialMT" w:hAnsi="ArialMT" w:eastAsia="ArialMT"/>
          <w:b w:val="0"/>
          <w:i w:val="0"/>
          <w:color w:val="000000"/>
          <w:sz w:val="20"/>
        </w:rPr>
        <w:t>financing, see Section III: IDA's Financial Resources.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4972"/>
          <w:sz w:val="22"/>
        </w:rPr>
        <w:t>Accumulated Provision for Losses on Loans and other Exposures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total exposure for provisioning is the current exposure and the estimated exposure taking into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account expected disbursements and repayments over the life of the instruments. The expected credit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losses related to loans and other exposures are calculated over the life of the instruments based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expected exposures, the expected default frequency (probability of default to IDA) and the estimated loss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given default. The provision for expected losses is the sum of the expected annual losses over the life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instruments. A key determinant in the provision for losses on loans and other exposures is IDA’s </w:t>
      </w:r>
    </w:p>
    <w:p>
      <w:pPr>
        <w:autoSpaceDN w:val="0"/>
        <w:tabs>
          <w:tab w:pos="9148" w:val="left"/>
        </w:tabs>
        <w:autoSpaceDE w:val="0"/>
        <w:widowControl/>
        <w:spacing w:line="224" w:lineRule="exact" w:before="764" w:after="0"/>
        <w:ind w:left="338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49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40" w:lineRule="exact" w:before="70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borrowing country credit risk ratings. These ratings are IDA’s own assessment of borrowers’ ability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willingness to repay IDA on time and in full.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IDA had $227.9 billion of loans outstanding, of which loans in nonaccrual status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represented 0.4%. IDA’s accumulated provision for losses on loans and other exposures was $6.2 billion,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represented a provisioning rate of 2.0% of the underlying exposures ($5.6 billion as of 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2024, 2.0% of the underlying exposures). For a summary of countries with loans or guarantees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nonaccrual status as of June 30, 2025, see Notes to the Financial Statements for the year ended </w:t>
      </w:r>
      <w:r>
        <w:rPr>
          <w:rFonts w:ascii="ArialMT" w:hAnsi="ArialMT" w:eastAsia="ArialMT"/>
          <w:b w:val="0"/>
          <w:i w:val="0"/>
          <w:color w:val="000000"/>
          <w:sz w:val="20"/>
        </w:rPr>
        <w:t>June 30, 2025, Note D – Loans and Other Exposures.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Commercial Counterparty Credit Risk</w:t>
      </w:r>
    </w:p>
    <w:p>
      <w:pPr>
        <w:autoSpaceDN w:val="0"/>
        <w:autoSpaceDE w:val="0"/>
        <w:widowControl/>
        <w:spacing w:line="240" w:lineRule="exact" w:before="126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Commercial counterparty credit risk is the risk that counterparties fail to meet their payment obligations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the terms of the contract or other financial instruments. Effective management of counterparty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credit risk is vital to the success of IDA’s funding, investment, and asset/liability management activities. </w:t>
      </w:r>
    </w:p>
    <w:p>
      <w:pPr>
        <w:autoSpaceDN w:val="0"/>
        <w:autoSpaceDE w:val="0"/>
        <w:widowControl/>
        <w:spacing w:line="22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monitoring and management of these risks is continuous as the market environment evolves.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mitigates the counterparty credit risk from its investment and derivative holdings through the credit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approval process, the use of collateral agreements and risk limits, and other monitoring procedures.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credit approval process involves evaluating counterparty and product specific creditworthiness, assigning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internal credit ratings and limits, and determining the risk profile of specific transactions. Credit limits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set and monitored throughout the year. Counterparty exposure is updated daily, taking into account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current market values of assets held, estimates of potential future movements of exposure for derivative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instruments, and related counterparty collateral agreements. Collateral posting requirements are based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thresholds driven by public credit ratings. Collateral held includes cash and highly rated liquid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 securities. Commercial credit risk management includes ESG related assessments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approval and monitoring of higher exposure counterparts for the liquid asset portfolio and for derivative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>counterparties.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liquid asset portfolio consists mostly of sovereign government bonds, debt instruments issued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>sovereign government agencies, corporates and time deposits with banks.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Derivative Instruments</w:t>
      </w:r>
    </w:p>
    <w:p>
      <w:pPr>
        <w:autoSpaceDN w:val="0"/>
        <w:autoSpaceDE w:val="0"/>
        <w:widowControl/>
        <w:spacing w:line="240" w:lineRule="exact" w:before="126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normal course of its business, IDA enters into various derivative instruments to manage foreign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exchange and interest rate risks. These instruments are also used to help borrowers to manage their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risks. Derivative transactions are conducted with other financial institutions and, by their nature, </w:t>
      </w:r>
      <w:r>
        <w:rPr>
          <w:rFonts w:ascii="ArialMT" w:hAnsi="ArialMT" w:eastAsia="ArialMT"/>
          <w:b w:val="0"/>
          <w:i w:val="0"/>
          <w:color w:val="000000"/>
          <w:sz w:val="20"/>
        </w:rPr>
        <w:t>entail commercial counterparty credit risk.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While the volume of derivative activity can be measured by the contracted notional value of derivatives,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notional value is not an accurate measure of credit or market risk. IDA uses the estimated replacement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cost of the derivative instruments, or potential future exposure (PFE), to measure credit risk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counterparties.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IDA’s mark-to-market collateral arrangements, IDA receives collateral when mark-to-market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exposure is greater than the ratings-based collateral threshold. As of June 30, 2025, IDA received $1,266 </w:t>
      </w:r>
      <w:r>
        <w:rPr>
          <w:rFonts w:ascii="ArialMT" w:hAnsi="ArialMT" w:eastAsia="ArialMT"/>
          <w:b w:val="0"/>
          <w:i w:val="0"/>
          <w:color w:val="000000"/>
          <w:sz w:val="20"/>
        </w:rPr>
        <w:t>million of cash collateral for its derivative transactions ($893 million - June 30, 2024).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is not required to post collateral under its derivative agreements as long as it maintains a triple-A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credit rating. (For the contractual value, notional amounts, related credit risk exposure amounts,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amount IDA would be required to post in the event of a downgrade, see Notes to the Financial Statements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>for the year ended June 30, 2025, Note F–Derivative Instruments).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Investment Securities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Board-approved General Investment Authorization provides the basic authority for IDA to invest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liquid assets. Furthermore, all investment activities are conducted in accordance with a more detailed set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Investment Guidelines set by management. The Investment Guidelines are approved by the MDCFO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implemented by the Treasurer. The Guidelines include a consultative loss limit to reflect a level of 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7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40" w:lineRule="exact" w:before="702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tolerance for the risk of underperforming the benchmark in any fiscal year and a duration deviation metric.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Clear lines of responsibility for risk monitoring and compliance are highlighted in the Guidelines. Credit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 appetite is conveyed through specific eligibility criteria (Box 7). IDA has procedures in place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monitor performance against this limit and potential risks, and it takes appropriate actions if the limit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reached. All investments are subject to additional conditions specified by the market and counterparty risk </w:t>
      </w:r>
      <w:r>
        <w:rPr>
          <w:rFonts w:ascii="ArialMT" w:hAnsi="ArialMT" w:eastAsia="ArialMT"/>
          <w:b w:val="0"/>
          <w:i w:val="0"/>
          <w:color w:val="000000"/>
          <w:sz w:val="20"/>
        </w:rPr>
        <w:t>department, as deemed necessary.</w:t>
      </w:r>
    </w:p>
    <w:p>
      <w:pPr>
        <w:autoSpaceDN w:val="0"/>
        <w:autoSpaceDE w:val="0"/>
        <w:widowControl/>
        <w:spacing w:line="224" w:lineRule="exact" w:before="136" w:after="112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Box 7: Eligibility Criteria for IDA’s 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40"/>
        </w:trPr>
        <w:tc>
          <w:tcPr>
            <w:tcW w:type="dxa" w:w="2630"/>
            <w:tcBorders>
              <w:bottom w:sz="8.0" w:val="single" w:color="#FFFFFF"/>
            </w:tcBorders>
            <w:shd w:fill="00487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 xml:space="preserve">Eligible Investments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FFFFFF"/>
                <w:sz w:val="10"/>
              </w:rPr>
              <w:t>a</w:t>
            </w:r>
          </w:p>
        </w:tc>
        <w:tc>
          <w:tcPr>
            <w:tcW w:type="dxa" w:w="6756"/>
            <w:tcBorders>
              <w:bottom w:sz="8.0" w:val="single" w:color="#FFFFFF"/>
            </w:tcBorders>
            <w:shd w:fill="00487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Description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506"/>
        </w:trPr>
        <w:tc>
          <w:tcPr>
            <w:tcW w:type="dxa" w:w="174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0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Sovereigns</w:t>
            </w:r>
          </w:p>
        </w:tc>
        <w:tc>
          <w:tcPr>
            <w:tcW w:type="dxa" w:w="7636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9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IDA may only invest in obligations issued or unconditionally guaranteed by governments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member countries with a minimum credit rating of AA-. However, no rating is required if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6"/>
      </w:tblGrid>
      <w:tr>
        <w:trPr>
          <w:trHeight w:hRule="exact" w:val="320"/>
        </w:trPr>
        <w:tc>
          <w:tcPr>
            <w:tcW w:type="dxa" w:w="9394"/>
            <w:tcBorders>
              <w:bottom w:sz="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 obligations are denominated in the national currency of the issuer.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723"/>
        <w:gridCol w:w="4723"/>
      </w:tblGrid>
      <w:tr>
        <w:trPr>
          <w:trHeight w:hRule="exact" w:val="438"/>
        </w:trPr>
        <w:tc>
          <w:tcPr>
            <w:tcW w:type="dxa" w:w="166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Agencies</w:t>
            </w:r>
          </w:p>
        </w:tc>
        <w:tc>
          <w:tcPr>
            <w:tcW w:type="dxa" w:w="772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9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IDA may invest only in obligations issued by an agency or instrumentality of a government of 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member country, a multilateral organization, or any other official entity other than the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1"/>
        <w:gridCol w:w="2361"/>
        <w:gridCol w:w="2361"/>
        <w:gridCol w:w="2361"/>
      </w:tblGrid>
      <w:tr>
        <w:trPr>
          <w:trHeight w:hRule="exact" w:val="228"/>
        </w:trPr>
        <w:tc>
          <w:tcPr>
            <w:tcW w:type="dxa" w:w="99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/>
        </w:tc>
        <w:tc>
          <w:tcPr>
            <w:tcW w:type="dxa" w:w="6764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 of a member country, with a minimum credit rating of AA-.</w:t>
            </w:r>
          </w:p>
        </w:tc>
      </w:tr>
      <w:tr>
        <w:trPr>
          <w:trHeight w:hRule="exact" w:val="210"/>
        </w:trPr>
        <w:tc>
          <w:tcPr>
            <w:tcW w:type="dxa" w:w="990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Corporates </w:t>
            </w:r>
          </w:p>
        </w:tc>
        <w:tc>
          <w:tcPr>
            <w:tcW w:type="dxa" w:w="520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and </w:t>
            </w:r>
          </w:p>
        </w:tc>
        <w:tc>
          <w:tcPr>
            <w:tcW w:type="dxa" w:w="1120"/>
            <w:tcBorders>
              <w:top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asset-backed </w:t>
            </w:r>
          </w:p>
        </w:tc>
        <w:tc>
          <w:tcPr>
            <w:tcW w:type="dxa" w:w="6764"/>
            <w:vMerge w:val="restart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 may only invest in securities with a triple-A credit rating.</w:t>
            </w:r>
          </w:p>
        </w:tc>
      </w:tr>
      <w:tr>
        <w:trPr>
          <w:trHeight w:hRule="exact" w:val="226"/>
        </w:trPr>
        <w:tc>
          <w:tcPr>
            <w:tcW w:type="dxa" w:w="2630"/>
            <w:gridSpan w:val="3"/>
            <w:tcBorders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</w:t>
            </w:r>
          </w:p>
        </w:tc>
        <w:tc>
          <w:tcPr>
            <w:tcW w:type="dxa" w:w="2361"/>
            <w:vMerge/>
            <w:tcBorders>
              <w:top w:sz="8.0" w:val="single" w:color="#FFFFFF"/>
              <w:bottom w:sz="8.0" w:val="single" w:color="#FFFFFF"/>
            </w:tcBorders>
          </w:tcPr>
          <w:p/>
        </w:tc>
      </w:tr>
      <w:tr>
        <w:trPr>
          <w:trHeight w:hRule="exact" w:val="434"/>
        </w:trPr>
        <w:tc>
          <w:tcPr>
            <w:tcW w:type="dxa" w:w="2630"/>
            <w:gridSpan w:val="3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Time deposits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6764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IDA may only invest in time deposits issued or guaranteed by financial institutions, whose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senior debt securities are rated at least A-.</w:t>
            </w:r>
          </w:p>
        </w:tc>
      </w:tr>
      <w:tr>
        <w:trPr>
          <w:trHeight w:hRule="exact" w:val="434"/>
        </w:trPr>
        <w:tc>
          <w:tcPr>
            <w:tcW w:type="dxa" w:w="2630"/>
            <w:gridSpan w:val="3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Commercial paper</w:t>
            </w:r>
          </w:p>
        </w:tc>
        <w:tc>
          <w:tcPr>
            <w:tcW w:type="dxa" w:w="6764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IDA may only invest in short-term borrowings (less than 190 days) from commercial banks,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corporates, and financial institutions with at least two Prime-1 ratings.</w:t>
            </w:r>
          </w:p>
        </w:tc>
      </w:tr>
      <w:tr>
        <w:trPr>
          <w:trHeight w:hRule="exact" w:val="646"/>
        </w:trPr>
        <w:tc>
          <w:tcPr>
            <w:tcW w:type="dxa" w:w="2630"/>
            <w:gridSpan w:val="3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62" w:right="1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lending, and borrowing,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repurchases, resales, and reverse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repurchases</w:t>
            </w:r>
          </w:p>
        </w:tc>
        <w:tc>
          <w:tcPr>
            <w:tcW w:type="dxa" w:w="6764"/>
            <w:tcBorders>
              <w:top w:sz="8.0" w:val="single" w:color="#FFFFFF"/>
              <w:bottom w:sz="8.0" w:val="single" w:color="#FFFFFF"/>
            </w:tcBorders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42" w:right="1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IDA may engage in securities lending, against adequate collateral repurchases and reverse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repurchases, against adequate margin protection, of the securities described under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sovereigns, agencies, and corporates and asset-backed security categories.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723"/>
        <w:gridCol w:w="4723"/>
      </w:tblGrid>
      <w:tr>
        <w:trPr>
          <w:trHeight w:hRule="exact" w:val="630"/>
        </w:trPr>
        <w:tc>
          <w:tcPr>
            <w:tcW w:type="dxa" w:w="192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Collateral assets</w:t>
            </w:r>
          </w:p>
        </w:tc>
        <w:tc>
          <w:tcPr>
            <w:tcW w:type="dxa" w:w="7460"/>
            <w:tcBorders/>
            <w:shd w:fill="e5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722" w:right="3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IDA may engage in collateralized forward transactions, such as swap, repurchase, resale,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lending, or equivalent transactions that involve certain underlying assets not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independently eligible for investment. In each case, adequate margin protection needs to be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6"/>
      </w:tblGrid>
      <w:tr>
        <w:trPr>
          <w:trHeight w:hRule="exact" w:val="266"/>
        </w:trPr>
        <w:tc>
          <w:tcPr>
            <w:tcW w:type="dxa" w:w="9394"/>
            <w:tcBorders>
              <w:bottom w:sz="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60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received.</w:t>
            </w:r>
          </w:p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9446"/>
      </w:tblGrid>
      <w:tr>
        <w:trPr>
          <w:trHeight w:hRule="exact" w:val="244"/>
        </w:trPr>
        <w:tc>
          <w:tcPr>
            <w:tcW w:type="dxa" w:w="9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a. All investments are subject to approval by the Market and Counterparty Risk department and must appear on the “Approved </w:t>
            </w:r>
          </w:p>
        </w:tc>
      </w:tr>
    </w:tbl>
    <w:p>
      <w:pPr>
        <w:autoSpaceDN w:val="0"/>
        <w:autoSpaceDE w:val="0"/>
        <w:widowControl/>
        <w:spacing w:line="178" w:lineRule="exact" w:before="8" w:after="0"/>
        <w:ind w:left="24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List” created by the department. 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Time deposits include certificates of deposit, bankers’ acceptances and other obligations issued or unconditionally guaranteed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by banks or other financial institutions.</w:t>
      </w:r>
    </w:p>
    <w:p>
      <w:pPr>
        <w:autoSpaceDN w:val="0"/>
        <w:autoSpaceDE w:val="0"/>
        <w:widowControl/>
        <w:spacing w:line="240" w:lineRule="exact" w:before="26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credit quality of IDA’s investment portfolio remains in the upper end of the credit spectrum with 78% </w:t>
      </w:r>
      <w:r>
        <w:rPr>
          <w:rFonts w:ascii="ArialMT" w:hAnsi="ArialMT" w:eastAsia="ArialMT"/>
          <w:b w:val="0"/>
          <w:i w:val="0"/>
          <w:color w:val="000000"/>
          <w:sz w:val="20"/>
        </w:rPr>
        <w:t>of the portfolio rated AA or above as of June 30, 2025, reflecting IDA’s continued preference for highly-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rated securities and counterparties across all categories of financial instruments. 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Commercial Counterparty Credit Risk Exposure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a result of IDA’s use of mark-to-market collateral arrangements for swap transactions, its residual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commercial counterparty credit risk exposure is concentrated in the investment portfolio, in instruments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issued by sovereign governments and non-sovereign holdings (including Agencies, Asset-backed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securities, Corporates, and Time Deposits). Total commercial counterparty credit exposure, net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collateral held, was $47.8 billion as of June 30, 2025. (Table 25).</w:t>
      </w:r>
    </w:p>
    <w:p>
      <w:pPr>
        <w:autoSpaceDN w:val="0"/>
        <w:tabs>
          <w:tab w:pos="9148" w:val="left"/>
        </w:tabs>
        <w:autoSpaceDE w:val="0"/>
        <w:widowControl/>
        <w:spacing w:line="224" w:lineRule="exact" w:before="3484" w:after="0"/>
        <w:ind w:left="338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51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24" w:lineRule="exact" w:before="71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25: Commercial Credit Exposure, Net of Collateral Held, by Counterparty Rating</w:t>
      </w:r>
    </w:p>
    <w:p>
      <w:pPr>
        <w:autoSpaceDN w:val="0"/>
        <w:autoSpaceDE w:val="0"/>
        <w:widowControl/>
        <w:spacing w:line="178" w:lineRule="exact" w:before="84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rates in percentages</w:t>
      </w:r>
    </w:p>
    <w:p>
      <w:pPr>
        <w:autoSpaceDN w:val="0"/>
        <w:autoSpaceDE w:val="0"/>
        <w:widowControl/>
        <w:spacing w:line="178" w:lineRule="exact" w:before="126" w:after="28"/>
        <w:ind w:left="0" w:right="264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 As of June 30, 2025 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188"/>
        </w:trPr>
        <w:tc>
          <w:tcPr>
            <w:tcW w:type="dxa" w:w="2474"/>
            <w:vMerge w:val="restart"/>
            <w:tcBorders>
              <w:top w:sz="8.0" w:val="single" w:color="#7F7F7F"/>
              <w:bottom w:sz="8.0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Counterparty Rating </w:t>
            </w:r>
            <w:r>
              <w:rPr>
                <w:rFonts w:ascii="Arial" w:hAnsi="Arial" w:eastAsia="Arial"/>
                <w:b w:val="0"/>
                <w:i/>
                <w:color w:val="000000"/>
                <w:sz w:val="13"/>
              </w:rPr>
              <w:t>a</w:t>
            </w:r>
          </w:p>
        </w:tc>
        <w:tc>
          <w:tcPr>
            <w:tcW w:type="dxa" w:w="1416"/>
            <w:vMerge w:val="restart"/>
            <w:tcBorders>
              <w:top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So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vereigns</w:t>
            </w:r>
          </w:p>
        </w:tc>
        <w:tc>
          <w:tcPr>
            <w:tcW w:type="dxa" w:w="1540"/>
            <w:vMerge w:val="restart"/>
            <w:tcBorders>
              <w:top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Non-So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vereigns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10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et Swap </w:t>
            </w:r>
          </w:p>
        </w:tc>
        <w:tc>
          <w:tcPr>
            <w:tcW w:type="dxa" w:w="1264"/>
            <w:vMerge w:val="restart"/>
            <w:tcBorders>
              <w:top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Exposure</w:t>
            </w:r>
          </w:p>
        </w:tc>
        <w:tc>
          <w:tcPr>
            <w:tcW w:type="dxa" w:w="1486"/>
            <w:gridSpan w:val="3"/>
            <w:vMerge w:val="restart"/>
            <w:tcBorders>
              <w:bottom w:sz="8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% of Total</w:t>
            </w:r>
          </w:p>
        </w:tc>
      </w:tr>
      <w:tr>
        <w:trPr>
          <w:trHeight w:hRule="exact" w:val="232"/>
        </w:trPr>
        <w:tc>
          <w:tcPr>
            <w:tcW w:type="dxa" w:w="1050"/>
            <w:vMerge/>
            <w:tcBorders>
              <w:top w:sz="8.0" w:val="single" w:color="#7F7F7F"/>
              <w:bottom w:sz="8.0" w:val="single" w:color="#7F7F7F"/>
            </w:tcBorders>
          </w:tcPr>
          <w:p/>
        </w:tc>
        <w:tc>
          <w:tcPr>
            <w:tcW w:type="dxa" w:w="1050"/>
            <w:vMerge/>
            <w:tcBorders>
              <w:top w:sz="8.0" w:val="single" w:color="#7F7F7F"/>
              <w:bottom w:sz="8.0" w:val="single" w:color="#7F7F7F"/>
            </w:tcBorders>
          </w:tcPr>
          <w:p/>
        </w:tc>
        <w:tc>
          <w:tcPr>
            <w:tcW w:type="dxa" w:w="1050"/>
            <w:vMerge/>
            <w:tcBorders>
              <w:top w:sz="8.0" w:val="single" w:color="#7F7F7F"/>
              <w:bottom w:sz="8.0" w:val="single" w:color="#7F7F7F"/>
            </w:tcBorders>
          </w:tcPr>
          <w:p/>
        </w:tc>
        <w:tc>
          <w:tcPr>
            <w:tcW w:type="dxa" w:w="1200"/>
            <w:gridSpan w:val="2"/>
            <w:tcBorders>
              <w:bottom w:sz="8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4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Exposure</w:t>
            </w:r>
          </w:p>
        </w:tc>
        <w:tc>
          <w:tcPr>
            <w:tcW w:type="dxa" w:w="1050"/>
            <w:vMerge/>
            <w:tcBorders>
              <w:top w:sz="8.0" w:val="single" w:color="#7F7F7F"/>
              <w:bottom w:sz="8.0" w:val="single" w:color="#7F7F7F"/>
            </w:tcBorders>
          </w:tcPr>
          <w:p/>
        </w:tc>
        <w:tc>
          <w:tcPr>
            <w:tcW w:type="dxa" w:w="3150"/>
            <w:gridSpan w:val="3"/>
            <w:vMerge/>
            <w:tcBorders>
              <w:bottom w:sz="8.0" w:val="single" w:color="#7F7F7F"/>
            </w:tcBorders>
          </w:tcPr>
          <w:p/>
        </w:tc>
      </w:tr>
      <w:tr>
        <w:trPr>
          <w:trHeight w:hRule="exact" w:val="228"/>
        </w:trPr>
        <w:tc>
          <w:tcPr>
            <w:tcW w:type="dxa" w:w="2474"/>
            <w:tcBorders>
              <w:top w:sz="8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AAA</w:t>
            </w:r>
          </w:p>
        </w:tc>
        <w:tc>
          <w:tcPr>
            <w:tcW w:type="dxa" w:w="1416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8,327 </w:t>
            </w:r>
          </w:p>
        </w:tc>
        <w:tc>
          <w:tcPr>
            <w:tcW w:type="dxa" w:w="1540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4,011 </w:t>
            </w:r>
          </w:p>
        </w:tc>
        <w:tc>
          <w:tcPr>
            <w:tcW w:type="dxa" w:w="640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560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4"/>
            <w:tcBorders>
              <w:top w:sz="8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$ 12,338 </w:t>
            </w:r>
          </w:p>
        </w:tc>
        <w:tc>
          <w:tcPr>
            <w:tcW w:type="dxa" w:w="1196"/>
            <w:tcBorders>
              <w:top w:sz="8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290"/>
            <w:gridSpan w:val="2"/>
            <w:tcBorders>
              <w:top w:sz="8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240"/>
        </w:trPr>
        <w:tc>
          <w:tcPr>
            <w:tcW w:type="dxa" w:w="24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AA</w:t>
            </w:r>
          </w:p>
        </w:tc>
        <w:tc>
          <w:tcPr>
            <w:tcW w:type="dxa" w:w="1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7,507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17,006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199 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24,712 </w:t>
            </w:r>
          </w:p>
        </w:tc>
        <w:tc>
          <w:tcPr>
            <w:tcW w:type="dxa" w:w="14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52</w:t>
            </w:r>
          </w:p>
        </w:tc>
      </w:tr>
      <w:tr>
        <w:trPr>
          <w:trHeight w:hRule="exact" w:val="240"/>
        </w:trPr>
        <w:tc>
          <w:tcPr>
            <w:tcW w:type="dxa" w:w="24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1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3,643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6,556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291 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10,490 </w:t>
            </w:r>
          </w:p>
        </w:tc>
        <w:tc>
          <w:tcPr>
            <w:tcW w:type="dxa" w:w="14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22</w:t>
            </w:r>
          </w:p>
        </w:tc>
      </w:tr>
      <w:tr>
        <w:trPr>
          <w:trHeight w:hRule="exact" w:val="252"/>
        </w:trPr>
        <w:tc>
          <w:tcPr>
            <w:tcW w:type="dxa" w:w="2474"/>
            <w:tcBorders>
              <w:bottom w:sz="8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BBB</w:t>
            </w:r>
          </w:p>
        </w:tc>
        <w:tc>
          <w:tcPr>
            <w:tcW w:type="dxa" w:w="1416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 </w:t>
            </w:r>
          </w:p>
        </w:tc>
        <w:tc>
          <w:tcPr>
            <w:tcW w:type="dxa" w:w="1540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175 </w:t>
            </w:r>
          </w:p>
        </w:tc>
        <w:tc>
          <w:tcPr>
            <w:tcW w:type="dxa" w:w="1200"/>
            <w:gridSpan w:val="2"/>
            <w:tcBorders>
              <w:bottom w:sz="8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4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264 </w:t>
            </w:r>
          </w:p>
        </w:tc>
        <w:tc>
          <w:tcPr>
            <w:tcW w:type="dxa" w:w="1486"/>
            <w:gridSpan w:val="3"/>
            <w:tcBorders>
              <w:bottom w:sz="8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40"/>
        </w:trPr>
        <w:tc>
          <w:tcPr>
            <w:tcW w:type="dxa" w:w="2474"/>
            <w:tcBorders>
              <w:top w:sz="8.0" w:val="single" w:color="#7F7F7F"/>
              <w:bottom w:sz="8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1416"/>
            <w:tcBorders>
              <w:top w:sz="8.0" w:val="single" w:color="#7F7F7F"/>
              <w:bottom w:sz="8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$ 19,566 </w:t>
            </w:r>
          </w:p>
        </w:tc>
        <w:tc>
          <w:tcPr>
            <w:tcW w:type="dxa" w:w="1540"/>
            <w:tcBorders>
              <w:top w:sz="8.0" w:val="single" w:color="#7F7F7F"/>
              <w:bottom w:sz="8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$ 27,748 </w:t>
            </w:r>
          </w:p>
        </w:tc>
        <w:tc>
          <w:tcPr>
            <w:tcW w:type="dxa" w:w="640"/>
            <w:tcBorders>
              <w:top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560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490</w:t>
            </w:r>
          </w:p>
        </w:tc>
        <w:tc>
          <w:tcPr>
            <w:tcW w:type="dxa" w:w="1264"/>
            <w:tcBorders>
              <w:top w:sz="8.0" w:val="single" w:color="#7F7F7F"/>
              <w:bottom w:sz="8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$ 47,804 </w:t>
            </w:r>
          </w:p>
        </w:tc>
        <w:tc>
          <w:tcPr>
            <w:tcW w:type="dxa" w:w="1256"/>
            <w:gridSpan w:val="2"/>
            <w:tcBorders>
              <w:top w:sz="8.0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230"/>
            <w:tcBorders>
              <w:top w:sz="8.0" w:val="single" w:color="#7F7F7F"/>
              <w:bottom w:sz="8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%</w:t>
            </w:r>
          </w:p>
        </w:tc>
      </w:tr>
    </w:tbl>
    <w:p>
      <w:pPr>
        <w:autoSpaceDN w:val="0"/>
        <w:autoSpaceDE w:val="0"/>
        <w:widowControl/>
        <w:spacing w:line="178" w:lineRule="exact" w:before="114" w:after="28"/>
        <w:ind w:left="0" w:right="277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As of 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188"/>
        </w:trPr>
        <w:tc>
          <w:tcPr>
            <w:tcW w:type="dxa" w:w="2550"/>
            <w:vMerge w:val="restart"/>
            <w:tcBorders>
              <w:top w:sz="8.0" w:val="single" w:color="#7F7F7F"/>
              <w:bottom w:sz="8.0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Counterparty Rating </w:t>
            </w:r>
            <w:r>
              <w:rPr>
                <w:rFonts w:ascii="Arial" w:hAnsi="Arial" w:eastAsia="Arial"/>
                <w:b w:val="0"/>
                <w:i/>
                <w:color w:val="000000"/>
                <w:sz w:val="13"/>
              </w:rPr>
              <w:t>a</w:t>
            </w:r>
          </w:p>
        </w:tc>
        <w:tc>
          <w:tcPr>
            <w:tcW w:type="dxa" w:w="1420"/>
            <w:vMerge w:val="restart"/>
            <w:tcBorders>
              <w:top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1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So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vereigns</w:t>
            </w:r>
          </w:p>
        </w:tc>
        <w:tc>
          <w:tcPr>
            <w:tcW w:type="dxa" w:w="1540"/>
            <w:vMerge w:val="restart"/>
            <w:tcBorders>
              <w:top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Non-So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vereigns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et Swap </w:t>
            </w:r>
          </w:p>
        </w:tc>
        <w:tc>
          <w:tcPr>
            <w:tcW w:type="dxa" w:w="1540"/>
            <w:vMerge w:val="restart"/>
            <w:tcBorders>
              <w:top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Exposure</w:t>
            </w:r>
          </w:p>
        </w:tc>
        <w:tc>
          <w:tcPr>
            <w:tcW w:type="dxa" w:w="1130"/>
            <w:gridSpan w:val="2"/>
            <w:vMerge w:val="restart"/>
            <w:tcBorders>
              <w:bottom w:sz="8.0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% of Total</w:t>
            </w:r>
          </w:p>
        </w:tc>
      </w:tr>
      <w:tr>
        <w:trPr>
          <w:trHeight w:hRule="exact" w:val="232"/>
        </w:trPr>
        <w:tc>
          <w:tcPr>
            <w:tcW w:type="dxa" w:w="1181"/>
            <w:vMerge/>
            <w:tcBorders>
              <w:top w:sz="8.0" w:val="single" w:color="#7F7F7F"/>
              <w:bottom w:sz="8.0" w:val="single" w:color="#7F7F7F"/>
            </w:tcBorders>
          </w:tcPr>
          <w:p/>
        </w:tc>
        <w:tc>
          <w:tcPr>
            <w:tcW w:type="dxa" w:w="1181"/>
            <w:vMerge/>
            <w:tcBorders>
              <w:top w:sz="8.0" w:val="single" w:color="#7F7F7F"/>
              <w:bottom w:sz="8.0" w:val="single" w:color="#7F7F7F"/>
            </w:tcBorders>
          </w:tcPr>
          <w:p/>
        </w:tc>
        <w:tc>
          <w:tcPr>
            <w:tcW w:type="dxa" w:w="1181"/>
            <w:vMerge/>
            <w:tcBorders>
              <w:top w:sz="8.0" w:val="single" w:color="#7F7F7F"/>
              <w:bottom w:sz="8.0" w:val="single" w:color="#7F7F7F"/>
            </w:tcBorders>
          </w:tcPr>
          <w:p/>
        </w:tc>
        <w:tc>
          <w:tcPr>
            <w:tcW w:type="dxa" w:w="1200"/>
            <w:gridSpan w:val="2"/>
            <w:tcBorders>
              <w:bottom w:sz="8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Exposure</w:t>
            </w:r>
          </w:p>
        </w:tc>
        <w:tc>
          <w:tcPr>
            <w:tcW w:type="dxa" w:w="1181"/>
            <w:vMerge/>
            <w:tcBorders>
              <w:top w:sz="8.0" w:val="single" w:color="#7F7F7F"/>
              <w:bottom w:sz="8.0" w:val="single" w:color="#7F7F7F"/>
            </w:tcBorders>
          </w:tcPr>
          <w:p/>
        </w:tc>
        <w:tc>
          <w:tcPr>
            <w:tcW w:type="dxa" w:w="2362"/>
            <w:gridSpan w:val="2"/>
            <w:vMerge/>
            <w:tcBorders>
              <w:bottom w:sz="8.0" w:val="single" w:color="#7F7F7F"/>
            </w:tcBorders>
          </w:tcPr>
          <w:p/>
        </w:tc>
      </w:tr>
      <w:tr>
        <w:trPr>
          <w:trHeight w:hRule="exact" w:val="228"/>
        </w:trPr>
        <w:tc>
          <w:tcPr>
            <w:tcW w:type="dxa" w:w="2550"/>
            <w:tcBorders>
              <w:top w:sz="8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AAA</w:t>
            </w:r>
          </w:p>
        </w:tc>
        <w:tc>
          <w:tcPr>
            <w:tcW w:type="dxa" w:w="1420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6,815 </w:t>
            </w:r>
          </w:p>
        </w:tc>
        <w:tc>
          <w:tcPr>
            <w:tcW w:type="dxa" w:w="1540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2,774 </w:t>
            </w:r>
          </w:p>
        </w:tc>
        <w:tc>
          <w:tcPr>
            <w:tcW w:type="dxa" w:w="640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560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540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$ 9,589 </w:t>
            </w:r>
          </w:p>
        </w:tc>
        <w:tc>
          <w:tcPr>
            <w:tcW w:type="dxa" w:w="840"/>
            <w:tcBorders>
              <w:top w:sz="8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290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240"/>
        </w:trPr>
        <w:tc>
          <w:tcPr>
            <w:tcW w:type="dxa" w:w="25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AA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7,411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9,528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17,099 </w:t>
            </w:r>
          </w:p>
        </w:tc>
        <w:tc>
          <w:tcPr>
            <w:tcW w:type="dxa" w:w="11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49</w:t>
            </w:r>
          </w:p>
        </w:tc>
      </w:tr>
      <w:tr>
        <w:trPr>
          <w:trHeight w:hRule="exact" w:val="240"/>
        </w:trPr>
        <w:tc>
          <w:tcPr>
            <w:tcW w:type="dxa" w:w="25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3,200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4,622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291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8,113 </w:t>
            </w:r>
          </w:p>
        </w:tc>
        <w:tc>
          <w:tcPr>
            <w:tcW w:type="dxa" w:w="11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23</w:t>
            </w:r>
          </w:p>
        </w:tc>
      </w:tr>
      <w:tr>
        <w:trPr>
          <w:trHeight w:hRule="exact" w:val="252"/>
        </w:trPr>
        <w:tc>
          <w:tcPr>
            <w:tcW w:type="dxa" w:w="2550"/>
            <w:tcBorders>
              <w:bottom w:sz="8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BBB</w:t>
            </w:r>
          </w:p>
        </w:tc>
        <w:tc>
          <w:tcPr>
            <w:tcW w:type="dxa" w:w="1420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540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200"/>
            <w:gridSpan w:val="2"/>
            <w:tcBorders>
              <w:bottom w:sz="8.0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540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130"/>
            <w:gridSpan w:val="2"/>
            <w:tcBorders>
              <w:bottom w:sz="8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40"/>
        </w:trPr>
        <w:tc>
          <w:tcPr>
            <w:tcW w:type="dxa" w:w="2550"/>
            <w:tcBorders>
              <w:top w:sz="8.0" w:val="single" w:color="#7F7F7F"/>
              <w:bottom w:sz="8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1420"/>
            <w:tcBorders>
              <w:top w:sz="8.0" w:val="single" w:color="#7F7F7F"/>
              <w:bottom w:sz="8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8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$ 17,426 </w:t>
            </w:r>
          </w:p>
        </w:tc>
        <w:tc>
          <w:tcPr>
            <w:tcW w:type="dxa" w:w="1540"/>
            <w:tcBorders>
              <w:top w:sz="8.0" w:val="single" w:color="#7F7F7F"/>
              <w:bottom w:sz="8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$ 16,931 </w:t>
            </w:r>
          </w:p>
        </w:tc>
        <w:tc>
          <w:tcPr>
            <w:tcW w:type="dxa" w:w="640"/>
            <w:tcBorders>
              <w:top w:sz="8.0" w:val="single" w:color="#7F7F7F"/>
              <w:bottom w:sz="8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1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>
              <w:top w:sz="8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451 </w:t>
            </w:r>
          </w:p>
        </w:tc>
        <w:tc>
          <w:tcPr>
            <w:tcW w:type="dxa" w:w="1540"/>
            <w:tcBorders>
              <w:top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$ 34,808 </w:t>
            </w:r>
          </w:p>
        </w:tc>
        <w:tc>
          <w:tcPr>
            <w:tcW w:type="dxa" w:w="840"/>
            <w:tcBorders>
              <w:top w:sz="8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290"/>
            <w:tcBorders>
              <w:top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%</w:t>
            </w:r>
          </w:p>
        </w:tc>
      </w:tr>
    </w:tbl>
    <w:p>
      <w:pPr>
        <w:autoSpaceDN w:val="0"/>
        <w:autoSpaceDE w:val="0"/>
        <w:widowControl/>
        <w:spacing w:line="184" w:lineRule="exact" w:before="266" w:after="0"/>
        <w:ind w:left="144" w:right="36" w:hanging="134"/>
        <w:jc w:val="both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Average rating is calculated using available ratings from the three major rating agencies; however, if ratings are not available from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 each of the three rating agencies, IDA uses the average of the ratings available from any of such rating agencies or a single rating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 to the extent that an instrument or issuer (as applicable) is rated by only one rating agency. </w:t>
      </w:r>
    </w:p>
    <w:p>
      <w:pPr>
        <w:autoSpaceDN w:val="0"/>
        <w:autoSpaceDE w:val="0"/>
        <w:widowControl/>
        <w:spacing w:line="240" w:lineRule="exact" w:before="16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contractual value, notional amounts and related credit risk exposure amounts by instrument, see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Notes to the Financial Statements for the year ended June 30, 2025, Note F - Derivative Instruments. 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Credit and Debit Valuation Adjustments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Most outstanding derivative positions are transacted over-the-counter and therefore valued using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internally developed valuation models. For commercial and non-commercial counterparties where IDA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has a net exposure (net receivable position), IDA calculates a Credit Valuation Adjustment (CVA) to reflect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credit risk. For net derivative positions with commercial and non-commercial counterparties where IDA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 net payable position, IDA calculates a Debit Valuation Adjustment (DVA) to reflect its own credit risk.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CVA is calculated using future projected exposures of the derivative contracts, net of collateral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received under credit support agreements, and the probability of counterparty default based on the Credit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Default Swaps (CDS) spread and, where applicable, proxy CDS spreads. IDA does not currently hedge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exposure. The DVA calculation is generally consistent with the CVA methodology and incorporates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own credit spread as observed through the CDS market. As of June 30, 2025, IDA recorded a CVA </w:t>
      </w:r>
      <w:r>
        <w:rPr>
          <w:rFonts w:ascii="ArialMT" w:hAnsi="ArialMT" w:eastAsia="ArialMT"/>
          <w:b w:val="0"/>
          <w:i w:val="0"/>
          <w:color w:val="000000"/>
          <w:sz w:val="20"/>
        </w:rPr>
        <w:t>on its balance sheet of $108 million, and a DVA of $14 million.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Changes in Credit Spreads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6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Borrowings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IDA’s own credit risk reflects the cost of funding relative to applicable reference rates.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Changes in IDA’s credit spreads result in unrealized mark-to-market gains/losses, recorded as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Net Change in DVA on Fair Value Option elected liabilities in the Statements of Comprehensive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Loans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IDA’s fair value model mainly represents a hypothetical MDB market exit price of the loans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outstanding. It incorporates CDS spreads as an indicator of the credit risk for each borrower, after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adjusting recovery levels to incorporate IDA’s institutional experience and assumptions. These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assumptions are reviewed annually. IDA does not hedge its sovereign credit exposure, but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assesses its credit risk through a loan- loss provisioning framework. The loan loss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provision represents the expected losses inherent in its accrual and nonaccrual portfolios. IDA’s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country credit risk is managed by using individual country exposure limits and by monitoring its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credit-risk-bearing capacity.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84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49"/>
        <w:gridCol w:w="3149"/>
        <w:gridCol w:w="3149"/>
      </w:tblGrid>
      <w:tr>
        <w:trPr>
          <w:trHeight w:hRule="exact" w:val="255"/>
        </w:trPr>
        <w:tc>
          <w:tcPr>
            <w:tcW w:type="dxa" w:w="3950"/>
            <w:gridSpan w:val="2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IX: Risk Management</w:t>
            </w:r>
          </w:p>
        </w:tc>
      </w:tr>
      <w:tr>
        <w:trPr>
          <w:trHeight w:hRule="exact" w:val="949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18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18" w:after="0"/>
              <w:ind w:left="16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Investments: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IDA purchases investment-grade securities for its liquid asset portfolio. Credit risk is 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73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controlled through appropriate eligibility criteria (Box 7). The overall risk of the investment portfolio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also constrained by a consultative loss limit. In line with these risk management strategies,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potential effect of default risk on IDA’s investments is therefore small.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Derivatives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IDA uses derivatives to manage exposures to currency and interest rate risks in its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borrowing, loan, and investment portfolios. It is therefore exposed to commercial counterparty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credit risk on these instruments. This risk is managed through:</w:t>
      </w:r>
    </w:p>
    <w:p>
      <w:pPr>
        <w:autoSpaceDN w:val="0"/>
        <w:tabs>
          <w:tab w:pos="1450" w:val="left"/>
        </w:tabs>
        <w:autoSpaceDE w:val="0"/>
        <w:widowControl/>
        <w:spacing w:line="224" w:lineRule="exact" w:before="136" w:after="0"/>
        <w:ind w:left="109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◦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Stringent selection of commercial derivative counterparties,</w:t>
      </w:r>
    </w:p>
    <w:p>
      <w:pPr>
        <w:autoSpaceDN w:val="0"/>
        <w:tabs>
          <w:tab w:pos="1450" w:val="left"/>
        </w:tabs>
        <w:autoSpaceDE w:val="0"/>
        <w:widowControl/>
        <w:spacing w:line="224" w:lineRule="exact" w:before="136" w:after="0"/>
        <w:ind w:left="109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◦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Daily marking-to-market of derivative positions, and</w:t>
      </w:r>
    </w:p>
    <w:p>
      <w:pPr>
        <w:autoSpaceDN w:val="0"/>
        <w:tabs>
          <w:tab w:pos="1450" w:val="left"/>
        </w:tabs>
        <w:autoSpaceDE w:val="0"/>
        <w:widowControl/>
        <w:spacing w:line="224" w:lineRule="exact" w:before="136" w:after="0"/>
        <w:ind w:left="109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◦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Use of collateral and collateral thresholds for all commercial counterparties.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sensitivity of IDA’s portfolios to changes in credit spreads is shown in Table 26, where the amount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represents the dollar change in fair value which corresponds to a one basis point parallel upward shift in </w:t>
      </w:r>
      <w:r>
        <w:rPr>
          <w:rFonts w:ascii="ArialMT" w:hAnsi="ArialMT" w:eastAsia="ArialMT"/>
          <w:b w:val="0"/>
          <w:i w:val="0"/>
          <w:color w:val="000000"/>
          <w:sz w:val="20"/>
        </w:rPr>
        <w:t>credit spreads.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26: Effect of Credit on IDA's Portfolios</w:t>
      </w:r>
    </w:p>
    <w:p>
      <w:pPr>
        <w:autoSpaceDN w:val="0"/>
        <w:autoSpaceDE w:val="0"/>
        <w:widowControl/>
        <w:spacing w:line="178" w:lineRule="exact" w:before="84" w:after="366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502"/>
        </w:trPr>
        <w:tc>
          <w:tcPr>
            <w:tcW w:type="dxa" w:w="3390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 of June 30, 2025</w:t>
            </w:r>
          </w:p>
        </w:tc>
        <w:tc>
          <w:tcPr>
            <w:tcW w:type="dxa" w:w="2220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0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144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Credit Effect on Portfolio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Sensitivity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</w:tr>
      <w:tr>
        <w:trPr>
          <w:trHeight w:hRule="exact" w:val="222"/>
        </w:trPr>
        <w:tc>
          <w:tcPr>
            <w:tcW w:type="dxa" w:w="3390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Borrowings </w:t>
            </w:r>
          </w:p>
        </w:tc>
        <w:tc>
          <w:tcPr>
            <w:tcW w:type="dxa" w:w="2220"/>
            <w:vMerge w:val="restart"/>
            <w:tcBorders>
              <w:top w:sz="8.0" w:val="single" w:color="#7F7F7F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2120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</w:tr>
      <w:tr>
        <w:trPr>
          <w:trHeight w:hRule="exact" w:val="240"/>
        </w:trPr>
        <w:tc>
          <w:tcPr>
            <w:tcW w:type="dxa" w:w="3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3149"/>
            <w:vMerge/>
            <w:tcBorders>
              <w:top w:sz="8.0" w:val="single" w:color="#7F7F7F"/>
              <w:bottom w:sz="8.0" w:val="single" w:color="#000000"/>
            </w:tcBorders>
          </w:tcPr>
          <w:p/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(15) </w:t>
            </w:r>
          </w:p>
        </w:tc>
      </w:tr>
      <w:tr>
        <w:trPr>
          <w:trHeight w:hRule="exact" w:val="258"/>
        </w:trPr>
        <w:tc>
          <w:tcPr>
            <w:tcW w:type="dxa" w:w="3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</w:t>
            </w:r>
          </w:p>
        </w:tc>
        <w:tc>
          <w:tcPr>
            <w:tcW w:type="dxa" w:w="3149"/>
            <w:vMerge/>
            <w:tcBorders>
              <w:top w:sz="8.0" w:val="single" w:color="#7F7F7F"/>
              <w:bottom w:sz="8.0" w:val="single" w:color="#000000"/>
            </w:tcBorders>
          </w:tcPr>
          <w:p/>
        </w:tc>
        <w:tc>
          <w:tcPr>
            <w:tcW w:type="dxa" w:w="2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</w:tr>
      <w:tr>
        <w:trPr>
          <w:trHeight w:hRule="exact" w:val="220"/>
        </w:trPr>
        <w:tc>
          <w:tcPr>
            <w:tcW w:type="dxa" w:w="3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losses</w:t>
            </w:r>
          </w:p>
        </w:tc>
        <w:tc>
          <w:tcPr>
            <w:tcW w:type="dxa" w:w="2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0" w:right="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(1) </w:t>
            </w:r>
          </w:p>
        </w:tc>
      </w:tr>
      <w:tr>
        <w:trPr>
          <w:trHeight w:hRule="exact" w:val="260"/>
        </w:trPr>
        <w:tc>
          <w:tcPr>
            <w:tcW w:type="dxa" w:w="3390"/>
            <w:tcBorders>
              <w:top w:sz="8.0" w:val="single" w:color="#000000"/>
              <w:bottom w:sz="8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0"/>
            <w:tcBorders>
              <w:top w:sz="8.0" w:val="single" w:color="#000000"/>
              <w:bottom w:sz="8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0"/>
            <w:tcBorders>
              <w:top w:sz="8.0" w:val="single" w:color="#000000"/>
              <w:bottom w:sz="8.0" w:val="single" w:color="#7F7F7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3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 Excludes CVA and DVA on derivatives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 If loans were measured at fair value</w:t>
      </w:r>
    </w:p>
    <w:p>
      <w:pPr>
        <w:autoSpaceDN w:val="0"/>
        <w:autoSpaceDE w:val="0"/>
        <w:widowControl/>
        <w:spacing w:line="268" w:lineRule="exact" w:before="20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Market Risk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is exposed to changes in interest and exchange rates and uses derivatives to manage its exposure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risks. Derivatives are used to align the interest and currency composition of its assets (loan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 trading portfolios) with that of its liabilities (borrowing portfolio) and equity, with the exception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the long-term fixed rate market debt that is used to fund fixed rate loans. Figure 15 below illustrates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 of derivatives for market borrowing portfolios. The loan, investment and borrowing portfolios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largely maintained in SDR and its component currencies. </w:t>
      </w:r>
    </w:p>
    <w:p>
      <w:pPr>
        <w:autoSpaceDN w:val="0"/>
        <w:tabs>
          <w:tab w:pos="9148" w:val="left"/>
        </w:tabs>
        <w:autoSpaceDE w:val="0"/>
        <w:widowControl/>
        <w:spacing w:line="224" w:lineRule="exact" w:before="4604" w:after="0"/>
        <w:ind w:left="338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53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1104900</wp:posOffset>
            </wp:positionV>
            <wp:extent cx="3975100" cy="24765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2476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24" w:lineRule="exact" w:before="718" w:after="256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 15: Use of Derivatives for Market Borrowings at Fair Value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3145"/>
        <w:gridCol w:w="3145"/>
        <w:gridCol w:w="3145"/>
      </w:tblGrid>
      <w:tr>
        <w:trPr>
          <w:trHeight w:hRule="exact" w:val="616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2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Market Debt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52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Currency 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18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After Derivatives</w:t>
            </w:r>
          </w:p>
        </w:tc>
      </w:tr>
      <w:tr>
        <w:trPr>
          <w:trHeight w:hRule="exact" w:val="56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Multiple </w:t>
            </w:r>
          </w:p>
        </w:tc>
        <w:tc>
          <w:tcPr>
            <w:tcW w:type="dxa" w:w="3145"/>
            <w:vMerge/>
            <w:tcBorders/>
          </w:tcPr>
          <w:p/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36" w:after="0"/>
              <w:ind w:left="5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In component </w:t>
            </w:r>
          </w:p>
        </w:tc>
      </w:tr>
      <w:tr>
        <w:trPr>
          <w:trHeight w:hRule="exact" w:val="220"/>
        </w:trPr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Currencies</w:t>
            </w:r>
          </w:p>
        </w:tc>
        <w:tc>
          <w:tcPr>
            <w:tcW w:type="dxa" w:w="3145"/>
            <w:vMerge/>
            <w:tcBorders/>
          </w:tcPr>
          <w:p/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5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currencies of </w:t>
            </w:r>
          </w:p>
        </w:tc>
      </w:tr>
      <w:tr>
        <w:trPr>
          <w:trHeight w:hRule="exact" w:val="318"/>
        </w:trPr>
        <w:tc>
          <w:tcPr>
            <w:tcW w:type="dxa" w:w="3145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Swaps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0" w:right="24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SDR</w:t>
            </w:r>
          </w:p>
        </w:tc>
      </w:tr>
    </w:tbl>
    <w:p>
      <w:pPr>
        <w:autoSpaceDN w:val="0"/>
        <w:autoSpaceDE w:val="0"/>
        <w:widowControl/>
        <w:spacing w:line="222" w:lineRule="exact" w:before="558" w:after="10"/>
        <w:ind w:left="978" w:right="0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In multiple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3145"/>
        <w:gridCol w:w="3145"/>
        <w:gridCol w:w="3145"/>
      </w:tblGrid>
      <w:tr>
        <w:trPr>
          <w:trHeight w:hRule="exact" w:val="271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3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interest rate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5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Interest 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4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Reference </w:t>
            </w:r>
          </w:p>
        </w:tc>
      </w:tr>
      <w:tr>
        <w:trPr>
          <w:trHeight w:hRule="exact" w:val="201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bases or fixed 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2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Rate Swaps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rate-based </w:t>
            </w:r>
          </w:p>
        </w:tc>
      </w:tr>
      <w:tr>
        <w:trPr>
          <w:trHeight w:hRule="exact" w:val="298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coupon rate</w:t>
            </w:r>
          </w:p>
        </w:tc>
        <w:tc>
          <w:tcPr>
            <w:tcW w:type="dxa" w:w="3145"/>
            <w:vMerge/>
            <w:tcBorders/>
          </w:tcPr>
          <w:p/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3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floating rate</w:t>
            </w:r>
          </w:p>
        </w:tc>
      </w:tr>
    </w:tbl>
    <w:p>
      <w:pPr>
        <w:autoSpaceDN w:val="0"/>
        <w:autoSpaceDE w:val="0"/>
        <w:widowControl/>
        <w:spacing w:line="246" w:lineRule="exact" w:before="1008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4972"/>
          <w:sz w:val="22"/>
        </w:rPr>
        <w:t>Interest Rate Risk</w:t>
      </w:r>
    </w:p>
    <w:p>
      <w:pPr>
        <w:autoSpaceDN w:val="0"/>
        <w:autoSpaceDE w:val="0"/>
        <w:widowControl/>
        <w:spacing w:line="240" w:lineRule="exact" w:before="124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is exposed to interest rate risk due to mismatches between its assets (loan and investment portfolios)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its liabilities (borrowing portfolio) both in terms of maturity and instrument type. Given IDA’s lengthy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disbursement profile, the weighted average maturity of IDA’s loans is relatively long (12 years). This long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maturity, combined with volatility in market interest rates, results in significant year-on-year variability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fair value of loans. However, since the loan portfolio is not reported at fair value under U.S. GAAP,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impact of this variability on IDA’s Balance Sheets is not fully evident. IDA’s investment-trading portfolio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(liquid asset portfolio) has a relatively low sensitivity to interest rates with a duration of 5 months as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June 30, 2025.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120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Loan and Borrowing Portfolios: In line with IDA’s financial risk management strategies,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sensitivity of IDA’s loan and borrowing portfolios to changes in interest rates is managed through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derivatives, or through the use of borrowings which match the fixed rate basis of the loan portfolio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which are reported at amortized cost. As noted earlier, IDA intends to maintain its positions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these portfolios and thus manages these instruments on a cash flow basis. The resulting net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unrealized mark-to-market gains and losses on these portfolios, associated with the sensitivity to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interest rates, are therefore not expected to be realized.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120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ALM (including CVP): Other ALM primarily includes the CVP which consists of $15.4 billion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current notional, forward starting fixed pay swaps. These swaps hedge against rising future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interest rates given IDA’s fixed rate concessional loan portfolio. CVP is classified as a non-trading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portfolio recorded at fair value. Changes in the values of these derivatives would partially offset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changes in the value of the loans if the loans were recorded at fair value. 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120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Investments: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After the effects of derivatives, the average effective duration of the investments is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approximately 5 months for FY25. As a result, the portfolio has a low sensitivity to changes in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interest rates.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sensitivity of these portfolios to interest rate movements, after the effect of derivatives, is shown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27 below where the amount represents the dollar change in fair value corresponding to a one basis </w:t>
      </w:r>
      <w:r>
        <w:rPr>
          <w:rFonts w:ascii="ArialMT" w:hAnsi="ArialMT" w:eastAsia="ArialMT"/>
          <w:b w:val="0"/>
          <w:i w:val="0"/>
          <w:color w:val="000000"/>
          <w:sz w:val="20"/>
        </w:rPr>
        <w:t>point parallel upward shift in interest rates as of June 30, 2025.</w:t>
      </w:r>
    </w:p>
    <w:p>
      <w:pPr>
        <w:autoSpaceDN w:val="0"/>
        <w:autoSpaceDE w:val="0"/>
        <w:widowControl/>
        <w:spacing w:line="222" w:lineRule="exact" w:before="138" w:after="78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its integrated financial model, IDA employs the following strategies to manage interest rate risk: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5"/>
        <w:gridCol w:w="3145"/>
        <w:gridCol w:w="3145"/>
      </w:tblGrid>
      <w:tr>
        <w:trPr>
          <w:trHeight w:hRule="exact" w:val="726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 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The capital adequacy policies factor in the sensitivity to interest rates. </w:t>
            </w:r>
          </w:p>
        </w:tc>
      </w:tr>
      <w:tr>
        <w:trPr>
          <w:trHeight w:hRule="exact" w:val="680"/>
        </w:trPr>
        <w:tc>
          <w:tcPr>
            <w:tcW w:type="dxa" w:w="3145"/>
            <w:vMerge/>
            <w:tcBorders/>
          </w:tcPr>
          <w:p/>
        </w:tc>
        <w:tc>
          <w:tcPr>
            <w:tcW w:type="dxa" w:w="3145"/>
            <w:vMerge/>
            <w:tcBorders/>
          </w:tcPr>
          <w:p/>
        </w:tc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76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IDA Management's Discussion and Analysis: June 30, 2025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3161"/>
        <w:gridCol w:w="3161"/>
        <w:gridCol w:w="3161"/>
      </w:tblGrid>
      <w:tr>
        <w:trPr>
          <w:trHeight w:hRule="exact" w:val="255"/>
        </w:trPr>
        <w:tc>
          <w:tcPr>
            <w:tcW w:type="dxa" w:w="3950"/>
            <w:gridSpan w:val="2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IX: Risk Management</w:t>
            </w:r>
          </w:p>
        </w:tc>
      </w:tr>
      <w:tr>
        <w:trPr>
          <w:trHeight w:hRule="exact" w:val="949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18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18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Matching interest rates between assets and related funding to minimize open interest rate </w:t>
            </w:r>
          </w:p>
        </w:tc>
      </w:tr>
    </w:tbl>
    <w:p>
      <w:pPr>
        <w:autoSpaceDN w:val="0"/>
        <w:autoSpaceDE w:val="0"/>
        <w:widowControl/>
        <w:spacing w:line="224" w:lineRule="exact" w:before="8" w:after="0"/>
        <w:ind w:left="7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positions. </w:t>
      </w:r>
    </w:p>
    <w:p>
      <w:pPr>
        <w:autoSpaceDN w:val="0"/>
        <w:tabs>
          <w:tab w:pos="766" w:val="left"/>
        </w:tabs>
        <w:autoSpaceDE w:val="0"/>
        <w:widowControl/>
        <w:spacing w:line="240" w:lineRule="exact" w:before="60" w:after="0"/>
        <w:ind w:left="4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funding risk related to the mismatch between the maturity profile of the debt funding and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related assets is monitored through duration measurements and adjustments to capital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requirements to cover this risk.</w:t>
      </w:r>
    </w:p>
    <w:p>
      <w:pPr>
        <w:autoSpaceDN w:val="0"/>
        <w:autoSpaceDE w:val="0"/>
        <w:widowControl/>
        <w:spacing w:line="224" w:lineRule="exact" w:before="136" w:after="0"/>
        <w:ind w:left="4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27: Effect of Interest Rates on IDA's Portfolios</w:t>
      </w:r>
    </w:p>
    <w:p>
      <w:pPr>
        <w:autoSpaceDN w:val="0"/>
        <w:autoSpaceDE w:val="0"/>
        <w:widowControl/>
        <w:spacing w:line="178" w:lineRule="exact" w:before="84" w:after="126"/>
        <w:ind w:left="4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.99999999999994" w:type="dxa"/>
      </w:tblPr>
      <w:tblGrid>
        <w:gridCol w:w="3161"/>
        <w:gridCol w:w="3161"/>
        <w:gridCol w:w="3161"/>
      </w:tblGrid>
      <w:tr>
        <w:trPr>
          <w:trHeight w:hRule="exact" w:val="224"/>
        </w:trPr>
        <w:tc>
          <w:tcPr>
            <w:tcW w:type="dxa" w:w="4530"/>
            <w:vMerge w:val="restart"/>
            <w:tcBorders>
              <w:bottom w:sz="8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 of  June 30, 2025</w:t>
            </w:r>
          </w:p>
        </w:tc>
        <w:tc>
          <w:tcPr>
            <w:tcW w:type="dxa" w:w="1040"/>
            <w:vMerge w:val="restart"/>
            <w:tcBorders>
              <w:bottom w:sz="8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Net Interest Rate Effect on </w:t>
            </w:r>
          </w:p>
        </w:tc>
      </w:tr>
      <w:tr>
        <w:trPr>
          <w:trHeight w:hRule="exact" w:val="276"/>
        </w:trPr>
        <w:tc>
          <w:tcPr>
            <w:tcW w:type="dxa" w:w="3161"/>
            <w:vMerge/>
            <w:tcBorders>
              <w:bottom w:sz="8.0" w:val="single" w:color="#7F7F7F"/>
            </w:tcBorders>
          </w:tcPr>
          <w:p/>
        </w:tc>
        <w:tc>
          <w:tcPr>
            <w:tcW w:type="dxa" w:w="3161"/>
            <w:vMerge/>
            <w:tcBorders>
              <w:bottom w:sz="8.0" w:val="single" w:color="#7F7F7F"/>
            </w:tcBorders>
          </w:tcPr>
          <w:p/>
        </w:tc>
        <w:tc>
          <w:tcPr>
            <w:tcW w:type="dxa" w:w="2100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30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Portfolio Sensitivity </w:t>
            </w:r>
          </w:p>
        </w:tc>
      </w:tr>
      <w:tr>
        <w:trPr>
          <w:trHeight w:hRule="exact" w:val="224"/>
        </w:trPr>
        <w:tc>
          <w:tcPr>
            <w:tcW w:type="dxa" w:w="4530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 borrowings at fair value, including derivatives</w:t>
            </w:r>
          </w:p>
        </w:tc>
        <w:tc>
          <w:tcPr>
            <w:tcW w:type="dxa" w:w="1040"/>
            <w:vMerge w:val="restart"/>
            <w:tcBorders>
              <w:top w:sz="8.0" w:val="single" w:color="#7F7F7F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2100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  <w:tr>
        <w:trPr>
          <w:trHeight w:hRule="exact" w:val="240"/>
        </w:trPr>
        <w:tc>
          <w:tcPr>
            <w:tcW w:type="dxa" w:w="4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borrowings, at amortized cost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3161"/>
            <w:vMerge/>
            <w:tcBorders>
              <w:top w:sz="8.0" w:val="single" w:color="#7F7F7F"/>
              <w:bottom w:sz="8.0" w:val="single" w:color="#6C6C6C"/>
            </w:tcBorders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</w:tr>
      <w:tr>
        <w:trPr>
          <w:trHeight w:hRule="exact" w:val="240"/>
        </w:trPr>
        <w:tc>
          <w:tcPr>
            <w:tcW w:type="dxa" w:w="4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 portfolio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3161"/>
            <w:vMerge/>
            <w:tcBorders>
              <w:top w:sz="8.0" w:val="single" w:color="#7F7F7F"/>
              <w:bottom w:sz="8.0" w:val="single" w:color="#6C6C6C"/>
            </w:tcBorders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(116) </w:t>
            </w:r>
          </w:p>
        </w:tc>
      </w:tr>
      <w:tr>
        <w:trPr>
          <w:trHeight w:hRule="exact" w:val="240"/>
        </w:trPr>
        <w:tc>
          <w:tcPr>
            <w:tcW w:type="dxa" w:w="4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ALM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3161"/>
            <w:vMerge/>
            <w:tcBorders>
              <w:top w:sz="8.0" w:val="single" w:color="#7F7F7F"/>
              <w:bottom w:sz="8.0" w:val="single" w:color="#6C6C6C"/>
            </w:tcBorders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</w:tr>
      <w:tr>
        <w:trPr>
          <w:trHeight w:hRule="exact" w:val="256"/>
        </w:trPr>
        <w:tc>
          <w:tcPr>
            <w:tcW w:type="dxa" w:w="453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 Portfolio</w:t>
            </w:r>
          </w:p>
        </w:tc>
        <w:tc>
          <w:tcPr>
            <w:tcW w:type="dxa" w:w="3161"/>
            <w:vMerge/>
            <w:tcBorders>
              <w:top w:sz="8.0" w:val="single" w:color="#7F7F7F"/>
              <w:bottom w:sz="8.0" w:val="single" w:color="#6C6C6C"/>
            </w:tcBorders>
          </w:tcPr>
          <w:p/>
        </w:tc>
        <w:tc>
          <w:tcPr>
            <w:tcW w:type="dxa" w:w="210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</w:tr>
      <w:tr>
        <w:trPr>
          <w:trHeight w:hRule="exact" w:val="220"/>
        </w:trPr>
        <w:tc>
          <w:tcPr>
            <w:tcW w:type="dxa" w:w="453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losses</w:t>
            </w:r>
          </w:p>
        </w:tc>
        <w:tc>
          <w:tcPr>
            <w:tcW w:type="dxa" w:w="104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0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(82) </w:t>
            </w:r>
          </w:p>
        </w:tc>
      </w:tr>
    </w:tbl>
    <w:p>
      <w:pPr>
        <w:autoSpaceDN w:val="0"/>
        <w:autoSpaceDE w:val="0"/>
        <w:widowControl/>
        <w:spacing w:line="178" w:lineRule="exact" w:before="188" w:after="0"/>
        <w:ind w:left="9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 If instruments were measured at fair value</w:t>
      </w:r>
    </w:p>
    <w:p>
      <w:pPr>
        <w:autoSpaceDN w:val="0"/>
        <w:autoSpaceDE w:val="0"/>
        <w:widowControl/>
        <w:spacing w:line="178" w:lineRule="exact" w:before="62" w:after="0"/>
        <w:ind w:left="9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Amount mainly reflects interest rate effect on the CVP. </w:t>
      </w:r>
    </w:p>
    <w:p>
      <w:pPr>
        <w:autoSpaceDN w:val="0"/>
        <w:autoSpaceDE w:val="0"/>
        <w:widowControl/>
        <w:spacing w:line="240" w:lineRule="exact" w:before="258" w:after="0"/>
        <w:ind w:left="46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16 depicts how the use of derivatives, or other offsetting positions, affects the overall sensitivity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borrowing, loan, other ALM, and investment portfolios. It indicates the extent to which each portfolio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economically hedged. For example, for the borrowing portfolio, a one basis point increase in interest rates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would result in $15 million of unrealized mark-to- market gains on bonds, which would be offset by $14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of unrealized mark-to-market losses on swaps. Loan and Other borrowings sensitivities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>illustrative, as they are carried at amortized cost on the Balance Sheets.</w:t>
      </w:r>
    </w:p>
    <w:p>
      <w:pPr>
        <w:autoSpaceDN w:val="0"/>
        <w:autoSpaceDE w:val="0"/>
        <w:widowControl/>
        <w:spacing w:line="224" w:lineRule="exact" w:before="136" w:after="0"/>
        <w:ind w:left="4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 16: Sensitivity to Interest Rates</w:t>
      </w:r>
    </w:p>
    <w:p>
      <w:pPr>
        <w:autoSpaceDN w:val="0"/>
        <w:autoSpaceDE w:val="0"/>
        <w:widowControl/>
        <w:spacing w:line="178" w:lineRule="exact" w:before="84" w:after="0"/>
        <w:ind w:left="4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 (Dollar change in fair value corresponding to a one-basis-point upward parallel shift in interest rates)</w:t>
      </w:r>
    </w:p>
    <w:p>
      <w:pPr>
        <w:autoSpaceDN w:val="0"/>
        <w:autoSpaceDE w:val="0"/>
        <w:widowControl/>
        <w:spacing w:line="178" w:lineRule="exact" w:before="74" w:after="0"/>
        <w:ind w:left="4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</w:p>
    <w:p>
      <w:pPr>
        <w:autoSpaceDN w:val="0"/>
        <w:autoSpaceDE w:val="0"/>
        <w:widowControl/>
        <w:spacing w:line="178" w:lineRule="exact" w:before="134" w:after="0"/>
        <w:ind w:left="4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As of June 30, 2025</w:t>
      </w:r>
    </w:p>
    <w:p>
      <w:pPr>
        <w:autoSpaceDN w:val="0"/>
        <w:autoSpaceDE w:val="0"/>
        <w:widowControl/>
        <w:spacing w:line="224" w:lineRule="exact" w:before="66" w:after="8"/>
        <w:ind w:left="6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Market Borrowings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</w:tblGrid>
      <w:tr>
        <w:trPr>
          <w:trHeight w:hRule="exact" w:val="216"/>
        </w:trPr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9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FY25</w:t>
            </w:r>
          </w:p>
        </w:tc>
        <w:tc>
          <w:tcPr>
            <w:tcW w:type="dxa" w:w="2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at Fair Value </w:t>
            </w:r>
          </w:p>
        </w:tc>
        <w:tc>
          <w:tcPr>
            <w:tcW w:type="dxa" w:w="1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Loan Portfolio </w:t>
            </w:r>
          </w:p>
        </w:tc>
        <w:tc>
          <w:tcPr>
            <w:tcW w:type="dxa" w:w="2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Other ALM </w:t>
            </w:r>
          </w:p>
        </w:tc>
        <w:tc>
          <w:tcPr>
            <w:tcW w:type="dxa" w:w="23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Investment Portfolio </w:t>
            </w:r>
          </w:p>
        </w:tc>
      </w:tr>
      <w:tr>
        <w:trPr>
          <w:trHeight w:hRule="exact" w:val="840"/>
        </w:trPr>
        <w:tc>
          <w:tcPr>
            <w:tcW w:type="dxa" w:w="452"/>
            <w:vMerge/>
            <w:tcBorders/>
          </w:tcPr>
          <w:p/>
        </w:tc>
        <w:tc>
          <w:tcPr>
            <w:tcW w:type="dxa" w:w="21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Swaps   Bonds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0.0" w:type="dxa"/>
            </w:tblPr>
            <w:tblGrid>
              <w:gridCol w:w="530"/>
              <w:gridCol w:w="530"/>
              <w:gridCol w:w="530"/>
              <w:gridCol w:w="530"/>
            </w:tblGrid>
            <w:tr>
              <w:trPr>
                <w:trHeight w:hRule="exact" w:val="1104"/>
              </w:trPr>
              <w:tc>
                <w:tcPr>
                  <w:tcW w:type="dxa" w:w="920"/>
                  <w:gridSpan w:val="2"/>
                  <w:tcBorders>
                    <w:end w:sz="6.0139336585998535" w:val="single" w:color="#585958"/>
                    <w:bottom w:sz="6.0139336585998535" w:val="single" w:color="#898A8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64.00000000000006" w:type="dxa"/>
                  </w:tblPr>
                  <w:tblGrid>
                    <w:gridCol w:w="920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632"/>
                        <w:tcBorders/>
                        <w:shd w:fill="00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0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6"/>
                          </w:rPr>
                          <w:t>-14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80.0" w:type="dxa"/>
                  </w:tblPr>
                  <w:tblGrid>
                    <w:gridCol w:w="920"/>
                  </w:tblGrid>
                  <w:tr>
                    <w:trPr>
                      <w:trHeight w:hRule="exact" w:val="340"/>
                    </w:trPr>
                    <w:tc>
                      <w:tcPr>
                        <w:tcW w:type="dxa" w:w="316"/>
                        <w:tcBorders/>
                        <w:shd w:fill="00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0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6"/>
                          </w:rPr>
                          <w:t>-7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gridSpan w:val="2"/>
                  <w:tcBorders>
                    <w:start w:sz="6.0139336585998535" w:val="single" w:color="#585958"/>
                    <w:bottom w:sz="6.0139336585998535" w:val="single" w:color="#898A8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90.0" w:type="dxa"/>
                  </w:tblPr>
                  <w:tblGrid>
                    <w:gridCol w:w="920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72"/>
                        <w:tcBorders/>
                        <w:shd w:fill="99b5c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0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595959"/>
                            <w:sz w:val="16"/>
                          </w:rPr>
                          <w:t>15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.9999999999998863" w:type="dxa"/>
                  </w:tblPr>
                  <w:tblGrid>
                    <w:gridCol w:w="920"/>
                  </w:tblGrid>
                  <w:tr>
                    <w:trPr>
                      <w:trHeight w:hRule="exact" w:val="340"/>
                    </w:trPr>
                    <w:tc>
                      <w:tcPr>
                        <w:tcW w:type="dxa" w:w="388"/>
                        <w:tcBorders/>
                        <w:shd w:fill="99b5c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00" w:after="0"/>
                          <w:ind w:left="28" w:right="0" w:firstLine="0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595959"/>
                            <w:sz w:val="16"/>
                          </w:rPr>
                          <w:t>9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60"/>
            <w:gridSpan w:val="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6" w:val="left"/>
              </w:tabs>
              <w:autoSpaceDE w:val="0"/>
              <w:widowControl/>
              <w:spacing w:line="190" w:lineRule="exact" w:before="0" w:after="0"/>
              <w:ind w:left="5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Borrowings/</w:t>
            </w:r>
          </w:p>
          <w:p>
            <w:pPr>
              <w:autoSpaceDN w:val="0"/>
              <w:autoSpaceDE w:val="0"/>
              <w:widowControl/>
              <w:spacing w:line="178" w:lineRule="exact" w:before="0" w:after="0"/>
              <w:ind w:left="0" w:right="5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Swaps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6.00000000000023" w:type="dxa"/>
            </w:tblPr>
            <w:tblGrid>
              <w:gridCol w:w="1090"/>
              <w:gridCol w:w="1090"/>
              <w:gridCol w:w="1090"/>
              <w:gridCol w:w="1090"/>
            </w:tblGrid>
            <w:tr>
              <w:trPr>
                <w:trHeight w:hRule="exact" w:val="1126"/>
              </w:trPr>
              <w:tc>
                <w:tcPr>
                  <w:tcW w:type="dxa" w:w="928"/>
                  <w:gridSpan w:val="2"/>
                  <w:tcBorders>
                    <w:end w:sz="6.0" w:val="single" w:color="#585958"/>
                    <w:bottom w:sz="6.0" w:val="single" w:color="#898A8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928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900"/>
                        <w:tcBorders/>
                        <w:shd w:fill="99b5c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02" w:after="0"/>
                          <w:ind w:left="62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-117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5.99999999999966" w:type="dxa"/>
                  </w:tblPr>
                  <w:tblGrid>
                    <w:gridCol w:w="928"/>
                  </w:tblGrid>
                  <w:tr>
                    <w:trPr>
                      <w:trHeight w:hRule="exact" w:val="340"/>
                    </w:trPr>
                    <w:tc>
                      <w:tcPr>
                        <w:tcW w:type="dxa" w:w="824"/>
                        <w:tcBorders/>
                        <w:shd w:fill="99b5c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00" w:after="0"/>
                          <w:ind w:left="60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-107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46"/>
                  <w:gridSpan w:val="2"/>
                  <w:tcBorders>
                    <w:start w:sz="6.0" w:val="single" w:color="#585958"/>
                    <w:bottom w:sz="6.0" w:val="single" w:color="#898A8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0" w:after="30"/>
                    <w:ind w:left="0" w:right="2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Swaps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5.999999999999659" w:type="dxa"/>
                  </w:tblPr>
                  <w:tblGrid>
                    <w:gridCol w:w="473"/>
                    <w:gridCol w:w="473"/>
                  </w:tblGrid>
                  <w:tr>
                    <w:trPr>
                      <w:trHeight w:hRule="exact" w:val="290"/>
                    </w:trPr>
                    <w:tc>
                      <w:tcPr>
                        <w:tcW w:type="dxa" w:w="196"/>
                        <w:tcBorders/>
                        <w:shd w:fill="4b809c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6"/>
                          </w:rPr>
                          <w:t>26</w:t>
                        </w:r>
                      </w:p>
                    </w:tc>
                    <w:tc>
                      <w:tcPr>
                        <w:tcW w:type="dxa" w:w="448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32" w:after="0"/>
                          <w:ind w:left="60" w:right="0" w:firstLine="0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494949"/>
                            <w:sz w:val="16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hRule="exact" w:val="196"/>
                    </w:trPr>
                    <w:tc>
                      <w:tcPr>
                        <w:tcW w:type="dxa" w:w="196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296" w:after="0"/>
                          <w:ind w:left="0" w:right="0" w:firstLine="0"/>
                          <w:jc w:val="center"/>
                        </w:pPr>
                        <w:r>
                          <w:rPr>
                            <w:shd w:val="clear" w:color="auto" w:fill="4b809c"/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6"/>
                          </w:rPr>
                          <w:t>20</w:t>
                        </w:r>
                      </w:p>
                    </w:tc>
                    <w:tc>
                      <w:tcPr>
                        <w:tcW w:type="dxa" w:w="473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340"/>
                    </w:trPr>
                    <w:tc>
                      <w:tcPr>
                        <w:tcW w:type="dxa" w:w="473"/>
                        <w:vMerge/>
                        <w:tcBorders/>
                      </w:tcPr>
                      <w:p/>
                    </w:tc>
                    <w:tc>
                      <w:tcPr>
                        <w:tcW w:type="dxa" w:w="44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64" w:after="0"/>
                          <w:ind w:left="16" w:right="0" w:firstLine="0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494949"/>
                            <w:sz w:val="20"/>
                          </w:rPr>
                          <w:t>*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56.0" w:type="dxa"/>
            </w:tblPr>
            <w:tblGrid>
              <w:gridCol w:w="1090"/>
              <w:gridCol w:w="1090"/>
              <w:gridCol w:w="1090"/>
              <w:gridCol w:w="1090"/>
            </w:tblGrid>
            <w:tr>
              <w:trPr>
                <w:trHeight w:hRule="exact" w:val="1106"/>
              </w:trPr>
              <w:tc>
                <w:tcPr>
                  <w:tcW w:type="dxa" w:w="928"/>
                  <w:gridSpan w:val="2"/>
                  <w:tcBorders>
                    <w:end w:sz="6.0" w:val="single" w:color="#585958"/>
                    <w:bottom w:sz="6.0" w:val="single" w:color="#898A8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6"/>
                  <w:gridSpan w:val="2"/>
                  <w:tcBorders>
                    <w:start w:sz="6.0" w:val="single" w:color="#585958"/>
                    <w:bottom w:sz="6.0" w:val="single" w:color="#898A8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4.00000000000091" w:type="dxa"/>
                  </w:tblPr>
                  <w:tblGrid>
                    <w:gridCol w:w="946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420"/>
                        <w:tcBorders/>
                        <w:shd w:fill="00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02" w:after="0"/>
                          <w:ind w:left="0" w:right="78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FFFFFF"/>
                            <w:sz w:val="16"/>
                          </w:rPr>
                          <w:t>9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4.00000000000091" w:type="dxa"/>
                  </w:tblPr>
                  <w:tblGrid>
                    <w:gridCol w:w="946"/>
                  </w:tblGrid>
                  <w:tr>
                    <w:trPr>
                      <w:trHeight w:hRule="exact" w:val="340"/>
                    </w:trPr>
                    <w:tc>
                      <w:tcPr>
                        <w:tcW w:type="dxa" w:w="374"/>
                        <w:tcBorders/>
                        <w:shd w:fill="00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00" w:after="0"/>
                          <w:ind w:left="0" w:right="76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FFFFFF"/>
                            <w:sz w:val="16"/>
                          </w:rPr>
                          <w:t>8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2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Investments     Swaps  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6.00000000000023" w:type="dxa"/>
            </w:tblPr>
            <w:tblGrid>
              <w:gridCol w:w="590"/>
              <w:gridCol w:w="590"/>
              <w:gridCol w:w="590"/>
              <w:gridCol w:w="590"/>
            </w:tblGrid>
            <w:tr>
              <w:trPr>
                <w:trHeight w:hRule="exact" w:val="1104"/>
              </w:trPr>
              <w:tc>
                <w:tcPr>
                  <w:tcW w:type="dxa" w:w="1016"/>
                  <w:gridSpan w:val="2"/>
                  <w:tcBorders>
                    <w:bottom w:sz="6.011756420135498" w:val="single" w:color="#898A8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93.9999999999998" w:type="dxa"/>
                  </w:tblPr>
                  <w:tblGrid>
                    <w:gridCol w:w="1016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392"/>
                        <w:tcBorders/>
                        <w:shd w:fill="99b5c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02" w:after="0"/>
                          <w:ind w:left="0" w:right="84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494949"/>
                            <w:sz w:val="16"/>
                          </w:rPr>
                          <w:t>-2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93.9999999999998" w:type="dxa"/>
                  </w:tblPr>
                  <w:tblGrid>
                    <w:gridCol w:w="1016"/>
                  </w:tblGrid>
                  <w:tr>
                    <w:trPr>
                      <w:trHeight w:hRule="exact" w:val="340"/>
                    </w:trPr>
                    <w:tc>
                      <w:tcPr>
                        <w:tcW w:type="dxa" w:w="392"/>
                        <w:tcBorders/>
                        <w:shd w:fill="99b5c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00" w:after="0"/>
                          <w:ind w:left="0" w:right="84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494949"/>
                            <w:sz w:val="16"/>
                          </w:rPr>
                          <w:t>-2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00"/>
                  <w:gridSpan w:val="2"/>
                  <w:tcBorders>
                    <w:bottom w:sz="6.011756420135498" w:val="single" w:color="#898A8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72" w:lineRule="exact" w:before="0" w:after="0"/>
                    <w:ind w:left="30" w:right="864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595959"/>
                      <w:sz w:val="20"/>
                    </w:rPr>
                    <w:t xml:space="preserve">* </w:t>
                  </w:r>
                  <w:r>
                    <w:br/>
                  </w:r>
                  <w:r>
                    <w:rPr>
                      <w:rFonts w:ascii="Arial" w:hAnsi="Arial" w:eastAsia="Arial"/>
                      <w:b/>
                      <w:i w:val="0"/>
                      <w:color w:val="595959"/>
                      <w:sz w:val="20"/>
                    </w:rPr>
                    <w:t>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40"/>
        </w:trPr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2260"/>
            <w:gridSpan w:val="5"/>
            <w:vMerge/>
            <w:tcBorders/>
          </w:tcPr>
          <w:p/>
        </w:tc>
        <w:tc>
          <w:tcPr>
            <w:tcW w:type="dxa" w:w="4520"/>
            <w:gridSpan w:val="10"/>
            <w:vMerge/>
            <w:tcBorders/>
          </w:tcPr>
          <w:p/>
        </w:tc>
        <w:tc>
          <w:tcPr>
            <w:tcW w:type="dxa" w:w="2260"/>
            <w:gridSpan w:val="5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452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-20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-10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10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20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-120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-60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60</w:t>
            </w:r>
          </w:p>
        </w:tc>
        <w:tc>
          <w:tcPr>
            <w:tcW w:type="dxa" w:w="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120</w:t>
            </w:r>
          </w:p>
        </w:tc>
        <w:tc>
          <w:tcPr>
            <w:tcW w:type="dxa" w:w="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-20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-10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10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20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-5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-3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exact" w:before="64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*Sensitivities are marginal.</w:t>
      </w:r>
    </w:p>
    <w:p>
      <w:pPr>
        <w:autoSpaceDN w:val="0"/>
        <w:autoSpaceDE w:val="0"/>
        <w:widowControl/>
        <w:spacing w:line="246" w:lineRule="exact" w:before="292" w:after="0"/>
        <w:ind w:left="46" w:right="0" w:firstLine="0"/>
        <w:jc w:val="left"/>
      </w:pPr>
      <w:r>
        <w:rPr>
          <w:rFonts w:ascii="Arial" w:hAnsi="Arial" w:eastAsia="Arial"/>
          <w:b w:val="0"/>
          <w:i/>
          <w:color w:val="004972"/>
          <w:sz w:val="22"/>
        </w:rPr>
        <w:t>Exchange Rate Risk</w:t>
      </w:r>
    </w:p>
    <w:p>
      <w:pPr>
        <w:autoSpaceDN w:val="0"/>
        <w:autoSpaceDE w:val="0"/>
        <w:widowControl/>
        <w:spacing w:line="240" w:lineRule="exact" w:before="124" w:after="0"/>
        <w:ind w:left="46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faces foreign exchange rate risk exposure as a result of the currency mismatch between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commitments for loans and grants, which are mainly denominated in SDRs; equity contributions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members, which are typically denominated in national currencies; and the portion of IDA’s internal </w:t>
      </w:r>
      <w:r>
        <w:rPr>
          <w:rFonts w:ascii="ArialMT" w:hAnsi="ArialMT" w:eastAsia="ArialMT"/>
          <w:b w:val="0"/>
          <w:i w:val="0"/>
          <w:color w:val="000000"/>
          <w:sz w:val="20"/>
        </w:rPr>
        <w:t>resources and expenditures that are denominated in U.S. dollars.</w:t>
      </w:r>
    </w:p>
    <w:p>
      <w:pPr>
        <w:autoSpaceDN w:val="0"/>
        <w:autoSpaceDE w:val="0"/>
        <w:widowControl/>
        <w:spacing w:line="240" w:lineRule="exact" w:before="120" w:after="0"/>
        <w:ind w:left="46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Changes in exchange rates affect the capital adequacy of IDA when the currency of the equity supporting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loan portfolio and other assets is different from that of the risk exposure. Accordingly, the primary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objective of IDA’s currency risk management is to protect IDA’s financial capacity from exchange rate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movements, as measured by the capital adequacy framework. To achieve this, IDA’s balance sheets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managed in multiple currencies: SDR and the currencies comprising the SDR basket. The exchange rate </w:t>
      </w:r>
    </w:p>
    <w:p>
      <w:pPr>
        <w:autoSpaceDN w:val="0"/>
        <w:tabs>
          <w:tab w:pos="9184" w:val="left"/>
        </w:tabs>
        <w:autoSpaceDE w:val="0"/>
        <w:widowControl/>
        <w:spacing w:line="224" w:lineRule="exact" w:before="642" w:after="0"/>
        <w:ind w:left="342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55</w:t>
      </w:r>
    </w:p>
    <w:p>
      <w:pPr>
        <w:sectPr>
          <w:pgSz w:w="12240" w:h="15840"/>
          <w:pgMar w:top="216" w:right="1364" w:bottom="360" w:left="13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40" w:lineRule="exact" w:before="702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 management methodology includes the hedging of: (i) currency risk arising from settlement of loan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disbursements, loan repayments and donor contributions; (ii) debt funding; (iii) IDA loans; (iv) donor </w:t>
      </w:r>
      <w:r>
        <w:rPr>
          <w:rFonts w:ascii="ArialMT" w:hAnsi="ArialMT" w:eastAsia="ArialMT"/>
          <w:b w:val="0"/>
          <w:i w:val="0"/>
          <w:color w:val="000000"/>
          <w:sz w:val="20"/>
        </w:rPr>
        <w:t>contributions; and (v) administrative budget.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reported levels of its assets, liabilities, income, and expenses in the financial statements are affected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exchange rate movements in all the currencies in which IDA transacts, relative to its reporting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currency, the U.S. dollar. These movements are shown as currency translation adjustments. Translation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adjustments relating to the revaluation of assets and liabilities denominated in SDR and SDR component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currencies, (IDA’s functional currencies), are reflected in Accumulated Other Comprehensive Loss,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equity. Translation adjustments relating to non-functional currencies are reported in IDA’s Statements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Income (see Notes to the Financial Statements for the year ended June 30, 2025, Note A – Summary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Significant Accounting and Related Policies).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uses currency forward contracts to convert future inflows from members’ receivables provided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national currencies into the five currencies of the SDR basket, thereby aligning the currency composition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member contributions with the net cash outflows relating to loans and grants, which are primarily </w:t>
      </w:r>
      <w:r>
        <w:rPr>
          <w:rFonts w:ascii="ArialMT" w:hAnsi="ArialMT" w:eastAsia="ArialMT"/>
          <w:b w:val="0"/>
          <w:i w:val="0"/>
          <w:color w:val="000000"/>
          <w:sz w:val="20"/>
        </w:rPr>
        <w:t>denominated in SDR.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payable leg of the currency forward contracts economically hedging member equity contribution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pledges is denominated in non-functional currencies. IDA pays the market counterparty in a non-SDR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currency. Accordingly, depreciation or appreciation of the non-SDR currencies against the U.S. dollar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results in exchange rate gains or losses, which are reported in the Statements of Income. The translation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adjustment on future inflows from members, even though they are not recorded in the balance sheets,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economic offset to the translation adjustment on nonfunctional currencies of currency forward </w:t>
      </w:r>
      <w:r>
        <w:rPr>
          <w:rFonts w:ascii="ArialMT" w:hAnsi="ArialMT" w:eastAsia="ArialMT"/>
          <w:b w:val="0"/>
          <w:i w:val="0"/>
          <w:color w:val="000000"/>
          <w:sz w:val="20"/>
        </w:rPr>
        <w:t>contracts.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Liquidity Risk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Liquidity risk arises in the general funding of IDA’s activities and in managing its financial position. 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includes the risk of IDA being unable to fund its portfolio of assets at appropriate maturities and rates,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risk of being unable to liquidate a position in a timely manner at a reasonable price.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aggregate liquid asset holdings are kept above a specified prudential minimum to safeguard against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cash flow interruptions. The Prudential Minimum is equal to 80% of 24 months of projected net outflows.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FY25, the prudential minimum was $29.5 billion. For FY26, the prudential minimum has been set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$37.0 billion. As of June 30, 2025, IDA’s liquid assets were $45.7 billion, 155% of the FY25 prudential </w:t>
      </w:r>
      <w:r>
        <w:rPr>
          <w:rFonts w:ascii="ArialMT" w:hAnsi="ArialMT" w:eastAsia="ArialMT"/>
          <w:b w:val="0"/>
          <w:i w:val="0"/>
          <w:color w:val="000000"/>
          <w:sz w:val="20"/>
        </w:rPr>
        <w:t>minimum.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will hold liquidity above the prudential minimum to ensure sufficient liquidity under a wide range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shock scenarios as well as to give it flexibility in timing its borrowing transactions and to meet working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capital needs.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Operational Risk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Operational risk is defined as the risk of financial loss, or damage to IDA’s reputation resulting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inadequate or failed internal processes, people, and systems, or from external events.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recognizes the importance of operational risk management activities, which are embedded in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operations. As part of its business activities, IDA is exposed to a range of operational risks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including physical security, staff health and safety, information security and data privacy, business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continuity, and third party risks. IDA’s approach to identifying and managing operational risk includes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dedicated program for these risks and a robust process that includes identifying, assessing,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prioritizing operational risks, monitoring, and reporting relevant key risk indicators, aggregating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analyzing internal and external events, and identifying emerging risks that may affect business units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developing risk response and mitigating actions.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143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46" w:lineRule="exact" w:before="7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Cybersecurity Risk Management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operations rely on the secure processing, storage, and transmission of confidential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information in computer systems and networks. Like other financial institutions, cybersecurity risk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continues to be significant for IDA due to the evolving sophistication and complexity of the cyber threat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landscape. These risks are unavoidable, and IDA seeks to manage them on a cost-effective basis </w:t>
      </w:r>
      <w:r>
        <w:rPr>
          <w:rFonts w:ascii="ArialMT" w:hAnsi="ArialMT" w:eastAsia="ArialMT"/>
          <w:b w:val="0"/>
          <w:i w:val="0"/>
          <w:color w:val="000000"/>
          <w:sz w:val="20"/>
        </w:rPr>
        <w:t>consistent with its risk appetite.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protect the security of its computer systems, software, networks and other technology assets, IDA has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developed its cybersecurity risk management program, aligned with its’s Operational Risk Management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Framework. This program consists of cybersecurity policies, procedures, compliance, and awareness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programs. A multi-layered approach for cybersecurity risk management is employed to prevent and detect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malicious activity, both from within the organization and from external sources. In response to emerging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cyber threats such as malware including ransomware, denial of service, phishing attacks and artificial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intelligence related risks, IDA adapts its technical and process-level controls and enhances user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awareness to mitigate the risk. When relying on third-party vendors for technology-enabled services,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additional meaningful and diligent measures are applied to gain assurance regarding the security of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information and technology assets including, as appropriate, legal and cybersecurity contractual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safeguards in third-party vendor agreements and review and monitoring of third-party control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environments.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periodically assesses the maturity and effectiveness of its cyber defenses through risk mitigation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techniques, including but not limited to, targeted testing, internal and external audits, incident response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desktop exercises and industry benchmarking. </w:t>
      </w:r>
    </w:p>
    <w:p>
      <w:pPr>
        <w:autoSpaceDN w:val="0"/>
        <w:tabs>
          <w:tab w:pos="9138" w:val="left"/>
        </w:tabs>
        <w:autoSpaceDE w:val="0"/>
        <w:widowControl/>
        <w:spacing w:line="224" w:lineRule="exact" w:before="8084" w:after="0"/>
        <w:ind w:left="33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57</w:t>
      </w: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X: Critical Accounting Policies and the Use of Estimates</w:t>
            </w:r>
          </w:p>
        </w:tc>
      </w:tr>
    </w:tbl>
    <w:p>
      <w:pPr>
        <w:autoSpaceDN w:val="0"/>
        <w:autoSpaceDE w:val="0"/>
        <w:widowControl/>
        <w:spacing w:line="334" w:lineRule="exact" w:before="75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0"/>
        </w:rPr>
        <w:t>Section X: Critical Accounting Policies and the Use of Estimates</w:t>
      </w:r>
    </w:p>
    <w:p>
      <w:pPr>
        <w:autoSpaceDN w:val="0"/>
        <w:autoSpaceDE w:val="0"/>
        <w:widowControl/>
        <w:spacing w:line="240" w:lineRule="exact" w:before="208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significant accounting policies, as well as estimates made by management, are integral to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reporting. While all of these policies require a certain level of judgment and estimates, significant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policies require management to make highly difficult, complex, and subjective judgments as these relate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matters inherently uncertain and susceptible to change. Note A to the financial statements contains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summary of IDA’s significant accounting policies including a discussion of recently issued accounting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pronouncements. </w:t>
      </w:r>
    </w:p>
    <w:p>
      <w:pPr>
        <w:autoSpaceDN w:val="0"/>
        <w:autoSpaceDE w:val="0"/>
        <w:widowControl/>
        <w:spacing w:line="312" w:lineRule="exact" w:before="12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Fair Value of Financial Instruments</w:t>
      </w:r>
    </w:p>
    <w:p>
      <w:pPr>
        <w:autoSpaceDN w:val="0"/>
        <w:autoSpaceDE w:val="0"/>
        <w:widowControl/>
        <w:spacing w:line="240" w:lineRule="exact" w:before="14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 fair value adjustments are recognized through the Statements of Income, except for changes in the fair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 of debt related to IDA’s own credit, which are reported in Other Comprehensive Income. The fair </w:t>
      </w:r>
      <w:r>
        <w:rPr>
          <w:rFonts w:ascii="ArialMT" w:hAnsi="ArialMT" w:eastAsia="ArialMT"/>
          <w:b w:val="0"/>
          <w:i w:val="0"/>
          <w:color w:val="000000"/>
          <w:sz w:val="20"/>
        </w:rPr>
        <w:t>values of financial instruments are based on a three-level hierarchy.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financial instruments classified as Level 1 or 2, less judgment is applied in arriving at fair value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measures as the inputs are based on observable market data. For financial instruments classified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Level 3, unobservable inputs are used. These require management to make important assumptions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judgments in determining fair value measures.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Derivative contracts generally include currency forward contracts, to-be-announced (TBA) securities,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swaptions, exchange traded options and futures contracts, currency swaps, and interest rate swaps. Plain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vanilla swaps and structured swaps are valued using the standard discounted cash flow methods using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observable market inputs such as yield curves, foreign exchange rates and basis spreads.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instances where management relies on instrument valuations supplied by external pricing vendors,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there are procedures in place to validate the appropriateness of the models used as well as the inputs </w:t>
      </w:r>
      <w:r>
        <w:rPr>
          <w:rFonts w:ascii="ArialMT" w:hAnsi="ArialMT" w:eastAsia="ArialMT"/>
          <w:b w:val="0"/>
          <w:i w:val="0"/>
          <w:color w:val="000000"/>
          <w:sz w:val="20"/>
        </w:rPr>
        <w:t>applied in determining those values.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financial instruments recorded at fair value are classified as either Level 1 or Level 2 as of 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2025, as the inputs are based on observable market data and less judgment is applied in arriving at fair </w:t>
      </w:r>
      <w:r>
        <w:rPr>
          <w:rFonts w:ascii="ArialMT" w:hAnsi="ArialMT" w:eastAsia="ArialMT"/>
          <w:b w:val="0"/>
          <w:i w:val="0"/>
          <w:color w:val="000000"/>
          <w:sz w:val="20"/>
        </w:rPr>
        <w:t>value measures.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a quarterly basis, the methodology, inputs, and assumptions are reviewed to assess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appropriateness of the fair value hierarchy classification of each financial instrument. All the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models used for input to IDA’s financial statements are subject to both internal and periodic external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verification and review by qualified personnel. </w:t>
      </w:r>
    </w:p>
    <w:p>
      <w:pPr>
        <w:autoSpaceDN w:val="0"/>
        <w:autoSpaceDE w:val="0"/>
        <w:widowControl/>
        <w:spacing w:line="312" w:lineRule="exact" w:before="12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Provision for Losses on Loans and Other Exposures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accumulated provision for losses on loans and other exposures reflects the expected losses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inherent in its nonaccrual and accrual portfolios after taking into consideration the expected relief under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HIPC Debt Initiative and MDRI and any provision for losses on the buy-down of loans.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Adjustments to the accumulated provision are recorded as a charge to or a release of provision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Statements of Income. Actual losses may differ from expected losses due to unforeseen changes in any </w:t>
      </w:r>
      <w:r>
        <w:rPr>
          <w:rFonts w:ascii="ArialMT" w:hAnsi="ArialMT" w:eastAsia="ArialMT"/>
          <w:b w:val="0"/>
          <w:i w:val="0"/>
          <w:color w:val="000000"/>
          <w:sz w:val="20"/>
        </w:rPr>
        <w:t>of the factors that affect borrowers’ creditworthiness.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Credit Risk Committee monitors aspects of country credit risk, in particular, reviewing the provision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losses on loans and guarantees taking into account, among other factors, any changes in exposure, </w:t>
      </w:r>
      <w:r>
        <w:rPr>
          <w:rFonts w:ascii="ArialMT" w:hAnsi="ArialMT" w:eastAsia="ArialMT"/>
          <w:b w:val="0"/>
          <w:i w:val="0"/>
          <w:color w:val="000000"/>
          <w:sz w:val="20"/>
        </w:rPr>
        <w:t>risk ratings of borrowing member countries, or movements between the accrual and nonaccrual portfolios.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Additional information on IDA’s provisioning policy and the status of nonaccrual loans can be found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Notes to Financial Statements for the year ended June 30, 2025, Note A - Summary of Significant </w:t>
      </w:r>
      <w:r>
        <w:rPr>
          <w:rFonts w:ascii="ArialMT" w:hAnsi="ArialMT" w:eastAsia="ArialMT"/>
          <w:b w:val="0"/>
          <w:i w:val="0"/>
          <w:color w:val="000000"/>
          <w:sz w:val="20"/>
        </w:rPr>
        <w:t>Accounting and Related Policies and Note D - Loans and Other Exposures.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144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3"/>
        <w:gridCol w:w="4723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XI: Governance and Internal Controls</w:t>
            </w:r>
          </w:p>
        </w:tc>
      </w:tr>
    </w:tbl>
    <w:p>
      <w:pPr>
        <w:autoSpaceDN w:val="0"/>
        <w:autoSpaceDE w:val="0"/>
        <w:widowControl/>
        <w:spacing w:line="402" w:lineRule="exact" w:before="74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>Section XI: Governance and Internal Controls</w:t>
      </w:r>
    </w:p>
    <w:p>
      <w:pPr>
        <w:autoSpaceDN w:val="0"/>
        <w:autoSpaceDE w:val="0"/>
        <w:widowControl/>
        <w:spacing w:line="312" w:lineRule="exact" w:before="21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Business Conduct 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WBG promotes a positive work environment in which staff members understand their ethical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obligations to the institution. In support of this commitment, the institution has a Code of Conduct in place.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WBG has both an Ethics Helpline and a Fraud and Corruption hotline. A third-party service offers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many methods of worldwide communication. Reporting channels include telephone, mail, email,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confidential submission through a website.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has in place procedures for receiving, retaining, and handling recommendations and concerns </w:t>
      </w:r>
      <w:r>
        <w:rPr>
          <w:rFonts w:ascii="ArialMT" w:hAnsi="ArialMT" w:eastAsia="ArialMT"/>
          <w:b w:val="0"/>
          <w:i w:val="0"/>
          <w:color w:val="000000"/>
          <w:sz w:val="20"/>
        </w:rPr>
        <w:t>relating to business conduct identified during the accounting, internal control, and auditing processes.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WBG staff rules clarify and codify the staff’s obligations in reporting suspected fraud, corruption, or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misconduct that may threaten the operations or governance of the WBG. These rules also offer protection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from retaliation.</w:t>
      </w:r>
    </w:p>
    <w:p>
      <w:pPr>
        <w:autoSpaceDN w:val="0"/>
        <w:autoSpaceDE w:val="0"/>
        <w:widowControl/>
        <w:spacing w:line="312" w:lineRule="exact" w:before="12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General Governance</w:t>
      </w:r>
    </w:p>
    <w:p>
      <w:pPr>
        <w:autoSpaceDN w:val="0"/>
        <w:autoSpaceDE w:val="0"/>
        <w:widowControl/>
        <w:spacing w:line="222" w:lineRule="exact" w:before="15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 17: Governance Structure</w:t>
      </w:r>
    </w:p>
    <w:p>
      <w:pPr>
        <w:autoSpaceDN w:val="0"/>
        <w:autoSpaceDE w:val="0"/>
        <w:widowControl/>
        <w:spacing w:line="240" w:lineRule="auto" w:before="1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491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48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decision-making structure consists of the Board of Governors, the Executive Directors (the Board),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President, management, and staff. The Board of Governors is the highest decision-making authority.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Governors are appointed by their member governments for a five-year term, which is renewable.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Board of Governors may delegate authority to the Executive Directors (referred to as the Board in this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document) to exercise any of its powers, except for certain powers enumerated in IDA's Articles. IDA has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its own policies and frameworks that are carried out by staff that share responsibilities for both IDA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IBRD.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addition, IBRD and IDA have joint internal institutional oversight units which play an assurance role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shareholders and management that IDA’s work is impactful and accountable, informed by best practices,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delivered to the highest ethical standards with risk management controls and governance processes </w:t>
      </w:r>
      <w:r>
        <w:rPr>
          <w:rFonts w:ascii="ArialMT" w:hAnsi="ArialMT" w:eastAsia="ArialMT"/>
          <w:b w:val="0"/>
          <w:i w:val="0"/>
          <w:color w:val="000000"/>
          <w:sz w:val="20"/>
        </w:rPr>
        <w:t>that are functioning effectively.</w:t>
      </w:r>
    </w:p>
    <w:p>
      <w:pPr>
        <w:autoSpaceDN w:val="0"/>
        <w:autoSpaceDE w:val="0"/>
        <w:widowControl/>
        <w:spacing w:line="312" w:lineRule="exact" w:before="12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Executive Directors </w:t>
      </w:r>
    </w:p>
    <w:p>
      <w:pPr>
        <w:autoSpaceDN w:val="0"/>
        <w:autoSpaceDE w:val="0"/>
        <w:widowControl/>
        <w:spacing w:line="240" w:lineRule="exact" w:before="14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accordance with the Articles, Executive Directors are appointed or elected every two years by their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member governments. The Board currently has 25 Executive Directors who represent all 175 member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countries. Executive Directors are neither officers nor staff of IDA. The President is the only member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Board from management, and he serves as a non-voting member and as Chairman of the Board. </w:t>
      </w:r>
    </w:p>
    <w:p>
      <w:pPr>
        <w:autoSpaceDN w:val="0"/>
        <w:tabs>
          <w:tab w:pos="9148" w:val="left"/>
        </w:tabs>
        <w:autoSpaceDE w:val="0"/>
        <w:widowControl/>
        <w:spacing w:line="224" w:lineRule="exact" w:before="504" w:after="0"/>
        <w:ind w:left="338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59</w:t>
      </w:r>
    </w:p>
    <w:p>
      <w:pPr>
        <w:sectPr>
          <w:pgSz w:w="12240" w:h="15840"/>
          <w:pgMar w:top="2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XI: Governance and Internal Controls</w:t>
            </w:r>
          </w:p>
        </w:tc>
      </w:tr>
    </w:tbl>
    <w:p>
      <w:pPr>
        <w:autoSpaceDN w:val="0"/>
        <w:autoSpaceDE w:val="0"/>
        <w:widowControl/>
        <w:spacing w:line="240" w:lineRule="exact" w:before="702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Board is required to consider proposals made by the President on IDA loans, grants, and guarantees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on other policies that affect its general operations. The Board is also responsible for presenting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Board of Governors, at the Annual Meetings, audited accounts, an administrative budget, and an annual </w:t>
      </w:r>
      <w:r>
        <w:rPr>
          <w:rFonts w:ascii="ArialMT" w:hAnsi="ArialMT" w:eastAsia="ArialMT"/>
          <w:b w:val="0"/>
          <w:i w:val="0"/>
          <w:color w:val="000000"/>
          <w:sz w:val="20"/>
        </w:rPr>
        <w:t>report on operations and policies and other matters.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Board and its committees are in continuous sessions based in Washington DC, as business requires.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Each committee's terms of reference establish its respective roles and responsibilities. As committees do </w:t>
      </w:r>
      <w:r>
        <w:rPr>
          <w:rFonts w:ascii="ArialMT" w:hAnsi="ArialMT" w:eastAsia="ArialMT"/>
          <w:b w:val="0"/>
          <w:i w:val="0"/>
          <w:color w:val="000000"/>
          <w:sz w:val="20"/>
        </w:rPr>
        <w:t>not vote on issues, their role is primarily to serve the Board in discharging its responsibilities.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committees are made up of eight members and function under their respective terms of reference.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These committees are as follows:</w:t>
      </w:r>
    </w:p>
    <w:p>
      <w:pPr>
        <w:autoSpaceDN w:val="0"/>
        <w:tabs>
          <w:tab w:pos="360" w:val="left"/>
          <w:tab w:pos="362" w:val="left"/>
        </w:tabs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•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Audit Committee - assists the Boards in overseeing IDA’s finances, accounting, risk management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internal controls (See further explanation below).</w:t>
      </w:r>
    </w:p>
    <w:p>
      <w:pPr>
        <w:autoSpaceDN w:val="0"/>
        <w:tabs>
          <w:tab w:pos="360" w:val="left"/>
          <w:tab w:pos="372" w:val="left"/>
        </w:tabs>
        <w:autoSpaceDE w:val="0"/>
        <w:widowControl/>
        <w:spacing w:line="240" w:lineRule="exact" w:before="6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•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Committee - assists the Boards in approving the World Bank’s budget and in overseeing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preparation and execution of IDA’s business plans. The committee provides guidance to management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on strategic directions of IDA.</w:t>
      </w:r>
    </w:p>
    <w:p>
      <w:pPr>
        <w:autoSpaceDN w:val="0"/>
        <w:tabs>
          <w:tab w:pos="360" w:val="left"/>
          <w:tab w:pos="396" w:val="left"/>
        </w:tabs>
        <w:autoSpaceDE w:val="0"/>
        <w:widowControl/>
        <w:spacing w:line="240" w:lineRule="exact" w:before="6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•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Committee on Development Effectiveness - supports the Boards in assessing IDA’s development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effectiveness, providing guidance on strategic directions of IDA, monitoring the quality and results of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operations.</w:t>
      </w:r>
    </w:p>
    <w:p>
      <w:pPr>
        <w:autoSpaceDN w:val="0"/>
        <w:tabs>
          <w:tab w:pos="360" w:val="left"/>
          <w:tab w:pos="388" w:val="left"/>
        </w:tabs>
        <w:autoSpaceDE w:val="0"/>
        <w:widowControl/>
        <w:spacing w:line="240" w:lineRule="exact" w:before="6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•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Committee on Governance and Executive Directors’ Administrative Matters - assists the Boards in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issues related to the governance of IDA, the Boards’ own effectiveness, and the administrative policy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applicable to Executive Directors’ offices.</w:t>
      </w:r>
    </w:p>
    <w:p>
      <w:pPr>
        <w:autoSpaceDN w:val="0"/>
        <w:tabs>
          <w:tab w:pos="360" w:val="left"/>
          <w:tab w:pos="430" w:val="left"/>
        </w:tabs>
        <w:autoSpaceDE w:val="0"/>
        <w:widowControl/>
        <w:spacing w:line="240" w:lineRule="exact" w:before="6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•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Human Resources Committee - strengthens the efficiency and effectiveness of the Board in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discharging its oversight responsibility on the World Bank’s human resources strategy, policies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practices, and their alignment with the business needs of the organization.</w:t>
      </w:r>
    </w:p>
    <w:p>
      <w:pPr>
        <w:autoSpaceDN w:val="0"/>
        <w:autoSpaceDE w:val="0"/>
        <w:widowControl/>
        <w:spacing w:line="314" w:lineRule="exact" w:before="1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Audit Committee</w:t>
      </w:r>
    </w:p>
    <w:p>
      <w:pPr>
        <w:autoSpaceDN w:val="0"/>
        <w:autoSpaceDE w:val="0"/>
        <w:widowControl/>
        <w:spacing w:line="268" w:lineRule="exact" w:before="15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Membership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Audit Committee consists of eight Executive Directors. Membership in the Audit Committee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determined by the Board, based on nominations by the Chairman of the Board, following informal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consultation with Executive Directors. 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Key Responsibilities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Audit Committee is appointed by the Board for the primary purpose of assisting the Board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overseeing IDA’s finances, accounting, risk management, internal controls, and institutional integrity. </w:t>
      </w:r>
    </w:p>
    <w:p>
      <w:pPr>
        <w:autoSpaceDN w:val="0"/>
        <w:autoSpaceDE w:val="0"/>
        <w:widowControl/>
        <w:spacing w:line="22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Specific responsibilities include: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13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Oversight of the integrity of IDA’s financial statements. 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7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Appointment, qualifications, independence, and performance of the External Auditor. 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7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Performance of the Group Internal Audit Vice Presidency. 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6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Adequacy and effectiveness of financial and accounting policies and internal controls and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mechanisms to deter, prevent and penalize fraud and corruption in IDA operations and corporate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procurement. 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7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Effective management of financial, fiduciary and compliance risks in IDA. 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7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Oversight of the institutional arrangements and processes for risk management across IDA.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carrying out its role, the Audit Committee discusses financial issues and policies that affect IDA’s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position and capital adequacy, with management, external auditors, and internal auditors. It also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recommends the annual audited financial statements for approval to the Board. The Audit Committee </w:t>
      </w:r>
      <w:r>
        <w:rPr>
          <w:rFonts w:ascii="ArialMT" w:hAnsi="ArialMT" w:eastAsia="ArialMT"/>
          <w:b w:val="0"/>
          <w:i w:val="0"/>
          <w:color w:val="000000"/>
          <w:sz w:val="20"/>
        </w:rPr>
        <w:t>monitors and reviews developments in corporate governance and its own role on an ongoing basis.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10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XI: Governance and Internal Controls</w:t>
            </w:r>
          </w:p>
        </w:tc>
      </w:tr>
    </w:tbl>
    <w:p>
      <w:pPr>
        <w:autoSpaceDN w:val="0"/>
        <w:autoSpaceDE w:val="0"/>
        <w:widowControl/>
        <w:spacing w:line="268" w:lineRule="exact" w:before="7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Executive Sessions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the Audit Committee's terms of reference, it may convene an executive session at any time, without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management’s presence. The Audit Committee meets separately in executive session with the external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internal auditors. 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Access to Resources and to Management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Throughout the year, the Audit Committee receives a large volume of information to enable it to carry out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its duties and meets both formally and informally throughout the year to discuss relevant matters. It has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complete access to management, and reviews and discusses with management topics considered in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terms of reference.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Audit Committee has the authority to seek advice and assistance from outside legal, accounting,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advisors as it deems necessary. </w:t>
      </w:r>
    </w:p>
    <w:p>
      <w:pPr>
        <w:autoSpaceDN w:val="0"/>
        <w:autoSpaceDE w:val="0"/>
        <w:widowControl/>
        <w:spacing w:line="314" w:lineRule="exact" w:before="1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Auditor Independence</w:t>
      </w:r>
    </w:p>
    <w:p>
      <w:pPr>
        <w:autoSpaceDN w:val="0"/>
        <w:autoSpaceDE w:val="0"/>
        <w:widowControl/>
        <w:spacing w:line="240" w:lineRule="exact" w:before="14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appointment of the external auditor for IDA is governed by a set of Board-approved principles.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>include: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13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Limits on the external auditor’s provision of non-audit-related services;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Requiring all audit-related services to be pre-approved on a case-by-case basis by the Board, upon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recommendation of the Audit Committee; and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Renewal of the external audit contract every five years, with a limit of two consecutive terms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mandatory rotation thereafter.</w:t>
      </w:r>
    </w:p>
    <w:p>
      <w:pPr>
        <w:autoSpaceDN w:val="0"/>
        <w:autoSpaceDE w:val="0"/>
        <w:widowControl/>
        <w:spacing w:line="224" w:lineRule="exact" w:before="13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external auditor may provide non-prohibited, non-audit related services subject to monetary limits.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Broadly, the list of prohibited non-audit services includes those that would put the external auditor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roles typically performed by management and in a position of auditing their own work, such as accounting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services, internal audit services, and provision of investment advice. The total non-audit services fees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over the term of the relevant external audit contract shall not exceed 70% of the audit fees over the same </w:t>
      </w:r>
      <w:r>
        <w:rPr>
          <w:rFonts w:ascii="ArialMT" w:hAnsi="ArialMT" w:eastAsia="ArialMT"/>
          <w:b w:val="0"/>
          <w:i w:val="0"/>
          <w:color w:val="000000"/>
          <w:sz w:val="20"/>
        </w:rPr>
        <w:t>period.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Communication between the external auditor and the Audit Committee is ongoing and carried out as often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deemed necessary by either party. The Audit Committee meets periodically with the external auditor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individual committee members have independent access to the external auditor. IDA’s external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auditors also follow the communication requirements with the Audit Committee set out under generally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>accepted auditing standards in the United States.</w:t>
      </w:r>
    </w:p>
    <w:p>
      <w:pPr>
        <w:autoSpaceDN w:val="0"/>
        <w:autoSpaceDE w:val="0"/>
        <w:widowControl/>
        <w:spacing w:line="314" w:lineRule="exact" w:before="1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External Auditors</w:t>
      </w:r>
    </w:p>
    <w:p>
      <w:pPr>
        <w:autoSpaceDN w:val="0"/>
        <w:autoSpaceDE w:val="0"/>
        <w:widowControl/>
        <w:spacing w:line="240" w:lineRule="exact" w:before="14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external auditor is appointed to a five-year term, with a limit of two consecutive terms, and is subject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annual reappointment based on the recommendation of the Audit Committee and approval of a </w:t>
      </w:r>
      <w:r>
        <w:rPr>
          <w:rFonts w:ascii="ArialMT" w:hAnsi="ArialMT" w:eastAsia="ArialMT"/>
          <w:b w:val="0"/>
          <w:i w:val="0"/>
          <w:color w:val="000000"/>
          <w:sz w:val="20"/>
        </w:rPr>
        <w:t>resolution by the Board.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In May 2022, IDA’s Board approved Deloitte &amp; Touche LLP as IDA’s external auditor for a second five-</w:t>
      </w:r>
      <w:r>
        <w:rPr>
          <w:rFonts w:ascii="ArialMT" w:hAnsi="ArialMT" w:eastAsia="ArialMT"/>
          <w:b w:val="0"/>
          <w:i w:val="0"/>
          <w:color w:val="000000"/>
          <w:sz w:val="20"/>
        </w:rPr>
        <w:t>year term commencing in FY24.</w:t>
      </w:r>
    </w:p>
    <w:p>
      <w:pPr>
        <w:autoSpaceDN w:val="0"/>
        <w:autoSpaceDE w:val="0"/>
        <w:widowControl/>
        <w:spacing w:line="314" w:lineRule="exact" w:before="1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Senior Management Changes</w:t>
      </w:r>
    </w:p>
    <w:p>
      <w:pPr>
        <w:autoSpaceDN w:val="0"/>
        <w:autoSpaceDE w:val="0"/>
        <w:widowControl/>
        <w:spacing w:line="240" w:lineRule="exact" w:before="14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Lakshmi Shyam-Sunder, WBG Chief Risk Officer and Vice President, retired in January 2025. Dennis </w:t>
      </w:r>
      <w:r>
        <w:rPr>
          <w:rFonts w:ascii="ArialMT" w:hAnsi="ArialMT" w:eastAsia="ArialMT"/>
          <w:b w:val="0"/>
          <w:i w:val="0"/>
          <w:color w:val="000000"/>
          <w:sz w:val="20"/>
        </w:rPr>
        <w:t>McLaughlin was appointed to this role effective January 2, 2025.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Pamela O'Connell, Vice President and WBG Controller, will be retiring and leaving the Bank in September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2025. </w:t>
      </w:r>
    </w:p>
    <w:p>
      <w:pPr>
        <w:autoSpaceDN w:val="0"/>
        <w:tabs>
          <w:tab w:pos="9138" w:val="left"/>
        </w:tabs>
        <w:autoSpaceDE w:val="0"/>
        <w:widowControl/>
        <w:spacing w:line="224" w:lineRule="exact" w:before="1124" w:after="0"/>
        <w:ind w:left="33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61</w:t>
      </w: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Section XI: Governance and Internal Controls</w:t>
            </w:r>
          </w:p>
        </w:tc>
      </w:tr>
    </w:tbl>
    <w:p>
      <w:pPr>
        <w:autoSpaceDN w:val="0"/>
        <w:autoSpaceDE w:val="0"/>
        <w:widowControl/>
        <w:spacing w:line="314" w:lineRule="exact" w:before="70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Internal Controls</w:t>
      </w:r>
    </w:p>
    <w:p>
      <w:pPr>
        <w:autoSpaceDN w:val="0"/>
        <w:autoSpaceDE w:val="0"/>
        <w:widowControl/>
        <w:spacing w:line="268" w:lineRule="exact" w:before="15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Internal Control over Financial Reporting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Each fiscal year, management evaluates the internal control over financial reporting to determine whether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any changes made in these controls during the fiscal year materially affect, or would be reasonably likely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materially affect, IDA’s internal control over financial reporting. The internal control framework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promulgated by the Committee of Sponsoring Organizations of the Treadway Commission (COSO),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“Internal Control - Integrated Framework (2013)” provides guidance for designing, implementing,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conducting internal control and assessing its effectiveness. IDA uses the 2013 COSO framework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assess the effectiveness of the internal control over financial reporting. As of June 30, 2025, management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maintained effective internal control over financial reporting. See “Management’s report regarding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effectiveness of Internal Control over Financial Reporting” on page 66. </w:t>
      </w:r>
      <w:r>
        <w:rPr>
          <w:rFonts w:ascii="ArialMT" w:hAnsi="ArialMT" w:eastAsia="ArialMT"/>
          <w:b w:val="0"/>
          <w:i w:val="0"/>
          <w:color w:val="FFFFFF"/>
          <w:sz w:val="20"/>
          <w:u w:val="single"/>
        </w:rPr>
        <w:t>66</w:t>
      </w:r>
      <w:r>
        <w:rPr>
          <w:rFonts w:ascii="ArialMT" w:hAnsi="ArialMT" w:eastAsia="ArialMT"/>
          <w:b w:val="0"/>
          <w:i w:val="0"/>
          <w:color w:val="FFFFFF"/>
          <w:sz w:val="20"/>
        </w:rPr>
        <w:t>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IDA's internal control over financial reporting as of June 30, 2025, has been audited by Deloitte &amp; Touche </w:t>
      </w:r>
      <w:r>
        <w:rPr>
          <w:rFonts w:ascii="ArialMT" w:hAnsi="ArialMT" w:eastAsia="ArialMT"/>
          <w:b w:val="0"/>
          <w:i w:val="0"/>
          <w:color w:val="000000"/>
          <w:sz w:val="20"/>
        </w:rPr>
        <w:t>LLP, an independent auditor, as stated in their report, which is included herein.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Disclosure Controls and Procedures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Disclosure controls and procedures are designed to ensure that information required to be disclosed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gathered and communicated to management as appropriate, to allow timely decisions regarding required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disclosure by IDA. Management conducted an evaluation of the effectiveness of such controls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procedures and the President and the MDCFO have concluded that these controls and procedures were </w:t>
      </w:r>
      <w:r>
        <w:rPr>
          <w:rFonts w:ascii="ArialMT" w:hAnsi="ArialMT" w:eastAsia="ArialMT"/>
          <w:b w:val="0"/>
          <w:i w:val="0"/>
          <w:color w:val="000000"/>
          <w:sz w:val="20"/>
        </w:rPr>
        <w:t>effective as of June 30, 2025.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815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216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4"/>
        <w:gridCol w:w="4724"/>
      </w:tblGrid>
      <w:tr>
        <w:trPr>
          <w:trHeight w:hRule="exact" w:val="254"/>
        </w:trPr>
        <w:tc>
          <w:tcPr>
            <w:tcW w:type="dxa" w:w="3950"/>
            <w:tcBorders>
              <w:bottom w:sz="8.0" w:val="single" w:color="#929292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8"/>
              </w:rPr>
              <w:t>Appendix</w:t>
            </w:r>
          </w:p>
        </w:tc>
      </w:tr>
    </w:tbl>
    <w:p>
      <w:pPr>
        <w:autoSpaceDN w:val="0"/>
        <w:autoSpaceDE w:val="0"/>
        <w:widowControl/>
        <w:spacing w:line="402" w:lineRule="exact" w:before="74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36"/>
        </w:rPr>
        <w:t>Appendix</w:t>
      </w:r>
    </w:p>
    <w:p>
      <w:pPr>
        <w:autoSpaceDN w:val="0"/>
        <w:autoSpaceDE w:val="0"/>
        <w:widowControl/>
        <w:spacing w:line="312" w:lineRule="exact" w:before="21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Glossary of Terms</w:t>
      </w:r>
    </w:p>
    <w:p>
      <w:pPr>
        <w:autoSpaceDN w:val="0"/>
        <w:autoSpaceDE w:val="0"/>
        <w:widowControl/>
        <w:spacing w:line="216" w:lineRule="exact" w:before="146" w:after="0"/>
        <w:ind w:left="1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8"/>
        </w:rPr>
        <w:t>Blend Borrower: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IDA Member that is eligible to borrow from IDA on the basis of per capita income and is also eligible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to borrow from IBRD. Given the access to both sources of funds, blend borrowers are expected to limit IDA funding to </w:t>
      </w:r>
      <w:r>
        <w:rPr>
          <w:rFonts w:ascii="ArialMT" w:hAnsi="ArialMT" w:eastAsia="ArialMT"/>
          <w:b w:val="0"/>
          <w:i w:val="0"/>
          <w:color w:val="000000"/>
          <w:sz w:val="18"/>
        </w:rPr>
        <w:t>social sector projects and to use IBRD resources for projects in the other sectors.</w:t>
      </w:r>
    </w:p>
    <w:p>
      <w:pPr>
        <w:autoSpaceDN w:val="0"/>
        <w:autoSpaceDE w:val="0"/>
        <w:widowControl/>
        <w:spacing w:line="200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Board: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The Executive Directors as established by IDA’s Articles of Agreement.</w:t>
      </w:r>
    </w:p>
    <w:p>
      <w:pPr>
        <w:autoSpaceDN w:val="0"/>
        <w:autoSpaceDE w:val="0"/>
        <w:widowControl/>
        <w:spacing w:line="216" w:lineRule="exact" w:before="120" w:after="0"/>
        <w:ind w:left="1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8"/>
        </w:rPr>
        <w:t>Completion Point: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When conditions specified in the legal notification sent to a country are met and the country’s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other creditors have confirmed their full participation in the HIPC debt relief initiative. When a country reaches its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Completion Point, IDA’s commitment to provide the total debt relief for which the country is eligible, becomes </w:t>
      </w:r>
      <w:r>
        <w:rPr>
          <w:rFonts w:ascii="ArialMT" w:hAnsi="ArialMT" w:eastAsia="ArialMT"/>
          <w:b w:val="0"/>
          <w:i w:val="0"/>
          <w:color w:val="000000"/>
          <w:sz w:val="18"/>
        </w:rPr>
        <w:t>irrevocable.</w:t>
      </w:r>
    </w:p>
    <w:p>
      <w:pPr>
        <w:autoSpaceDN w:val="0"/>
        <w:autoSpaceDE w:val="0"/>
        <w:widowControl/>
        <w:spacing w:line="216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Consultative Loss Limit: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Reflects a level of IDA’s tolerance for risk of underperforming the benchmark in any fiscal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year. </w:t>
      </w:r>
    </w:p>
    <w:p>
      <w:pPr>
        <w:autoSpaceDN w:val="0"/>
        <w:autoSpaceDE w:val="0"/>
        <w:widowControl/>
        <w:spacing w:line="216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Credit Valuation Adjustment (CVA):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The CVA represents the counterparty credit risk exposure and is reflected in </w:t>
      </w:r>
      <w:r>
        <w:rPr>
          <w:rFonts w:ascii="ArialMT" w:hAnsi="ArialMT" w:eastAsia="ArialMT"/>
          <w:b w:val="0"/>
          <w:i w:val="0"/>
          <w:color w:val="000000"/>
          <w:sz w:val="18"/>
        </w:rPr>
        <w:t>the fair value of derivative instruments.</w:t>
      </w:r>
    </w:p>
    <w:p>
      <w:pPr>
        <w:autoSpaceDN w:val="0"/>
        <w:autoSpaceDE w:val="0"/>
        <w:widowControl/>
        <w:spacing w:line="216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Debit Valuation Adjustment (DVA):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DVA on Fair Value Option (FVO) Elected Liabilities that corresponds to the </w:t>
      </w:r>
      <w:r>
        <w:rPr>
          <w:rFonts w:ascii="ArialMT" w:hAnsi="ArialMT" w:eastAsia="ArialMT"/>
          <w:b w:val="0"/>
          <w:i w:val="0"/>
          <w:color w:val="000000"/>
          <w:sz w:val="18"/>
        </w:rPr>
        <w:t>change in fair value of the liability presented under the FVO that relate to the instrument specific credit risk (“own-</w:t>
      </w:r>
      <w:r>
        <w:rPr>
          <w:rFonts w:ascii="ArialMT" w:hAnsi="ArialMT" w:eastAsia="ArialMT"/>
          <w:b w:val="0"/>
          <w:i w:val="0"/>
          <w:color w:val="000000"/>
          <w:sz w:val="18"/>
        </w:rPr>
        <w:t>credit risk”).</w:t>
      </w:r>
    </w:p>
    <w:p>
      <w:pPr>
        <w:autoSpaceDN w:val="0"/>
        <w:autoSpaceDE w:val="0"/>
        <w:widowControl/>
        <w:spacing w:line="200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Deputies: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Representatives of IDA’s contributing partners, known as “the IDA Deputies”.</w:t>
      </w:r>
    </w:p>
    <w:p>
      <w:pPr>
        <w:autoSpaceDN w:val="0"/>
        <w:autoSpaceDE w:val="0"/>
        <w:widowControl/>
        <w:spacing w:line="200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Duration: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Provides an indication of the sensitivity of underlying yield to changes in interest rates.</w:t>
      </w:r>
    </w:p>
    <w:p>
      <w:pPr>
        <w:autoSpaceDN w:val="0"/>
        <w:autoSpaceDE w:val="0"/>
        <w:widowControl/>
        <w:spacing w:line="216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Encashment: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Draw down (payment in cash) of a demand note in accordance with a schedule agreed for each </w:t>
      </w:r>
      <w:r>
        <w:rPr>
          <w:rFonts w:ascii="ArialMT" w:hAnsi="ArialMT" w:eastAsia="ArialMT"/>
          <w:b w:val="0"/>
          <w:i w:val="0"/>
          <w:color w:val="000000"/>
          <w:sz w:val="18"/>
        </w:rPr>
        <w:t>replenishment.</w:t>
      </w:r>
    </w:p>
    <w:p>
      <w:pPr>
        <w:autoSpaceDN w:val="0"/>
        <w:autoSpaceDE w:val="0"/>
        <w:widowControl/>
        <w:spacing w:line="216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Externally Financed Output (EFO):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 instrument for receiving external contributions to support the Bank’s work </w:t>
      </w:r>
      <w:r>
        <w:rPr>
          <w:rFonts w:ascii="ArialMT" w:hAnsi="ArialMT" w:eastAsia="ArialMT"/>
          <w:b w:val="0"/>
          <w:i w:val="0"/>
          <w:color w:val="000000"/>
          <w:sz w:val="18"/>
        </w:rPr>
        <w:t>program, typically, for amounts under $1 million, however larger amounts can also be received.</w:t>
      </w:r>
    </w:p>
    <w:p>
      <w:pPr>
        <w:autoSpaceDN w:val="0"/>
        <w:autoSpaceDE w:val="0"/>
        <w:widowControl/>
        <w:spacing w:line="216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Graduate Member: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 member country that was once eligible to borrow from IDA, however due to improvements in </w:t>
      </w:r>
      <w:r>
        <w:rPr>
          <w:rFonts w:ascii="ArialMT" w:hAnsi="ArialMT" w:eastAsia="ArialMT"/>
          <w:b w:val="0"/>
          <w:i w:val="0"/>
          <w:color w:val="000000"/>
          <w:sz w:val="18"/>
        </w:rPr>
        <w:t>the member’s economic results is no longer eligible to borrow from IDA and is deemed to have “graduated” to IBRD.</w:t>
      </w:r>
    </w:p>
    <w:p>
      <w:pPr>
        <w:autoSpaceDN w:val="0"/>
        <w:autoSpaceDE w:val="0"/>
        <w:widowControl/>
        <w:spacing w:line="216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Instrument of Commitment (IoC):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instrument through which a government commits to make a subscription or a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subscription and contribution to IDA’s resources. </w:t>
      </w:r>
    </w:p>
    <w:p>
      <w:pPr>
        <w:autoSpaceDN w:val="0"/>
        <w:autoSpaceDE w:val="0"/>
        <w:widowControl/>
        <w:spacing w:line="200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Lending operations: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Total projects from a fiscal year based on project approval date as of June 30 of the fiscal year.</w:t>
      </w:r>
    </w:p>
    <w:p>
      <w:pPr>
        <w:autoSpaceDN w:val="0"/>
        <w:autoSpaceDE w:val="0"/>
        <w:widowControl/>
        <w:spacing w:line="216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Net Commitments: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Commitments of Loans, grants and guarantees, net of full cancellations and terminations relating </w:t>
      </w:r>
      <w:r>
        <w:rPr>
          <w:rFonts w:ascii="ArialMT" w:hAnsi="ArialMT" w:eastAsia="ArialMT"/>
          <w:b w:val="0"/>
          <w:i w:val="0"/>
          <w:color w:val="000000"/>
          <w:sz w:val="18"/>
        </w:rPr>
        <w:t>to commitments approved in the same fiscal year.</w:t>
      </w:r>
    </w:p>
    <w:p>
      <w:pPr>
        <w:autoSpaceDN w:val="0"/>
        <w:autoSpaceDE w:val="0"/>
        <w:widowControl/>
        <w:spacing w:line="200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Net Disbursements: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Loans and grant disbursements net of repayments and prepayments.</w:t>
      </w:r>
    </w:p>
    <w:p>
      <w:pPr>
        <w:autoSpaceDN w:val="0"/>
        <w:autoSpaceDE w:val="0"/>
        <w:widowControl/>
        <w:spacing w:line="216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Prudential Minimum: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The minimum amount of liquidity that IDA is required to hold.  It represents 80% of twenty-four </w:t>
      </w:r>
      <w:r>
        <w:rPr>
          <w:rFonts w:ascii="ArialMT" w:hAnsi="ArialMT" w:eastAsia="ArialMT"/>
          <w:b w:val="0"/>
          <w:i w:val="0"/>
          <w:color w:val="000000"/>
          <w:sz w:val="18"/>
        </w:rPr>
        <w:t>months coverage as calculated at the start of every fiscal year.</w:t>
      </w:r>
    </w:p>
    <w:p>
      <w:pPr>
        <w:autoSpaceDN w:val="0"/>
        <w:autoSpaceDE w:val="0"/>
        <w:widowControl/>
        <w:spacing w:line="222" w:lineRule="exact" w:before="128" w:after="0"/>
        <w:ind w:left="10" w:right="22" w:firstLine="0"/>
        <w:jc w:val="both"/>
      </w:pPr>
      <w:r>
        <w:rPr>
          <w:rFonts w:ascii="Arial" w:hAnsi="Arial" w:eastAsia="Arial"/>
          <w:b/>
          <w:i w:val="0"/>
          <w:color w:val="000000"/>
          <w:sz w:val="18"/>
        </w:rPr>
        <w:t>Replenishment: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process of regular review of the adequacy of IDA resources and authorization of additional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subscriptions. Under IDA’s Articles, replenishments are required to be approved by IDA’s Board of Governors by a </w:t>
      </w:r>
      <w:r>
        <w:rPr>
          <w:rFonts w:ascii="ArialMT" w:hAnsi="ArialMT" w:eastAsia="ArialMT"/>
          <w:b w:val="0"/>
          <w:i w:val="0"/>
          <w:color w:val="000000"/>
          <w:sz w:val="18"/>
        </w:rPr>
        <w:t>two-thirds majority of the total voting power.</w:t>
      </w:r>
    </w:p>
    <w:p>
      <w:pPr>
        <w:autoSpaceDN w:val="0"/>
        <w:autoSpaceDE w:val="0"/>
        <w:widowControl/>
        <w:spacing w:line="222" w:lineRule="exact" w:before="13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Replenishment Envelope: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Total value of resources available during a particular replenishment including member </w:t>
      </w:r>
      <w:r>
        <w:rPr>
          <w:rFonts w:ascii="ArialMT" w:hAnsi="ArialMT" w:eastAsia="ArialMT"/>
          <w:b w:val="0"/>
          <w:i w:val="0"/>
          <w:color w:val="000000"/>
          <w:sz w:val="18"/>
        </w:rPr>
        <w:t>equity contributions, borrowings, internal resources, IBRD transfers, IFC grants and other resources.</w:t>
      </w:r>
    </w:p>
    <w:p>
      <w:pPr>
        <w:autoSpaceDN w:val="0"/>
        <w:autoSpaceDE w:val="0"/>
        <w:widowControl/>
        <w:spacing w:line="216" w:lineRule="exact" w:before="120" w:after="0"/>
        <w:ind w:left="10" w:right="22" w:firstLine="0"/>
        <w:jc w:val="both"/>
      </w:pPr>
      <w:r>
        <w:rPr>
          <w:rFonts w:ascii="Arial" w:hAnsi="Arial" w:eastAsia="Arial"/>
          <w:b/>
          <w:i w:val="0"/>
          <w:color w:val="000000"/>
          <w:sz w:val="18"/>
        </w:rPr>
        <w:t>Special Drawing Rights (SDR):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The SDR is an international reserve asset, created by the International Monetary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Fund in 1969 to supplement the existing official reserves of member countries. The SDR is defined as a basket of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currencies, consisting of the Chinese Renminbi, Euro, Japanese Yen, Pound Sterling, and U.S. dollar. The basket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composition is reviewed every five years to ensure that it reflects the relative importance of currencies in the world’s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trading and financial systems. </w:t>
      </w:r>
    </w:p>
    <w:p>
      <w:pPr>
        <w:autoSpaceDN w:val="0"/>
        <w:autoSpaceDE w:val="0"/>
        <w:widowControl/>
        <w:spacing w:line="200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Voting Rights: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IDA’s voting rights consist of a combination of membership and subscription votes.</w:t>
      </w:r>
    </w:p>
    <w:p>
      <w:pPr>
        <w:autoSpaceDN w:val="0"/>
        <w:autoSpaceDE w:val="0"/>
        <w:widowControl/>
        <w:spacing w:line="200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World Bank (WB)</w:t>
      </w:r>
      <w:r>
        <w:rPr>
          <w:rFonts w:ascii="ArialMT" w:hAnsi="ArialMT" w:eastAsia="ArialMT"/>
          <w:b w:val="0"/>
          <w:i w:val="0"/>
          <w:color w:val="000000"/>
          <w:sz w:val="18"/>
        </w:rPr>
        <w:t>: The World Bank consists of IBRD and IDA.</w:t>
      </w:r>
    </w:p>
    <w:p>
      <w:pPr>
        <w:autoSpaceDN w:val="0"/>
        <w:autoSpaceDE w:val="0"/>
        <w:widowControl/>
        <w:spacing w:line="200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World Bank Group (WBG)</w:t>
      </w:r>
      <w:r>
        <w:rPr>
          <w:rFonts w:ascii="ArialMT" w:hAnsi="ArialMT" w:eastAsia="ArialMT"/>
          <w:b w:val="0"/>
          <w:i w:val="0"/>
          <w:color w:val="000000"/>
          <w:sz w:val="18"/>
        </w:rPr>
        <w:t>: The World Bank Group consists of the IBRD, IDA, IFC, MIGA and ICSID.</w:t>
      </w:r>
    </w:p>
    <w:p>
      <w:pPr>
        <w:autoSpaceDN w:val="0"/>
        <w:tabs>
          <w:tab w:pos="9148" w:val="left"/>
        </w:tabs>
        <w:autoSpaceDE w:val="0"/>
        <w:widowControl/>
        <w:spacing w:line="224" w:lineRule="exact" w:before="320" w:after="0"/>
        <w:ind w:left="338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63</w:t>
      </w:r>
    </w:p>
    <w:p>
      <w:pPr>
        <w:sectPr>
          <w:pgSz w:w="12240" w:h="15840"/>
          <w:pgMar w:top="216" w:right="1362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80"/>
        <w:ind w:left="0" w:right="0"/>
      </w:pPr>
    </w:p>
    <w:p>
      <w:pPr>
        <w:autoSpaceDN w:val="0"/>
        <w:autoSpaceDE w:val="0"/>
        <w:widowControl/>
        <w:spacing w:line="402" w:lineRule="exact" w:before="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36"/>
        </w:rPr>
        <w:t>This page left intentionally blank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925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June 30, 2025</w:t>
      </w:r>
    </w:p>
    <w:p>
      <w:pPr>
        <w:sectPr>
          <w:pgSz w:w="12240" w:h="15840"/>
          <w:pgMar w:top="1440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INTERNATIONAL DEVELOPMENT ASSOCIATION</w:t>
      </w:r>
    </w:p>
    <w:p>
      <w:pPr>
        <w:autoSpaceDN w:val="0"/>
        <w:autoSpaceDE w:val="0"/>
        <w:widowControl/>
        <w:spacing w:line="314" w:lineRule="exact" w:before="29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FINANCIAL STATEMENTS AND INTERNAL CONTROL REPORTS</w:t>
      </w:r>
    </w:p>
    <w:p>
      <w:pPr>
        <w:autoSpaceDN w:val="0"/>
        <w:autoSpaceDE w:val="0"/>
        <w:widowControl/>
        <w:spacing w:line="314" w:lineRule="exact" w:before="2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June 30, 2025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39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Management’s Report Regarding Effectiveness of Internal Control Over Financial Reporting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66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82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Independent Auditor's Report on Effectiveness of Internal Control Over Financial Reporting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68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80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Independent Auditor's Report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70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82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Balance Sheets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74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80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Statements of Income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76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82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Statements of Comprehensive Income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77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80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Statements of Changes in Equity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78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82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Statements of Cash Flows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79</w:t>
      </w:r>
    </w:p>
    <w:p>
      <w:pPr>
        <w:autoSpaceDN w:val="0"/>
        <w:autoSpaceDE w:val="0"/>
        <w:widowControl/>
        <w:spacing w:line="224" w:lineRule="exact" w:before="180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Supplementary Information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82" w:after="0"/>
        <w:ind w:left="41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Summary Statement of Loans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81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80" w:after="0"/>
        <w:ind w:left="41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Statement of Voting Power and Subscriptions and Contributions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84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82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Notes to Financial Statements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89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7848" w:after="0"/>
        <w:ind w:left="498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65</w:t>
      </w:r>
    </w:p>
    <w:p>
      <w:pPr>
        <w:sectPr>
          <w:pgSz w:w="12240" w:h="15840"/>
          <w:pgMar w:top="516" w:right="1440" w:bottom="2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Management's Report Regarding Effectiveness of Internal Control Over </w:t>
      </w:r>
      <w:r>
        <w:rPr>
          <w:rFonts w:ascii="ArialMT" w:hAnsi="ArialMT" w:eastAsia="ArialMT"/>
          <w:b w:val="0"/>
          <w:i w:val="0"/>
          <w:color w:val="000000"/>
          <w:sz w:val="28"/>
        </w:rPr>
        <w:t>Financial Reporting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771270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2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131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278" w:right="1338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660780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7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138" w:val="left"/>
        </w:tabs>
        <w:autoSpaceDE w:val="0"/>
        <w:widowControl/>
        <w:spacing w:line="224" w:lineRule="exact" w:before="3050" w:after="0"/>
        <w:ind w:left="48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67</w:t>
      </w:r>
    </w:p>
    <w:p>
      <w:pPr>
        <w:sectPr>
          <w:pgSz w:w="12240" w:h="15840"/>
          <w:pgMar w:top="720" w:right="142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Independent Auditor's Report on Effectiveness of Internal Control Over </w:t>
      </w:r>
      <w:r>
        <w:rPr>
          <w:rFonts w:ascii="ArialMT" w:hAnsi="ArialMT" w:eastAsia="ArialMT"/>
          <w:b w:val="0"/>
          <w:i w:val="0"/>
          <w:color w:val="000000"/>
          <w:sz w:val="28"/>
        </w:rPr>
        <w:t>Financial Reporting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78917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102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278" w:right="1338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6177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138" w:val="left"/>
        </w:tabs>
        <w:autoSpaceDE w:val="0"/>
        <w:widowControl/>
        <w:spacing w:line="224" w:lineRule="exact" w:before="6184" w:after="0"/>
        <w:ind w:left="48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69</w:t>
      </w:r>
    </w:p>
    <w:p>
      <w:pPr>
        <w:sectPr>
          <w:pgSz w:w="12240" w:h="15840"/>
          <w:pgMar w:top="720" w:right="142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Independent Auditor's Report</w:t>
      </w:r>
    </w:p>
    <w:p>
      <w:pPr>
        <w:autoSpaceDN w:val="0"/>
        <w:autoSpaceDE w:val="0"/>
        <w:widowControl/>
        <w:spacing w:line="240" w:lineRule="auto" w:before="5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77863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119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278" w:right="142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803020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0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138" w:val="left"/>
        </w:tabs>
        <w:autoSpaceDE w:val="0"/>
        <w:widowControl/>
        <w:spacing w:line="224" w:lineRule="exact" w:before="810" w:after="0"/>
        <w:ind w:left="48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71</w:t>
      </w:r>
    </w:p>
    <w:p>
      <w:pPr>
        <w:sectPr>
          <w:pgSz w:w="12240" w:h="15840"/>
          <w:pgMar w:top="720" w:right="142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Independent Auditor's Report</w:t>
      </w:r>
    </w:p>
    <w:p>
      <w:pPr>
        <w:autoSpaceDN w:val="0"/>
        <w:autoSpaceDE w:val="0"/>
        <w:widowControl/>
        <w:spacing w:line="240" w:lineRule="auto" w:before="5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940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842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278" w:right="142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420" w:lineRule="exact" w:before="0" w:after="0"/>
        <w:ind w:left="0" w:right="302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INTERNATIONAL DEVELOPMENT ASSOCIATION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FINANCIAL STATEMENTS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8"/>
        </w:rPr>
        <w:t>June 30, 2025</w:t>
      </w:r>
    </w:p>
    <w:p>
      <w:pPr>
        <w:autoSpaceDN w:val="0"/>
        <w:tabs>
          <w:tab w:pos="9138" w:val="left"/>
        </w:tabs>
        <w:autoSpaceDE w:val="0"/>
        <w:widowControl/>
        <w:spacing w:line="224" w:lineRule="exact" w:before="12244" w:after="0"/>
        <w:ind w:left="48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73</w:t>
      </w:r>
    </w:p>
    <w:p>
      <w:pPr>
        <w:sectPr>
          <w:pgSz w:w="12240" w:h="15840"/>
          <w:pgMar w:top="696" w:right="142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272" w:lineRule="exact" w:before="84" w:after="0"/>
        <w:ind w:left="0" w:right="6336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BALANCE SHEETS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>June 30, 2025 and June 30, 2024</w:t>
      </w:r>
    </w:p>
    <w:p>
      <w:pPr>
        <w:autoSpaceDN w:val="0"/>
        <w:autoSpaceDE w:val="0"/>
        <w:widowControl/>
        <w:spacing w:line="224" w:lineRule="exact" w:before="204" w:after="308"/>
        <w:ind w:left="5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90.0" w:type="dxa"/>
      </w:tblPr>
      <w:tblGrid>
        <w:gridCol w:w="4708"/>
        <w:gridCol w:w="4708"/>
      </w:tblGrid>
      <w:tr>
        <w:trPr>
          <w:trHeight w:hRule="exact" w:val="292"/>
        </w:trPr>
        <w:tc>
          <w:tcPr>
            <w:tcW w:type="dxa" w:w="16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2025</w:t>
            </w:r>
          </w:p>
        </w:tc>
        <w:tc>
          <w:tcPr>
            <w:tcW w:type="dxa" w:w="17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61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200" w:lineRule="exact" w:before="24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Assets</w:t>
      </w:r>
    </w:p>
    <w:p>
      <w:pPr>
        <w:autoSpaceDN w:val="0"/>
        <w:autoSpaceDE w:val="0"/>
        <w:widowControl/>
        <w:spacing w:line="202" w:lineRule="exact" w:before="54" w:after="26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Due from banks—Notes C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54"/>
        </w:trPr>
        <w:tc>
          <w:tcPr>
            <w:tcW w:type="dxa" w:w="5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Unrestricted cash</w:t>
            </w:r>
          </w:p>
        </w:tc>
        <w:tc>
          <w:tcPr>
            <w:tcW w:type="dxa" w:w="6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1,191 </w:t>
            </w:r>
          </w:p>
        </w:tc>
        <w:tc>
          <w:tcPr>
            <w:tcW w:type="dxa" w:w="8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563 </w:t>
            </w:r>
          </w:p>
        </w:tc>
      </w:tr>
      <w:tr>
        <w:trPr>
          <w:trHeight w:hRule="exact" w:val="260"/>
        </w:trPr>
        <w:tc>
          <w:tcPr>
            <w:tcW w:type="dxa" w:w="5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Restricted cash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 </w:t>
            </w:r>
          </w:p>
        </w:tc>
      </w:tr>
      <w:tr>
        <w:trPr>
          <w:trHeight w:hRule="exact" w:val="254"/>
        </w:trPr>
        <w:tc>
          <w:tcPr>
            <w:tcW w:type="dxa" w:w="5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1,215 </w:t>
            </w:r>
          </w:p>
        </w:tc>
        <w:tc>
          <w:tcPr>
            <w:tcW w:type="dxa" w:w="8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586 </w:t>
            </w:r>
          </w:p>
        </w:tc>
      </w:tr>
    </w:tbl>
    <w:p>
      <w:pPr>
        <w:autoSpaceDN w:val="0"/>
        <w:tabs>
          <w:tab w:pos="142" w:val="left"/>
        </w:tabs>
        <w:autoSpaceDE w:val="0"/>
        <w:widowControl/>
        <w:spacing w:line="216" w:lineRule="exact" w:before="342" w:after="8"/>
        <w:ind w:left="52" w:right="3456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Investments (including securities transferred under repurchase or </w:t>
      </w:r>
      <w:r>
        <w:rPr>
          <w:rFonts w:ascii="Arial" w:hAnsi="Arial" w:eastAsia="Arial"/>
          <w:b/>
          <w:i/>
          <w:color w:val="000000"/>
          <w:sz w:val="18"/>
        </w:rPr>
        <w:t xml:space="preserve">securities lending agreements of $120 million—June 30, 2025; $69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139"/>
        <w:gridCol w:w="3139"/>
        <w:gridCol w:w="3139"/>
      </w:tblGrid>
      <w:tr>
        <w:trPr>
          <w:trHeight w:hRule="exact" w:val="384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million—June 30, 2024) —Notes C, H and J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47,272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34,377 </w:t>
            </w:r>
          </w:p>
        </w:tc>
      </w:tr>
      <w:tr>
        <w:trPr>
          <w:trHeight w:hRule="exact" w:val="56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Securities Purchased Under Resale Agreements—Notes C and J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5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136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58 </w:t>
            </w:r>
          </w:p>
        </w:tc>
      </w:tr>
      <w:tr>
        <w:trPr>
          <w:trHeight w:hRule="exact" w:val="58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Derivative assets, net—Notes F, H and J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4" w:after="0"/>
              <w:ind w:left="0" w:right="5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415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4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363 </w:t>
            </w:r>
          </w:p>
        </w:tc>
      </w:tr>
      <w:tr>
        <w:trPr>
          <w:trHeight w:hRule="exact" w:val="454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Receivable from affiliated organization—Note H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5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1,807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1,395 </w:t>
            </w:r>
          </w:p>
        </w:tc>
      </w:tr>
    </w:tbl>
    <w:p>
      <w:pPr>
        <w:autoSpaceDN w:val="0"/>
        <w:autoSpaceDE w:val="0"/>
        <w:widowControl/>
        <w:spacing w:line="200" w:lineRule="exact" w:before="310" w:after="26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Other Receivables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39"/>
        <w:gridCol w:w="3139"/>
        <w:gridCol w:w="3139"/>
      </w:tblGrid>
      <w:tr>
        <w:trPr>
          <w:trHeight w:hRule="exact" w:val="250"/>
        </w:trPr>
        <w:tc>
          <w:tcPr>
            <w:tcW w:type="dxa" w:w="5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Receivables from investment securities traded—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C</w:t>
            </w:r>
          </w:p>
        </w:tc>
        <w:tc>
          <w:tcPr>
            <w:tcW w:type="dxa" w:w="1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1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 </w:t>
            </w:r>
          </w:p>
        </w:tc>
      </w:tr>
      <w:tr>
        <w:trPr>
          <w:trHeight w:hRule="exact" w:val="264"/>
        </w:trPr>
        <w:tc>
          <w:tcPr>
            <w:tcW w:type="dxa" w:w="5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Accrued interest and commitment charges—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D</w:t>
            </w:r>
          </w:p>
        </w:tc>
        <w:tc>
          <w:tcPr>
            <w:tcW w:type="dxa" w:w="17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860 </w:t>
            </w:r>
          </w:p>
        </w:tc>
        <w:tc>
          <w:tcPr>
            <w:tcW w:type="dxa" w:w="16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726 </w:t>
            </w:r>
          </w:p>
        </w:tc>
      </w:tr>
      <w:tr>
        <w:trPr>
          <w:trHeight w:hRule="exact" w:val="256"/>
        </w:trPr>
        <w:tc>
          <w:tcPr>
            <w:tcW w:type="dxa" w:w="5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869 </w:t>
            </w:r>
          </w:p>
        </w:tc>
        <w:tc>
          <w:tcPr>
            <w:tcW w:type="dxa" w:w="16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735 </w:t>
            </w:r>
          </w:p>
        </w:tc>
      </w:tr>
    </w:tbl>
    <w:p>
      <w:pPr>
        <w:autoSpaceDN w:val="0"/>
        <w:autoSpaceDE w:val="0"/>
        <w:widowControl/>
        <w:spacing w:line="202" w:lineRule="exact" w:before="248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Loans outstanding—Notes D, H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39"/>
        <w:gridCol w:w="3139"/>
        <w:gridCol w:w="3139"/>
      </w:tblGrid>
      <w:tr>
        <w:trPr>
          <w:trHeight w:hRule="exact" w:val="262"/>
        </w:trPr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 loans approved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5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311,194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278,107 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216" w:lineRule="exact" w:before="22" w:after="6"/>
        <w:ind w:left="152" w:right="360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Less: Undisbursed balance (including signed loan commitments of    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$74,514 million—June 30, 2025; $68,851 million—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139"/>
        <w:gridCol w:w="3139"/>
        <w:gridCol w:w="3139"/>
      </w:tblGrid>
      <w:tr>
        <w:trPr>
          <w:trHeight w:hRule="exact" w:val="240"/>
        </w:trPr>
        <w:tc>
          <w:tcPr>
            <w:tcW w:type="dxa" w:w="5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2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June 30, 2024) </w:t>
            </w:r>
          </w:p>
        </w:tc>
        <w:tc>
          <w:tcPr>
            <w:tcW w:type="dxa" w:w="17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(83,307) </w:t>
            </w:r>
          </w:p>
        </w:tc>
        <w:tc>
          <w:tcPr>
            <w:tcW w:type="dxa" w:w="16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(75,559) </w:t>
            </w:r>
          </w:p>
        </w:tc>
      </w:tr>
      <w:tr>
        <w:trPr>
          <w:trHeight w:hRule="exact" w:val="250"/>
        </w:trPr>
        <w:tc>
          <w:tcPr>
            <w:tcW w:type="dxa" w:w="5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5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Loans outstanding</w:t>
            </w:r>
          </w:p>
        </w:tc>
        <w:tc>
          <w:tcPr>
            <w:tcW w:type="dxa" w:w="175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227,887 </w:t>
            </w:r>
          </w:p>
        </w:tc>
        <w:tc>
          <w:tcPr>
            <w:tcW w:type="dxa" w:w="16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202,548 </w:t>
            </w:r>
          </w:p>
        </w:tc>
      </w:tr>
    </w:tbl>
    <w:p>
      <w:pPr>
        <w:autoSpaceDN w:val="0"/>
        <w:autoSpaceDE w:val="0"/>
        <w:widowControl/>
        <w:spacing w:line="202" w:lineRule="exact" w:before="28" w:after="28"/>
        <w:ind w:left="1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Less: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rHeight w:hRule="exact" w:val="252"/>
        </w:trPr>
        <w:tc>
          <w:tcPr>
            <w:tcW w:type="dxa" w:w="59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4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Accumulated provision for loan losses</w:t>
            </w:r>
          </w:p>
        </w:tc>
        <w:tc>
          <w:tcPr>
            <w:tcW w:type="dxa" w:w="5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(4,611) </w:t>
            </w:r>
          </w:p>
        </w:tc>
        <w:tc>
          <w:tcPr>
            <w:tcW w:type="dxa" w:w="5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(4,065) </w:t>
            </w:r>
          </w:p>
        </w:tc>
      </w:tr>
      <w:tr>
        <w:trPr>
          <w:trHeight w:hRule="exact" w:val="260"/>
        </w:trPr>
        <w:tc>
          <w:tcPr>
            <w:tcW w:type="dxa" w:w="599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4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Deferred loan income </w:t>
            </w:r>
          </w:p>
        </w:tc>
        <w:tc>
          <w:tcPr>
            <w:tcW w:type="dxa" w:w="1569"/>
            <w:vMerge/>
            <w:tcBorders>
              <w:bottom w:sz="8.0" w:val="single" w:color="#000000"/>
            </w:tcBorders>
          </w:tcPr>
          <w:p/>
        </w:tc>
        <w:tc>
          <w:tcPr>
            <w:tcW w:type="dxa" w:w="12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(44) </w:t>
            </w:r>
          </w:p>
        </w:tc>
        <w:tc>
          <w:tcPr>
            <w:tcW w:type="dxa" w:w="1569"/>
            <w:vMerge/>
            <w:tcBorders>
              <w:bottom w:sz="8.0" w:val="single" w:color="#000000"/>
            </w:tcBorders>
          </w:tcPr>
          <w:p/>
        </w:tc>
        <w:tc>
          <w:tcPr>
            <w:tcW w:type="dxa" w:w="1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(26) </w:t>
            </w:r>
          </w:p>
        </w:tc>
      </w:tr>
      <w:tr>
        <w:trPr>
          <w:trHeight w:hRule="exact" w:val="254"/>
        </w:trPr>
        <w:tc>
          <w:tcPr>
            <w:tcW w:type="dxa" w:w="599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7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loans outstanding</w:t>
            </w:r>
          </w:p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223,232 </w:t>
            </w:r>
          </w:p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198,457 </w:t>
            </w:r>
          </w:p>
        </w:tc>
      </w:tr>
      <w:tr>
        <w:trPr>
          <w:trHeight w:hRule="exact" w:val="886"/>
        </w:trPr>
        <w:tc>
          <w:tcPr>
            <w:tcW w:type="dxa" w:w="599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30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Other assets—Notes G, H and K</w:t>
            </w:r>
          </w:p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30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5,923 </w:t>
            </w:r>
          </w:p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5,379 </w:t>
            </w:r>
          </w:p>
        </w:tc>
      </w:tr>
      <w:tr>
        <w:trPr>
          <w:trHeight w:hRule="exact" w:val="234"/>
        </w:trPr>
        <w:tc>
          <w:tcPr>
            <w:tcW w:type="dxa" w:w="599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assets</w:t>
            </w:r>
          </w:p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280,869 </w:t>
            </w:r>
          </w:p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241,350 </w:t>
            </w:r>
          </w:p>
        </w:tc>
      </w:tr>
      <w:tr>
        <w:trPr>
          <w:trHeight w:hRule="exact" w:val="2526"/>
        </w:trPr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1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 </w:t>
            </w:r>
          </w:p>
        </w:tc>
        <w:tc>
          <w:tcPr>
            <w:tcW w:type="dxa" w:w="55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12" w:after="0"/>
              <w:ind w:left="2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IDA Financial Statements: June 30, 2025</w:t>
            </w:r>
          </w:p>
        </w:tc>
        <w:tc>
          <w:tcPr>
            <w:tcW w:type="dxa" w:w="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872" w:right="138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9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96.0" w:type="dxa"/>
      </w:tblPr>
      <w:tblGrid>
        <w:gridCol w:w="4708"/>
        <w:gridCol w:w="4708"/>
      </w:tblGrid>
      <w:tr>
        <w:trPr>
          <w:trHeight w:hRule="exact" w:val="230"/>
        </w:trPr>
        <w:tc>
          <w:tcPr>
            <w:tcW w:type="dxa" w:w="14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2025</w:t>
            </w:r>
          </w:p>
        </w:tc>
        <w:tc>
          <w:tcPr>
            <w:tcW w:type="dxa" w:w="1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5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200" w:lineRule="exact" w:before="2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Liabilities</w:t>
      </w:r>
    </w:p>
    <w:p>
      <w:pPr>
        <w:autoSpaceDN w:val="0"/>
        <w:autoSpaceDE w:val="0"/>
        <w:widowControl/>
        <w:spacing w:line="202" w:lineRule="exact" w:before="54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Borrowings—Notes E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36"/>
        </w:trPr>
        <w:tc>
          <w:tcPr>
            <w:tcW w:type="dxa" w:w="6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Market borrowings, at fair value</w:t>
            </w:r>
          </w:p>
        </w:tc>
        <w:tc>
          <w:tcPr>
            <w:tcW w:type="dxa" w:w="48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45,154 </w:t>
            </w:r>
          </w:p>
        </w:tc>
        <w:tc>
          <w:tcPr>
            <w:tcW w:type="dxa" w:w="6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26,425 </w:t>
            </w:r>
          </w:p>
        </w:tc>
      </w:tr>
      <w:tr>
        <w:trPr>
          <w:trHeight w:hRule="exact" w:val="260"/>
        </w:trPr>
        <w:tc>
          <w:tcPr>
            <w:tcW w:type="dxa" w:w="6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Market borrowings, at amortized cost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18,127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11,494 </w:t>
            </w:r>
          </w:p>
        </w:tc>
      </w:tr>
      <w:tr>
        <w:trPr>
          <w:trHeight w:hRule="exact" w:val="270"/>
        </w:trPr>
        <w:tc>
          <w:tcPr>
            <w:tcW w:type="dxa" w:w="62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Concessional partner loans, at amortized cost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7,551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7,004 </w:t>
            </w:r>
          </w:p>
        </w:tc>
      </w:tr>
      <w:tr>
        <w:trPr>
          <w:trHeight w:hRule="exact" w:val="256"/>
        </w:trPr>
        <w:tc>
          <w:tcPr>
            <w:tcW w:type="dxa" w:w="6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70,832 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44,923 </w:t>
            </w:r>
          </w:p>
        </w:tc>
      </w:tr>
    </w:tbl>
    <w:p>
      <w:pPr>
        <w:autoSpaceDN w:val="0"/>
        <w:tabs>
          <w:tab w:pos="142" w:val="left"/>
        </w:tabs>
        <w:autoSpaceDE w:val="0"/>
        <w:widowControl/>
        <w:spacing w:line="216" w:lineRule="exact" w:before="252" w:after="6"/>
        <w:ind w:left="52" w:right="3168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Securities sold under repurchase agreements, securities lent under </w:t>
      </w:r>
      <w:r>
        <w:rPr>
          <w:rFonts w:ascii="Arial" w:hAnsi="Arial" w:eastAsia="Arial"/>
          <w:b/>
          <w:i/>
          <w:color w:val="000000"/>
          <w:sz w:val="18"/>
        </w:rPr>
        <w:t>securities lending agreements, and payable for cash collateral received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139"/>
        <w:gridCol w:w="3139"/>
        <w:gridCol w:w="3139"/>
      </w:tblGrid>
      <w:tr>
        <w:trPr>
          <w:trHeight w:hRule="exact" w:val="364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2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—Notes C and J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5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71 </w:t>
            </w:r>
          </w:p>
        </w:tc>
      </w:tr>
      <w:tr>
        <w:trPr>
          <w:trHeight w:hRule="exact" w:val="44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Derivative liabilities, net—Notes F, H and J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4" w:after="0"/>
              <w:ind w:left="0" w:right="5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496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4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667 </w:t>
            </w:r>
          </w:p>
        </w:tc>
      </w:tr>
      <w:tr>
        <w:trPr>
          <w:trHeight w:hRule="exact" w:val="46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Payable for development grants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5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1,080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1,706 </w:t>
            </w:r>
          </w:p>
        </w:tc>
      </w:tr>
      <w:tr>
        <w:trPr>
          <w:trHeight w:hRule="exact" w:val="43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Payable to affiliated organization—Note H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0" w:after="0"/>
              <w:ind w:left="0" w:right="5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631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279 </w:t>
            </w:r>
          </w:p>
        </w:tc>
      </w:tr>
    </w:tbl>
    <w:p>
      <w:pPr>
        <w:autoSpaceDN w:val="0"/>
        <w:autoSpaceDE w:val="0"/>
        <w:widowControl/>
        <w:spacing w:line="200" w:lineRule="exact" w:before="280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Other 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139"/>
        <w:gridCol w:w="3139"/>
        <w:gridCol w:w="3139"/>
      </w:tblGrid>
      <w:tr>
        <w:trPr>
          <w:trHeight w:hRule="exact" w:val="242"/>
        </w:trPr>
        <w:tc>
          <w:tcPr>
            <w:tcW w:type="dxa" w:w="6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Payable for investment securities purchased—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C</w:t>
            </w:r>
          </w:p>
        </w:tc>
        <w:tc>
          <w:tcPr>
            <w:tcW w:type="dxa" w:w="14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644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648 </w:t>
            </w:r>
          </w:p>
        </w:tc>
      </w:tr>
      <w:tr>
        <w:trPr>
          <w:trHeight w:hRule="exact" w:val="270"/>
        </w:trPr>
        <w:tc>
          <w:tcPr>
            <w:tcW w:type="dxa" w:w="63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Accounts payable and miscellaneous liabilities—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D and K</w:t>
            </w:r>
          </w:p>
        </w:tc>
        <w:tc>
          <w:tcPr>
            <w:tcW w:type="dxa" w:w="14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2,893 </w:t>
            </w:r>
          </w:p>
        </w:tc>
        <w:tc>
          <w:tcPr>
            <w:tcW w:type="dxa" w:w="1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2,755 </w:t>
            </w:r>
          </w:p>
        </w:tc>
      </w:tr>
      <w:tr>
        <w:trPr>
          <w:trHeight w:hRule="exact" w:val="256"/>
        </w:trPr>
        <w:tc>
          <w:tcPr>
            <w:tcW w:type="dxa" w:w="6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3,537 </w:t>
            </w:r>
          </w:p>
        </w:tc>
        <w:tc>
          <w:tcPr>
            <w:tcW w:type="dxa" w:w="1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3,403 </w:t>
            </w:r>
          </w:p>
        </w:tc>
      </w:tr>
      <w:tr>
        <w:trPr>
          <w:trHeight w:hRule="exact" w:val="254"/>
        </w:trPr>
        <w:tc>
          <w:tcPr>
            <w:tcW w:type="dxa" w:w="6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liabilities</w:t>
            </w:r>
          </w:p>
        </w:tc>
        <w:tc>
          <w:tcPr>
            <w:tcW w:type="dxa" w:w="14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76,698 </w:t>
            </w:r>
          </w:p>
        </w:tc>
        <w:tc>
          <w:tcPr>
            <w:tcW w:type="dxa" w:w="1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51,049 </w:t>
            </w:r>
          </w:p>
        </w:tc>
      </w:tr>
    </w:tbl>
    <w:p>
      <w:pPr>
        <w:autoSpaceDN w:val="0"/>
        <w:autoSpaceDE w:val="0"/>
        <w:widowControl/>
        <w:spacing w:line="200" w:lineRule="exact" w:before="190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Equity</w:t>
      </w:r>
    </w:p>
    <w:p>
      <w:pPr>
        <w:autoSpaceDN w:val="0"/>
        <w:autoSpaceDE w:val="0"/>
        <w:widowControl/>
        <w:spacing w:line="202" w:lineRule="exact" w:before="54" w:after="26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Members' subscriptions and contributions—Note 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39"/>
        <w:gridCol w:w="3139"/>
        <w:gridCol w:w="3139"/>
      </w:tblGrid>
      <w:tr>
        <w:trPr>
          <w:trHeight w:hRule="exact" w:val="248"/>
        </w:trPr>
        <w:tc>
          <w:tcPr>
            <w:tcW w:type="dxa" w:w="6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Unrestricted</w:t>
            </w:r>
          </w:p>
        </w:tc>
        <w:tc>
          <w:tcPr>
            <w:tcW w:type="dxa" w:w="14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314,651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310,663 </w:t>
            </w:r>
          </w:p>
        </w:tc>
      </w:tr>
      <w:tr>
        <w:trPr>
          <w:trHeight w:hRule="exact" w:val="266"/>
        </w:trPr>
        <w:tc>
          <w:tcPr>
            <w:tcW w:type="dxa" w:w="62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Restricted</w:t>
            </w:r>
          </w:p>
        </w:tc>
        <w:tc>
          <w:tcPr>
            <w:tcW w:type="dxa" w:w="14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321 </w:t>
            </w:r>
          </w:p>
        </w:tc>
        <w:tc>
          <w:tcPr>
            <w:tcW w:type="dxa" w:w="1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320 </w:t>
            </w:r>
          </w:p>
        </w:tc>
      </w:tr>
      <w:tr>
        <w:trPr>
          <w:trHeight w:hRule="exact" w:val="252"/>
        </w:trPr>
        <w:tc>
          <w:tcPr>
            <w:tcW w:type="dxa" w:w="62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Subscriptions and contributions committed</w:t>
            </w:r>
          </w:p>
        </w:tc>
        <w:tc>
          <w:tcPr>
            <w:tcW w:type="dxa" w:w="14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314,972 </w:t>
            </w:r>
          </w:p>
        </w:tc>
        <w:tc>
          <w:tcPr>
            <w:tcW w:type="dxa" w:w="15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310,983 </w:t>
            </w:r>
          </w:p>
        </w:tc>
      </w:tr>
    </w:tbl>
    <w:p>
      <w:pPr>
        <w:autoSpaceDN w:val="0"/>
        <w:autoSpaceDE w:val="0"/>
        <w:widowControl/>
        <w:spacing w:line="202" w:lineRule="exact" w:before="26" w:after="26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39"/>
        <w:gridCol w:w="3139"/>
        <w:gridCol w:w="3139"/>
      </w:tblGrid>
      <w:tr>
        <w:trPr>
          <w:trHeight w:hRule="exact" w:val="248"/>
        </w:trPr>
        <w:tc>
          <w:tcPr>
            <w:tcW w:type="dxa" w:w="6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Subscriptions and contributions receivable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(19,013) </w:t>
            </w:r>
          </w:p>
        </w:tc>
        <w:tc>
          <w:tcPr>
            <w:tcW w:type="dxa" w:w="1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(26,690) </w:t>
            </w:r>
          </w:p>
        </w:tc>
      </w:tr>
      <w:tr>
        <w:trPr>
          <w:trHeight w:hRule="exact" w:val="266"/>
        </w:trPr>
        <w:tc>
          <w:tcPr>
            <w:tcW w:type="dxa" w:w="62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Cumulative discounts/credits on subscriptions and contributions, net</w:t>
            </w:r>
          </w:p>
        </w:tc>
        <w:tc>
          <w:tcPr>
            <w:tcW w:type="dxa" w:w="1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(4,277) </w:t>
            </w:r>
          </w:p>
        </w:tc>
        <w:tc>
          <w:tcPr>
            <w:tcW w:type="dxa" w:w="14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(4,220) </w:t>
            </w:r>
          </w:p>
        </w:tc>
      </w:tr>
      <w:tr>
        <w:trPr>
          <w:trHeight w:hRule="exact" w:val="284"/>
        </w:trPr>
        <w:tc>
          <w:tcPr>
            <w:tcW w:type="dxa" w:w="62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Subscriptions and contributions paid-in</w:t>
            </w:r>
          </w:p>
        </w:tc>
        <w:tc>
          <w:tcPr>
            <w:tcW w:type="dxa" w:w="15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291,682 </w:t>
            </w:r>
          </w:p>
        </w:tc>
        <w:tc>
          <w:tcPr>
            <w:tcW w:type="dxa" w:w="14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280,073 </w:t>
            </w:r>
          </w:p>
        </w:tc>
      </w:tr>
    </w:tbl>
    <w:p>
      <w:pPr>
        <w:autoSpaceDN w:val="0"/>
        <w:tabs>
          <w:tab w:pos="142" w:val="left"/>
        </w:tabs>
        <w:autoSpaceDE w:val="0"/>
        <w:widowControl/>
        <w:spacing w:line="180" w:lineRule="exact" w:before="300" w:after="28"/>
        <w:ind w:left="52" w:right="3168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Nonnegotiable, noninterest-bearing demand obligations on account of </w:t>
      </w:r>
      <w:r>
        <w:rPr>
          <w:rFonts w:ascii="Arial" w:hAnsi="Arial" w:eastAsia="Arial"/>
          <w:b/>
          <w:i/>
          <w:color w:val="000000"/>
          <w:sz w:val="18"/>
        </w:rPr>
        <w:t>members' subscriptions and contributions—Note 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42"/>
        </w:trPr>
        <w:tc>
          <w:tcPr>
            <w:tcW w:type="dxa" w:w="6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Unrestricted</w:t>
            </w:r>
          </w:p>
        </w:tc>
        <w:tc>
          <w:tcPr>
            <w:tcW w:type="dxa" w:w="4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(12,203) </w:t>
            </w:r>
          </w:p>
        </w:tc>
        <w:tc>
          <w:tcPr>
            <w:tcW w:type="dxa" w:w="4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(12,508) </w:t>
            </w:r>
          </w:p>
        </w:tc>
      </w:tr>
      <w:tr>
        <w:trPr>
          <w:trHeight w:hRule="exact" w:val="270"/>
        </w:trPr>
        <w:tc>
          <w:tcPr>
            <w:tcW w:type="dxa" w:w="63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Restricted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1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(47)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(45) </w:t>
            </w:r>
          </w:p>
        </w:tc>
      </w:tr>
      <w:tr>
        <w:trPr>
          <w:trHeight w:hRule="exact" w:val="256"/>
        </w:trPr>
        <w:tc>
          <w:tcPr>
            <w:tcW w:type="dxa" w:w="6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(12,250) </w:t>
            </w:r>
          </w:p>
        </w:tc>
        <w:tc>
          <w:tcPr>
            <w:tcW w:type="dxa" w:w="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(12,553) </w:t>
            </w:r>
          </w:p>
        </w:tc>
      </w:tr>
      <w:tr>
        <w:trPr>
          <w:trHeight w:hRule="exact" w:val="574"/>
        </w:trPr>
        <w:tc>
          <w:tcPr>
            <w:tcW w:type="dxa" w:w="63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9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Deferred amounts to maintain value of currency holdings</w:t>
            </w:r>
          </w:p>
        </w:tc>
        <w:tc>
          <w:tcPr>
            <w:tcW w:type="dxa" w:w="4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98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(246) </w:t>
            </w:r>
          </w:p>
        </w:tc>
        <w:tc>
          <w:tcPr>
            <w:tcW w:type="dxa" w:w="4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9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(248) </w:t>
            </w:r>
          </w:p>
        </w:tc>
      </w:tr>
      <w:tr>
        <w:trPr>
          <w:trHeight w:hRule="exact" w:val="340"/>
        </w:trPr>
        <w:tc>
          <w:tcPr>
            <w:tcW w:type="dxa" w:w="6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Accumulated deficit</w:t>
            </w:r>
          </w:p>
        </w:tc>
        <w:tc>
          <w:tcPr>
            <w:tcW w:type="dxa" w:w="188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4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(71,903) </w:t>
            </w:r>
          </w:p>
        </w:tc>
        <w:tc>
          <w:tcPr>
            <w:tcW w:type="dxa" w:w="188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(66,379) </w:t>
            </w:r>
          </w:p>
        </w:tc>
      </w:tr>
      <w:tr>
        <w:trPr>
          <w:trHeight w:hRule="exact" w:val="480"/>
        </w:trPr>
        <w:tc>
          <w:tcPr>
            <w:tcW w:type="dxa" w:w="63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Accumulated other comprehensive loss—Note I</w:t>
            </w:r>
          </w:p>
        </w:tc>
        <w:tc>
          <w:tcPr>
            <w:tcW w:type="dxa" w:w="188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(3,112) </w:t>
            </w:r>
          </w:p>
        </w:tc>
        <w:tc>
          <w:tcPr>
            <w:tcW w:type="dxa" w:w="188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(10,592) </w:t>
            </w:r>
          </w:p>
        </w:tc>
      </w:tr>
      <w:tr>
        <w:trPr>
          <w:trHeight w:hRule="exact" w:val="254"/>
        </w:trPr>
        <w:tc>
          <w:tcPr>
            <w:tcW w:type="dxa" w:w="6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equity</w:t>
            </w:r>
          </w:p>
        </w:tc>
        <w:tc>
          <w:tcPr>
            <w:tcW w:type="dxa" w:w="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204,171 </w:t>
            </w:r>
          </w:p>
        </w:tc>
        <w:tc>
          <w:tcPr>
            <w:tcW w:type="dxa" w:w="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190,301 </w:t>
            </w:r>
          </w:p>
        </w:tc>
      </w:tr>
      <w:tr>
        <w:trPr>
          <w:trHeight w:hRule="exact" w:val="432"/>
        </w:trPr>
        <w:tc>
          <w:tcPr>
            <w:tcW w:type="dxa" w:w="6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liabilities and equity</w:t>
            </w:r>
          </w:p>
        </w:tc>
        <w:tc>
          <w:tcPr>
            <w:tcW w:type="dxa" w:w="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1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280,869 </w:t>
            </w:r>
          </w:p>
        </w:tc>
        <w:tc>
          <w:tcPr>
            <w:tcW w:type="dxa" w:w="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0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241,350 </w:t>
            </w:r>
          </w:p>
        </w:tc>
      </w:tr>
      <w:tr>
        <w:trPr>
          <w:trHeight w:hRule="exact" w:val="50"/>
        </w:trPr>
        <w:tc>
          <w:tcPr>
            <w:tcW w:type="dxa" w:w="63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218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Financial Statements are an integral part of these Statements.</w:t>
      </w:r>
    </w:p>
    <w:p>
      <w:pPr>
        <w:autoSpaceDN w:val="0"/>
        <w:tabs>
          <w:tab w:pos="9138" w:val="left"/>
        </w:tabs>
        <w:autoSpaceDE w:val="0"/>
        <w:widowControl/>
        <w:spacing w:line="224" w:lineRule="exact" w:before="902" w:after="0"/>
        <w:ind w:left="48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75</w:t>
      </w:r>
    </w:p>
    <w:p>
      <w:pPr>
        <w:sectPr>
          <w:pgSz w:w="12240" w:h="15840"/>
          <w:pgMar w:top="912" w:right="138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72" w:lineRule="exact" w:before="84" w:after="0"/>
        <w:ind w:left="0" w:right="2592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STATEMENTS OF INCOME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>For the fiscal years ended June 30, 2025, June 30, 2024 and June 30, 2023</w:t>
      </w:r>
    </w:p>
    <w:p>
      <w:pPr>
        <w:autoSpaceDN w:val="0"/>
        <w:autoSpaceDE w:val="0"/>
        <w:widowControl/>
        <w:spacing w:line="224" w:lineRule="exact" w:before="136" w:after="38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90.0" w:type="dxa"/>
      </w:tblPr>
      <w:tblGrid>
        <w:gridCol w:w="3139"/>
        <w:gridCol w:w="3139"/>
        <w:gridCol w:w="3139"/>
      </w:tblGrid>
      <w:tr>
        <w:trPr>
          <w:trHeight w:hRule="exact" w:val="270"/>
        </w:trPr>
        <w:tc>
          <w:tcPr>
            <w:tcW w:type="dxa" w:w="1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2025</w:t>
            </w:r>
          </w:p>
        </w:tc>
        <w:tc>
          <w:tcPr>
            <w:tcW w:type="dxa" w:w="1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1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200" w:lineRule="exact" w:before="24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48"/>
        </w:trPr>
        <w:tc>
          <w:tcPr>
            <w:tcW w:type="dxa" w:w="5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Loans, net—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D</w:t>
            </w:r>
          </w:p>
        </w:tc>
        <w:tc>
          <w:tcPr>
            <w:tcW w:type="dxa" w:w="3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2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3,021 $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2,639 $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2,256 </w:t>
            </w:r>
          </w:p>
        </w:tc>
      </w:tr>
      <w:tr>
        <w:trPr>
          <w:trHeight w:hRule="exact" w:val="260"/>
        </w:trPr>
        <w:tc>
          <w:tcPr>
            <w:tcW w:type="dxa" w:w="5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Investments, net—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F and H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1,559 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1,317 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1,053 </w:t>
            </w:r>
          </w:p>
        </w:tc>
      </w:tr>
      <w:tr>
        <w:trPr>
          <w:trHeight w:hRule="exact" w:val="380"/>
        </w:trPr>
        <w:tc>
          <w:tcPr>
            <w:tcW w:type="dxa" w:w="5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Asset-liability management derivatives, net—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F and J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58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 </w:t>
            </w:r>
          </w:p>
        </w:tc>
      </w:tr>
      <w:tr>
        <w:trPr>
          <w:trHeight w:hRule="exact" w:val="644"/>
        </w:trPr>
        <w:tc>
          <w:tcPr>
            <w:tcW w:type="dxa" w:w="59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Borrowing expenses, net—Note E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(2,292) </w:t>
            </w:r>
          </w:p>
        </w:tc>
        <w:tc>
          <w:tcPr>
            <w:tcW w:type="dxa" w:w="1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(1,616) </w:t>
            </w:r>
          </w:p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(957) </w:t>
            </w:r>
          </w:p>
        </w:tc>
      </w:tr>
      <w:tr>
        <w:trPr>
          <w:trHeight w:hRule="exact" w:val="256"/>
        </w:trPr>
        <w:tc>
          <w:tcPr>
            <w:tcW w:type="dxa" w:w="59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Interest revenue, net of borrowing expenses</w:t>
            </w:r>
          </w:p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2,366 </w:t>
            </w:r>
          </w:p>
        </w:tc>
        <w:tc>
          <w:tcPr>
            <w:tcW w:type="dxa" w:w="11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2,398 </w:t>
            </w:r>
          </w:p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2,367 </w:t>
            </w:r>
          </w:p>
        </w:tc>
      </w:tr>
      <w:tr>
        <w:trPr>
          <w:trHeight w:hRule="exact" w:val="540"/>
        </w:trPr>
        <w:tc>
          <w:tcPr>
            <w:tcW w:type="dxa" w:w="59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Provision for losses on loans and other exposures—Note D</w:t>
            </w:r>
          </w:p>
        </w:tc>
        <w:tc>
          <w:tcPr>
            <w:tcW w:type="dxa" w:w="3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(358) </w:t>
            </w:r>
          </w:p>
        </w:tc>
        <w:tc>
          <w:tcPr>
            <w:tcW w:type="dxa" w:w="1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(275) </w:t>
            </w:r>
          </w:p>
        </w:tc>
        <w:tc>
          <w:tcPr>
            <w:tcW w:type="dxa" w:w="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(688) </w:t>
            </w:r>
          </w:p>
        </w:tc>
      </w:tr>
    </w:tbl>
    <w:p>
      <w:pPr>
        <w:autoSpaceDN w:val="0"/>
        <w:autoSpaceDE w:val="0"/>
        <w:widowControl/>
        <w:spacing w:line="202" w:lineRule="exact" w:before="248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Non-interest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54"/>
        <w:gridCol w:w="2354"/>
        <w:gridCol w:w="2354"/>
        <w:gridCol w:w="2354"/>
      </w:tblGrid>
      <w:tr>
        <w:trPr>
          <w:trHeight w:hRule="exact" w:val="242"/>
        </w:trPr>
        <w:tc>
          <w:tcPr>
            <w:tcW w:type="dxa" w:w="5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Revenue from externally funded activities—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H and K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1,098 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1,031 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966 </w:t>
            </w:r>
          </w:p>
        </w:tc>
      </w:tr>
      <w:tr>
        <w:trPr>
          <w:trHeight w:hRule="exact" w:val="260"/>
        </w:trPr>
        <w:tc>
          <w:tcPr>
            <w:tcW w:type="dxa" w:w="5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Commitment charges—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D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 </w:t>
            </w:r>
          </w:p>
        </w:tc>
      </w:tr>
      <w:tr>
        <w:trPr>
          <w:trHeight w:hRule="exact" w:val="264"/>
        </w:trPr>
        <w:tc>
          <w:tcPr>
            <w:tcW w:type="dxa" w:w="5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</w:t>
            </w:r>
          </w:p>
        </w:tc>
        <w:tc>
          <w:tcPr>
            <w:tcW w:type="dxa" w:w="110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36 </w:t>
            </w:r>
          </w:p>
        </w:tc>
        <w:tc>
          <w:tcPr>
            <w:tcW w:type="dxa" w:w="114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114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31 </w:t>
            </w:r>
          </w:p>
        </w:tc>
      </w:tr>
      <w:tr>
        <w:trPr>
          <w:trHeight w:hRule="exact" w:val="256"/>
        </w:trPr>
        <w:tc>
          <w:tcPr>
            <w:tcW w:type="dxa" w:w="5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1,157 </w:t>
            </w:r>
          </w:p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1,082 </w:t>
            </w:r>
          </w:p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1,024 </w:t>
            </w:r>
          </w:p>
        </w:tc>
      </w:tr>
    </w:tbl>
    <w:p>
      <w:pPr>
        <w:autoSpaceDN w:val="0"/>
        <w:autoSpaceDE w:val="0"/>
        <w:widowControl/>
        <w:spacing w:line="202" w:lineRule="exact" w:before="338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Non-interest expenses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4"/>
        <w:gridCol w:w="2354"/>
        <w:gridCol w:w="2354"/>
        <w:gridCol w:w="2354"/>
      </w:tblGrid>
      <w:tr>
        <w:trPr>
          <w:trHeight w:hRule="exact" w:val="252"/>
        </w:trPr>
        <w:tc>
          <w:tcPr>
            <w:tcW w:type="dxa" w:w="5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Administrative—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H and K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(2,737) 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(2,435) </w:t>
            </w:r>
          </w:p>
        </w:tc>
        <w:tc>
          <w:tcPr>
            <w:tcW w:type="dxa" w:w="11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(2,410) </w:t>
            </w:r>
          </w:p>
        </w:tc>
      </w:tr>
      <w:tr>
        <w:trPr>
          <w:trHeight w:hRule="exact" w:val="240"/>
        </w:trPr>
        <w:tc>
          <w:tcPr>
            <w:tcW w:type="dxa" w:w="5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Contribution to special programs—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H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(20) 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(20) </w:t>
            </w:r>
          </w:p>
        </w:tc>
        <w:tc>
          <w:tcPr>
            <w:tcW w:type="dxa" w:w="11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(20) </w:t>
            </w:r>
          </w:p>
        </w:tc>
      </w:tr>
      <w:tr>
        <w:trPr>
          <w:trHeight w:hRule="exact" w:val="274"/>
        </w:trPr>
        <w:tc>
          <w:tcPr>
            <w:tcW w:type="dxa" w:w="59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</w:t>
            </w:r>
          </w:p>
        </w:tc>
        <w:tc>
          <w:tcPr>
            <w:tcW w:type="dxa" w:w="1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4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(23) </w:t>
            </w:r>
          </w:p>
        </w:tc>
        <w:tc>
          <w:tcPr>
            <w:tcW w:type="dxa" w:w="113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(3) </w:t>
            </w:r>
          </w:p>
        </w:tc>
      </w:tr>
      <w:tr>
        <w:trPr>
          <w:trHeight w:hRule="exact" w:val="256"/>
        </w:trPr>
        <w:tc>
          <w:tcPr>
            <w:tcW w:type="dxa" w:w="59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(2,757) </w:t>
            </w:r>
          </w:p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(2,478) </w:t>
            </w:r>
          </w:p>
        </w:tc>
        <w:tc>
          <w:tcPr>
            <w:tcW w:type="dxa" w:w="11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(2,433) </w:t>
            </w:r>
          </w:p>
        </w:tc>
      </w:tr>
      <w:tr>
        <w:trPr>
          <w:trHeight w:hRule="exact" w:val="630"/>
        </w:trPr>
        <w:tc>
          <w:tcPr>
            <w:tcW w:type="dxa" w:w="59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Transfers from affiliated organizations—Note H</w:t>
            </w:r>
          </w:p>
        </w:tc>
        <w:tc>
          <w:tcPr>
            <w:tcW w:type="dxa" w:w="1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515 </w:t>
            </w:r>
          </w:p>
        </w:tc>
        <w:tc>
          <w:tcPr>
            <w:tcW w:type="dxa" w:w="1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291 </w:t>
            </w:r>
          </w:p>
        </w:tc>
        <w:tc>
          <w:tcPr>
            <w:tcW w:type="dxa" w:w="11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117 </w:t>
            </w:r>
          </w:p>
        </w:tc>
      </w:tr>
      <w:tr>
        <w:trPr>
          <w:trHeight w:hRule="exact" w:val="500"/>
        </w:trPr>
        <w:tc>
          <w:tcPr>
            <w:tcW w:type="dxa" w:w="5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Development grants—Note G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(7,200)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(5,291) </w:t>
            </w:r>
          </w:p>
        </w:tc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(3,946) </w:t>
            </w:r>
          </w:p>
        </w:tc>
      </w:tr>
      <w:tr>
        <w:trPr>
          <w:trHeight w:hRule="exact" w:val="540"/>
        </w:trPr>
        <w:tc>
          <w:tcPr>
            <w:tcW w:type="dxa" w:w="5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Currency remeasurement (losses) gains, net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(57)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(21) </w:t>
            </w:r>
          </w:p>
        </w:tc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192 </w:t>
            </w:r>
          </w:p>
        </w:tc>
      </w:tr>
      <w:tr>
        <w:trPr>
          <w:trHeight w:hRule="exact" w:val="640"/>
        </w:trPr>
        <w:tc>
          <w:tcPr>
            <w:tcW w:type="dxa" w:w="5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" w:val="left"/>
              </w:tabs>
              <w:autoSpaceDE w:val="0"/>
              <w:widowControl/>
              <w:spacing w:line="180" w:lineRule="exact" w:before="220" w:after="0"/>
              <w:ind w:left="32" w:right="144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 xml:space="preserve">Unrealized mark-to-market gains (losses) on Investments-Trading </w:t>
            </w: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portfolio, net—Notes F and J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7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340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7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316 </w:t>
            </w:r>
          </w:p>
        </w:tc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7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(29) </w:t>
            </w:r>
          </w:p>
        </w:tc>
      </w:tr>
    </w:tbl>
    <w:p>
      <w:pPr>
        <w:autoSpaceDN w:val="0"/>
        <w:tabs>
          <w:tab w:pos="130" w:val="left"/>
        </w:tabs>
        <w:autoSpaceDE w:val="0"/>
        <w:widowControl/>
        <w:spacing w:line="180" w:lineRule="exact" w:before="270" w:after="28"/>
        <w:ind w:left="40" w:right="3456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Unrealized mark-to-market gains (losses) on non-trading portfolios, </w:t>
      </w:r>
      <w:r>
        <w:rPr>
          <w:rFonts w:ascii="Arial" w:hAnsi="Arial" w:eastAsia="Arial"/>
          <w:b/>
          <w:i/>
          <w:color w:val="000000"/>
          <w:sz w:val="18"/>
        </w:rPr>
        <w:t>net—Notes F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42"/>
        </w:trPr>
        <w:tc>
          <w:tcPr>
            <w:tcW w:type="dxa" w:w="5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Asset-liability management derivatives</w:t>
            </w:r>
          </w:p>
        </w:tc>
        <w:tc>
          <w:tcPr>
            <w:tcW w:type="dxa" w:w="3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484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393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143 </w:t>
            </w:r>
          </w:p>
        </w:tc>
      </w:tr>
      <w:tr>
        <w:trPr>
          <w:trHeight w:hRule="exact" w:val="270"/>
        </w:trPr>
        <w:tc>
          <w:tcPr>
            <w:tcW w:type="dxa" w:w="59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 non-trading portfolios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(14) </w:t>
            </w:r>
          </w:p>
        </w:tc>
        <w:tc>
          <w:tcPr>
            <w:tcW w:type="dxa" w:w="1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(9) </w:t>
            </w:r>
          </w:p>
        </w:tc>
      </w:tr>
      <w:tr>
        <w:trPr>
          <w:trHeight w:hRule="exact" w:val="254"/>
        </w:trPr>
        <w:tc>
          <w:tcPr>
            <w:tcW w:type="dxa" w:w="59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470 </w:t>
            </w:r>
          </w:p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405 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134 </w:t>
            </w:r>
          </w:p>
        </w:tc>
      </w:tr>
      <w:tr>
        <w:trPr>
          <w:trHeight w:hRule="exact" w:val="236"/>
        </w:trPr>
        <w:tc>
          <w:tcPr>
            <w:tcW w:type="dxa" w:w="59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Net loss</w:t>
            </w:r>
          </w:p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(5,524) $ </w:t>
            </w:r>
          </w:p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(3,573) $ 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(3,262) </w:t>
            </w:r>
          </w:p>
        </w:tc>
      </w:tr>
      <w:tr>
        <w:trPr>
          <w:trHeight w:hRule="exact" w:val="50"/>
        </w:trPr>
        <w:tc>
          <w:tcPr>
            <w:tcW w:type="dxa" w:w="59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758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Financial Statements are an integral part of these Statements.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192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512" w:right="138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72" w:lineRule="exact" w:before="84" w:after="0"/>
        <w:ind w:left="0" w:right="2448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STATEMENTS OF COMPREHENSIVE INCOME </w:t>
      </w:r>
      <w:r>
        <w:rPr>
          <w:rFonts w:ascii="Arial" w:hAnsi="Arial" w:eastAsia="Arial"/>
          <w:b w:val="0"/>
          <w:i/>
          <w:color w:val="000000"/>
          <w:sz w:val="20"/>
        </w:rPr>
        <w:t>For the fiscal years ended June 30, 2025, June 30, 2024 and June 30, 2023</w:t>
      </w:r>
    </w:p>
    <w:p>
      <w:pPr>
        <w:autoSpaceDN w:val="0"/>
        <w:autoSpaceDE w:val="0"/>
        <w:widowControl/>
        <w:spacing w:line="224" w:lineRule="exact" w:before="136" w:after="38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270"/>
        </w:trPr>
        <w:tc>
          <w:tcPr>
            <w:tcW w:type="dxa" w:w="50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1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2025</w:t>
            </w:r>
          </w:p>
        </w:tc>
        <w:tc>
          <w:tcPr>
            <w:tcW w:type="dxa" w:w="3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3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</w:tr>
      <w:tr>
        <w:trPr>
          <w:trHeight w:hRule="exact" w:val="566"/>
        </w:trPr>
        <w:tc>
          <w:tcPr>
            <w:tcW w:type="dxa" w:w="50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Net loss</w:t>
            </w:r>
          </w:p>
        </w:tc>
        <w:tc>
          <w:tcPr>
            <w:tcW w:type="dxa" w:w="3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8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(5,524) </w:t>
            </w:r>
          </w:p>
        </w:tc>
        <w:tc>
          <w:tcPr>
            <w:tcW w:type="dxa" w:w="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0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8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(3,573) </w:t>
            </w:r>
          </w:p>
        </w:tc>
        <w:tc>
          <w:tcPr>
            <w:tcW w:type="dxa" w:w="3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8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(3,262) </w:t>
            </w:r>
          </w:p>
        </w:tc>
      </w:tr>
    </w:tbl>
    <w:p>
      <w:pPr>
        <w:autoSpaceDN w:val="0"/>
        <w:autoSpaceDE w:val="0"/>
        <w:widowControl/>
        <w:spacing w:line="200" w:lineRule="exact" w:before="28" w:after="28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Other comprehensive income (loss)—</w:t>
      </w:r>
      <w:r>
        <w:rPr>
          <w:rFonts w:ascii="Arial" w:hAnsi="Arial" w:eastAsia="Arial"/>
          <w:b/>
          <w:i/>
          <w:color w:val="000000"/>
          <w:sz w:val="18"/>
        </w:rPr>
        <w:t>Note 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45"/>
        <w:gridCol w:w="2345"/>
        <w:gridCol w:w="2345"/>
        <w:gridCol w:w="2345"/>
      </w:tblGrid>
      <w:tr>
        <w:trPr>
          <w:trHeight w:hRule="exact" w:val="260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Currency translation adjustments on functional currencies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3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7,447 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(1,652) 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224 </w:t>
            </w:r>
          </w:p>
        </w:tc>
      </w:tr>
    </w:tbl>
    <w:p>
      <w:pPr>
        <w:autoSpaceDN w:val="0"/>
        <w:autoSpaceDE w:val="0"/>
        <w:widowControl/>
        <w:spacing w:line="202" w:lineRule="exact" w:before="30" w:after="8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Net Change in Debit Valuation Adjustment (DVA) on Fair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238"/>
        </w:trPr>
        <w:tc>
          <w:tcPr>
            <w:tcW w:type="dxa" w:w="4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Value option elected liabilities</w:t>
            </w:r>
          </w:p>
        </w:tc>
        <w:tc>
          <w:tcPr>
            <w:tcW w:type="dxa" w:w="282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162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8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(18) </w:t>
            </w:r>
          </w:p>
        </w:tc>
      </w:tr>
      <w:tr>
        <w:trPr>
          <w:trHeight w:hRule="exact" w:val="240"/>
        </w:trPr>
        <w:tc>
          <w:tcPr>
            <w:tcW w:type="dxa" w:w="4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 other comprehensive income (loss)</w:t>
            </w:r>
          </w:p>
        </w:tc>
        <w:tc>
          <w:tcPr>
            <w:tcW w:type="dxa" w:w="282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5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7,480 </w:t>
            </w:r>
          </w:p>
        </w:tc>
        <w:tc>
          <w:tcPr>
            <w:tcW w:type="dxa" w:w="1620"/>
            <w:gridSpan w:val="2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(1,646) 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206 </w:t>
            </w:r>
          </w:p>
        </w:tc>
      </w:tr>
      <w:tr>
        <w:trPr>
          <w:trHeight w:hRule="exact" w:val="234"/>
        </w:trPr>
        <w:tc>
          <w:tcPr>
            <w:tcW w:type="dxa" w:w="4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comprehensive income (loss)</w:t>
            </w:r>
          </w:p>
        </w:tc>
        <w:tc>
          <w:tcPr>
            <w:tcW w:type="dxa" w:w="1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1,956 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(5,219) 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(3,056) </w:t>
            </w:r>
          </w:p>
        </w:tc>
      </w:tr>
      <w:tr>
        <w:trPr>
          <w:trHeight w:hRule="exact" w:val="10746"/>
        </w:trPr>
        <w:tc>
          <w:tcPr>
            <w:tcW w:type="dxa" w:w="4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0"/>
            <w:gridSpan w:val="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532" w:after="0"/>
              <w:ind w:left="6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IDA Financial Statements: June 30, 2025 </w:t>
            </w:r>
          </w:p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5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2" w:right="142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72" w:lineRule="exact" w:before="84" w:after="0"/>
        <w:ind w:left="10" w:right="2592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STATEMENTS OF CHANGES IN EQUITY </w:t>
      </w:r>
      <w:r>
        <w:rPr>
          <w:rFonts w:ascii="Arial" w:hAnsi="Arial" w:eastAsia="Arial"/>
          <w:b w:val="0"/>
          <w:i/>
          <w:color w:val="000000"/>
          <w:sz w:val="20"/>
        </w:rPr>
        <w:t>For the fiscal years ended June 30, 2025, June 30, 2024 and June 30, 2023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Expressed in millions of U.S. dollars</w:t>
      </w:r>
    </w:p>
    <w:p>
      <w:pPr>
        <w:autoSpaceDN w:val="0"/>
        <w:autoSpaceDE w:val="0"/>
        <w:widowControl/>
        <w:spacing w:line="202" w:lineRule="exact" w:before="94" w:after="8"/>
        <w:ind w:left="0" w:right="4714" w:firstLine="0"/>
        <w:jc w:val="right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Nonnegotiable,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</w:tblGrid>
      <w:tr>
        <w:trPr>
          <w:trHeight w:hRule="exact" w:val="204"/>
        </w:trPr>
        <w:tc>
          <w:tcPr>
            <w:tcW w:type="dxa" w:w="19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6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28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noninterest-</w:t>
            </w:r>
          </w:p>
        </w:tc>
        <w:tc>
          <w:tcPr>
            <w:tcW w:type="dxa" w:w="349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Deferred </w:t>
            </w:r>
          </w:p>
        </w:tc>
        <w:tc>
          <w:tcPr>
            <w:tcW w:type="dxa" w:w="10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0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Total equity</w:t>
            </w:r>
          </w:p>
        </w:tc>
      </w:tr>
      <w:tr>
        <w:trPr>
          <w:trHeight w:hRule="exact" w:val="220"/>
        </w:trPr>
        <w:tc>
          <w:tcPr>
            <w:tcW w:type="dxa" w:w="721"/>
            <w:vMerge/>
            <w:tcBorders>
              <w:bottom w:sz="8.0" w:val="single" w:color="#000000"/>
            </w:tcBorders>
          </w:tcPr>
          <w:p/>
        </w:tc>
        <w:tc>
          <w:tcPr>
            <w:tcW w:type="dxa" w:w="276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0" w:right="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bearing demand </w:t>
            </w:r>
          </w:p>
        </w:tc>
        <w:tc>
          <w:tcPr>
            <w:tcW w:type="dxa" w:w="349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amounts </w:t>
            </w:r>
          </w:p>
        </w:tc>
        <w:tc>
          <w:tcPr>
            <w:tcW w:type="dxa" w:w="721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721"/>
            <w:vMerge/>
            <w:tcBorders>
              <w:bottom w:sz="8.0" w:val="single" w:color="#000000"/>
            </w:tcBorders>
          </w:tcPr>
          <w:p/>
        </w:tc>
        <w:tc>
          <w:tcPr>
            <w:tcW w:type="dxa" w:w="276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15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obligations on </w:t>
            </w:r>
          </w:p>
        </w:tc>
        <w:tc>
          <w:tcPr>
            <w:tcW w:type="dxa" w:w="349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to </w:t>
            </w:r>
          </w:p>
        </w:tc>
        <w:tc>
          <w:tcPr>
            <w:tcW w:type="dxa" w:w="721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721"/>
            <w:vMerge/>
            <w:tcBorders>
              <w:bottom w:sz="8.0" w:val="single" w:color="#000000"/>
            </w:tcBorders>
          </w:tcPr>
          <w:p/>
        </w:tc>
        <w:tc>
          <w:tcPr>
            <w:tcW w:type="dxa" w:w="1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Subscriptions </w:t>
            </w:r>
          </w:p>
        </w:tc>
        <w:tc>
          <w:tcPr>
            <w:tcW w:type="dxa" w:w="15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29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account of </w:t>
            </w:r>
          </w:p>
        </w:tc>
        <w:tc>
          <w:tcPr>
            <w:tcW w:type="dxa" w:w="15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maintain 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1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Accumulated </w:t>
            </w:r>
          </w:p>
        </w:tc>
        <w:tc>
          <w:tcPr>
            <w:tcW w:type="dxa" w:w="721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721"/>
            <w:vMerge/>
            <w:tcBorders>
              <w:bottom w:sz="8.0" w:val="single" w:color="#000000"/>
            </w:tcBorders>
          </w:tcPr>
          <w:p/>
        </w:tc>
        <w:tc>
          <w:tcPr>
            <w:tcW w:type="dxa" w:w="1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0" w:right="37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and </w:t>
            </w:r>
          </w:p>
        </w:tc>
        <w:tc>
          <w:tcPr>
            <w:tcW w:type="dxa" w:w="15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0" w:right="3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members' 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value of </w:t>
            </w:r>
          </w:p>
        </w:tc>
        <w:tc>
          <w:tcPr>
            <w:tcW w:type="dxa" w:w="266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0" w:right="42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other </w:t>
            </w:r>
          </w:p>
        </w:tc>
        <w:tc>
          <w:tcPr>
            <w:tcW w:type="dxa" w:w="721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721"/>
            <w:vMerge/>
            <w:tcBorders>
              <w:bottom w:sz="8.0" w:val="single" w:color="#000000"/>
            </w:tcBorders>
          </w:tcPr>
          <w:p/>
        </w:tc>
        <w:tc>
          <w:tcPr>
            <w:tcW w:type="dxa" w:w="1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9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contributions </w:t>
            </w:r>
          </w:p>
        </w:tc>
        <w:tc>
          <w:tcPr>
            <w:tcW w:type="dxa" w:w="15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30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subscriptions </w:t>
            </w:r>
          </w:p>
        </w:tc>
        <w:tc>
          <w:tcPr>
            <w:tcW w:type="dxa" w:w="9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currency </w:t>
            </w:r>
          </w:p>
        </w:tc>
        <w:tc>
          <w:tcPr>
            <w:tcW w:type="dxa" w:w="1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Accumulated </w:t>
            </w:r>
          </w:p>
        </w:tc>
        <w:tc>
          <w:tcPr>
            <w:tcW w:type="dxa" w:w="13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comprehensive </w:t>
            </w:r>
          </w:p>
        </w:tc>
        <w:tc>
          <w:tcPr>
            <w:tcW w:type="dxa" w:w="721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50"/>
        </w:trPr>
        <w:tc>
          <w:tcPr>
            <w:tcW w:type="dxa" w:w="721"/>
            <w:vMerge/>
            <w:tcBorders>
              <w:bottom w:sz="8.0" w:val="single" w:color="#000000"/>
            </w:tcBorders>
          </w:tcPr>
          <w:p/>
        </w:tc>
        <w:tc>
          <w:tcPr>
            <w:tcW w:type="dxa" w:w="117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paid-in</w:t>
            </w:r>
          </w:p>
        </w:tc>
        <w:tc>
          <w:tcPr>
            <w:tcW w:type="dxa" w:w="159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and contributions</w:t>
            </w:r>
          </w:p>
        </w:tc>
        <w:tc>
          <w:tcPr>
            <w:tcW w:type="dxa" w:w="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holdings</w:t>
            </w:r>
          </w:p>
        </w:tc>
        <w:tc>
          <w:tcPr>
            <w:tcW w:type="dxa" w:w="1800"/>
            <w:gridSpan w:val="5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4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deficit</w:t>
            </w:r>
          </w:p>
        </w:tc>
        <w:tc>
          <w:tcPr>
            <w:tcW w:type="dxa" w:w="8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loss</w:t>
            </w:r>
          </w:p>
        </w:tc>
        <w:tc>
          <w:tcPr>
            <w:tcW w:type="dxa" w:w="721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50"/>
        </w:trPr>
        <w:tc>
          <w:tcPr>
            <w:tcW w:type="dxa" w:w="19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As of June 30, 2022</w:t>
            </w:r>
          </w:p>
        </w:tc>
        <w:tc>
          <w:tcPr>
            <w:tcW w:type="dxa" w:w="2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42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257,777   $ </w:t>
            </w:r>
          </w:p>
        </w:tc>
        <w:tc>
          <w:tcPr>
            <w:tcW w:type="dxa" w:w="106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2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(10,167) </w:t>
            </w:r>
          </w:p>
        </w:tc>
        <w:tc>
          <w:tcPr>
            <w:tcW w:type="dxa" w:w="1222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(246)  $ </w:t>
            </w:r>
          </w:p>
        </w:tc>
        <w:tc>
          <w:tcPr>
            <w:tcW w:type="dxa" w:w="1408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(59,544)  $ </w:t>
            </w:r>
          </w:p>
        </w:tc>
        <w:tc>
          <w:tcPr>
            <w:tcW w:type="dxa" w:w="8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(9,152) </w:t>
            </w:r>
          </w:p>
        </w:tc>
        <w:tc>
          <w:tcPr>
            <w:tcW w:type="dxa" w:w="10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$ 178,668 </w:t>
            </w:r>
          </w:p>
        </w:tc>
      </w:tr>
      <w:tr>
        <w:trPr>
          <w:trHeight w:hRule="exact" w:val="262"/>
        </w:trPr>
        <w:tc>
          <w:tcPr>
            <w:tcW w:type="dxa" w:w="19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loss</w:t>
            </w:r>
          </w:p>
        </w:tc>
        <w:tc>
          <w:tcPr>
            <w:tcW w:type="dxa" w:w="1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5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8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(3,262) 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(3,262) </w:t>
            </w:r>
          </w:p>
        </w:tc>
      </w:tr>
    </w:tbl>
    <w:p>
      <w:pPr>
        <w:autoSpaceDN w:val="0"/>
        <w:autoSpaceDE w:val="0"/>
        <w:widowControl/>
        <w:spacing w:line="202" w:lineRule="exact" w:before="30" w:after="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Other comprehensive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24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income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6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3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4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3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206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206 </w:t>
            </w:r>
          </w:p>
        </w:tc>
      </w:tr>
    </w:tbl>
    <w:p>
      <w:pPr>
        <w:autoSpaceDN w:val="0"/>
        <w:autoSpaceDE w:val="0"/>
        <w:widowControl/>
        <w:spacing w:line="216" w:lineRule="exact" w:before="20" w:after="8"/>
        <w:ind w:left="0" w:right="7344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Cash contributions 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demand obligations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24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received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6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13,606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13,606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216" w:lineRule="exact" w:before="22" w:after="6"/>
        <w:ind w:left="62" w:right="73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Demand obligations,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(received) encashed,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24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3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(3,435)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(3,435)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216" w:lineRule="exact" w:before="20" w:after="8"/>
        <w:ind w:left="62" w:right="77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Currency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remeasurement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238"/>
        </w:trPr>
        <w:tc>
          <w:tcPr>
            <w:tcW w:type="dxa" w:w="19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changes, net</w:t>
            </w:r>
          </w:p>
        </w:tc>
        <w:tc>
          <w:tcPr>
            <w:tcW w:type="dxa" w:w="12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(125) </w:t>
            </w:r>
          </w:p>
        </w:tc>
        <w:tc>
          <w:tcPr>
            <w:tcW w:type="dxa" w:w="1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125 </w:t>
            </w:r>
          </w:p>
        </w:tc>
        <w:tc>
          <w:tcPr>
            <w:tcW w:type="dxa" w:w="8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(1) </w:t>
            </w:r>
          </w:p>
        </w:tc>
        <w:tc>
          <w:tcPr>
            <w:tcW w:type="dxa" w:w="12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3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0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(1) </w:t>
            </w:r>
          </w:p>
        </w:tc>
      </w:tr>
      <w:tr>
        <w:trPr>
          <w:trHeight w:hRule="exact" w:val="246"/>
        </w:trPr>
        <w:tc>
          <w:tcPr>
            <w:tcW w:type="dxa" w:w="19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As of June 30, 2023</w:t>
            </w:r>
          </w:p>
        </w:tc>
        <w:tc>
          <w:tcPr>
            <w:tcW w:type="dxa" w:w="12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271,258 </w:t>
            </w:r>
          </w:p>
        </w:tc>
        <w:tc>
          <w:tcPr>
            <w:tcW w:type="dxa" w:w="15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(13,477) </w:t>
            </w:r>
          </w:p>
        </w:tc>
        <w:tc>
          <w:tcPr>
            <w:tcW w:type="dxa" w:w="8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(247) </w:t>
            </w:r>
          </w:p>
        </w:tc>
        <w:tc>
          <w:tcPr>
            <w:tcW w:type="dxa" w:w="12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(62,806) </w:t>
            </w:r>
          </w:p>
        </w:tc>
        <w:tc>
          <w:tcPr>
            <w:tcW w:type="dxa" w:w="139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(8,946) </w:t>
            </w:r>
          </w:p>
        </w:tc>
        <w:tc>
          <w:tcPr>
            <w:tcW w:type="dxa" w:w="10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185,782 </w:t>
            </w:r>
          </w:p>
        </w:tc>
      </w:tr>
      <w:tr>
        <w:trPr>
          <w:trHeight w:hRule="exact" w:val="266"/>
        </w:trPr>
        <w:tc>
          <w:tcPr>
            <w:tcW w:type="dxa" w:w="19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loss</w:t>
            </w:r>
          </w:p>
        </w:tc>
        <w:tc>
          <w:tcPr>
            <w:tcW w:type="dxa" w:w="1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(3,573) 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(3,573) </w:t>
            </w:r>
          </w:p>
        </w:tc>
      </w:tr>
    </w:tbl>
    <w:p>
      <w:pPr>
        <w:autoSpaceDN w:val="0"/>
        <w:autoSpaceDE w:val="0"/>
        <w:widowControl/>
        <w:spacing w:line="200" w:lineRule="exact" w:before="32" w:after="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Other comprehensive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24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loss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6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(1,646)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(1,646) </w:t>
            </w:r>
          </w:p>
        </w:tc>
      </w:tr>
    </w:tbl>
    <w:p>
      <w:pPr>
        <w:autoSpaceDN w:val="0"/>
        <w:tabs>
          <w:tab w:pos="152" w:val="left"/>
        </w:tabs>
        <w:autoSpaceDE w:val="0"/>
        <w:widowControl/>
        <w:spacing w:line="216" w:lineRule="exact" w:before="22" w:after="6"/>
        <w:ind w:left="62" w:right="73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Cash contributions 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demand obligations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246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received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6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8,896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3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8,896 </w:t>
            </w:r>
          </w:p>
        </w:tc>
      </w:tr>
    </w:tbl>
    <w:p>
      <w:pPr>
        <w:autoSpaceDN w:val="0"/>
        <w:tabs>
          <w:tab w:pos="152" w:val="left"/>
        </w:tabs>
        <w:autoSpaceDE w:val="0"/>
        <w:widowControl/>
        <w:spacing w:line="216" w:lineRule="exact" w:before="20" w:after="8"/>
        <w:ind w:left="62" w:right="73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Demand obligations,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(received) encashed,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24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843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843 </w:t>
            </w:r>
          </w:p>
        </w:tc>
      </w:tr>
    </w:tbl>
    <w:p>
      <w:pPr>
        <w:autoSpaceDN w:val="0"/>
        <w:tabs>
          <w:tab w:pos="152" w:val="left"/>
        </w:tabs>
        <w:autoSpaceDE w:val="0"/>
        <w:widowControl/>
        <w:spacing w:line="216" w:lineRule="exact" w:before="22" w:after="6"/>
        <w:ind w:left="62" w:right="77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Currency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remeasurement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240"/>
        </w:trPr>
        <w:tc>
          <w:tcPr>
            <w:tcW w:type="dxa" w:w="19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changes, net</w:t>
            </w:r>
          </w:p>
        </w:tc>
        <w:tc>
          <w:tcPr>
            <w:tcW w:type="dxa" w:w="12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(81) </w:t>
            </w:r>
          </w:p>
        </w:tc>
        <w:tc>
          <w:tcPr>
            <w:tcW w:type="dxa" w:w="1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81 </w:t>
            </w:r>
          </w:p>
        </w:tc>
        <w:tc>
          <w:tcPr>
            <w:tcW w:type="dxa" w:w="8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(1) </w:t>
            </w:r>
          </w:p>
        </w:tc>
        <w:tc>
          <w:tcPr>
            <w:tcW w:type="dxa" w:w="12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3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0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(1) </w:t>
            </w:r>
          </w:p>
        </w:tc>
      </w:tr>
      <w:tr>
        <w:trPr>
          <w:trHeight w:hRule="exact" w:val="240"/>
        </w:trPr>
        <w:tc>
          <w:tcPr>
            <w:tcW w:type="dxa" w:w="19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As of June 30, 2024</w:t>
            </w:r>
          </w:p>
        </w:tc>
        <w:tc>
          <w:tcPr>
            <w:tcW w:type="dxa" w:w="12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280,073 </w:t>
            </w:r>
          </w:p>
        </w:tc>
        <w:tc>
          <w:tcPr>
            <w:tcW w:type="dxa" w:w="15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(12,553) </w:t>
            </w:r>
          </w:p>
        </w:tc>
        <w:tc>
          <w:tcPr>
            <w:tcW w:type="dxa" w:w="8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(248) </w:t>
            </w:r>
          </w:p>
        </w:tc>
        <w:tc>
          <w:tcPr>
            <w:tcW w:type="dxa" w:w="12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(66,379) </w:t>
            </w:r>
          </w:p>
        </w:tc>
        <w:tc>
          <w:tcPr>
            <w:tcW w:type="dxa" w:w="139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(10,592) </w:t>
            </w:r>
          </w:p>
        </w:tc>
        <w:tc>
          <w:tcPr>
            <w:tcW w:type="dxa" w:w="10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190,301 </w:t>
            </w:r>
          </w:p>
        </w:tc>
      </w:tr>
      <w:tr>
        <w:trPr>
          <w:trHeight w:hRule="exact" w:val="270"/>
        </w:trPr>
        <w:tc>
          <w:tcPr>
            <w:tcW w:type="dxa" w:w="19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loss</w:t>
            </w:r>
          </w:p>
        </w:tc>
        <w:tc>
          <w:tcPr>
            <w:tcW w:type="dxa" w:w="1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(5,524) 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(5,524) </w:t>
            </w:r>
          </w:p>
        </w:tc>
      </w:tr>
    </w:tbl>
    <w:p>
      <w:pPr>
        <w:autoSpaceDN w:val="0"/>
        <w:autoSpaceDE w:val="0"/>
        <w:widowControl/>
        <w:spacing w:line="202" w:lineRule="exact" w:before="3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Other comprehensive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246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income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6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3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7,480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7,480 </w:t>
            </w:r>
          </w:p>
        </w:tc>
      </w:tr>
    </w:tbl>
    <w:p>
      <w:pPr>
        <w:autoSpaceDN w:val="0"/>
        <w:tabs>
          <w:tab w:pos="152" w:val="left"/>
        </w:tabs>
        <w:autoSpaceDE w:val="0"/>
        <w:widowControl/>
        <w:spacing w:line="216" w:lineRule="exact" w:before="20" w:after="8"/>
        <w:ind w:left="62" w:right="73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Cash contributions 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demand obligations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244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received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6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10,874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10,874 </w:t>
            </w:r>
          </w:p>
        </w:tc>
      </w:tr>
    </w:tbl>
    <w:p>
      <w:pPr>
        <w:autoSpaceDN w:val="0"/>
        <w:tabs>
          <w:tab w:pos="152" w:val="left"/>
        </w:tabs>
        <w:autoSpaceDE w:val="0"/>
        <w:widowControl/>
        <w:spacing w:line="216" w:lineRule="exact" w:before="22" w:after="6"/>
        <w:ind w:left="62" w:right="73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Demand obligations,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(received) encashed,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24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5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3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1,038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1,038 </w:t>
            </w:r>
          </w:p>
        </w:tc>
      </w:tr>
    </w:tbl>
    <w:p>
      <w:pPr>
        <w:autoSpaceDN w:val="0"/>
        <w:tabs>
          <w:tab w:pos="152" w:val="left"/>
        </w:tabs>
        <w:autoSpaceDE w:val="0"/>
        <w:widowControl/>
        <w:spacing w:line="216" w:lineRule="exact" w:before="20" w:after="8"/>
        <w:ind w:left="62" w:right="77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Currency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remeasurement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rPr>
          <w:trHeight w:hRule="exact" w:val="238"/>
        </w:trPr>
        <w:tc>
          <w:tcPr>
            <w:tcW w:type="dxa" w:w="19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changes, net</w:t>
            </w:r>
          </w:p>
        </w:tc>
        <w:tc>
          <w:tcPr>
            <w:tcW w:type="dxa" w:w="2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735 </w:t>
            </w:r>
          </w:p>
        </w:tc>
        <w:tc>
          <w:tcPr>
            <w:tcW w:type="dxa" w:w="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(735) </w:t>
            </w:r>
          </w:p>
        </w:tc>
        <w:tc>
          <w:tcPr>
            <w:tcW w:type="dxa" w:w="8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3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0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 </w:t>
            </w:r>
          </w:p>
        </w:tc>
      </w:tr>
      <w:tr>
        <w:trPr>
          <w:trHeight w:hRule="exact" w:val="236"/>
        </w:trPr>
        <w:tc>
          <w:tcPr>
            <w:tcW w:type="dxa" w:w="19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As of June 30, 2025</w:t>
            </w:r>
          </w:p>
        </w:tc>
        <w:tc>
          <w:tcPr>
            <w:tcW w:type="dxa" w:w="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9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291,682 </w:t>
            </w:r>
          </w:p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(12,250) </w:t>
            </w:r>
          </w:p>
        </w:tc>
        <w:tc>
          <w:tcPr>
            <w:tcW w:type="dxa" w:w="8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(246) </w:t>
            </w:r>
          </w:p>
        </w:tc>
        <w:tc>
          <w:tcPr>
            <w:tcW w:type="dxa" w:w="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(71,903)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9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(3,112) </w:t>
            </w:r>
          </w:p>
        </w:tc>
        <w:tc>
          <w:tcPr>
            <w:tcW w:type="dxa" w:w="10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$ 204,171 </w:t>
            </w:r>
          </w:p>
        </w:tc>
      </w:tr>
    </w:tbl>
    <w:p>
      <w:pPr>
        <w:autoSpaceDN w:val="0"/>
        <w:autoSpaceDE w:val="0"/>
        <w:widowControl/>
        <w:spacing w:line="200" w:lineRule="exact" w:before="628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Financial Statements are an integral part of these Statements.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66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512" w:right="144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356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>STATEMENTS OF CASH FLOWS</w:t>
      </w:r>
    </w:p>
    <w:p>
      <w:pPr>
        <w:autoSpaceDN w:val="0"/>
        <w:autoSpaceDE w:val="0"/>
        <w:widowControl/>
        <w:spacing w:line="224" w:lineRule="exact" w:before="48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For the fiscal years ended June 30, 2025, June 30, 2024 and June 30, 2023</w:t>
      </w:r>
    </w:p>
    <w:p>
      <w:pPr>
        <w:autoSpaceDN w:val="0"/>
        <w:autoSpaceDE w:val="0"/>
        <w:widowControl/>
        <w:spacing w:line="224" w:lineRule="exact" w:before="136" w:after="38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Expressed 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20.0" w:type="dxa"/>
      </w:tblPr>
      <w:tblGrid>
        <w:gridCol w:w="3127"/>
        <w:gridCol w:w="3127"/>
        <w:gridCol w:w="3127"/>
      </w:tblGrid>
      <w:tr>
        <w:trPr>
          <w:trHeight w:hRule="exact" w:val="270"/>
        </w:trPr>
        <w:tc>
          <w:tcPr>
            <w:tcW w:type="dxa" w:w="10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2025</w:t>
            </w:r>
          </w:p>
        </w:tc>
        <w:tc>
          <w:tcPr>
            <w:tcW w:type="dxa" w:w="110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111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200" w:lineRule="exact" w:before="24" w:after="0"/>
        <w:ind w:left="1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Cash flows from investing activities</w:t>
      </w:r>
    </w:p>
    <w:p>
      <w:pPr>
        <w:autoSpaceDN w:val="0"/>
        <w:autoSpaceDE w:val="0"/>
        <w:widowControl/>
        <w:spacing w:line="202" w:lineRule="exact" w:before="54" w:after="26"/>
        <w:ind w:left="30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Loans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254"/>
        </w:trPr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Disbursements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(24,652) $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(21,093) 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(20,601) </w:t>
            </w:r>
          </w:p>
        </w:tc>
      </w:tr>
      <w:tr>
        <w:trPr>
          <w:trHeight w:hRule="exact" w:val="256"/>
        </w:trPr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Principal repayments</w:t>
            </w:r>
          </w:p>
        </w:tc>
        <w:tc>
          <w:tcPr>
            <w:tcW w:type="dxa" w:w="1876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8,918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8,187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7,751 </w:t>
            </w:r>
          </w:p>
        </w:tc>
      </w:tr>
    </w:tbl>
    <w:p>
      <w:pPr>
        <w:autoSpaceDN w:val="0"/>
        <w:autoSpaceDE w:val="0"/>
        <w:widowControl/>
        <w:spacing w:line="200" w:lineRule="exact" w:before="28" w:after="28"/>
        <w:ind w:left="30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Non-trading securities—Investments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45"/>
        <w:gridCol w:w="2345"/>
        <w:gridCol w:w="2345"/>
        <w:gridCol w:w="2345"/>
      </w:tblGrid>
      <w:tr>
        <w:trPr>
          <w:trHeight w:hRule="exact" w:val="258"/>
        </w:trPr>
        <w:tc>
          <w:tcPr>
            <w:tcW w:type="dxa" w:w="5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2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Repayments</w:t>
            </w:r>
          </w:p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61 </w:t>
            </w:r>
          </w:p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1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96 </w:t>
            </w:r>
          </w:p>
        </w:tc>
      </w:tr>
      <w:tr>
        <w:trPr>
          <w:trHeight w:hRule="exact" w:val="269"/>
        </w:trPr>
        <w:tc>
          <w:tcPr>
            <w:tcW w:type="dxa" w:w="5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4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cash used in investing activities</w:t>
            </w:r>
          </w:p>
        </w:tc>
        <w:tc>
          <w:tcPr>
            <w:tcW w:type="dxa" w:w="11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(15,673) </w:t>
            </w:r>
          </w:p>
        </w:tc>
        <w:tc>
          <w:tcPr>
            <w:tcW w:type="dxa" w:w="11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(12,829) </w:t>
            </w:r>
          </w:p>
        </w:tc>
        <w:tc>
          <w:tcPr>
            <w:tcW w:type="dxa" w:w="11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(12,754) </w:t>
            </w:r>
          </w:p>
        </w:tc>
      </w:tr>
    </w:tbl>
    <w:p>
      <w:pPr>
        <w:autoSpaceDN w:val="0"/>
        <w:autoSpaceDE w:val="0"/>
        <w:widowControl/>
        <w:spacing w:line="202" w:lineRule="exact" w:before="250" w:after="26"/>
        <w:ind w:left="1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Cash flows from financing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45"/>
        <w:gridCol w:w="2345"/>
        <w:gridCol w:w="2345"/>
        <w:gridCol w:w="2345"/>
      </w:tblGrid>
      <w:tr>
        <w:trPr>
          <w:trHeight w:hRule="exact" w:val="256"/>
        </w:trPr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Members' subscriptions and contributions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11,912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9,739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10,171 </w:t>
            </w:r>
          </w:p>
        </w:tc>
      </w:tr>
    </w:tbl>
    <w:p>
      <w:pPr>
        <w:autoSpaceDN w:val="0"/>
        <w:autoSpaceDE w:val="0"/>
        <w:widowControl/>
        <w:spacing w:line="202" w:lineRule="exact" w:before="26" w:after="26"/>
        <w:ind w:left="30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Medium and long-term 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345"/>
        <w:gridCol w:w="2345"/>
        <w:gridCol w:w="2345"/>
        <w:gridCol w:w="2345"/>
      </w:tblGrid>
      <w:tr>
        <w:trPr>
          <w:trHeight w:hRule="exact" w:val="254"/>
        </w:trPr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New issues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18,759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12,031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2,276 </w:t>
            </w:r>
          </w:p>
        </w:tc>
      </w:tr>
      <w:tr>
        <w:trPr>
          <w:trHeight w:hRule="exact" w:val="258"/>
        </w:trPr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Retirements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(2,540)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(113)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(1,606) </w:t>
            </w:r>
          </w:p>
        </w:tc>
      </w:tr>
    </w:tbl>
    <w:p>
      <w:pPr>
        <w:autoSpaceDN w:val="0"/>
        <w:autoSpaceDE w:val="0"/>
        <w:widowControl/>
        <w:spacing w:line="200" w:lineRule="exact" w:before="26" w:after="26"/>
        <w:ind w:left="30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Short-term borrowings (original maturities greater than 90 days)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45"/>
        <w:gridCol w:w="2345"/>
        <w:gridCol w:w="2345"/>
        <w:gridCol w:w="2345"/>
      </w:tblGrid>
      <w:tr>
        <w:trPr>
          <w:trHeight w:hRule="exact" w:val="250"/>
        </w:trPr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3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New issues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24,755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8,625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6,762 </w:t>
            </w:r>
          </w:p>
        </w:tc>
      </w:tr>
      <w:tr>
        <w:trPr>
          <w:trHeight w:hRule="exact" w:val="260"/>
        </w:trPr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3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Retirements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(19,545)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(8,581)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(5,783) </w:t>
            </w:r>
          </w:p>
        </w:tc>
      </w:tr>
      <w:tr>
        <w:trPr>
          <w:trHeight w:hRule="exact" w:val="240"/>
        </w:trPr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short-term borrowings (original maturities less than 90 days)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424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(2,187) </w:t>
            </w:r>
          </w:p>
        </w:tc>
      </w:tr>
      <w:tr>
        <w:trPr>
          <w:trHeight w:hRule="exact" w:val="274"/>
        </w:trPr>
        <w:tc>
          <w:tcPr>
            <w:tcW w:type="dxa" w:w="58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derivatives-borrowings</w:t>
            </w:r>
          </w:p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34 </w:t>
            </w:r>
          </w:p>
        </w:tc>
        <w:tc>
          <w:tcPr>
            <w:tcW w:type="dxa" w:w="1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(7) </w:t>
            </w:r>
          </w:p>
        </w:tc>
      </w:tr>
      <w:tr>
        <w:trPr>
          <w:trHeight w:hRule="exact" w:val="271"/>
        </w:trPr>
        <w:tc>
          <w:tcPr>
            <w:tcW w:type="dxa" w:w="5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5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cash provided by financing activities</w:t>
            </w:r>
          </w:p>
        </w:tc>
        <w:tc>
          <w:tcPr>
            <w:tcW w:type="dxa" w:w="11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33,788 </w:t>
            </w:r>
          </w:p>
        </w:tc>
        <w:tc>
          <w:tcPr>
            <w:tcW w:type="dxa" w:w="11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21,735 </w:t>
            </w:r>
          </w:p>
        </w:tc>
        <w:tc>
          <w:tcPr>
            <w:tcW w:type="dxa" w:w="11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9,626 </w:t>
            </w:r>
          </w:p>
        </w:tc>
      </w:tr>
    </w:tbl>
    <w:p>
      <w:pPr>
        <w:autoSpaceDN w:val="0"/>
        <w:autoSpaceDE w:val="0"/>
        <w:widowControl/>
        <w:spacing w:line="200" w:lineRule="exact" w:before="250" w:after="26"/>
        <w:ind w:left="1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Cash flows from operating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45"/>
        <w:gridCol w:w="2345"/>
        <w:gridCol w:w="2345"/>
        <w:gridCol w:w="2345"/>
      </w:tblGrid>
      <w:tr>
        <w:trPr>
          <w:trHeight w:hRule="exact" w:val="258"/>
        </w:trPr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loss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(5,524)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(3,573)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(3,262) </w:t>
            </w:r>
          </w:p>
        </w:tc>
      </w:tr>
    </w:tbl>
    <w:p>
      <w:pPr>
        <w:autoSpaceDN w:val="0"/>
        <w:tabs>
          <w:tab w:pos="398" w:val="left"/>
        </w:tabs>
        <w:autoSpaceDE w:val="0"/>
        <w:widowControl/>
        <w:spacing w:line="180" w:lineRule="exact" w:before="46" w:after="26"/>
        <w:ind w:left="308" w:right="360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Adjustments to reconcile net loss to net cash (used in) provided by </w:t>
      </w:r>
      <w:r>
        <w:rPr>
          <w:rFonts w:ascii="ArialMT" w:hAnsi="ArialMT" w:eastAsia="ArialMT"/>
          <w:b w:val="0"/>
          <w:i w:val="0"/>
          <w:color w:val="000000"/>
          <w:sz w:val="18"/>
        </w:rPr>
        <w:t>operating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345"/>
        <w:gridCol w:w="2345"/>
        <w:gridCol w:w="2345"/>
        <w:gridCol w:w="2345"/>
      </w:tblGrid>
      <w:tr>
        <w:trPr>
          <w:trHeight w:hRule="exact" w:val="250"/>
        </w:trPr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Provision for losses on loans and other exposures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358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275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688 </w:t>
            </w:r>
          </w:p>
        </w:tc>
      </w:tr>
      <w:tr>
        <w:trPr>
          <w:trHeight w:hRule="exact" w:val="260"/>
        </w:trPr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Currency remeasurement losses (gains), net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(192) </w:t>
            </w:r>
          </w:p>
        </w:tc>
      </w:tr>
      <w:tr>
        <w:trPr>
          <w:trHeight w:hRule="exact" w:val="240"/>
        </w:trPr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Unrealized mark-to-market gains on non-trading portfolios, net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(470)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(405)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(134) </w:t>
            </w:r>
          </w:p>
        </w:tc>
      </w:tr>
      <w:tr>
        <w:trPr>
          <w:trHeight w:hRule="exact" w:val="260"/>
        </w:trPr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2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 non-interest expenses, net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3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(2)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3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 </w:t>
            </w:r>
          </w:p>
        </w:tc>
      </w:tr>
      <w:tr>
        <w:trPr>
          <w:trHeight w:hRule="exact" w:val="268"/>
        </w:trPr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2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Amortization and capitalized interest on loans, net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472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308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175 </w:t>
            </w:r>
          </w:p>
        </w:tc>
      </w:tr>
    </w:tbl>
    <w:p>
      <w:pPr>
        <w:autoSpaceDN w:val="0"/>
        <w:autoSpaceDE w:val="0"/>
        <w:widowControl/>
        <w:spacing w:line="200" w:lineRule="exact" w:before="26" w:after="26"/>
        <w:ind w:left="30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Changes in: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345"/>
        <w:gridCol w:w="2345"/>
        <w:gridCol w:w="2345"/>
        <w:gridCol w:w="2345"/>
      </w:tblGrid>
      <w:tr>
        <w:trPr>
          <w:trHeight w:hRule="exact" w:val="240"/>
        </w:trPr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Investments—Trading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(10,729)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(3,078)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8,651 </w:t>
            </w:r>
          </w:p>
        </w:tc>
      </w:tr>
      <w:tr>
        <w:trPr>
          <w:trHeight w:hRule="exact" w:val="260"/>
        </w:trPr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receivable/payable from investment securities traded/purchased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(664)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984 </w:t>
            </w:r>
          </w:p>
        </w:tc>
      </w:tr>
      <w:tr>
        <w:trPr>
          <w:trHeight w:hRule="exact" w:val="260"/>
        </w:trPr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2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derivatives—Investments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(305)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(12)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(304) </w:t>
            </w:r>
          </w:p>
        </w:tc>
      </w:tr>
      <w:tr>
        <w:trPr>
          <w:trHeight w:hRule="exact" w:val="266"/>
        </w:trPr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derivatives—Asset-liability management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335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510 </w:t>
            </w:r>
          </w:p>
        </w:tc>
      </w:tr>
    </w:tbl>
    <w:p>
      <w:pPr>
        <w:autoSpaceDN w:val="0"/>
        <w:autoSpaceDE w:val="0"/>
        <w:widowControl/>
        <w:spacing w:line="200" w:lineRule="exact" w:before="32" w:after="8"/>
        <w:ind w:left="48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Net securities purchased/sold under resale/repurchase agreements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234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5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and payable for cash collateral received</w:t>
            </w:r>
          </w:p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293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419 </w:t>
            </w:r>
          </w:p>
        </w:tc>
        <w:tc>
          <w:tcPr>
            <w:tcW w:type="dxa" w:w="7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(278)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(269)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(1,526)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(135)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(1,873)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100 </w:t>
            </w:r>
          </w:p>
        </w:tc>
      </w:tr>
      <w:tr>
        <w:trPr>
          <w:trHeight w:hRule="exact" w:val="240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4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receivable/payable from/to affiliated organizations</w:t>
            </w:r>
          </w:p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(61)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(419) </w:t>
            </w:r>
          </w:p>
        </w:tc>
        <w:tc>
          <w:tcPr>
            <w:tcW w:type="dxa" w:w="1340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4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Payable for development grants</w:t>
            </w:r>
          </w:p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3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(681)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(1,362) </w:t>
            </w:r>
          </w:p>
        </w:tc>
        <w:tc>
          <w:tcPr>
            <w:tcW w:type="dxa" w:w="1340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4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Accrued interest and commitment charges</w:t>
            </w:r>
          </w:p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3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(103)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(64) </w:t>
            </w:r>
          </w:p>
        </w:tc>
        <w:tc>
          <w:tcPr>
            <w:tcW w:type="dxa" w:w="1340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4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 assets</w:t>
            </w:r>
          </w:p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(1,083)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(931) </w:t>
            </w:r>
          </w:p>
        </w:tc>
        <w:tc>
          <w:tcPr>
            <w:tcW w:type="dxa" w:w="1340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59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4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Accounts payable and miscellaneous liabilities</w:t>
            </w:r>
          </w:p>
        </w:tc>
        <w:tc>
          <w:tcPr>
            <w:tcW w:type="dxa" w:w="146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182 </w:t>
            </w:r>
          </w:p>
        </w:tc>
        <w:tc>
          <w:tcPr>
            <w:tcW w:type="dxa" w:w="11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133 </w:t>
            </w:r>
          </w:p>
        </w:tc>
        <w:tc>
          <w:tcPr>
            <w:tcW w:type="dxa" w:w="1340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54"/>
        </w:trPr>
        <w:tc>
          <w:tcPr>
            <w:tcW w:type="dxa" w:w="59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6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cash (used in) provided by operating activities</w:t>
            </w:r>
          </w:p>
        </w:tc>
        <w:tc>
          <w:tcPr>
            <w:tcW w:type="dxa" w:w="146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(17,527) </w:t>
            </w:r>
          </w:p>
        </w:tc>
        <w:tc>
          <w:tcPr>
            <w:tcW w:type="dxa" w:w="11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(8,994) 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3,138 </w:t>
            </w:r>
          </w:p>
        </w:tc>
      </w:tr>
      <w:tr>
        <w:trPr>
          <w:trHeight w:hRule="exact" w:val="256"/>
        </w:trPr>
        <w:tc>
          <w:tcPr>
            <w:tcW w:type="dxa" w:w="59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Effect of exchange rate changes on unrestricted and restricted cash</w:t>
            </w:r>
          </w:p>
        </w:tc>
        <w:tc>
          <w:tcPr>
            <w:tcW w:type="dxa" w:w="146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4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41 </w:t>
            </w:r>
          </w:p>
        </w:tc>
        <w:tc>
          <w:tcPr>
            <w:tcW w:type="dxa" w:w="11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(15) 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(7) </w:t>
            </w:r>
          </w:p>
        </w:tc>
      </w:tr>
      <w:tr>
        <w:trPr>
          <w:trHeight w:hRule="exact" w:val="250"/>
        </w:trPr>
        <w:tc>
          <w:tcPr>
            <w:tcW w:type="dxa" w:w="59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Net increase (decrease) in unrestricted and restricted cash</w:t>
            </w:r>
          </w:p>
        </w:tc>
        <w:tc>
          <w:tcPr>
            <w:tcW w:type="dxa" w:w="146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4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629 </w:t>
            </w:r>
          </w:p>
        </w:tc>
        <w:tc>
          <w:tcPr>
            <w:tcW w:type="dxa" w:w="11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2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(103) </w:t>
            </w:r>
          </w:p>
        </w:tc>
        <w:tc>
          <w:tcPr>
            <w:tcW w:type="dxa" w:w="7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330" w:right="0" w:firstLine="20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686 </w:t>
            </w:r>
          </w:p>
        </w:tc>
      </w:tr>
      <w:tr>
        <w:trPr>
          <w:trHeight w:hRule="exact" w:val="260"/>
        </w:trPr>
        <w:tc>
          <w:tcPr>
            <w:tcW w:type="dxa" w:w="59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Unrestricted and restricted cash at beginning of the fiscal year</w:t>
            </w:r>
          </w:p>
        </w:tc>
        <w:tc>
          <w:tcPr>
            <w:tcW w:type="dxa" w:w="146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586 </w:t>
            </w:r>
          </w:p>
        </w:tc>
        <w:tc>
          <w:tcPr>
            <w:tcW w:type="dxa" w:w="11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689 </w:t>
            </w:r>
          </w:p>
        </w:tc>
        <w:tc>
          <w:tcPr>
            <w:tcW w:type="dxa" w:w="1340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34"/>
        </w:trPr>
        <w:tc>
          <w:tcPr>
            <w:tcW w:type="dxa" w:w="59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Unrestricted and restricted cash at end of the fiscal year</w:t>
            </w:r>
          </w:p>
        </w:tc>
        <w:tc>
          <w:tcPr>
            <w:tcW w:type="dxa" w:w="3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6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1,215 </w:t>
            </w:r>
          </w:p>
        </w:tc>
        <w:tc>
          <w:tcPr>
            <w:tcW w:type="dxa" w:w="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7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586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689 </w:t>
            </w:r>
          </w:p>
        </w:tc>
      </w:tr>
      <w:tr>
        <w:trPr>
          <w:trHeight w:hRule="exact" w:val="1206"/>
        </w:trPr>
        <w:tc>
          <w:tcPr>
            <w:tcW w:type="dxa" w:w="8520"/>
            <w:gridSpan w:val="6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92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IDA Financial Statements: June 30, 2025 </w:t>
            </w:r>
          </w:p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9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2" w:right="142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72" w:lineRule="exact" w:before="84" w:after="0"/>
        <w:ind w:left="0" w:right="2592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STATEMENTS OF CASH FLOWS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>For the fiscal years ended June 30, 2025, June 30, 2024 and June 30, 2023</w:t>
      </w:r>
    </w:p>
    <w:p>
      <w:pPr>
        <w:autoSpaceDN w:val="0"/>
        <w:autoSpaceDE w:val="0"/>
        <w:widowControl/>
        <w:spacing w:line="224" w:lineRule="exact" w:before="136" w:after="38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Expressed 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44.0" w:type="dxa"/>
      </w:tblPr>
      <w:tblGrid>
        <w:gridCol w:w="3120"/>
        <w:gridCol w:w="3120"/>
        <w:gridCol w:w="3120"/>
      </w:tblGrid>
      <w:tr>
        <w:trPr>
          <w:trHeight w:hRule="exact" w:val="270"/>
        </w:trPr>
        <w:tc>
          <w:tcPr>
            <w:tcW w:type="dxa" w:w="10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2025</w:t>
            </w:r>
          </w:p>
        </w:tc>
        <w:tc>
          <w:tcPr>
            <w:tcW w:type="dxa" w:w="10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110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</w:tr>
    </w:tbl>
    <w:p>
      <w:pPr>
        <w:autoSpaceDN w:val="0"/>
        <w:tabs>
          <w:tab w:pos="232" w:val="left"/>
          <w:tab w:pos="412" w:val="left"/>
        </w:tabs>
        <w:autoSpaceDE w:val="0"/>
        <w:widowControl/>
        <w:spacing w:line="218" w:lineRule="exact" w:before="6" w:after="0"/>
        <w:ind w:left="52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Supplemental disclosure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Increase (Decrease) in ending balances resulting from exchange rate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fluctuations: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86"/>
        </w:trPr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Loans outstanding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9,386 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(2,038) $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767 </w:t>
            </w:r>
          </w:p>
        </w:tc>
      </w:tr>
      <w:tr>
        <w:trPr>
          <w:trHeight w:hRule="exact" w:val="240"/>
        </w:trPr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Investment portfolio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1,417 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(331)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273 </w:t>
            </w:r>
          </w:p>
        </w:tc>
      </w:tr>
      <w:tr>
        <w:trPr>
          <w:trHeight w:hRule="exact" w:val="260"/>
        </w:trPr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Borrowing portfolio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2,771 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(474)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735 </w:t>
            </w:r>
          </w:p>
        </w:tc>
      </w:tr>
      <w:tr>
        <w:trPr>
          <w:trHeight w:hRule="exact" w:val="440"/>
        </w:trPr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2" w:val="left"/>
              </w:tabs>
              <w:autoSpaceDE w:val="0"/>
              <w:widowControl/>
              <w:spacing w:line="180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Principal repayments written off under Heavily Indebted Poor Countries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(HIPC)/Multilateral Debt Relief Initiative (MDRI)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8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8" w:after="0"/>
              <w:ind w:left="0" w:right="5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104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8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 </w:t>
            </w:r>
          </w:p>
        </w:tc>
      </w:tr>
      <w:tr>
        <w:trPr>
          <w:trHeight w:hRule="exact" w:val="260"/>
        </w:trPr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Capitalized interest and loan origination fees in total loans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rPr>
          <w:trHeight w:hRule="exact" w:val="290"/>
        </w:trPr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Interest paid on borrowing portfolio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2,006 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1,390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778 </w:t>
            </w:r>
          </w:p>
        </w:tc>
      </w:tr>
    </w:tbl>
    <w:p>
      <w:pPr>
        <w:autoSpaceDN w:val="0"/>
        <w:autoSpaceDE w:val="0"/>
        <w:widowControl/>
        <w:spacing w:line="200" w:lineRule="exact" w:before="1238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Financial Statements are an integral part of these Statements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870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512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272" w:lineRule="exact" w:before="84" w:after="0"/>
        <w:ind w:left="10" w:right="4032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SUMMARY STATEMENT OF LOANS </w:t>
      </w:r>
      <w:r>
        <w:rPr>
          <w:rFonts w:ascii="Arial" w:hAnsi="Arial" w:eastAsia="Arial"/>
          <w:b w:val="0"/>
          <w:i/>
          <w:color w:val="000000"/>
          <w:sz w:val="20"/>
        </w:rPr>
        <w:t>June 30, 2025</w:t>
      </w:r>
    </w:p>
    <w:p>
      <w:pPr>
        <w:autoSpaceDN w:val="0"/>
        <w:tabs>
          <w:tab w:pos="4630" w:val="left"/>
        </w:tabs>
        <w:autoSpaceDE w:val="0"/>
        <w:widowControl/>
        <w:spacing w:line="194" w:lineRule="exact" w:before="144" w:after="22"/>
        <w:ind w:left="62" w:right="3168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Amounts expressed in millions of U.S. dollars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Undisbursed balance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</w:tblGrid>
      <w:tr>
        <w:trPr>
          <w:trHeight w:hRule="exact" w:val="204"/>
        </w:trPr>
        <w:tc>
          <w:tcPr>
            <w:tcW w:type="dxa" w:w="27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Borrower or guarantor</w:t>
            </w:r>
          </w:p>
        </w:tc>
        <w:tc>
          <w:tcPr>
            <w:tcW w:type="dxa" w:w="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8" w:after="0"/>
              <w:ind w:left="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 loans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8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Signed loan 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0" w:right="3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1520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8" w:after="0"/>
              <w:ind w:left="144" w:right="288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of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loans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outstanding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</w:tr>
      <w:tr>
        <w:trPr>
          <w:trHeight w:hRule="exact" w:val="100"/>
        </w:trPr>
        <w:tc>
          <w:tcPr>
            <w:tcW w:type="dxa" w:w="78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2"/>
            <w:vMerge/>
            <w:tcBorders>
              <w:bottom w:sz="8.0" w:val="single" w:color="#000000"/>
            </w:tcBorders>
          </w:tcPr>
          <w:p/>
        </w:tc>
        <w:tc>
          <w:tcPr>
            <w:tcW w:type="dxa" w:w="1564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1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approved but </w:t>
            </w:r>
          </w:p>
        </w:tc>
        <w:tc>
          <w:tcPr>
            <w:tcW w:type="dxa" w:w="1564"/>
            <w:gridSpan w:val="2"/>
            <w:vMerge/>
            <w:tcBorders/>
          </w:tcPr>
          <w:p/>
        </w:tc>
        <w:tc>
          <w:tcPr>
            <w:tcW w:type="dxa" w:w="1564"/>
            <w:gridSpan w:val="2"/>
            <w:vMerge/>
            <w:tcBorders/>
          </w:tcPr>
          <w:p/>
        </w:tc>
        <w:tc>
          <w:tcPr>
            <w:tcW w:type="dxa" w:w="1564"/>
            <w:gridSpan w:val="2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100"/>
        </w:trPr>
        <w:tc>
          <w:tcPr>
            <w:tcW w:type="dxa" w:w="78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2"/>
            <w:vMerge/>
            <w:tcBorders>
              <w:bottom w:sz="8.0" w:val="single" w:color="#000000"/>
            </w:tcBorders>
          </w:tcPr>
          <w:p/>
        </w:tc>
        <w:tc>
          <w:tcPr>
            <w:tcW w:type="dxa" w:w="1564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1564"/>
            <w:gridSpan w:val="2"/>
            <w:vMerge/>
            <w:tcBorders/>
          </w:tcPr>
          <w:p/>
        </w:tc>
        <w:tc>
          <w:tcPr>
            <w:tcW w:type="dxa" w:w="1260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commitments</w:t>
            </w:r>
          </w:p>
        </w:tc>
        <w:tc>
          <w:tcPr>
            <w:tcW w:type="dxa" w:w="1200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  <w:tc>
          <w:tcPr>
            <w:tcW w:type="dxa" w:w="1564"/>
            <w:gridSpan w:val="2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78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2"/>
            <w:vMerge/>
            <w:tcBorders>
              <w:bottom w:sz="8.0" w:val="single" w:color="#000000"/>
            </w:tcBorders>
          </w:tcPr>
          <w:p/>
        </w:tc>
        <w:tc>
          <w:tcPr>
            <w:tcW w:type="dxa" w:w="1564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11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not yet signed</w:t>
            </w:r>
          </w:p>
        </w:tc>
        <w:tc>
          <w:tcPr>
            <w:tcW w:type="dxa" w:w="1564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1564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1564"/>
            <w:gridSpan w:val="2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160"/>
        </w:trPr>
        <w:tc>
          <w:tcPr>
            <w:tcW w:type="dxa" w:w="2710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Afghanistan</w:t>
            </w:r>
          </w:p>
        </w:tc>
        <w:tc>
          <w:tcPr>
            <w:tcW w:type="dxa" w:w="360"/>
            <w:vMerge w:val="restart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 </w:t>
            </w:r>
          </w:p>
        </w:tc>
        <w:tc>
          <w:tcPr>
            <w:tcW w:type="dxa" w:w="596"/>
            <w:gridSpan w:val="2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0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00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0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46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4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 </w:t>
            </w:r>
          </w:p>
        </w:tc>
        <w:tc>
          <w:tcPr>
            <w:tcW w:type="dxa" w:w="1520"/>
            <w:gridSpan w:val="2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200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Albania</w:t>
            </w:r>
          </w:p>
        </w:tc>
        <w:tc>
          <w:tcPr>
            <w:tcW w:type="dxa" w:w="782"/>
            <w:vMerge/>
            <w:tcBorders>
              <w:top w:sz="8.0" w:val="single" w:color="#000000"/>
            </w:tcBorders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336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336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</w:tr>
      <w:tr>
        <w:trPr>
          <w:trHeight w:hRule="exact" w:val="200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Angola</w:t>
            </w:r>
          </w:p>
        </w:tc>
        <w:tc>
          <w:tcPr>
            <w:tcW w:type="dxa" w:w="782"/>
            <w:vMerge/>
            <w:tcBorders>
              <w:top w:sz="8.0" w:val="single" w:color="#000000"/>
            </w:tcBorders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272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272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0.12</w:t>
            </w:r>
          </w:p>
        </w:tc>
      </w:tr>
      <w:tr>
        <w:trPr>
          <w:trHeight w:hRule="exact" w:val="180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Armenia</w:t>
            </w:r>
          </w:p>
        </w:tc>
        <w:tc>
          <w:tcPr>
            <w:tcW w:type="dxa" w:w="782"/>
            <w:vMerge/>
            <w:tcBorders>
              <w:top w:sz="8.0" w:val="single" w:color="#000000"/>
            </w:tcBorders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645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645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0.28</w:t>
            </w:r>
          </w:p>
        </w:tc>
      </w:tr>
      <w:tr>
        <w:trPr>
          <w:trHeight w:hRule="exact" w:val="234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Azerbaijan</w:t>
            </w:r>
          </w:p>
        </w:tc>
        <w:tc>
          <w:tcPr>
            <w:tcW w:type="dxa" w:w="782"/>
            <w:vMerge/>
            <w:tcBorders>
              <w:top w:sz="8.0" w:val="single" w:color="#000000"/>
            </w:tcBorders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127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127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166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Bangladesh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31,994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938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8,432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22,624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9.93</w:t>
            </w:r>
          </w:p>
        </w:tc>
      </w:tr>
      <w:tr>
        <w:trPr>
          <w:trHeight w:hRule="exact" w:val="200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Benin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4,511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113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1,650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2,748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1.21</w:t>
            </w:r>
          </w:p>
        </w:tc>
      </w:tr>
      <w:tr>
        <w:trPr>
          <w:trHeight w:hRule="exact" w:val="220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Belize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200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Bhutan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676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237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439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0.19</w:t>
            </w:r>
          </w:p>
        </w:tc>
      </w:tr>
      <w:tr>
        <w:trPr>
          <w:trHeight w:hRule="exact" w:val="218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Bolivia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763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722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0.32</w:t>
            </w:r>
          </w:p>
        </w:tc>
      </w:tr>
      <w:tr>
        <w:trPr>
          <w:trHeight w:hRule="exact" w:val="162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Bosnia and Herzegovina</w:t>
            </w:r>
          </w:p>
        </w:tc>
        <w:tc>
          <w:tcPr>
            <w:tcW w:type="dxa" w:w="360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472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472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0.21</w:t>
            </w:r>
          </w:p>
        </w:tc>
      </w:tr>
      <w:tr>
        <w:trPr>
          <w:trHeight w:hRule="exact" w:val="200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Burkina Faso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5,294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152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2,027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3,115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1.37</w:t>
            </w:r>
          </w:p>
        </w:tc>
      </w:tr>
      <w:tr>
        <w:trPr>
          <w:trHeight w:hRule="exact" w:val="200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Burundi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180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Cabo Verde, Republic of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792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153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639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0.28</w:t>
            </w:r>
          </w:p>
        </w:tc>
      </w:tr>
      <w:tr>
        <w:trPr>
          <w:trHeight w:hRule="exact" w:val="234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Cambodia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2,863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1,053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1,810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0.79</w:t>
            </w:r>
          </w:p>
        </w:tc>
      </w:tr>
      <w:tr>
        <w:trPr>
          <w:trHeight w:hRule="exact" w:val="166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Cameroon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5,908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434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2,659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2,815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1.24</w:t>
            </w:r>
          </w:p>
        </w:tc>
      </w:tr>
      <w:tr>
        <w:trPr>
          <w:trHeight w:hRule="exact" w:val="200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Central African Republic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123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123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180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Chad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143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143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00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*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28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Comoros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140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</w:tr>
      <w:tr>
        <w:trPr>
          <w:trHeight w:hRule="exact" w:val="172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Congo, Democratic Republic of</w:t>
            </w:r>
          </w:p>
        </w:tc>
        <w:tc>
          <w:tcPr>
            <w:tcW w:type="dxa" w:w="360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8,208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3,692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4,516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1.98</w:t>
            </w:r>
          </w:p>
        </w:tc>
      </w:tr>
      <w:tr>
        <w:trPr>
          <w:trHeight w:hRule="exact" w:val="180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Congo, Republic of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1,008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393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615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0.27</w:t>
            </w:r>
          </w:p>
        </w:tc>
      </w:tr>
      <w:tr>
        <w:trPr>
          <w:trHeight w:hRule="exact" w:val="200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Côte d'Ivoire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8,710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2,689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6,015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2.64</w:t>
            </w:r>
          </w:p>
        </w:tc>
      </w:tr>
      <w:tr>
        <w:trPr>
          <w:trHeight w:hRule="exact" w:val="200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Djibouti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514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190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324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0.14</w:t>
            </w:r>
          </w:p>
        </w:tc>
      </w:tr>
      <w:tr>
        <w:trPr>
          <w:trHeight w:hRule="exact" w:val="224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Dominica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321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253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</w:tr>
      <w:tr>
        <w:trPr>
          <w:trHeight w:hRule="exact" w:val="216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Egypt, Arab Republic of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</w:tr>
      <w:tr>
        <w:trPr>
          <w:trHeight w:hRule="exact" w:val="180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El Salvador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*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00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Equatorial Guinea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</w:tr>
      <w:tr>
        <w:trPr>
          <w:trHeight w:hRule="exact" w:val="200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Eritrea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429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429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0.19</w:t>
            </w:r>
          </w:p>
        </w:tc>
      </w:tr>
      <w:tr>
        <w:trPr>
          <w:trHeight w:hRule="exact" w:val="224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Eswatini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156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Ethiopia</w:t>
            </w:r>
          </w:p>
        </w:tc>
        <w:tc>
          <w:tcPr>
            <w:tcW w:type="dxa" w:w="360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17,205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3,147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14,031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6.16</w:t>
            </w:r>
          </w:p>
        </w:tc>
      </w:tr>
      <w:tr>
        <w:trPr>
          <w:trHeight w:hRule="exact" w:val="200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Fiji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556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142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414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0.18</w:t>
            </w:r>
          </w:p>
        </w:tc>
      </w:tr>
      <w:tr>
        <w:trPr>
          <w:trHeight w:hRule="exact" w:val="200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Gambia, The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134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127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00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Georgia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455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455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0.20</w:t>
            </w:r>
          </w:p>
        </w:tc>
      </w:tr>
      <w:tr>
        <w:trPr>
          <w:trHeight w:hRule="exact" w:val="220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Ghana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9,372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918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1,784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6,670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2.93</w:t>
            </w:r>
          </w:p>
        </w:tc>
      </w:tr>
      <w:tr>
        <w:trPr>
          <w:trHeight w:hRule="exact" w:val="160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Grenada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403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109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265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0.12</w:t>
            </w:r>
          </w:p>
        </w:tc>
      </w:tr>
      <w:tr>
        <w:trPr>
          <w:trHeight w:hRule="exact" w:val="200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Guinea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1,677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136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737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804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0.35</w:t>
            </w:r>
          </w:p>
        </w:tc>
      </w:tr>
      <w:tr>
        <w:trPr>
          <w:trHeight w:hRule="exact" w:val="200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Guinea-Bissau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252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236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180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Guyana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432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169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198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</w:tr>
      <w:tr>
        <w:trPr>
          <w:trHeight w:hRule="exact" w:val="234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Honduras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1,864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740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1,124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0.49</w:t>
            </w:r>
          </w:p>
        </w:tc>
      </w:tr>
      <w:tr>
        <w:trPr>
          <w:trHeight w:hRule="exact" w:val="166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India</w:t>
            </w:r>
          </w:p>
        </w:tc>
        <w:tc>
          <w:tcPr>
            <w:tcW w:type="dxa" w:w="360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14,245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14,183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6.22</w:t>
            </w:r>
          </w:p>
        </w:tc>
      </w:tr>
      <w:tr>
        <w:trPr>
          <w:trHeight w:hRule="exact" w:val="200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Indonesia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180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Iraq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205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205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</w:tr>
      <w:tr>
        <w:trPr>
          <w:trHeight w:hRule="exact" w:val="200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Jordan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192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192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30"/>
        </w:trPr>
        <w:tc>
          <w:tcPr>
            <w:tcW w:type="dxa" w:w="271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Kenya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118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17,419 </w:t>
            </w:r>
          </w:p>
        </w:tc>
        <w:tc>
          <w:tcPr>
            <w:tcW w:type="dxa" w:w="11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338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4,222 </w:t>
            </w:r>
          </w:p>
        </w:tc>
        <w:tc>
          <w:tcPr>
            <w:tcW w:type="dxa" w:w="120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12,859 </w:t>
            </w:r>
          </w:p>
        </w:tc>
        <w:tc>
          <w:tcPr>
            <w:tcW w:type="dxa" w:w="152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5.64</w:t>
            </w:r>
          </w:p>
        </w:tc>
      </w:tr>
      <w:tr>
        <w:trPr>
          <w:trHeight w:hRule="exact" w:val="190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Kosovo</w:t>
            </w:r>
          </w:p>
        </w:tc>
        <w:tc>
          <w:tcPr>
            <w:tcW w:type="dxa" w:w="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653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242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312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0.14</w:t>
            </w:r>
          </w:p>
        </w:tc>
      </w:tr>
      <w:tr>
        <w:trPr>
          <w:trHeight w:hRule="exact" w:val="240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Kyrgyz Republic</w:t>
            </w:r>
          </w:p>
        </w:tc>
        <w:tc>
          <w:tcPr>
            <w:tcW w:type="dxa" w:w="782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1,670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136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727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807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0.35</w:t>
            </w:r>
          </w:p>
        </w:tc>
      </w:tr>
      <w:tr>
        <w:trPr>
          <w:trHeight w:hRule="exact" w:val="240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Lao People's Democratic Republic</w:t>
            </w:r>
          </w:p>
        </w:tc>
        <w:tc>
          <w:tcPr>
            <w:tcW w:type="dxa" w:w="782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1,477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463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996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0.44</w:t>
            </w:r>
          </w:p>
        </w:tc>
      </w:tr>
      <w:tr>
        <w:trPr>
          <w:trHeight w:hRule="exact" w:val="220"/>
        </w:trPr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Lebanon</w:t>
            </w:r>
          </w:p>
        </w:tc>
        <w:tc>
          <w:tcPr>
            <w:tcW w:type="dxa" w:w="782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</w:tr>
      <w:tr>
        <w:trPr>
          <w:trHeight w:hRule="exact" w:val="220"/>
        </w:trPr>
        <w:tc>
          <w:tcPr>
            <w:tcW w:type="dxa" w:w="27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Lesotho</w:t>
            </w:r>
          </w:p>
        </w:tc>
        <w:tc>
          <w:tcPr>
            <w:tcW w:type="dxa" w:w="782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775 </w:t>
            </w:r>
          </w:p>
        </w:tc>
        <w:tc>
          <w:tcPr>
            <w:tcW w:type="dxa" w:w="11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215 </w:t>
            </w:r>
          </w:p>
        </w:tc>
        <w:tc>
          <w:tcPr>
            <w:tcW w:type="dxa" w:w="12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560 </w:t>
            </w:r>
          </w:p>
        </w:tc>
        <w:tc>
          <w:tcPr>
            <w:tcW w:type="dxa" w:w="15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0.25</w:t>
            </w:r>
          </w:p>
        </w:tc>
      </w:tr>
      <w:tr>
        <w:trPr>
          <w:trHeight w:hRule="exact" w:val="1560"/>
        </w:trPr>
        <w:tc>
          <w:tcPr>
            <w:tcW w:type="dxa" w:w="27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0"/>
            <w:gridSpan w:val="9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46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IDA Financial Statements: June 30, 2025 </w:t>
            </w:r>
          </w:p>
        </w:tc>
        <w:tc>
          <w:tcPr>
            <w:tcW w:type="dxa" w:w="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872" w:right="142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272" w:lineRule="exact" w:before="84" w:after="0"/>
        <w:ind w:left="10" w:right="3888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SUMMARY STATEMENT OF LOANS </w:t>
      </w:r>
      <w:r>
        <w:rPr>
          <w:rFonts w:ascii="Arial" w:hAnsi="Arial" w:eastAsia="Arial"/>
          <w:b w:val="0"/>
          <w:i/>
          <w:color w:val="000000"/>
          <w:sz w:val="20"/>
        </w:rPr>
        <w:t>June 30, 2025</w:t>
      </w:r>
    </w:p>
    <w:p>
      <w:pPr>
        <w:autoSpaceDN w:val="0"/>
        <w:tabs>
          <w:tab w:pos="4630" w:val="left"/>
        </w:tabs>
        <w:autoSpaceDE w:val="0"/>
        <w:widowControl/>
        <w:spacing w:line="240" w:lineRule="exact" w:before="142" w:after="32"/>
        <w:ind w:left="62" w:right="3168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Amounts expressed in millions of U.S. dollars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Undisbursed balance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</w:tblGrid>
      <w:tr>
        <w:trPr>
          <w:trHeight w:hRule="exact" w:val="214"/>
        </w:trPr>
        <w:tc>
          <w:tcPr>
            <w:tcW w:type="dxa" w:w="5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4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2" w:after="0"/>
              <w:ind w:left="2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Signed loan </w:t>
            </w:r>
          </w:p>
        </w:tc>
        <w:tc>
          <w:tcPr>
            <w:tcW w:type="dxa" w:w="2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2" w:after="0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139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8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of loans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outstanding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</w:tr>
      <w:tr>
        <w:trPr>
          <w:trHeight w:hRule="exact" w:val="100"/>
        </w:trPr>
        <w:tc>
          <w:tcPr>
            <w:tcW w:type="dxa" w:w="261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Borrower or guarantor</w:t>
            </w:r>
          </w:p>
        </w:tc>
        <w:tc>
          <w:tcPr>
            <w:tcW w:type="dxa" w:w="1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24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 loans</w:t>
            </w:r>
          </w:p>
        </w:tc>
        <w:tc>
          <w:tcPr>
            <w:tcW w:type="dxa" w:w="123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approved but </w:t>
            </w:r>
          </w:p>
        </w:tc>
        <w:tc>
          <w:tcPr>
            <w:tcW w:type="dxa" w:w="1442"/>
            <w:gridSpan w:val="2"/>
            <w:vMerge/>
            <w:tcBorders/>
          </w:tcPr>
          <w:p/>
        </w:tc>
        <w:tc>
          <w:tcPr>
            <w:tcW w:type="dxa" w:w="721"/>
            <w:vMerge/>
            <w:tcBorders>
              <w:bottom w:sz="8.0" w:val="single" w:color="#000000"/>
            </w:tcBorders>
          </w:tcPr>
          <w:p/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100"/>
        </w:trPr>
        <w:tc>
          <w:tcPr>
            <w:tcW w:type="dxa" w:w="1442"/>
            <w:gridSpan w:val="2"/>
            <w:vMerge/>
            <w:tcBorders/>
          </w:tcPr>
          <w:p/>
        </w:tc>
        <w:tc>
          <w:tcPr>
            <w:tcW w:type="dxa" w:w="2163"/>
            <w:gridSpan w:val="3"/>
            <w:vMerge/>
            <w:tcBorders/>
          </w:tcPr>
          <w:p/>
        </w:tc>
        <w:tc>
          <w:tcPr>
            <w:tcW w:type="dxa" w:w="2163"/>
            <w:gridSpan w:val="3"/>
            <w:vMerge/>
            <w:tcBorders/>
          </w:tcPr>
          <w:p/>
        </w:tc>
        <w:tc>
          <w:tcPr>
            <w:tcW w:type="dxa" w:w="1260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commitments</w:t>
            </w:r>
          </w:p>
        </w:tc>
        <w:tc>
          <w:tcPr>
            <w:tcW w:type="dxa" w:w="721"/>
            <w:vMerge/>
            <w:tcBorders>
              <w:bottom w:sz="8.0" w:val="single" w:color="#000000"/>
            </w:tcBorders>
          </w:tcPr>
          <w:p/>
        </w:tc>
        <w:tc>
          <w:tcPr>
            <w:tcW w:type="dxa" w:w="10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  <w:tc>
          <w:tcPr>
            <w:tcW w:type="dxa" w:w="721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30"/>
        </w:trPr>
        <w:tc>
          <w:tcPr>
            <w:tcW w:type="dxa" w:w="5360"/>
            <w:gridSpan w:val="8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1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not yet signed</w:t>
            </w:r>
          </w:p>
        </w:tc>
        <w:tc>
          <w:tcPr>
            <w:tcW w:type="dxa" w:w="1442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721"/>
            <w:vMerge/>
            <w:tcBorders>
              <w:bottom w:sz="8.0" w:val="single" w:color="#000000"/>
            </w:tcBorders>
          </w:tcPr>
          <w:p/>
        </w:tc>
        <w:tc>
          <w:tcPr>
            <w:tcW w:type="dxa" w:w="721"/>
            <w:vMerge/>
            <w:tcBorders>
              <w:bottom w:sz="8.0" w:val="single" w:color="#000000"/>
            </w:tcBorders>
          </w:tcPr>
          <w:p/>
        </w:tc>
        <w:tc>
          <w:tcPr>
            <w:tcW w:type="dxa" w:w="721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190"/>
        </w:trPr>
        <w:tc>
          <w:tcPr>
            <w:tcW w:type="dxa" w:w="2610"/>
            <w:gridSpan w:val="2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Liberia</w:t>
            </w:r>
          </w:p>
        </w:tc>
        <w:tc>
          <w:tcPr>
            <w:tcW w:type="dxa" w:w="738"/>
            <w:gridSpan w:val="2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2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1,538 </w:t>
            </w:r>
          </w:p>
        </w:tc>
        <w:tc>
          <w:tcPr>
            <w:tcW w:type="dxa" w:w="590"/>
            <w:gridSpan w:val="2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0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 </w:t>
            </w:r>
          </w:p>
        </w:tc>
        <w:tc>
          <w:tcPr>
            <w:tcW w:type="dxa" w:w="450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435 </w:t>
            </w:r>
          </w:p>
        </w:tc>
        <w:tc>
          <w:tcPr>
            <w:tcW w:type="dxa" w:w="230"/>
            <w:vMerge w:val="restart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30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1,017 </w:t>
            </w:r>
          </w:p>
        </w:tc>
        <w:tc>
          <w:tcPr>
            <w:tcW w:type="dxa" w:w="1394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220"/>
        </w:trPr>
        <w:tc>
          <w:tcPr>
            <w:tcW w:type="dxa" w:w="26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Madagascar</w:t>
            </w:r>
          </w:p>
        </w:tc>
        <w:tc>
          <w:tcPr>
            <w:tcW w:type="dxa" w:w="152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5,295 </w:t>
            </w:r>
          </w:p>
        </w:tc>
        <w:tc>
          <w:tcPr>
            <w:tcW w:type="dxa" w:w="123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2,277 </w:t>
            </w:r>
          </w:p>
        </w:tc>
        <w:tc>
          <w:tcPr>
            <w:tcW w:type="dxa" w:w="721"/>
            <w:vMerge/>
            <w:tcBorders>
              <w:top w:sz="8.0" w:val="single" w:color="#000000"/>
            </w:tcBorders>
          </w:tcPr>
          <w:p/>
        </w:tc>
        <w:tc>
          <w:tcPr>
            <w:tcW w:type="dxa" w:w="10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3,007 </w:t>
            </w:r>
          </w:p>
        </w:tc>
        <w:tc>
          <w:tcPr>
            <w:tcW w:type="dxa" w:w="13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1.32</w:t>
            </w:r>
          </w:p>
        </w:tc>
      </w:tr>
      <w:tr>
        <w:trPr>
          <w:trHeight w:hRule="exact" w:val="235"/>
        </w:trPr>
        <w:tc>
          <w:tcPr>
            <w:tcW w:type="dxa" w:w="26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Malawi</w:t>
            </w:r>
          </w:p>
        </w:tc>
        <w:tc>
          <w:tcPr>
            <w:tcW w:type="dxa" w:w="152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2,056 </w:t>
            </w:r>
          </w:p>
        </w:tc>
        <w:tc>
          <w:tcPr>
            <w:tcW w:type="dxa" w:w="123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189 </w:t>
            </w:r>
          </w:p>
        </w:tc>
        <w:tc>
          <w:tcPr>
            <w:tcW w:type="dxa" w:w="721"/>
            <w:vMerge/>
            <w:tcBorders>
              <w:top w:sz="8.0" w:val="single" w:color="#000000"/>
            </w:tcBorders>
          </w:tcPr>
          <w:p/>
        </w:tc>
        <w:tc>
          <w:tcPr>
            <w:tcW w:type="dxa" w:w="10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1,867 </w:t>
            </w:r>
          </w:p>
        </w:tc>
        <w:tc>
          <w:tcPr>
            <w:tcW w:type="dxa" w:w="13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0.82</w:t>
            </w:r>
          </w:p>
        </w:tc>
      </w:tr>
      <w:tr>
        <w:trPr>
          <w:trHeight w:hRule="exact" w:val="185"/>
        </w:trPr>
        <w:tc>
          <w:tcPr>
            <w:tcW w:type="dxa" w:w="26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Maldives</w:t>
            </w:r>
          </w:p>
        </w:tc>
        <w:tc>
          <w:tcPr>
            <w:tcW w:type="dxa" w:w="152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140 </w:t>
            </w:r>
          </w:p>
        </w:tc>
        <w:tc>
          <w:tcPr>
            <w:tcW w:type="dxa" w:w="123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 </w:t>
            </w:r>
          </w:p>
        </w:tc>
        <w:tc>
          <w:tcPr>
            <w:tcW w:type="dxa" w:w="721"/>
            <w:vMerge/>
            <w:tcBorders>
              <w:top w:sz="8.0" w:val="single" w:color="#000000"/>
            </w:tcBorders>
          </w:tcPr>
          <w:p/>
        </w:tc>
        <w:tc>
          <w:tcPr>
            <w:tcW w:type="dxa" w:w="10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 </w:t>
            </w:r>
          </w:p>
        </w:tc>
        <w:tc>
          <w:tcPr>
            <w:tcW w:type="dxa" w:w="13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</w:tr>
      <w:tr>
        <w:trPr>
          <w:trHeight w:hRule="exact" w:val="204"/>
        </w:trPr>
        <w:tc>
          <w:tcPr>
            <w:tcW w:type="dxa" w:w="26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Mali</w:t>
            </w:r>
          </w:p>
        </w:tc>
        <w:tc>
          <w:tcPr>
            <w:tcW w:type="dxa" w:w="152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4,024 </w:t>
            </w:r>
          </w:p>
        </w:tc>
        <w:tc>
          <w:tcPr>
            <w:tcW w:type="dxa" w:w="123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238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1,294 </w:t>
            </w:r>
          </w:p>
        </w:tc>
        <w:tc>
          <w:tcPr>
            <w:tcW w:type="dxa" w:w="721"/>
            <w:vMerge/>
            <w:tcBorders>
              <w:top w:sz="8.0" w:val="single" w:color="#000000"/>
            </w:tcBorders>
          </w:tcPr>
          <w:p/>
        </w:tc>
        <w:tc>
          <w:tcPr>
            <w:tcW w:type="dxa" w:w="10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2,492 </w:t>
            </w:r>
          </w:p>
        </w:tc>
        <w:tc>
          <w:tcPr>
            <w:tcW w:type="dxa" w:w="13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1.09</w:t>
            </w:r>
          </w:p>
        </w:tc>
      </w:tr>
      <w:tr>
        <w:trPr>
          <w:trHeight w:hRule="exact" w:val="196"/>
        </w:trPr>
        <w:tc>
          <w:tcPr>
            <w:tcW w:type="dxa" w:w="2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Mauritania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1,164 </w:t>
            </w:r>
          </w:p>
        </w:tc>
        <w:tc>
          <w:tcPr>
            <w:tcW w:type="dxa" w:w="1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615 </w:t>
            </w:r>
          </w:p>
        </w:tc>
        <w:tc>
          <w:tcPr>
            <w:tcW w:type="dxa" w:w="2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504 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0.22</w:t>
            </w:r>
          </w:p>
        </w:tc>
      </w:tr>
      <w:tr>
        <w:trPr>
          <w:trHeight w:hRule="exact" w:val="218"/>
        </w:trPr>
        <w:tc>
          <w:tcPr>
            <w:tcW w:type="dxa" w:w="2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Moldova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1,068 </w:t>
            </w:r>
          </w:p>
        </w:tc>
        <w:tc>
          <w:tcPr>
            <w:tcW w:type="dxa" w:w="1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209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859 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0.38</w:t>
            </w:r>
          </w:p>
        </w:tc>
      </w:tr>
      <w:tr>
        <w:trPr>
          <w:trHeight w:hRule="exact" w:val="202"/>
        </w:trPr>
        <w:tc>
          <w:tcPr>
            <w:tcW w:type="dxa" w:w="2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Mongolia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853 </w:t>
            </w:r>
          </w:p>
        </w:tc>
        <w:tc>
          <w:tcPr>
            <w:tcW w:type="dxa" w:w="1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795 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0.35</w:t>
            </w:r>
          </w:p>
        </w:tc>
      </w:tr>
      <w:tr>
        <w:trPr>
          <w:trHeight w:hRule="exact" w:val="220"/>
        </w:trPr>
        <w:tc>
          <w:tcPr>
            <w:tcW w:type="dxa" w:w="2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Montenegro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58"/>
        </w:trPr>
        <w:tc>
          <w:tcPr>
            <w:tcW w:type="dxa" w:w="2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Mozambique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3,513 </w:t>
            </w:r>
          </w:p>
        </w:tc>
        <w:tc>
          <w:tcPr>
            <w:tcW w:type="dxa" w:w="1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397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3,116 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1.37</w:t>
            </w:r>
          </w:p>
        </w:tc>
      </w:tr>
      <w:tr>
        <w:trPr>
          <w:trHeight w:hRule="exact" w:val="182"/>
        </w:trPr>
        <w:tc>
          <w:tcPr>
            <w:tcW w:type="dxa" w:w="2610"/>
            <w:gridSpan w:val="2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Myanmar</w:t>
            </w:r>
          </w:p>
        </w:tc>
        <w:tc>
          <w:tcPr>
            <w:tcW w:type="dxa" w:w="1520"/>
            <w:gridSpan w:val="3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1,549 </w:t>
            </w:r>
          </w:p>
        </w:tc>
        <w:tc>
          <w:tcPr>
            <w:tcW w:type="dxa" w:w="1230"/>
            <w:gridSpan w:val="3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 </w:t>
            </w:r>
          </w:p>
        </w:tc>
        <w:tc>
          <w:tcPr>
            <w:tcW w:type="dxa" w:w="230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1,489 </w:t>
            </w:r>
          </w:p>
        </w:tc>
        <w:tc>
          <w:tcPr>
            <w:tcW w:type="dxa" w:w="13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0.65</w:t>
            </w:r>
          </w:p>
        </w:tc>
      </w:tr>
      <w:tr>
        <w:trPr>
          <w:trHeight w:hRule="exact" w:val="42"/>
        </w:trPr>
        <w:tc>
          <w:tcPr>
            <w:tcW w:type="dxa" w:w="1442"/>
            <w:gridSpan w:val="2"/>
            <w:vMerge/>
            <w:tcBorders/>
          </w:tcPr>
          <w:p/>
        </w:tc>
        <w:tc>
          <w:tcPr>
            <w:tcW w:type="dxa" w:w="2163"/>
            <w:gridSpan w:val="3"/>
            <w:vMerge/>
            <w:tcBorders/>
          </w:tcPr>
          <w:p/>
        </w:tc>
        <w:tc>
          <w:tcPr>
            <w:tcW w:type="dxa" w:w="2163"/>
            <w:gridSpan w:val="3"/>
            <w:vMerge/>
            <w:tcBorders/>
          </w:tcPr>
          <w:p/>
        </w:tc>
        <w:tc>
          <w:tcPr>
            <w:tcW w:type="dxa" w:w="1260"/>
            <w:gridSpan w:val="2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1,358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5,042 </w:t>
            </w:r>
          </w:p>
        </w:tc>
        <w:tc>
          <w:tcPr>
            <w:tcW w:type="dxa" w:w="1394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2.21</w:t>
            </w:r>
          </w:p>
        </w:tc>
      </w:tr>
      <w:tr>
        <w:trPr>
          <w:trHeight w:hRule="exact" w:val="198"/>
        </w:trPr>
        <w:tc>
          <w:tcPr>
            <w:tcW w:type="dxa" w:w="26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Nepal</w:t>
            </w:r>
          </w:p>
        </w:tc>
        <w:tc>
          <w:tcPr>
            <w:tcW w:type="dxa" w:w="152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6,668 </w:t>
            </w:r>
          </w:p>
        </w:tc>
        <w:tc>
          <w:tcPr>
            <w:tcW w:type="dxa" w:w="123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268 </w:t>
            </w:r>
          </w:p>
        </w:tc>
        <w:tc>
          <w:tcPr>
            <w:tcW w:type="dxa" w:w="1442"/>
            <w:gridSpan w:val="2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6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Nicaragua</w:t>
            </w:r>
          </w:p>
        </w:tc>
        <w:tc>
          <w:tcPr>
            <w:tcW w:type="dxa" w:w="152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1,017 </w:t>
            </w:r>
          </w:p>
        </w:tc>
        <w:tc>
          <w:tcPr>
            <w:tcW w:type="dxa" w:w="123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991 </w:t>
            </w:r>
          </w:p>
        </w:tc>
        <w:tc>
          <w:tcPr>
            <w:tcW w:type="dxa" w:w="13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0.44</w:t>
            </w:r>
          </w:p>
        </w:tc>
      </w:tr>
      <w:tr>
        <w:trPr>
          <w:trHeight w:hRule="exact" w:val="200"/>
        </w:trPr>
        <w:tc>
          <w:tcPr>
            <w:tcW w:type="dxa" w:w="2610"/>
            <w:gridSpan w:val="2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Niger</w:t>
            </w:r>
          </w:p>
        </w:tc>
        <w:tc>
          <w:tcPr>
            <w:tcW w:type="dxa" w:w="1520"/>
            <w:gridSpan w:val="3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5,673 </w:t>
            </w:r>
          </w:p>
        </w:tc>
        <w:tc>
          <w:tcPr>
            <w:tcW w:type="dxa" w:w="1230"/>
            <w:gridSpan w:val="3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2,801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2,872 </w:t>
            </w:r>
          </w:p>
        </w:tc>
        <w:tc>
          <w:tcPr>
            <w:tcW w:type="dxa" w:w="13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1.26</w:t>
            </w:r>
          </w:p>
        </w:tc>
      </w:tr>
      <w:tr>
        <w:trPr>
          <w:trHeight w:hRule="exact" w:val="42"/>
        </w:trPr>
        <w:tc>
          <w:tcPr>
            <w:tcW w:type="dxa" w:w="1442"/>
            <w:gridSpan w:val="2"/>
            <w:vMerge/>
            <w:tcBorders/>
          </w:tcPr>
          <w:p/>
        </w:tc>
        <w:tc>
          <w:tcPr>
            <w:tcW w:type="dxa" w:w="2163"/>
            <w:gridSpan w:val="3"/>
            <w:vMerge/>
            <w:tcBorders/>
          </w:tcPr>
          <w:p/>
        </w:tc>
        <w:tc>
          <w:tcPr>
            <w:tcW w:type="dxa" w:w="2163"/>
            <w:gridSpan w:val="3"/>
            <w:vMerge/>
            <w:tcBorders/>
          </w:tcPr>
          <w:p/>
        </w:tc>
        <w:tc>
          <w:tcPr>
            <w:tcW w:type="dxa" w:w="1260"/>
            <w:gridSpan w:val="2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6,932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18,075 </w:t>
            </w:r>
          </w:p>
        </w:tc>
        <w:tc>
          <w:tcPr>
            <w:tcW w:type="dxa" w:w="1394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7.93</w:t>
            </w:r>
          </w:p>
        </w:tc>
      </w:tr>
      <w:tr>
        <w:trPr>
          <w:trHeight w:hRule="exact" w:val="212"/>
        </w:trPr>
        <w:tc>
          <w:tcPr>
            <w:tcW w:type="dxa" w:w="26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Nigeria</w:t>
            </w:r>
          </w:p>
        </w:tc>
        <w:tc>
          <w:tcPr>
            <w:tcW w:type="dxa" w:w="152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26,152 </w:t>
            </w:r>
          </w:p>
        </w:tc>
        <w:tc>
          <w:tcPr>
            <w:tcW w:type="dxa" w:w="123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1,145 </w:t>
            </w:r>
          </w:p>
        </w:tc>
        <w:tc>
          <w:tcPr>
            <w:tcW w:type="dxa" w:w="1442"/>
            <w:gridSpan w:val="2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2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North Macedonia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119 </w:t>
            </w:r>
          </w:p>
        </w:tc>
        <w:tc>
          <w:tcPr>
            <w:tcW w:type="dxa" w:w="1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119 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198"/>
        </w:trPr>
        <w:tc>
          <w:tcPr>
            <w:tcW w:type="dxa" w:w="2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Pakistan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24,995 </w:t>
            </w:r>
          </w:p>
        </w:tc>
        <w:tc>
          <w:tcPr>
            <w:tcW w:type="dxa" w:w="1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359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5,527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19,109 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8.39</w:t>
            </w:r>
          </w:p>
        </w:tc>
      </w:tr>
      <w:tr>
        <w:trPr>
          <w:trHeight w:hRule="exact" w:val="202"/>
        </w:trPr>
        <w:tc>
          <w:tcPr>
            <w:tcW w:type="dxa" w:w="2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Papua New Guinea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1,182 </w:t>
            </w:r>
          </w:p>
        </w:tc>
        <w:tc>
          <w:tcPr>
            <w:tcW w:type="dxa" w:w="1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103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446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633 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0.28</w:t>
            </w:r>
          </w:p>
        </w:tc>
      </w:tr>
      <w:tr>
        <w:trPr>
          <w:trHeight w:hRule="exact" w:val="220"/>
        </w:trPr>
        <w:tc>
          <w:tcPr>
            <w:tcW w:type="dxa" w:w="2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Paraguay</w:t>
            </w:r>
          </w:p>
        </w:tc>
        <w:tc>
          <w:tcPr>
            <w:tcW w:type="dxa" w:w="20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* </w:t>
            </w:r>
          </w:p>
        </w:tc>
        <w:tc>
          <w:tcPr>
            <w:tcW w:type="dxa" w:w="7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198"/>
        </w:trPr>
        <w:tc>
          <w:tcPr>
            <w:tcW w:type="dxa" w:w="2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Philippines</w:t>
            </w:r>
          </w:p>
        </w:tc>
        <w:tc>
          <w:tcPr>
            <w:tcW w:type="dxa" w:w="20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7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197"/>
        </w:trPr>
        <w:tc>
          <w:tcPr>
            <w:tcW w:type="dxa" w:w="26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Rwanda</w:t>
            </w:r>
          </w:p>
        </w:tc>
        <w:tc>
          <w:tcPr>
            <w:tcW w:type="dxa" w:w="2012"/>
            <w:gridSpan w:val="4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5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5,142 </w:t>
            </w:r>
          </w:p>
        </w:tc>
        <w:tc>
          <w:tcPr>
            <w:tcW w:type="dxa" w:w="738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139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971 </w:t>
            </w:r>
          </w:p>
        </w:tc>
        <w:tc>
          <w:tcPr>
            <w:tcW w:type="dxa" w:w="230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4,032 </w:t>
            </w:r>
          </w:p>
        </w:tc>
        <w:tc>
          <w:tcPr>
            <w:tcW w:type="dxa" w:w="13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1.77</w:t>
            </w:r>
          </w:p>
        </w:tc>
      </w:tr>
      <w:tr>
        <w:trPr>
          <w:trHeight w:hRule="exact" w:val="185"/>
        </w:trPr>
        <w:tc>
          <w:tcPr>
            <w:tcW w:type="dxa" w:w="26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Samoa</w:t>
            </w:r>
          </w:p>
        </w:tc>
        <w:tc>
          <w:tcPr>
            <w:tcW w:type="dxa" w:w="2012"/>
            <w:gridSpan w:val="4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 </w:t>
            </w:r>
          </w:p>
        </w:tc>
        <w:tc>
          <w:tcPr>
            <w:tcW w:type="dxa" w:w="738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 </w:t>
            </w:r>
          </w:p>
        </w:tc>
        <w:tc>
          <w:tcPr>
            <w:tcW w:type="dxa" w:w="13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</w:tr>
      <w:tr>
        <w:trPr>
          <w:trHeight w:hRule="exact" w:val="200"/>
        </w:trPr>
        <w:tc>
          <w:tcPr>
            <w:tcW w:type="dxa" w:w="26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São Tomé and Príncipe</w:t>
            </w:r>
          </w:p>
        </w:tc>
        <w:tc>
          <w:tcPr>
            <w:tcW w:type="dxa" w:w="2012"/>
            <w:gridSpan w:val="4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5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738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13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198"/>
        </w:trPr>
        <w:tc>
          <w:tcPr>
            <w:tcW w:type="dxa" w:w="26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Senegal</w:t>
            </w:r>
          </w:p>
        </w:tc>
        <w:tc>
          <w:tcPr>
            <w:tcW w:type="dxa" w:w="2012"/>
            <w:gridSpan w:val="4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7,676 </w:t>
            </w:r>
          </w:p>
        </w:tc>
        <w:tc>
          <w:tcPr>
            <w:tcW w:type="dxa" w:w="738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296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2,430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4,950 </w:t>
            </w:r>
          </w:p>
        </w:tc>
        <w:tc>
          <w:tcPr>
            <w:tcW w:type="dxa" w:w="13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2.17</w:t>
            </w:r>
          </w:p>
        </w:tc>
      </w:tr>
      <w:tr>
        <w:trPr>
          <w:trHeight w:hRule="exact" w:val="196"/>
        </w:trPr>
        <w:tc>
          <w:tcPr>
            <w:tcW w:type="dxa" w:w="26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Serbia</w:t>
            </w:r>
          </w:p>
        </w:tc>
        <w:tc>
          <w:tcPr>
            <w:tcW w:type="dxa" w:w="2012"/>
            <w:gridSpan w:val="4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5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738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13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186"/>
        </w:trPr>
        <w:tc>
          <w:tcPr>
            <w:tcW w:type="dxa" w:w="2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Sierra Leone</w:t>
            </w:r>
          </w:p>
        </w:tc>
        <w:tc>
          <w:tcPr>
            <w:tcW w:type="dxa" w:w="20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479 </w:t>
            </w:r>
          </w:p>
        </w:tc>
        <w:tc>
          <w:tcPr>
            <w:tcW w:type="dxa" w:w="7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2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478 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0.21</w:t>
            </w:r>
          </w:p>
        </w:tc>
      </w:tr>
      <w:tr>
        <w:trPr>
          <w:trHeight w:hRule="exact" w:val="200"/>
        </w:trPr>
        <w:tc>
          <w:tcPr>
            <w:tcW w:type="dxa" w:w="2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Solomon Islands</w:t>
            </w:r>
          </w:p>
        </w:tc>
        <w:tc>
          <w:tcPr>
            <w:tcW w:type="dxa" w:w="20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5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271 </w:t>
            </w:r>
          </w:p>
        </w:tc>
        <w:tc>
          <w:tcPr>
            <w:tcW w:type="dxa" w:w="7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121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145 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198"/>
        </w:trPr>
        <w:tc>
          <w:tcPr>
            <w:tcW w:type="dxa" w:w="2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Sudan</w:t>
            </w:r>
          </w:p>
        </w:tc>
        <w:tc>
          <w:tcPr>
            <w:tcW w:type="dxa" w:w="20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 </w:t>
            </w:r>
          </w:p>
        </w:tc>
        <w:tc>
          <w:tcPr>
            <w:tcW w:type="dxa" w:w="7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 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</w:tr>
      <w:tr>
        <w:trPr>
          <w:trHeight w:hRule="exact" w:val="197"/>
        </w:trPr>
        <w:tc>
          <w:tcPr>
            <w:tcW w:type="dxa" w:w="2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Sri Lanka</w:t>
            </w:r>
          </w:p>
        </w:tc>
        <w:tc>
          <w:tcPr>
            <w:tcW w:type="dxa" w:w="20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5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4,290 </w:t>
            </w:r>
          </w:p>
        </w:tc>
        <w:tc>
          <w:tcPr>
            <w:tcW w:type="dxa" w:w="7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180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419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3,691 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1.62</w:t>
            </w:r>
          </w:p>
        </w:tc>
      </w:tr>
      <w:tr>
        <w:trPr>
          <w:trHeight w:hRule="exact" w:val="193"/>
        </w:trPr>
        <w:tc>
          <w:tcPr>
            <w:tcW w:type="dxa" w:w="2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St. Kitts and Nevis</w:t>
            </w:r>
          </w:p>
        </w:tc>
        <w:tc>
          <w:tcPr>
            <w:tcW w:type="dxa" w:w="20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* </w:t>
            </w:r>
          </w:p>
        </w:tc>
        <w:tc>
          <w:tcPr>
            <w:tcW w:type="dxa" w:w="7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192"/>
        </w:trPr>
        <w:tc>
          <w:tcPr>
            <w:tcW w:type="dxa" w:w="26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St. Lucia</w:t>
            </w:r>
          </w:p>
        </w:tc>
        <w:tc>
          <w:tcPr>
            <w:tcW w:type="dxa" w:w="2012"/>
            <w:gridSpan w:val="4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5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437 </w:t>
            </w:r>
          </w:p>
        </w:tc>
        <w:tc>
          <w:tcPr>
            <w:tcW w:type="dxa" w:w="738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154 </w:t>
            </w:r>
          </w:p>
        </w:tc>
        <w:tc>
          <w:tcPr>
            <w:tcW w:type="dxa" w:w="230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240 </w:t>
            </w:r>
          </w:p>
        </w:tc>
        <w:tc>
          <w:tcPr>
            <w:tcW w:type="dxa" w:w="13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</w:tr>
      <w:tr>
        <w:trPr>
          <w:trHeight w:hRule="exact" w:val="198"/>
        </w:trPr>
        <w:tc>
          <w:tcPr>
            <w:tcW w:type="dxa" w:w="26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St. Vincent and the Grenadines</w:t>
            </w:r>
          </w:p>
        </w:tc>
        <w:tc>
          <w:tcPr>
            <w:tcW w:type="dxa" w:w="2012"/>
            <w:gridSpan w:val="4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426 </w:t>
            </w:r>
          </w:p>
        </w:tc>
        <w:tc>
          <w:tcPr>
            <w:tcW w:type="dxa" w:w="738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119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275 </w:t>
            </w:r>
          </w:p>
        </w:tc>
        <w:tc>
          <w:tcPr>
            <w:tcW w:type="dxa" w:w="13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0.12</w:t>
            </w:r>
          </w:p>
        </w:tc>
      </w:tr>
      <w:tr>
        <w:trPr>
          <w:trHeight w:hRule="exact" w:val="197"/>
        </w:trPr>
        <w:tc>
          <w:tcPr>
            <w:tcW w:type="dxa" w:w="26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Sudan</w:t>
            </w:r>
          </w:p>
        </w:tc>
        <w:tc>
          <w:tcPr>
            <w:tcW w:type="dxa" w:w="2012"/>
            <w:gridSpan w:val="4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5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212 </w:t>
            </w:r>
          </w:p>
        </w:tc>
        <w:tc>
          <w:tcPr>
            <w:tcW w:type="dxa" w:w="738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212 </w:t>
            </w:r>
          </w:p>
        </w:tc>
        <w:tc>
          <w:tcPr>
            <w:tcW w:type="dxa" w:w="13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</w:tr>
      <w:tr>
        <w:trPr>
          <w:trHeight w:hRule="exact" w:val="225"/>
        </w:trPr>
        <w:tc>
          <w:tcPr>
            <w:tcW w:type="dxa" w:w="26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Suriname</w:t>
            </w:r>
          </w:p>
        </w:tc>
        <w:tc>
          <w:tcPr>
            <w:tcW w:type="dxa" w:w="152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  <w:tc>
          <w:tcPr>
            <w:tcW w:type="dxa" w:w="123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3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240"/>
        </w:trPr>
        <w:tc>
          <w:tcPr>
            <w:tcW w:type="dxa" w:w="26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Tajikistan</w:t>
            </w:r>
          </w:p>
        </w:tc>
        <w:tc>
          <w:tcPr>
            <w:tcW w:type="dxa" w:w="152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470 </w:t>
            </w:r>
          </w:p>
        </w:tc>
        <w:tc>
          <w:tcPr>
            <w:tcW w:type="dxa" w:w="123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384 </w:t>
            </w:r>
          </w:p>
        </w:tc>
        <w:tc>
          <w:tcPr>
            <w:tcW w:type="dxa" w:w="13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0.17</w:t>
            </w:r>
          </w:p>
        </w:tc>
      </w:tr>
      <w:tr>
        <w:trPr>
          <w:trHeight w:hRule="exact" w:val="195"/>
        </w:trPr>
        <w:tc>
          <w:tcPr>
            <w:tcW w:type="dxa" w:w="2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Tanzania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17,625 </w:t>
            </w:r>
          </w:p>
        </w:tc>
        <w:tc>
          <w:tcPr>
            <w:tcW w:type="dxa" w:w="1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547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3,581 </w:t>
            </w:r>
          </w:p>
        </w:tc>
        <w:tc>
          <w:tcPr>
            <w:tcW w:type="dxa" w:w="2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13,497 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5.92</w:t>
            </w:r>
          </w:p>
        </w:tc>
      </w:tr>
      <w:tr>
        <w:trPr>
          <w:trHeight w:hRule="exact" w:val="185"/>
        </w:trPr>
        <w:tc>
          <w:tcPr>
            <w:tcW w:type="dxa" w:w="2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Timor-Leste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 </w:t>
            </w:r>
          </w:p>
        </w:tc>
        <w:tc>
          <w:tcPr>
            <w:tcW w:type="dxa" w:w="1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 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2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Togo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1,986 </w:t>
            </w:r>
          </w:p>
        </w:tc>
        <w:tc>
          <w:tcPr>
            <w:tcW w:type="dxa" w:w="1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970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1,016 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0.45</w:t>
            </w:r>
          </w:p>
        </w:tc>
      </w:tr>
      <w:tr>
        <w:trPr>
          <w:trHeight w:hRule="exact" w:val="220"/>
        </w:trPr>
        <w:tc>
          <w:tcPr>
            <w:tcW w:type="dxa" w:w="2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Tonga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 </w:t>
            </w:r>
          </w:p>
        </w:tc>
        <w:tc>
          <w:tcPr>
            <w:tcW w:type="dxa" w:w="1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</w:tr>
      <w:tr>
        <w:trPr>
          <w:trHeight w:hRule="exact" w:val="264"/>
        </w:trPr>
        <w:tc>
          <w:tcPr>
            <w:tcW w:type="dxa" w:w="2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Uganda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7,436 </w:t>
            </w:r>
          </w:p>
        </w:tc>
        <w:tc>
          <w:tcPr>
            <w:tcW w:type="dxa" w:w="1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641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1,441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5,354 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2.35</w:t>
            </w:r>
          </w:p>
        </w:tc>
      </w:tr>
      <w:tr>
        <w:trPr>
          <w:trHeight w:hRule="exact" w:val="194"/>
        </w:trPr>
        <w:tc>
          <w:tcPr>
            <w:tcW w:type="dxa" w:w="26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Ukraine</w:t>
            </w:r>
          </w:p>
        </w:tc>
        <w:tc>
          <w:tcPr>
            <w:tcW w:type="dxa" w:w="152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7,159 </w:t>
            </w:r>
          </w:p>
        </w:tc>
        <w:tc>
          <w:tcPr>
            <w:tcW w:type="dxa" w:w="123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1,192 </w:t>
            </w:r>
          </w:p>
        </w:tc>
        <w:tc>
          <w:tcPr>
            <w:tcW w:type="dxa" w:w="230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5,962 </w:t>
            </w:r>
          </w:p>
        </w:tc>
        <w:tc>
          <w:tcPr>
            <w:tcW w:type="dxa" w:w="13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2.62</w:t>
            </w:r>
          </w:p>
        </w:tc>
      </w:tr>
      <w:tr>
        <w:trPr>
          <w:trHeight w:hRule="exact" w:val="197"/>
        </w:trPr>
        <w:tc>
          <w:tcPr>
            <w:tcW w:type="dxa" w:w="26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Uzbekistan</w:t>
            </w:r>
          </w:p>
        </w:tc>
        <w:tc>
          <w:tcPr>
            <w:tcW w:type="dxa" w:w="152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6,649 </w:t>
            </w:r>
          </w:p>
        </w:tc>
        <w:tc>
          <w:tcPr>
            <w:tcW w:type="dxa" w:w="123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350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1,844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4,455 </w:t>
            </w:r>
          </w:p>
        </w:tc>
        <w:tc>
          <w:tcPr>
            <w:tcW w:type="dxa" w:w="13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1.95</w:t>
            </w:r>
          </w:p>
        </w:tc>
      </w:tr>
      <w:tr>
        <w:trPr>
          <w:trHeight w:hRule="exact" w:val="185"/>
        </w:trPr>
        <w:tc>
          <w:tcPr>
            <w:tcW w:type="dxa" w:w="26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Vanuatu</w:t>
            </w:r>
          </w:p>
        </w:tc>
        <w:tc>
          <w:tcPr>
            <w:tcW w:type="dxa" w:w="152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191 </w:t>
            </w:r>
          </w:p>
        </w:tc>
        <w:tc>
          <w:tcPr>
            <w:tcW w:type="dxa" w:w="123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84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107 </w:t>
            </w:r>
          </w:p>
        </w:tc>
        <w:tc>
          <w:tcPr>
            <w:tcW w:type="dxa" w:w="13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00"/>
        </w:trPr>
        <w:tc>
          <w:tcPr>
            <w:tcW w:type="dxa" w:w="26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Viet Nam</w:t>
            </w:r>
          </w:p>
        </w:tc>
        <w:tc>
          <w:tcPr>
            <w:tcW w:type="dxa" w:w="152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12,099 </w:t>
            </w:r>
          </w:p>
        </w:tc>
        <w:tc>
          <w:tcPr>
            <w:tcW w:type="dxa" w:w="123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516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11,583 </w:t>
            </w:r>
          </w:p>
        </w:tc>
        <w:tc>
          <w:tcPr>
            <w:tcW w:type="dxa" w:w="13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5.08</w:t>
            </w:r>
          </w:p>
        </w:tc>
      </w:tr>
      <w:tr>
        <w:trPr>
          <w:trHeight w:hRule="exact" w:val="200"/>
        </w:trPr>
        <w:tc>
          <w:tcPr>
            <w:tcW w:type="dxa" w:w="26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Yemen, Republic of</w:t>
            </w:r>
          </w:p>
        </w:tc>
        <w:tc>
          <w:tcPr>
            <w:tcW w:type="dxa" w:w="152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1,081 </w:t>
            </w:r>
          </w:p>
        </w:tc>
        <w:tc>
          <w:tcPr>
            <w:tcW w:type="dxa" w:w="123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10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1,054 </w:t>
            </w:r>
          </w:p>
        </w:tc>
        <w:tc>
          <w:tcPr>
            <w:tcW w:type="dxa" w:w="13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0.46</w:t>
            </w:r>
          </w:p>
        </w:tc>
      </w:tr>
      <w:tr>
        <w:trPr>
          <w:trHeight w:hRule="exact" w:val="195"/>
        </w:trPr>
        <w:tc>
          <w:tcPr>
            <w:tcW w:type="dxa" w:w="2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Zambia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3,484 </w:t>
            </w:r>
          </w:p>
        </w:tc>
        <w:tc>
          <w:tcPr>
            <w:tcW w:type="dxa" w:w="1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857 </w:t>
            </w:r>
          </w:p>
        </w:tc>
        <w:tc>
          <w:tcPr>
            <w:tcW w:type="dxa" w:w="2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2,627 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1.15</w:t>
            </w:r>
          </w:p>
        </w:tc>
      </w:tr>
      <w:tr>
        <w:trPr>
          <w:trHeight w:hRule="exact" w:val="195"/>
        </w:trPr>
        <w:tc>
          <w:tcPr>
            <w:tcW w:type="dxa" w:w="261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Zimbabwe</w:t>
            </w:r>
          </w:p>
        </w:tc>
        <w:tc>
          <w:tcPr>
            <w:tcW w:type="dxa" w:w="152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453 </w:t>
            </w:r>
          </w:p>
        </w:tc>
        <w:tc>
          <w:tcPr>
            <w:tcW w:type="dxa" w:w="123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1"/>
            <w:vMerge/>
            <w:tcBorders>
              <w:bottom w:sz="8.0" w:val="single" w:color="#000000"/>
            </w:tcBorders>
          </w:tcPr>
          <w:p/>
        </w:tc>
        <w:tc>
          <w:tcPr>
            <w:tcW w:type="dxa" w:w="10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453 </w:t>
            </w:r>
          </w:p>
        </w:tc>
        <w:tc>
          <w:tcPr>
            <w:tcW w:type="dxa" w:w="13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0.20</w:t>
            </w:r>
          </w:p>
        </w:tc>
      </w:tr>
      <w:tr>
        <w:trPr>
          <w:trHeight w:hRule="exact" w:val="194"/>
        </w:trPr>
        <w:tc>
          <w:tcPr>
            <w:tcW w:type="dxa" w:w="261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Subtotal—Members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8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7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308,854 </w:t>
            </w:r>
          </w:p>
        </w:tc>
        <w:tc>
          <w:tcPr>
            <w:tcW w:type="dxa" w:w="49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8,076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73,605 </w:t>
            </w:r>
          </w:p>
        </w:tc>
        <w:tc>
          <w:tcPr>
            <w:tcW w:type="dxa" w:w="2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227,173 </w:t>
            </w:r>
          </w:p>
        </w:tc>
        <w:tc>
          <w:tcPr>
            <w:tcW w:type="dxa" w:w="13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99.69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1936"/>
        </w:trPr>
        <w:tc>
          <w:tcPr>
            <w:tcW w:type="dxa" w:w="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 </w:t>
            </w:r>
          </w:p>
        </w:tc>
        <w:tc>
          <w:tcPr>
            <w:tcW w:type="dxa" w:w="5030"/>
            <w:gridSpan w:val="7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22" w:after="0"/>
              <w:ind w:left="4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IDA Financial Statements: June 30, 2025</w:t>
            </w:r>
          </w:p>
        </w:tc>
        <w:tc>
          <w:tcPr>
            <w:tcW w:type="dxa" w:w="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1"/>
            <w:vMerge/>
            <w:tcBorders>
              <w:top w:sz="8.0" w:val="single" w:color="#000000"/>
            </w:tcBorders>
          </w:tcPr>
          <w:p/>
        </w:tc>
        <w:tc>
          <w:tcPr>
            <w:tcW w:type="dxa" w:w="2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92" w:right="144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272" w:lineRule="exact" w:before="84" w:after="0"/>
        <w:ind w:left="10" w:right="4032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SUMMARY STATEMENT OF LOANS </w:t>
      </w:r>
      <w:r>
        <w:rPr>
          <w:rFonts w:ascii="Arial" w:hAnsi="Arial" w:eastAsia="Arial"/>
          <w:b w:val="0"/>
          <w:i/>
          <w:color w:val="000000"/>
          <w:sz w:val="20"/>
        </w:rPr>
        <w:t>June 30, 2025</w:t>
      </w:r>
    </w:p>
    <w:p>
      <w:pPr>
        <w:autoSpaceDN w:val="0"/>
        <w:autoSpaceDE w:val="0"/>
        <w:widowControl/>
        <w:spacing w:line="178" w:lineRule="exact" w:before="20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Amounts expressed in millions of U.S. dollars</w:t>
      </w:r>
    </w:p>
    <w:p>
      <w:pPr>
        <w:autoSpaceDN w:val="0"/>
        <w:autoSpaceDE w:val="0"/>
        <w:widowControl/>
        <w:spacing w:line="178" w:lineRule="exact" w:before="62" w:after="22"/>
        <w:ind w:left="0" w:right="326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Undisbursed balance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</w:tblGrid>
      <w:tr>
        <w:trPr>
          <w:trHeight w:hRule="exact" w:val="214"/>
        </w:trPr>
        <w:tc>
          <w:tcPr>
            <w:tcW w:type="dxa" w:w="27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Borrower or guarantor</w:t>
            </w:r>
          </w:p>
        </w:tc>
        <w:tc>
          <w:tcPr>
            <w:tcW w:type="dxa" w:w="3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8" w:after="0"/>
              <w:ind w:left="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 loans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Signed loan </w:t>
            </w:r>
          </w:p>
        </w:tc>
        <w:tc>
          <w:tcPr>
            <w:tcW w:type="dxa" w:w="2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2" w:after="0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13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8" w:after="0"/>
              <w:ind w:left="0" w:right="144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of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loans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 xml:space="preserve"> a</w:t>
            </w:r>
          </w:p>
        </w:tc>
      </w:tr>
      <w:tr>
        <w:trPr>
          <w:trHeight w:hRule="exact" w:val="100"/>
        </w:trPr>
        <w:tc>
          <w:tcPr>
            <w:tcW w:type="dxa" w:w="93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39"/>
            <w:vMerge/>
            <w:tcBorders>
              <w:bottom w:sz="8.0" w:val="single" w:color="#000000"/>
            </w:tcBorders>
          </w:tcPr>
          <w:p/>
        </w:tc>
        <w:tc>
          <w:tcPr>
            <w:tcW w:type="dxa" w:w="939"/>
            <w:vMerge/>
            <w:tcBorders>
              <w:bottom w:sz="8.0" w:val="single" w:color="#000000"/>
            </w:tcBorders>
          </w:tcPr>
          <w:p/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approved but </w:t>
            </w:r>
          </w:p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>
              <w:bottom w:sz="8.0" w:val="single" w:color="#000000"/>
            </w:tcBorders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100"/>
        </w:trPr>
        <w:tc>
          <w:tcPr>
            <w:tcW w:type="dxa" w:w="93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39"/>
            <w:vMerge/>
            <w:tcBorders>
              <w:bottom w:sz="8.0" w:val="single" w:color="#000000"/>
            </w:tcBorders>
          </w:tcPr>
          <w:p/>
        </w:tc>
        <w:tc>
          <w:tcPr>
            <w:tcW w:type="dxa" w:w="939"/>
            <w:vMerge/>
            <w:tcBorders>
              <w:bottom w:sz="8.0" w:val="single" w:color="#000000"/>
            </w:tcBorders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1260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commitments</w:t>
            </w:r>
          </w:p>
        </w:tc>
        <w:tc>
          <w:tcPr>
            <w:tcW w:type="dxa" w:w="939"/>
            <w:vMerge/>
            <w:tcBorders>
              <w:bottom w:sz="8.0" w:val="single" w:color="#000000"/>
            </w:tcBorders>
          </w:tcPr>
          <w:p/>
        </w:tc>
        <w:tc>
          <w:tcPr>
            <w:tcW w:type="dxa" w:w="10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  <w:tc>
          <w:tcPr>
            <w:tcW w:type="dxa" w:w="939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30"/>
        </w:trPr>
        <w:tc>
          <w:tcPr>
            <w:tcW w:type="dxa" w:w="93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39"/>
            <w:vMerge/>
            <w:tcBorders>
              <w:bottom w:sz="8.0" w:val="single" w:color="#000000"/>
            </w:tcBorders>
          </w:tcPr>
          <w:p/>
        </w:tc>
        <w:tc>
          <w:tcPr>
            <w:tcW w:type="dxa" w:w="939"/>
            <w:vMerge/>
            <w:tcBorders>
              <w:bottom w:sz="8.0" w:val="single" w:color="#000000"/>
            </w:tcBorders>
          </w:tcPr>
          <w:p/>
        </w:tc>
        <w:tc>
          <w:tcPr>
            <w:tcW w:type="dxa" w:w="12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not yet signed</w:t>
            </w:r>
          </w:p>
        </w:tc>
        <w:tc>
          <w:tcPr>
            <w:tcW w:type="dxa" w:w="1878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939"/>
            <w:vMerge/>
            <w:tcBorders>
              <w:bottom w:sz="8.0" w:val="single" w:color="#000000"/>
            </w:tcBorders>
          </w:tcPr>
          <w:p/>
        </w:tc>
        <w:tc>
          <w:tcPr>
            <w:tcW w:type="dxa" w:w="939"/>
            <w:vMerge/>
            <w:tcBorders>
              <w:bottom w:sz="8.0" w:val="single" w:color="#000000"/>
            </w:tcBorders>
          </w:tcPr>
          <w:p/>
        </w:tc>
        <w:tc>
          <w:tcPr>
            <w:tcW w:type="dxa" w:w="939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30"/>
        </w:trPr>
        <w:tc>
          <w:tcPr>
            <w:tcW w:type="dxa" w:w="2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African Trade Insurance Agency </w:t>
            </w:r>
          </w:p>
        </w:tc>
        <w:tc>
          <w:tcPr>
            <w:tcW w:type="dxa" w:w="3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5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13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240"/>
        </w:trPr>
        <w:tc>
          <w:tcPr>
            <w:tcW w:type="dxa" w:w="2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Bank of the States of Central Africa </w:t>
            </w:r>
          </w:p>
        </w:tc>
        <w:tc>
          <w:tcPr>
            <w:tcW w:type="dxa" w:w="939"/>
            <w:vMerge/>
            <w:tcBorders>
              <w:top w:sz="8.0" w:val="single" w:color="#000000"/>
            </w:tcBorders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9"/>
            <w:vMerge/>
            <w:tcBorders>
              <w:top w:sz="8.0" w:val="single" w:color="#000000"/>
            </w:tcBorders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 </w:t>
            </w:r>
          </w:p>
        </w:tc>
        <w:tc>
          <w:tcPr>
            <w:tcW w:type="dxa" w:w="1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</w:tr>
      <w:tr>
        <w:trPr>
          <w:trHeight w:hRule="exact" w:val="252"/>
        </w:trPr>
        <w:tc>
          <w:tcPr>
            <w:tcW w:type="dxa" w:w="2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Caribbean Development Bank </w:t>
            </w:r>
          </w:p>
        </w:tc>
        <w:tc>
          <w:tcPr>
            <w:tcW w:type="dxa" w:w="939"/>
            <w:vMerge/>
            <w:tcBorders>
              <w:top w:sz="8.0" w:val="single" w:color="#000000"/>
            </w:tcBorders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9"/>
            <w:vMerge/>
            <w:tcBorders>
              <w:top w:sz="8.0" w:val="single" w:color="#000000"/>
            </w:tcBorders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1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Eastern and Southern African Trade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</w:tblGrid>
      <w:tr>
        <w:trPr>
          <w:trHeight w:hRule="exact" w:val="212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and Development Bank</w:t>
            </w:r>
          </w:p>
        </w:tc>
        <w:tc>
          <w:tcPr>
            <w:tcW w:type="dxa" w:w="3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810 </w:t>
            </w:r>
          </w:p>
        </w:tc>
        <w:tc>
          <w:tcPr>
            <w:tcW w:type="dxa" w:w="4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  <w:tc>
          <w:tcPr>
            <w:tcW w:type="dxa" w:w="4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678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107 </w:t>
            </w:r>
          </w:p>
        </w:tc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44"/>
        </w:trPr>
        <w:tc>
          <w:tcPr>
            <w:tcW w:type="dxa" w:w="28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West African Development Bank </w:t>
            </w:r>
          </w:p>
        </w:tc>
        <w:tc>
          <w:tcPr>
            <w:tcW w:type="dxa" w:w="939"/>
            <w:vMerge/>
            <w:tcBorders>
              <w:bottom w:sz="8.0" w:val="single" w:color="#000000"/>
            </w:tcBorders>
          </w:tcPr>
          <w:p/>
        </w:tc>
        <w:tc>
          <w:tcPr>
            <w:tcW w:type="dxa" w:w="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591 </w:t>
            </w:r>
          </w:p>
        </w:tc>
        <w:tc>
          <w:tcPr>
            <w:tcW w:type="dxa" w:w="93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247 </w:t>
            </w:r>
          </w:p>
        </w:tc>
        <w:tc>
          <w:tcPr>
            <w:tcW w:type="dxa" w:w="939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 </w:t>
            </w:r>
          </w:p>
        </w:tc>
        <w:tc>
          <w:tcPr>
            <w:tcW w:type="dxa" w:w="939"/>
            <w:vMerge/>
            <w:tcBorders>
              <w:bottom w:sz="8.0" w:val="single" w:color="#000000"/>
            </w:tcBorders>
          </w:tcPr>
          <w:p/>
        </w:tc>
        <w:tc>
          <w:tcPr>
            <w:tcW w:type="dxa" w:w="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262 </w:t>
            </w:r>
          </w:p>
        </w:tc>
        <w:tc>
          <w:tcPr>
            <w:tcW w:type="dxa" w:w="13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0.12</w:t>
            </w:r>
          </w:p>
        </w:tc>
      </w:tr>
      <w:tr>
        <w:trPr>
          <w:trHeight w:hRule="exact" w:val="406"/>
        </w:trPr>
        <w:tc>
          <w:tcPr>
            <w:tcW w:type="dxa" w:w="2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2" w:val="left"/>
              </w:tabs>
              <w:autoSpaceDE w:val="0"/>
              <w:widowControl/>
              <w:spacing w:line="160" w:lineRule="exact" w:before="46" w:after="0"/>
              <w:ind w:left="62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Subtotal—Regional development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banks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1,464 </w:t>
            </w:r>
          </w:p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272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760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432 </w:t>
            </w:r>
          </w:p>
        </w:tc>
        <w:tc>
          <w:tcPr>
            <w:tcW w:type="dxa" w:w="13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6" w:after="0"/>
              <w:ind w:left="0" w:right="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0.19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450"/>
        </w:trPr>
        <w:tc>
          <w:tcPr>
            <w:tcW w:type="dxa" w:w="2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Private Sector Window (PSW) Loans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876 </w:t>
            </w:r>
          </w:p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445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149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282 </w:t>
            </w:r>
          </w:p>
        </w:tc>
        <w:tc>
          <w:tcPr>
            <w:tcW w:type="dxa" w:w="13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0" w:after="0"/>
              <w:ind w:left="0" w:right="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240"/>
        </w:trPr>
        <w:tc>
          <w:tcPr>
            <w:tcW w:type="dxa" w:w="2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Total—June 30, 2025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311,194 </w:t>
            </w:r>
          </w:p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8,793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74,514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227,887 </w:t>
            </w:r>
          </w:p>
        </w:tc>
        <w:tc>
          <w:tcPr>
            <w:tcW w:type="dxa" w:w="13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100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220"/>
        </w:trPr>
        <w:tc>
          <w:tcPr>
            <w:tcW w:type="dxa" w:w="2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Total—June 30, 2024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278,107 </w:t>
            </w:r>
          </w:p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6,708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68,851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202,548 </w:t>
            </w:r>
          </w:p>
        </w:tc>
        <w:tc>
          <w:tcPr>
            <w:tcW w:type="dxa" w:w="13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2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3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 Indicates amount less than $0.5 million or 0.005%.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May differ from the calculated amounts or sum of individual figures shown due to rounding.</w:t>
      </w:r>
    </w:p>
    <w:p>
      <w:pPr>
        <w:autoSpaceDN w:val="0"/>
        <w:autoSpaceDE w:val="0"/>
        <w:widowControl/>
        <w:spacing w:line="202" w:lineRule="exact" w:before="1540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Financial Statements are an integral part of these Statements.</w:t>
      </w:r>
    </w:p>
    <w:p>
      <w:pPr>
        <w:autoSpaceDN w:val="0"/>
        <w:tabs>
          <w:tab w:pos="9148" w:val="left"/>
        </w:tabs>
        <w:autoSpaceDE w:val="0"/>
        <w:widowControl/>
        <w:spacing w:line="224" w:lineRule="exact" w:before="6424" w:after="0"/>
        <w:ind w:left="48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83</w:t>
      </w:r>
    </w:p>
    <w:p>
      <w:pPr>
        <w:sectPr>
          <w:pgSz w:w="12240" w:h="15840"/>
          <w:pgMar w:top="692" w:right="142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28" w:lineRule="exact" w:before="2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STATEMENT OF VOTING POWER AND SUBSCRIPTIONS AND </w:t>
      </w: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CONTRIBUTIONS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>June 30, 2025</w:t>
      </w:r>
    </w:p>
    <w:p>
      <w:pPr>
        <w:autoSpaceDN w:val="0"/>
        <w:autoSpaceDE w:val="0"/>
        <w:widowControl/>
        <w:spacing w:line="180" w:lineRule="exact" w:before="278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Expressed in millions of U.S. dollars except for votes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3"/>
        <w:gridCol w:w="3123"/>
        <w:gridCol w:w="3123"/>
      </w:tblGrid>
      <w:tr>
        <w:trPr>
          <w:trHeight w:hRule="exact" w:val="614"/>
        </w:trPr>
        <w:tc>
          <w:tcPr>
            <w:tcW w:type="dxa" w:w="3468"/>
            <w:tcBorders>
              <w:top w:sz="8.0" w:val="single" w:color="#000000"/>
              <w:end w:sz="30.40000000000009" w:val="single" w:color="#FFFFFF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Member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 c</w:t>
            </w:r>
          </w:p>
        </w:tc>
        <w:tc>
          <w:tcPr>
            <w:tcW w:type="dxa" w:w="1868"/>
            <w:tcBorders>
              <w:start w:sz="30.40000000000009" w:val="single" w:color="#FFFFFF"/>
              <w:top w:sz="8.0" w:val="single" w:color="#000000"/>
              <w:end w:sz="24.0" w:val="single" w:color="#FFFFFF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Number of votes</w:t>
            </w:r>
          </w:p>
        </w:tc>
        <w:tc>
          <w:tcPr>
            <w:tcW w:type="dxa" w:w="4014"/>
            <w:tcBorders>
              <w:start w:sz="24.0" w:val="single" w:color="#FFFFFF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2007"/>
              <w:gridCol w:w="2007"/>
            </w:tblGrid>
            <w:tr>
              <w:trPr>
                <w:trHeight w:hRule="exact" w:val="472"/>
              </w:trPr>
              <w:tc>
                <w:tcPr>
                  <w:tcW w:type="dxa" w:w="1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8" w:after="0"/>
                    <w:ind w:left="0" w:right="144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Percentage of total </w:t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votes</w:t>
                  </w:r>
                </w:p>
              </w:tc>
              <w:tc>
                <w:tcPr>
                  <w:tcW w:type="dxa" w:w="214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8" w:after="0"/>
                    <w:ind w:left="144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Subscriptions and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contributions committed </w:t>
                  </w:r>
                  <w:r>
                    <w:rPr>
                      <w:w w:val="103.99999618530273"/>
                      <w:rFonts w:ascii="Arial" w:hAnsi="Arial" w:eastAsia="Arial"/>
                      <w:b w:val="0"/>
                      <w:i/>
                      <w:color w:val="000000"/>
                      <w:sz w:val="10"/>
                    </w:rPr>
                    <w:t>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80" w:lineRule="exact" w:before="96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Non-Recipients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74"/>
        <w:gridCol w:w="1874"/>
        <w:gridCol w:w="1874"/>
        <w:gridCol w:w="1874"/>
        <w:gridCol w:w="1874"/>
      </w:tblGrid>
      <w:tr>
        <w:trPr>
          <w:trHeight w:hRule="exact" w:val="226"/>
        </w:trPr>
        <w:tc>
          <w:tcPr>
            <w:tcW w:type="dxa" w:w="443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Albania</w:t>
            </w:r>
          </w:p>
        </w:tc>
        <w:tc>
          <w:tcPr>
            <w:tcW w:type="dxa" w:w="14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61,859</w:t>
            </w:r>
          </w:p>
        </w:tc>
        <w:tc>
          <w:tcPr>
            <w:tcW w:type="dxa" w:w="2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0.19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0.39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Algeria</w:t>
            </w:r>
          </w:p>
        </w:tc>
        <w:tc>
          <w:tcPr>
            <w:tcW w:type="dxa" w:w="14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128,260</w:t>
            </w:r>
          </w:p>
        </w:tc>
        <w:tc>
          <w:tcPr>
            <w:tcW w:type="dxa" w:w="2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0.40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58.59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Argentina</w:t>
            </w:r>
          </w:p>
        </w:tc>
        <w:tc>
          <w:tcPr>
            <w:tcW w:type="dxa" w:w="14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431,271</w:t>
            </w:r>
          </w:p>
        </w:tc>
        <w:tc>
          <w:tcPr>
            <w:tcW w:type="dxa" w:w="2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1.33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164.21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Australia</w:t>
            </w:r>
          </w:p>
        </w:tc>
        <w:tc>
          <w:tcPr>
            <w:tcW w:type="dxa" w:w="14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401,612</w:t>
            </w:r>
          </w:p>
        </w:tc>
        <w:tc>
          <w:tcPr>
            <w:tcW w:type="dxa" w:w="2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1.24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5,763.57 </w:t>
            </w:r>
          </w:p>
        </w:tc>
      </w:tr>
      <w:tr>
        <w:trPr>
          <w:trHeight w:hRule="exact" w:val="254"/>
        </w:trPr>
        <w:tc>
          <w:tcPr>
            <w:tcW w:type="dxa" w:w="443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Austria</w:t>
            </w:r>
          </w:p>
        </w:tc>
        <w:tc>
          <w:tcPr>
            <w:tcW w:type="dxa" w:w="14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325,101</w:t>
            </w:r>
          </w:p>
        </w:tc>
        <w:tc>
          <w:tcPr>
            <w:tcW w:type="dxa" w:w="2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1.00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4,667.71 </w:t>
            </w:r>
          </w:p>
        </w:tc>
      </w:tr>
      <w:tr>
        <w:trPr>
          <w:trHeight w:hRule="exact" w:val="226"/>
        </w:trPr>
        <w:tc>
          <w:tcPr>
            <w:tcW w:type="dxa" w:w="4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Bahamas, The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59,906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0.18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8.54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Barbados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62,860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0.19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2.36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Belgium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378,585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1.17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5,983.42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Belize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19,834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0.27 </w:t>
            </w:r>
          </w:p>
        </w:tc>
      </w:tr>
      <w:tr>
        <w:trPr>
          <w:trHeight w:hRule="exact" w:val="252"/>
        </w:trPr>
        <w:tc>
          <w:tcPr>
            <w:tcW w:type="dxa" w:w="4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Botswana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53,986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0.17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3.74 </w:t>
            </w:r>
          </w:p>
        </w:tc>
      </w:tr>
      <w:tr>
        <w:trPr>
          <w:trHeight w:hRule="exact" w:val="228"/>
        </w:trPr>
        <w:tc>
          <w:tcPr>
            <w:tcW w:type="dxa" w:w="443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Brazil</w:t>
            </w:r>
          </w:p>
        </w:tc>
        <w:tc>
          <w:tcPr>
            <w:tcW w:type="dxa" w:w="14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477,996</w:t>
            </w:r>
          </w:p>
        </w:tc>
        <w:tc>
          <w:tcPr>
            <w:tcW w:type="dxa" w:w="2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1.47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834.59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Bulgaria</w:t>
            </w:r>
          </w:p>
        </w:tc>
        <w:tc>
          <w:tcPr>
            <w:tcW w:type="dxa" w:w="14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113,171</w:t>
            </w:r>
          </w:p>
        </w:tc>
        <w:tc>
          <w:tcPr>
            <w:tcW w:type="dxa" w:w="2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0.35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8.02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Canada</w:t>
            </w:r>
          </w:p>
        </w:tc>
        <w:tc>
          <w:tcPr>
            <w:tcW w:type="dxa" w:w="14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884,699</w:t>
            </w:r>
          </w:p>
        </w:tc>
        <w:tc>
          <w:tcPr>
            <w:tcW w:type="dxa" w:w="2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2.73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14,416.98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Chile</w:t>
            </w:r>
          </w:p>
        </w:tc>
        <w:tc>
          <w:tcPr>
            <w:tcW w:type="dxa" w:w="14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58,505</w:t>
            </w:r>
          </w:p>
        </w:tc>
        <w:tc>
          <w:tcPr>
            <w:tcW w:type="dxa" w:w="2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0.18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39.11 </w:t>
            </w:r>
          </w:p>
        </w:tc>
      </w:tr>
      <w:tr>
        <w:trPr>
          <w:trHeight w:hRule="exact" w:val="252"/>
        </w:trPr>
        <w:tc>
          <w:tcPr>
            <w:tcW w:type="dxa" w:w="443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</w:t>
            </w:r>
          </w:p>
        </w:tc>
        <w:tc>
          <w:tcPr>
            <w:tcW w:type="dxa" w:w="14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831,066</w:t>
            </w:r>
          </w:p>
        </w:tc>
        <w:tc>
          <w:tcPr>
            <w:tcW w:type="dxa" w:w="2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2.56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3,457.26 </w:t>
            </w:r>
          </w:p>
        </w:tc>
      </w:tr>
      <w:tr>
        <w:trPr>
          <w:trHeight w:hRule="exact" w:val="228"/>
        </w:trPr>
        <w:tc>
          <w:tcPr>
            <w:tcW w:type="dxa" w:w="4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Colombia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133,290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0.41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25.18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Costa Rica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31,091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0.28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Croatia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95,973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0.30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9.04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Cyprus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79,840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0.25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38.01 </w:t>
            </w:r>
          </w:p>
        </w:tc>
      </w:tr>
      <w:tr>
        <w:trPr>
          <w:trHeight w:hRule="exact" w:val="252"/>
        </w:trPr>
        <w:tc>
          <w:tcPr>
            <w:tcW w:type="dxa" w:w="4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Czechia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140,699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0.43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173.00 </w:t>
            </w:r>
          </w:p>
        </w:tc>
      </w:tr>
      <w:tr>
        <w:trPr>
          <w:trHeight w:hRule="exact" w:val="228"/>
        </w:trPr>
        <w:tc>
          <w:tcPr>
            <w:tcW w:type="dxa" w:w="443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Denmark</w:t>
            </w:r>
          </w:p>
        </w:tc>
        <w:tc>
          <w:tcPr>
            <w:tcW w:type="dxa" w:w="14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314,240</w:t>
            </w:r>
          </w:p>
        </w:tc>
        <w:tc>
          <w:tcPr>
            <w:tcW w:type="dxa" w:w="2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0.97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4,709.90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Dominican Republic</w:t>
            </w:r>
          </w:p>
        </w:tc>
        <w:tc>
          <w:tcPr>
            <w:tcW w:type="dxa" w:w="14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27,780</w:t>
            </w:r>
          </w:p>
        </w:tc>
        <w:tc>
          <w:tcPr>
            <w:tcW w:type="dxa" w:w="2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0.58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Ecuador</w:t>
            </w:r>
          </w:p>
        </w:tc>
        <w:tc>
          <w:tcPr>
            <w:tcW w:type="dxa" w:w="14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50,151</w:t>
            </w:r>
          </w:p>
        </w:tc>
        <w:tc>
          <w:tcPr>
            <w:tcW w:type="dxa" w:w="2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0.94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Egypt, Arab Republic Of</w:t>
            </w:r>
          </w:p>
        </w:tc>
        <w:tc>
          <w:tcPr>
            <w:tcW w:type="dxa" w:w="14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134,452</w:t>
            </w:r>
          </w:p>
        </w:tc>
        <w:tc>
          <w:tcPr>
            <w:tcW w:type="dxa" w:w="2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0.41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18.47 </w:t>
            </w:r>
          </w:p>
        </w:tc>
      </w:tr>
      <w:tr>
        <w:trPr>
          <w:trHeight w:hRule="exact" w:val="252"/>
        </w:trPr>
        <w:tc>
          <w:tcPr>
            <w:tcW w:type="dxa" w:w="443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El Salvador</w:t>
            </w:r>
          </w:p>
        </w:tc>
        <w:tc>
          <w:tcPr>
            <w:tcW w:type="dxa" w:w="14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46,516</w:t>
            </w:r>
          </w:p>
        </w:tc>
        <w:tc>
          <w:tcPr>
            <w:tcW w:type="dxa" w:w="2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0.14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0.49 </w:t>
            </w:r>
          </w:p>
        </w:tc>
      </w:tr>
      <w:tr>
        <w:trPr>
          <w:trHeight w:hRule="exact" w:val="228"/>
        </w:trPr>
        <w:tc>
          <w:tcPr>
            <w:tcW w:type="dxa" w:w="4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Equatorial Guinea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6,167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0.41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Estonia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58,764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0.18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27.75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Eswatini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22,322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0.42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Finland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201,204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0.62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2,431.62 </w:t>
            </w:r>
          </w:p>
        </w:tc>
      </w:tr>
      <w:tr>
        <w:trPr>
          <w:trHeight w:hRule="exact" w:val="252"/>
        </w:trPr>
        <w:tc>
          <w:tcPr>
            <w:tcW w:type="dxa" w:w="4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France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1,273,031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3.93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22,134.42 </w:t>
            </w:r>
          </w:p>
        </w:tc>
      </w:tr>
      <w:tr>
        <w:trPr>
          <w:trHeight w:hRule="exact" w:val="228"/>
        </w:trPr>
        <w:tc>
          <w:tcPr>
            <w:tcW w:type="dxa" w:w="443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Gabon</w:t>
            </w:r>
          </w:p>
        </w:tc>
        <w:tc>
          <w:tcPr>
            <w:tcW w:type="dxa" w:w="14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2,093</w:t>
            </w:r>
          </w:p>
        </w:tc>
        <w:tc>
          <w:tcPr>
            <w:tcW w:type="dxa" w:w="2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0.63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Germany</w:t>
            </w:r>
          </w:p>
        </w:tc>
        <w:tc>
          <w:tcPr>
            <w:tcW w:type="dxa" w:w="14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1,745,375</w:t>
            </w:r>
          </w:p>
        </w:tc>
        <w:tc>
          <w:tcPr>
            <w:tcW w:type="dxa" w:w="2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5.38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30,812.42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Greece</w:t>
            </w:r>
          </w:p>
        </w:tc>
        <w:tc>
          <w:tcPr>
            <w:tcW w:type="dxa" w:w="14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60,677</w:t>
            </w:r>
          </w:p>
        </w:tc>
        <w:tc>
          <w:tcPr>
            <w:tcW w:type="dxa" w:w="2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0.19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222.67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Guatemala</w:t>
            </w:r>
          </w:p>
        </w:tc>
        <w:tc>
          <w:tcPr>
            <w:tcW w:type="dxa" w:w="14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41,077</w:t>
            </w:r>
          </w:p>
        </w:tc>
        <w:tc>
          <w:tcPr>
            <w:tcW w:type="dxa" w:w="2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0.56 </w:t>
            </w:r>
          </w:p>
        </w:tc>
      </w:tr>
      <w:tr>
        <w:trPr>
          <w:trHeight w:hRule="exact" w:val="252"/>
        </w:trPr>
        <w:tc>
          <w:tcPr>
            <w:tcW w:type="dxa" w:w="443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Hungary</w:t>
            </w:r>
          </w:p>
        </w:tc>
        <w:tc>
          <w:tcPr>
            <w:tcW w:type="dxa" w:w="14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217,265</w:t>
            </w:r>
          </w:p>
        </w:tc>
        <w:tc>
          <w:tcPr>
            <w:tcW w:type="dxa" w:w="2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0.67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184.69 </w:t>
            </w:r>
          </w:p>
        </w:tc>
      </w:tr>
      <w:tr>
        <w:trPr>
          <w:trHeight w:hRule="exact" w:val="228"/>
        </w:trPr>
        <w:tc>
          <w:tcPr>
            <w:tcW w:type="dxa" w:w="4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Iceland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70,907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0.22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122.34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Indonesia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269,228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0.83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167.91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Iran, Islamic Republic Of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115,867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0.36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24.18 </w:t>
            </w:r>
          </w:p>
        </w:tc>
      </w:tr>
      <w:tr>
        <w:trPr>
          <w:trHeight w:hRule="exact" w:val="240"/>
        </w:trPr>
        <w:tc>
          <w:tcPr>
            <w:tcW w:type="dxa" w:w="4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Iraq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73,274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0.23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2.12 </w:t>
            </w:r>
          </w:p>
        </w:tc>
      </w:tr>
      <w:tr>
        <w:trPr>
          <w:trHeight w:hRule="exact" w:val="254"/>
        </w:trPr>
        <w:tc>
          <w:tcPr>
            <w:tcW w:type="dxa" w:w="443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Ireland</w:t>
            </w:r>
          </w:p>
        </w:tc>
        <w:tc>
          <w:tcPr>
            <w:tcW w:type="dxa" w:w="1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124,357</w:t>
            </w:r>
          </w:p>
        </w:tc>
        <w:tc>
          <w:tcPr>
            <w:tcW w:type="dxa" w:w="2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0.38</w:t>
            </w:r>
          </w:p>
        </w:tc>
        <w:tc>
          <w:tcPr>
            <w:tcW w:type="dxa" w:w="13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1,053.19 </w:t>
            </w:r>
          </w:p>
        </w:tc>
      </w:tr>
      <w:tr>
        <w:trPr>
          <w:trHeight w:hRule="exact" w:val="1686"/>
        </w:trPr>
        <w:tc>
          <w:tcPr>
            <w:tcW w:type="dxa" w:w="4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7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 </w:t>
            </w:r>
          </w:p>
        </w:tc>
        <w:tc>
          <w:tcPr>
            <w:tcW w:type="dxa" w:w="39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72" w:after="0"/>
              <w:ind w:left="2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IDA Financial Statements: June 30, 2025</w:t>
            </w:r>
          </w:p>
        </w:tc>
        <w:tc>
          <w:tcPr>
            <w:tcW w:type="dxa" w:w="1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92" w:right="144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28" w:lineRule="exact" w:before="2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STATEMENT OF VOTING POWER AND SUBSCRIPTIONS AND </w:t>
      </w: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CONTRIBUTIONS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>June 30, 2025</w:t>
      </w:r>
    </w:p>
    <w:p>
      <w:pPr>
        <w:autoSpaceDN w:val="0"/>
        <w:autoSpaceDE w:val="0"/>
        <w:widowControl/>
        <w:spacing w:line="180" w:lineRule="exact" w:before="218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Expressed in millions of U.S. dollars except for votes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5"/>
        <w:gridCol w:w="1565"/>
        <w:gridCol w:w="1565"/>
        <w:gridCol w:w="1565"/>
        <w:gridCol w:w="1565"/>
        <w:gridCol w:w="1565"/>
      </w:tblGrid>
      <w:tr>
        <w:trPr>
          <w:trHeight w:hRule="exact" w:val="256"/>
        </w:trPr>
        <w:tc>
          <w:tcPr>
            <w:tcW w:type="dxa" w:w="2570"/>
            <w:vMerge w:val="restart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Member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 c</w:t>
            </w:r>
          </w:p>
        </w:tc>
        <w:tc>
          <w:tcPr>
            <w:tcW w:type="dxa" w:w="2600"/>
            <w:vMerge w:val="restart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6" w:after="0"/>
              <w:ind w:left="0" w:right="3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Number of votes</w:t>
            </w:r>
          </w:p>
        </w:tc>
        <w:tc>
          <w:tcPr>
            <w:tcW w:type="dxa" w:w="190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1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of total </w:t>
            </w:r>
          </w:p>
        </w:tc>
        <w:tc>
          <w:tcPr>
            <w:tcW w:type="dxa" w:w="2300"/>
            <w:gridSpan w:val="3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Subscriptions and </w:t>
            </w:r>
          </w:p>
        </w:tc>
      </w:tr>
      <w:tr>
        <w:trPr>
          <w:trHeight w:hRule="exact" w:val="284"/>
        </w:trPr>
        <w:tc>
          <w:tcPr>
            <w:tcW w:type="dxa" w:w="156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6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90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87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votes</w:t>
            </w:r>
          </w:p>
        </w:tc>
        <w:tc>
          <w:tcPr>
            <w:tcW w:type="dxa" w:w="2300"/>
            <w:gridSpan w:val="3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contributions committed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b</w:t>
            </w:r>
          </w:p>
        </w:tc>
      </w:tr>
      <w:tr>
        <w:trPr>
          <w:trHeight w:hRule="exact" w:val="256"/>
        </w:trPr>
        <w:tc>
          <w:tcPr>
            <w:tcW w:type="dxa" w:w="2570"/>
            <w:vMerge w:val="restart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62" w:right="158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Israel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Italy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Japan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Jordan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Kazakhstan</w:t>
            </w:r>
          </w:p>
        </w:tc>
        <w:tc>
          <w:tcPr>
            <w:tcW w:type="dxa" w:w="2600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97,553</w:t>
            </w:r>
          </w:p>
        </w:tc>
        <w:tc>
          <w:tcPr>
            <w:tcW w:type="dxa" w:w="1900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  <w:tc>
          <w:tcPr>
            <w:tcW w:type="dxa" w:w="938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62"/>
            <w:gridSpan w:val="2"/>
            <w:tcBorders>
              <w:top w:sz="8.0" w:val="single" w:color="#000000"/>
            </w:tcBorders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181.66 </w:t>
            </w:r>
          </w:p>
        </w:tc>
      </w:tr>
      <w:tr>
        <w:trPr>
          <w:trHeight w:hRule="exact" w:val="260"/>
        </w:trPr>
        <w:tc>
          <w:tcPr>
            <w:tcW w:type="dxa" w:w="1565"/>
            <w:vMerge/>
            <w:tcBorders>
              <w:top w:sz="8.0" w:val="single" w:color="#000000"/>
            </w:tcBorders>
          </w:tcPr>
          <w:p/>
        </w:tc>
        <w:tc>
          <w:tcPr>
            <w:tcW w:type="dxa" w:w="26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738,811</w:t>
            </w:r>
          </w:p>
        </w:tc>
        <w:tc>
          <w:tcPr>
            <w:tcW w:type="dxa" w:w="19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2.28</w:t>
            </w:r>
          </w:p>
        </w:tc>
        <w:tc>
          <w:tcPr>
            <w:tcW w:type="dxa" w:w="230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11,920.16 </w:t>
            </w:r>
          </w:p>
        </w:tc>
      </w:tr>
      <w:tr>
        <w:trPr>
          <w:trHeight w:hRule="exact" w:val="240"/>
        </w:trPr>
        <w:tc>
          <w:tcPr>
            <w:tcW w:type="dxa" w:w="1565"/>
            <w:vMerge/>
            <w:tcBorders>
              <w:top w:sz="8.0" w:val="single" w:color="#000000"/>
            </w:tcBorders>
          </w:tcPr>
          <w:p/>
        </w:tc>
        <w:tc>
          <w:tcPr>
            <w:tcW w:type="dxa" w:w="26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2,739,070</w:t>
            </w:r>
          </w:p>
        </w:tc>
        <w:tc>
          <w:tcPr>
            <w:tcW w:type="dxa" w:w="19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8.45</w:t>
            </w:r>
          </w:p>
        </w:tc>
        <w:tc>
          <w:tcPr>
            <w:tcW w:type="dxa" w:w="230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52,322.34 </w:t>
            </w:r>
          </w:p>
        </w:tc>
      </w:tr>
      <w:tr>
        <w:trPr>
          <w:trHeight w:hRule="exact" w:val="260"/>
        </w:trPr>
        <w:tc>
          <w:tcPr>
            <w:tcW w:type="dxa" w:w="1565"/>
            <w:vMerge/>
            <w:tcBorders>
              <w:top w:sz="8.0" w:val="single" w:color="#000000"/>
            </w:tcBorders>
          </w:tcPr>
          <w:p/>
        </w:tc>
        <w:tc>
          <w:tcPr>
            <w:tcW w:type="dxa" w:w="26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24,865</w:t>
            </w:r>
          </w:p>
        </w:tc>
        <w:tc>
          <w:tcPr>
            <w:tcW w:type="dxa" w:w="19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  <w:tc>
          <w:tcPr>
            <w:tcW w:type="dxa" w:w="230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0.41 </w:t>
            </w:r>
          </w:p>
        </w:tc>
      </w:tr>
      <w:tr>
        <w:trPr>
          <w:trHeight w:hRule="exact" w:val="258"/>
        </w:trPr>
        <w:tc>
          <w:tcPr>
            <w:tcW w:type="dxa" w:w="1565"/>
            <w:vMerge/>
            <w:tcBorders>
              <w:top w:sz="8.0" w:val="single" w:color="#000000"/>
            </w:tcBorders>
          </w:tcPr>
          <w:p/>
        </w:tc>
        <w:tc>
          <w:tcPr>
            <w:tcW w:type="dxa" w:w="26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23,297</w:t>
            </w:r>
          </w:p>
        </w:tc>
        <w:tc>
          <w:tcPr>
            <w:tcW w:type="dxa" w:w="19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  <w:tc>
          <w:tcPr>
            <w:tcW w:type="dxa" w:w="230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8.50 </w:t>
            </w:r>
          </w:p>
        </w:tc>
      </w:tr>
      <w:tr>
        <w:trPr>
          <w:trHeight w:hRule="exact" w:val="262"/>
        </w:trPr>
        <w:tc>
          <w:tcPr>
            <w:tcW w:type="dxa" w:w="25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62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Korea, Republic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Kuwait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Latvia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Lebanon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Libya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359,989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1.11</w:t>
            </w:r>
          </w:p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3,152.60 </w:t>
            </w:r>
          </w:p>
        </w:tc>
      </w:tr>
      <w:tr>
        <w:trPr>
          <w:trHeight w:hRule="exact" w:val="240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130,773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0.40</w:t>
            </w:r>
          </w:p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1,186.06 </w:t>
            </w:r>
          </w:p>
        </w:tc>
      </w:tr>
      <w:tr>
        <w:trPr>
          <w:trHeight w:hRule="exact" w:val="260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65,360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0.20</w:t>
            </w:r>
          </w:p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34.68 </w:t>
            </w:r>
          </w:p>
        </w:tc>
      </w:tr>
      <w:tr>
        <w:trPr>
          <w:trHeight w:hRule="exact" w:val="260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8,562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0.56 </w:t>
            </w:r>
          </w:p>
        </w:tc>
      </w:tr>
      <w:tr>
        <w:trPr>
          <w:trHeight w:hRule="exact" w:val="252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44,771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0.14</w:t>
            </w:r>
          </w:p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1.30 </w:t>
            </w:r>
          </w:p>
        </w:tc>
      </w:tr>
      <w:tr>
        <w:trPr>
          <w:trHeight w:hRule="exact" w:val="248"/>
        </w:trPr>
        <w:tc>
          <w:tcPr>
            <w:tcW w:type="dxa" w:w="2570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62" w:right="158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Lithuania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Luxembourg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Malaysia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Mauritius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Mexico</w:t>
            </w:r>
          </w:p>
        </w:tc>
        <w:tc>
          <w:tcPr>
            <w:tcW w:type="dxa" w:w="26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58,710</w:t>
            </w:r>
          </w:p>
        </w:tc>
        <w:tc>
          <w:tcPr>
            <w:tcW w:type="dxa" w:w="19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0.18</w:t>
            </w:r>
          </w:p>
        </w:tc>
        <w:tc>
          <w:tcPr>
            <w:tcW w:type="dxa" w:w="230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37.07 </w:t>
            </w:r>
          </w:p>
        </w:tc>
      </w:tr>
      <w:tr>
        <w:trPr>
          <w:trHeight w:hRule="exact" w:val="260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93,962</w:t>
            </w:r>
          </w:p>
        </w:tc>
        <w:tc>
          <w:tcPr>
            <w:tcW w:type="dxa" w:w="19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0.29</w:t>
            </w:r>
          </w:p>
        </w:tc>
        <w:tc>
          <w:tcPr>
            <w:tcW w:type="dxa" w:w="230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532.78 </w:t>
            </w:r>
          </w:p>
        </w:tc>
      </w:tr>
      <w:tr>
        <w:trPr>
          <w:trHeight w:hRule="exact" w:val="260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113,549</w:t>
            </w:r>
          </w:p>
        </w:tc>
        <w:tc>
          <w:tcPr>
            <w:tcW w:type="dxa" w:w="19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0.35</w:t>
            </w:r>
          </w:p>
        </w:tc>
        <w:tc>
          <w:tcPr>
            <w:tcW w:type="dxa" w:w="230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77.80 </w:t>
            </w:r>
          </w:p>
        </w:tc>
      </w:tr>
      <w:tr>
        <w:trPr>
          <w:trHeight w:hRule="exact" w:val="260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75,861</w:t>
            </w:r>
          </w:p>
        </w:tc>
        <w:tc>
          <w:tcPr>
            <w:tcW w:type="dxa" w:w="19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0.23</w:t>
            </w:r>
          </w:p>
        </w:tc>
        <w:tc>
          <w:tcPr>
            <w:tcW w:type="dxa" w:w="230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1.31 </w:t>
            </w:r>
          </w:p>
        </w:tc>
      </w:tr>
      <w:tr>
        <w:trPr>
          <w:trHeight w:hRule="exact" w:val="248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142,236</w:t>
            </w:r>
          </w:p>
        </w:tc>
        <w:tc>
          <w:tcPr>
            <w:tcW w:type="dxa" w:w="19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0.44</w:t>
            </w:r>
          </w:p>
        </w:tc>
        <w:tc>
          <w:tcPr>
            <w:tcW w:type="dxa" w:w="230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168.34 </w:t>
            </w:r>
          </w:p>
        </w:tc>
      </w:tr>
      <w:tr>
        <w:trPr>
          <w:trHeight w:hRule="exact" w:val="252"/>
        </w:trPr>
        <w:tc>
          <w:tcPr>
            <w:tcW w:type="dxa" w:w="25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62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Montenegro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Morocco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Netherlands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New Zealand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North Macedonia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63,483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0.20</w:t>
            </w:r>
          </w:p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1.77 </w:t>
            </w:r>
          </w:p>
        </w:tc>
      </w:tr>
      <w:tr>
        <w:trPr>
          <w:trHeight w:hRule="exact" w:val="260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115,349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0.36</w:t>
            </w:r>
          </w:p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10.73 </w:t>
            </w:r>
          </w:p>
        </w:tc>
      </w:tr>
      <w:tr>
        <w:trPr>
          <w:trHeight w:hRule="exact" w:val="260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682,486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2.10</w:t>
            </w:r>
          </w:p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11,669.23 </w:t>
            </w:r>
          </w:p>
        </w:tc>
      </w:tr>
      <w:tr>
        <w:trPr>
          <w:trHeight w:hRule="exact" w:val="240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89,306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0.28</w:t>
            </w:r>
          </w:p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454.55 </w:t>
            </w:r>
          </w:p>
        </w:tc>
      </w:tr>
      <w:tr>
        <w:trPr>
          <w:trHeight w:hRule="exact" w:val="262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50,955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0.16</w:t>
            </w:r>
          </w:p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3.10 </w:t>
            </w:r>
          </w:p>
        </w:tc>
      </w:tr>
      <w:tr>
        <w:trPr>
          <w:trHeight w:hRule="exact" w:val="258"/>
        </w:trPr>
        <w:tc>
          <w:tcPr>
            <w:tcW w:type="dxa" w:w="2570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62" w:right="172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Norway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Oman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Palau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Panama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Paraguay</w:t>
            </w:r>
          </w:p>
        </w:tc>
        <w:tc>
          <w:tcPr>
            <w:tcW w:type="dxa" w:w="26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348,523</w:t>
            </w:r>
          </w:p>
        </w:tc>
        <w:tc>
          <w:tcPr>
            <w:tcW w:type="dxa" w:w="19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1.07</w:t>
            </w:r>
          </w:p>
        </w:tc>
        <w:tc>
          <w:tcPr>
            <w:tcW w:type="dxa" w:w="230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4,999.66 </w:t>
            </w:r>
          </w:p>
        </w:tc>
      </w:tr>
      <w:tr>
        <w:trPr>
          <w:trHeight w:hRule="exact" w:val="260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59,388</w:t>
            </w:r>
          </w:p>
        </w:tc>
        <w:tc>
          <w:tcPr>
            <w:tcW w:type="dxa" w:w="19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0.18</w:t>
            </w:r>
          </w:p>
        </w:tc>
        <w:tc>
          <w:tcPr>
            <w:tcW w:type="dxa" w:w="230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1.42 </w:t>
            </w:r>
          </w:p>
        </w:tc>
      </w:tr>
      <w:tr>
        <w:trPr>
          <w:trHeight w:hRule="exact" w:val="240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3,804</w:t>
            </w:r>
          </w:p>
        </w:tc>
        <w:tc>
          <w:tcPr>
            <w:tcW w:type="dxa" w:w="19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230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0.03 </w:t>
            </w:r>
          </w:p>
        </w:tc>
      </w:tr>
      <w:tr>
        <w:trPr>
          <w:trHeight w:hRule="exact" w:val="260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10,185</w:t>
            </w:r>
          </w:p>
        </w:tc>
        <w:tc>
          <w:tcPr>
            <w:tcW w:type="dxa" w:w="19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230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0.03 </w:t>
            </w:r>
          </w:p>
        </w:tc>
      </w:tr>
      <w:tr>
        <w:trPr>
          <w:trHeight w:hRule="exact" w:val="258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46,493</w:t>
            </w:r>
          </w:p>
        </w:tc>
        <w:tc>
          <w:tcPr>
            <w:tcW w:type="dxa" w:w="19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0.14</w:t>
            </w:r>
          </w:p>
        </w:tc>
        <w:tc>
          <w:tcPr>
            <w:tcW w:type="dxa" w:w="230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0.43 </w:t>
            </w:r>
          </w:p>
        </w:tc>
      </w:tr>
      <w:tr>
        <w:trPr>
          <w:trHeight w:hRule="exact" w:val="262"/>
        </w:trPr>
        <w:tc>
          <w:tcPr>
            <w:tcW w:type="dxa" w:w="25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62" w:right="172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Peru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Philippines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Poland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Portugal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Romania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93,174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0.29</w:t>
            </w:r>
          </w:p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18.10 </w:t>
            </w:r>
          </w:p>
        </w:tc>
      </w:tr>
      <w:tr>
        <w:trPr>
          <w:trHeight w:hRule="exact" w:val="240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156,144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0.48</w:t>
            </w:r>
          </w:p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40.26 </w:t>
            </w:r>
          </w:p>
        </w:tc>
      </w:tr>
      <w:tr>
        <w:trPr>
          <w:trHeight w:hRule="exact" w:val="260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616,720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1.90</w:t>
            </w:r>
          </w:p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169.96 </w:t>
            </w:r>
          </w:p>
        </w:tc>
      </w:tr>
      <w:tr>
        <w:trPr>
          <w:trHeight w:hRule="exact" w:val="260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82,342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0.25</w:t>
            </w:r>
          </w:p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357.21 </w:t>
            </w:r>
          </w:p>
        </w:tc>
      </w:tr>
      <w:tr>
        <w:trPr>
          <w:trHeight w:hRule="exact" w:val="252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100,041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0.31</w:t>
            </w:r>
          </w:p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9.75 </w:t>
            </w:r>
          </w:p>
        </w:tc>
      </w:tr>
      <w:tr>
        <w:trPr>
          <w:trHeight w:hRule="exact" w:val="248"/>
        </w:trPr>
        <w:tc>
          <w:tcPr>
            <w:tcW w:type="dxa" w:w="2570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62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Russian Federation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Saudi Arabia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Serbia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Singapore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Slovak Republic</w:t>
            </w:r>
          </w:p>
        </w:tc>
        <w:tc>
          <w:tcPr>
            <w:tcW w:type="dxa" w:w="26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97,264</w:t>
            </w:r>
          </w:p>
        </w:tc>
        <w:tc>
          <w:tcPr>
            <w:tcW w:type="dxa" w:w="19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0.30</w:t>
            </w:r>
          </w:p>
        </w:tc>
        <w:tc>
          <w:tcPr>
            <w:tcW w:type="dxa" w:w="230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799.81 </w:t>
            </w:r>
          </w:p>
        </w:tc>
      </w:tr>
      <w:tr>
        <w:trPr>
          <w:trHeight w:hRule="exact" w:val="260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1,078,495</w:t>
            </w:r>
          </w:p>
        </w:tc>
        <w:tc>
          <w:tcPr>
            <w:tcW w:type="dxa" w:w="19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3.33</w:t>
            </w:r>
          </w:p>
        </w:tc>
        <w:tc>
          <w:tcPr>
            <w:tcW w:type="dxa" w:w="230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3,906.49 </w:t>
            </w:r>
          </w:p>
        </w:tc>
      </w:tr>
      <w:tr>
        <w:trPr>
          <w:trHeight w:hRule="exact" w:val="260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86,096</w:t>
            </w:r>
          </w:p>
        </w:tc>
        <w:tc>
          <w:tcPr>
            <w:tcW w:type="dxa" w:w="19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0.26</w:t>
            </w:r>
          </w:p>
        </w:tc>
        <w:tc>
          <w:tcPr>
            <w:tcW w:type="dxa" w:w="230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7.11 </w:t>
            </w:r>
          </w:p>
        </w:tc>
      </w:tr>
      <w:tr>
        <w:trPr>
          <w:trHeight w:hRule="exact" w:val="260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68,302</w:t>
            </w:r>
          </w:p>
        </w:tc>
        <w:tc>
          <w:tcPr>
            <w:tcW w:type="dxa" w:w="19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0.21</w:t>
            </w:r>
          </w:p>
        </w:tc>
        <w:tc>
          <w:tcPr>
            <w:tcW w:type="dxa" w:w="230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386.85 </w:t>
            </w:r>
          </w:p>
        </w:tc>
      </w:tr>
      <w:tr>
        <w:trPr>
          <w:trHeight w:hRule="exact" w:val="248"/>
        </w:trPr>
        <w:tc>
          <w:tcPr>
            <w:tcW w:type="dxa" w:w="1565"/>
            <w:vMerge/>
            <w:tcBorders/>
          </w:tcPr>
          <w:p/>
        </w:tc>
        <w:tc>
          <w:tcPr>
            <w:tcW w:type="dxa" w:w="26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100,483</w:t>
            </w:r>
          </w:p>
        </w:tc>
        <w:tc>
          <w:tcPr>
            <w:tcW w:type="dxa" w:w="19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0.31</w:t>
            </w:r>
          </w:p>
        </w:tc>
        <w:tc>
          <w:tcPr>
            <w:tcW w:type="dxa" w:w="2300"/>
            <w:gridSpan w:val="3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40.46 </w:t>
            </w:r>
          </w:p>
        </w:tc>
      </w:tr>
      <w:tr>
        <w:trPr>
          <w:trHeight w:hRule="exact" w:val="252"/>
        </w:trPr>
        <w:tc>
          <w:tcPr>
            <w:tcW w:type="dxa" w:w="25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62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Slovenia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South Africa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Spain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St. Kitts And Nevis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Sweden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63,403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0.20</w:t>
            </w:r>
          </w:p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51.83 </w:t>
            </w:r>
          </w:p>
        </w:tc>
      </w:tr>
      <w:tr>
        <w:trPr>
          <w:trHeight w:hRule="exact" w:val="240"/>
        </w:trPr>
        <w:tc>
          <w:tcPr>
            <w:tcW w:type="dxa" w:w="1565"/>
            <w:vMerge/>
            <w:tcBorders>
              <w:bottom w:sz="8.0" w:val="single" w:color="#000000"/>
            </w:tcBorders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81,607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0.25</w:t>
            </w:r>
          </w:p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259.68 </w:t>
            </w:r>
          </w:p>
        </w:tc>
      </w:tr>
      <w:tr>
        <w:trPr>
          <w:trHeight w:hRule="exact" w:val="240"/>
        </w:trPr>
        <w:tc>
          <w:tcPr>
            <w:tcW w:type="dxa" w:w="1565"/>
            <w:vMerge/>
            <w:tcBorders>
              <w:bottom w:sz="8.0" w:val="single" w:color="#000000"/>
            </w:tcBorders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348,663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1.07</w:t>
            </w:r>
          </w:p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5,305.62 </w:t>
            </w:r>
          </w:p>
        </w:tc>
      </w:tr>
      <w:tr>
        <w:trPr>
          <w:trHeight w:hRule="exact" w:val="240"/>
        </w:trPr>
        <w:tc>
          <w:tcPr>
            <w:tcW w:type="dxa" w:w="1565"/>
            <w:vMerge/>
            <w:tcBorders>
              <w:bottom w:sz="8.0" w:val="single" w:color="#000000"/>
            </w:tcBorders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13,868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0.17 </w:t>
            </w:r>
          </w:p>
        </w:tc>
      </w:tr>
      <w:tr>
        <w:trPr>
          <w:trHeight w:hRule="exact" w:val="244"/>
        </w:trPr>
        <w:tc>
          <w:tcPr>
            <w:tcW w:type="dxa" w:w="1565"/>
            <w:vMerge/>
            <w:tcBorders>
              <w:bottom w:sz="8.0" w:val="single" w:color="#000000"/>
            </w:tcBorders>
          </w:tcPr>
          <w:p/>
        </w:tc>
        <w:tc>
          <w:tcPr>
            <w:tcW w:type="dxa" w:w="2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705,657</w:t>
            </w:r>
          </w:p>
        </w:tc>
        <w:tc>
          <w:tcPr>
            <w:tcW w:type="dxa" w:w="1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2.18</w:t>
            </w:r>
          </w:p>
        </w:tc>
        <w:tc>
          <w:tcPr>
            <w:tcW w:type="dxa" w:w="230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10,750.83 </w:t>
            </w:r>
          </w:p>
        </w:tc>
      </w:tr>
      <w:tr>
        <w:trPr>
          <w:trHeight w:hRule="exact" w:val="1596"/>
        </w:trPr>
        <w:tc>
          <w:tcPr>
            <w:tcW w:type="dxa" w:w="25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40"/>
            <w:gridSpan w:val="4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82" w:after="0"/>
              <w:ind w:left="0" w:right="5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IDA Financial Statements: June 30, 2025 </w:t>
            </w:r>
          </w:p>
        </w:tc>
        <w:tc>
          <w:tcPr>
            <w:tcW w:type="dxa" w:w="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8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92" w:right="142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28" w:lineRule="exact" w:before="2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STATEMENT OF VOTING POWER AND SUBSCRIPTIONS AND </w:t>
      </w: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CONTRIBUTIONS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>June 30, 2025</w:t>
      </w:r>
    </w:p>
    <w:p>
      <w:pPr>
        <w:autoSpaceDN w:val="0"/>
        <w:autoSpaceDE w:val="0"/>
        <w:widowControl/>
        <w:spacing w:line="180" w:lineRule="exact" w:before="278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Expressed in millions of U.S. dollars except for votes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3"/>
        <w:gridCol w:w="3123"/>
        <w:gridCol w:w="3123"/>
      </w:tblGrid>
      <w:tr>
        <w:trPr>
          <w:trHeight w:hRule="exact" w:val="584"/>
        </w:trPr>
        <w:tc>
          <w:tcPr>
            <w:tcW w:type="dxa" w:w="3460"/>
            <w:tcBorders>
              <w:top w:sz="8.0" w:val="single" w:color="#000000"/>
              <w:end w:sz="24.0" w:val="single" w:color="#FFFFFF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Member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 c</w:t>
            </w:r>
          </w:p>
        </w:tc>
        <w:tc>
          <w:tcPr>
            <w:tcW w:type="dxa" w:w="1680"/>
            <w:tcBorders>
              <w:start w:sz="24.0" w:val="single" w:color="#FFFFFF"/>
              <w:top w:sz="8.0" w:val="single" w:color="#000000"/>
              <w:end w:sz="24.0" w:val="single" w:color="#FFFFFF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Number of votes</w:t>
            </w:r>
          </w:p>
        </w:tc>
        <w:tc>
          <w:tcPr>
            <w:tcW w:type="dxa" w:w="4180"/>
            <w:tcBorders>
              <w:start w:sz="24.0" w:val="single" w:color="#FFFFFF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2090"/>
              <w:gridCol w:w="2090"/>
            </w:tblGrid>
            <w:tr>
              <w:trPr>
                <w:trHeight w:hRule="exact" w:val="458"/>
              </w:trPr>
              <w:tc>
                <w:tcPr>
                  <w:tcW w:type="dxa" w:w="1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38" w:after="0"/>
                    <w:ind w:left="0" w:right="144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Percentage of total </w:t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votes</w:t>
                  </w:r>
                </w:p>
              </w:tc>
              <w:tc>
                <w:tcPr>
                  <w:tcW w:type="dxa" w:w="218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38" w:after="0"/>
                    <w:ind w:left="288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Subscriptions and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contributions committed </w:t>
                  </w:r>
                  <w:r>
                    <w:rPr>
                      <w:w w:val="103.99999618530273"/>
                      <w:rFonts w:ascii="Arial" w:hAnsi="Arial" w:eastAsia="Arial"/>
                      <w:b w:val="0"/>
                      <w:i/>
                      <w:color w:val="000000"/>
                      <w:sz w:val="10"/>
                    </w:rPr>
                    <w:t>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4"/>
        <w:gridCol w:w="1874"/>
        <w:gridCol w:w="1874"/>
        <w:gridCol w:w="1874"/>
        <w:gridCol w:w="1874"/>
      </w:tblGrid>
      <w:tr>
        <w:trPr>
          <w:trHeight w:hRule="exact" w:val="212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Switzerland</w:t>
            </w:r>
          </w:p>
        </w:tc>
        <w:tc>
          <w:tcPr>
            <w:tcW w:type="dxa" w:w="22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461,050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1.42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  <w:tc>
          <w:tcPr>
            <w:tcW w:type="dxa" w:w="800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7,367.70 </w:t>
            </w:r>
          </w:p>
        </w:tc>
      </w:tr>
      <w:tr>
        <w:trPr>
          <w:trHeight w:hRule="exact" w:val="220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Thailand</w:t>
            </w:r>
          </w:p>
        </w:tc>
        <w:tc>
          <w:tcPr>
            <w:tcW w:type="dxa" w:w="22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119,444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0.37</w:t>
            </w:r>
          </w:p>
        </w:tc>
        <w:tc>
          <w:tcPr>
            <w:tcW w:type="dxa" w:w="1874"/>
            <w:vMerge/>
            <w:tcBorders/>
          </w:tcPr>
          <w:p/>
        </w:tc>
        <w:tc>
          <w:tcPr>
            <w:tcW w:type="dxa" w:w="139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28.41 </w:t>
            </w:r>
          </w:p>
        </w:tc>
      </w:tr>
      <w:tr>
        <w:trPr>
          <w:trHeight w:hRule="exact" w:val="240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Trinidad And Tobago</w:t>
            </w:r>
          </w:p>
        </w:tc>
        <w:tc>
          <w:tcPr>
            <w:tcW w:type="dxa" w:w="22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81,067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0.25</w:t>
            </w:r>
          </w:p>
        </w:tc>
        <w:tc>
          <w:tcPr>
            <w:tcW w:type="dxa" w:w="1874"/>
            <w:vMerge/>
            <w:tcBorders/>
          </w:tcPr>
          <w:p/>
        </w:tc>
        <w:tc>
          <w:tcPr>
            <w:tcW w:type="dxa" w:w="139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2.13 </w:t>
            </w:r>
          </w:p>
        </w:tc>
      </w:tr>
      <w:tr>
        <w:trPr>
          <w:trHeight w:hRule="exact" w:val="220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Tunisia</w:t>
            </w:r>
          </w:p>
        </w:tc>
        <w:tc>
          <w:tcPr>
            <w:tcW w:type="dxa" w:w="22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2,793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874"/>
            <w:vMerge/>
            <w:tcBorders/>
          </w:tcPr>
          <w:p/>
        </w:tc>
        <w:tc>
          <w:tcPr>
            <w:tcW w:type="dxa" w:w="139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1.89 </w:t>
            </w:r>
          </w:p>
        </w:tc>
      </w:tr>
      <w:tr>
        <w:trPr>
          <w:trHeight w:hRule="exact" w:val="234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Türkiye</w:t>
            </w:r>
          </w:p>
        </w:tc>
        <w:tc>
          <w:tcPr>
            <w:tcW w:type="dxa" w:w="22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185,234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0.57</w:t>
            </w:r>
          </w:p>
        </w:tc>
        <w:tc>
          <w:tcPr>
            <w:tcW w:type="dxa" w:w="1874"/>
            <w:vMerge/>
            <w:tcBorders/>
          </w:tcPr>
          <w:p/>
        </w:tc>
        <w:tc>
          <w:tcPr>
            <w:tcW w:type="dxa" w:w="139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214.98 </w:t>
            </w:r>
          </w:p>
        </w:tc>
      </w:tr>
      <w:tr>
        <w:trPr>
          <w:trHeight w:hRule="exact" w:val="206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Ukraine</w:t>
            </w:r>
          </w:p>
        </w:tc>
        <w:tc>
          <w:tcPr>
            <w:tcW w:type="dxa" w:w="2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115,569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0.36</w:t>
            </w:r>
          </w:p>
        </w:tc>
        <w:tc>
          <w:tcPr>
            <w:tcW w:type="dxa" w:w="8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8.00 </w:t>
            </w:r>
          </w:p>
        </w:tc>
      </w:tr>
      <w:tr>
        <w:trPr>
          <w:trHeight w:hRule="exact" w:val="240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United Arab Emirates</w:t>
            </w:r>
          </w:p>
        </w:tc>
        <w:tc>
          <w:tcPr>
            <w:tcW w:type="dxa" w:w="2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1,367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1874"/>
            <w:vMerge/>
            <w:tcBorders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5.58 </w:t>
            </w:r>
          </w:p>
        </w:tc>
      </w:tr>
      <w:tr>
        <w:trPr>
          <w:trHeight w:hRule="exact" w:val="220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United Kingdom</w:t>
            </w:r>
          </w:p>
        </w:tc>
        <w:tc>
          <w:tcPr>
            <w:tcW w:type="dxa" w:w="2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2,254,407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6.95</w:t>
            </w:r>
          </w:p>
        </w:tc>
        <w:tc>
          <w:tcPr>
            <w:tcW w:type="dxa" w:w="1874"/>
            <w:vMerge/>
            <w:tcBorders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38,201.04 </w:t>
            </w:r>
          </w:p>
        </w:tc>
      </w:tr>
      <w:tr>
        <w:trPr>
          <w:trHeight w:hRule="exact" w:val="234"/>
        </w:trPr>
        <w:tc>
          <w:tcPr>
            <w:tcW w:type="dxa" w:w="3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United States</w:t>
            </w:r>
          </w:p>
        </w:tc>
        <w:tc>
          <w:tcPr>
            <w:tcW w:type="dxa" w:w="22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3,166,780</w:t>
            </w:r>
          </w:p>
        </w:tc>
        <w:tc>
          <w:tcPr>
            <w:tcW w:type="dxa" w:w="13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9.77</w:t>
            </w:r>
          </w:p>
        </w:tc>
        <w:tc>
          <w:tcPr>
            <w:tcW w:type="dxa" w:w="1874"/>
            <w:vMerge/>
            <w:tcBorders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61,605.96 </w:t>
            </w:r>
          </w:p>
        </w:tc>
      </w:tr>
      <w:tr>
        <w:trPr>
          <w:trHeight w:hRule="exact" w:val="224"/>
        </w:trPr>
        <w:tc>
          <w:tcPr>
            <w:tcW w:type="dxa" w:w="3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Subtotal Non-Recipients</w:t>
            </w:r>
          </w:p>
        </w:tc>
        <w:tc>
          <w:tcPr>
            <w:tcW w:type="dxa" w:w="2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25,891,662</w:t>
            </w:r>
          </w:p>
        </w:tc>
        <w:tc>
          <w:tcPr>
            <w:tcW w:type="dxa" w:w="1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79.85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313,876 </w:t>
            </w:r>
          </w:p>
        </w:tc>
      </w:tr>
    </w:tbl>
    <w:p>
      <w:pPr>
        <w:autoSpaceDN w:val="0"/>
        <w:autoSpaceDE w:val="0"/>
        <w:widowControl/>
        <w:spacing w:line="200" w:lineRule="exact" w:before="228" w:after="2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Interstitial </w:t>
      </w:r>
      <w:r>
        <w:rPr>
          <w:w w:val="103.99999618530273"/>
          <w:rFonts w:ascii="Arial" w:hAnsi="Arial" w:eastAsia="Arial"/>
          <w:b/>
          <w:i w:val="0"/>
          <w:color w:val="000000"/>
          <w:sz w:val="10"/>
        </w:rPr>
        <w:t>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4"/>
        <w:gridCol w:w="1874"/>
        <w:gridCol w:w="1874"/>
        <w:gridCol w:w="1874"/>
        <w:gridCol w:w="1874"/>
      </w:tblGrid>
      <w:tr>
        <w:trPr>
          <w:trHeight w:hRule="exact" w:val="212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Angola</w:t>
            </w:r>
          </w:p>
        </w:tc>
        <w:tc>
          <w:tcPr>
            <w:tcW w:type="dxa" w:w="22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172,434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  <w:tc>
          <w:tcPr>
            <w:tcW w:type="dxa" w:w="860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17.56 </w:t>
            </w:r>
          </w:p>
        </w:tc>
      </w:tr>
      <w:tr>
        <w:trPr>
          <w:trHeight w:hRule="exact" w:val="220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Armenia</w:t>
            </w:r>
          </w:p>
        </w:tc>
        <w:tc>
          <w:tcPr>
            <w:tcW w:type="dxa" w:w="22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69,897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0.22</w:t>
            </w:r>
          </w:p>
        </w:tc>
        <w:tc>
          <w:tcPr>
            <w:tcW w:type="dxa" w:w="1874"/>
            <w:vMerge/>
            <w:tcBorders/>
          </w:tcPr>
          <w:p/>
        </w:tc>
        <w:tc>
          <w:tcPr>
            <w:tcW w:type="dxa" w:w="13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1.69 </w:t>
            </w:r>
          </w:p>
        </w:tc>
      </w:tr>
      <w:tr>
        <w:trPr>
          <w:trHeight w:hRule="exact" w:val="240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Azerbaijan</w:t>
            </w:r>
          </w:p>
        </w:tc>
        <w:tc>
          <w:tcPr>
            <w:tcW w:type="dxa" w:w="22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78,321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0.24</w:t>
            </w:r>
          </w:p>
        </w:tc>
        <w:tc>
          <w:tcPr>
            <w:tcW w:type="dxa" w:w="1874"/>
            <w:vMerge/>
            <w:tcBorders/>
          </w:tcPr>
          <w:p/>
        </w:tc>
        <w:tc>
          <w:tcPr>
            <w:tcW w:type="dxa" w:w="13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6.38 </w:t>
            </w:r>
          </w:p>
        </w:tc>
      </w:tr>
      <w:tr>
        <w:trPr>
          <w:trHeight w:hRule="exact" w:val="220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Bolivia</w:t>
            </w:r>
          </w:p>
        </w:tc>
        <w:tc>
          <w:tcPr>
            <w:tcW w:type="dxa" w:w="22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79,231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0.24</w:t>
            </w:r>
          </w:p>
        </w:tc>
        <w:tc>
          <w:tcPr>
            <w:tcW w:type="dxa" w:w="1874"/>
            <w:vMerge/>
            <w:tcBorders/>
          </w:tcPr>
          <w:p/>
        </w:tc>
        <w:tc>
          <w:tcPr>
            <w:tcW w:type="dxa" w:w="13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1.67 </w:t>
            </w:r>
          </w:p>
        </w:tc>
      </w:tr>
      <w:tr>
        <w:trPr>
          <w:trHeight w:hRule="exact" w:val="232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Bosnia And Herzegovina</w:t>
            </w:r>
          </w:p>
        </w:tc>
        <w:tc>
          <w:tcPr>
            <w:tcW w:type="dxa" w:w="22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59,968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0.19</w:t>
            </w:r>
          </w:p>
        </w:tc>
        <w:tc>
          <w:tcPr>
            <w:tcW w:type="dxa" w:w="1874"/>
            <w:vMerge/>
            <w:tcBorders/>
          </w:tcPr>
          <w:p/>
        </w:tc>
        <w:tc>
          <w:tcPr>
            <w:tcW w:type="dxa" w:w="133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5.50 </w:t>
            </w:r>
          </w:p>
        </w:tc>
      </w:tr>
      <w:tr>
        <w:trPr>
          <w:trHeight w:hRule="exact" w:val="208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Georgia</w:t>
            </w:r>
          </w:p>
        </w:tc>
        <w:tc>
          <w:tcPr>
            <w:tcW w:type="dxa" w:w="2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70,945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0.22</w:t>
            </w:r>
          </w:p>
        </w:tc>
        <w:tc>
          <w:tcPr>
            <w:tcW w:type="dxa" w:w="8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2.99 </w:t>
            </w:r>
          </w:p>
        </w:tc>
      </w:tr>
      <w:tr>
        <w:trPr>
          <w:trHeight w:hRule="exact" w:val="240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India</w:t>
            </w:r>
          </w:p>
        </w:tc>
        <w:tc>
          <w:tcPr>
            <w:tcW w:type="dxa" w:w="2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952,169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2.94</w:t>
            </w:r>
          </w:p>
        </w:tc>
        <w:tc>
          <w:tcPr>
            <w:tcW w:type="dxa" w:w="1874"/>
            <w:vMerge/>
            <w:tcBorders>
              <w:bottom w:sz="8.0" w:val="single" w:color="#000000"/>
            </w:tcBorders>
          </w:tcPr>
          <w:p/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801.57 </w:t>
            </w:r>
          </w:p>
        </w:tc>
      </w:tr>
      <w:tr>
        <w:trPr>
          <w:trHeight w:hRule="exact" w:val="220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Moldova</w:t>
            </w:r>
          </w:p>
        </w:tc>
        <w:tc>
          <w:tcPr>
            <w:tcW w:type="dxa" w:w="2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56,582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0.17</w:t>
            </w:r>
          </w:p>
        </w:tc>
        <w:tc>
          <w:tcPr>
            <w:tcW w:type="dxa" w:w="1874"/>
            <w:vMerge/>
            <w:tcBorders>
              <w:bottom w:sz="8.0" w:val="single" w:color="#000000"/>
            </w:tcBorders>
          </w:tcPr>
          <w:p/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0.88 </w:t>
            </w:r>
          </w:p>
        </w:tc>
      </w:tr>
      <w:tr>
        <w:trPr>
          <w:trHeight w:hRule="exact" w:val="220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Mongolia</w:t>
            </w:r>
          </w:p>
        </w:tc>
        <w:tc>
          <w:tcPr>
            <w:tcW w:type="dxa" w:w="2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45,818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0.14</w:t>
            </w:r>
          </w:p>
        </w:tc>
        <w:tc>
          <w:tcPr>
            <w:tcW w:type="dxa" w:w="1874"/>
            <w:vMerge/>
            <w:tcBorders>
              <w:bottom w:sz="8.0" w:val="single" w:color="#000000"/>
            </w:tcBorders>
          </w:tcPr>
          <w:p/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0.30 </w:t>
            </w:r>
          </w:p>
        </w:tc>
      </w:tr>
      <w:tr>
        <w:trPr>
          <w:trHeight w:hRule="exact" w:val="238"/>
        </w:trPr>
        <w:tc>
          <w:tcPr>
            <w:tcW w:type="dxa" w:w="3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Viet Nam</w:t>
            </w:r>
          </w:p>
        </w:tc>
        <w:tc>
          <w:tcPr>
            <w:tcW w:type="dxa" w:w="22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61,168</w:t>
            </w:r>
          </w:p>
        </w:tc>
        <w:tc>
          <w:tcPr>
            <w:tcW w:type="dxa" w:w="13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0.19</w:t>
            </w:r>
          </w:p>
        </w:tc>
        <w:tc>
          <w:tcPr>
            <w:tcW w:type="dxa" w:w="1874"/>
            <w:vMerge/>
            <w:tcBorders>
              <w:bottom w:sz="8.0" w:val="single" w:color="#000000"/>
            </w:tcBorders>
          </w:tcPr>
          <w:p/>
        </w:tc>
        <w:tc>
          <w:tcPr>
            <w:tcW w:type="dxa" w:w="1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2.22 </w:t>
            </w:r>
          </w:p>
        </w:tc>
      </w:tr>
      <w:tr>
        <w:trPr>
          <w:trHeight w:hRule="exact" w:val="224"/>
        </w:trPr>
        <w:tc>
          <w:tcPr>
            <w:tcW w:type="dxa" w:w="3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Subtotal Interstitials</w:t>
            </w:r>
          </w:p>
        </w:tc>
        <w:tc>
          <w:tcPr>
            <w:tcW w:type="dxa" w:w="2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1,646,533</w:t>
            </w:r>
          </w:p>
        </w:tc>
        <w:tc>
          <w:tcPr>
            <w:tcW w:type="dxa" w:w="1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5.08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841 </w:t>
            </w:r>
          </w:p>
        </w:tc>
      </w:tr>
      <w:tr>
        <w:trPr>
          <w:trHeight w:hRule="exact" w:val="450"/>
        </w:trPr>
        <w:tc>
          <w:tcPr>
            <w:tcW w:type="dxa" w:w="3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Non-Recipients and Interstitials</w:t>
            </w:r>
          </w:p>
        </w:tc>
        <w:tc>
          <w:tcPr>
            <w:tcW w:type="dxa" w:w="2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27,538,195</w:t>
            </w:r>
          </w:p>
        </w:tc>
        <w:tc>
          <w:tcPr>
            <w:tcW w:type="dxa" w:w="1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84.93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314,717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trHeight w:hRule="exact" w:val="892"/>
        </w:trPr>
        <w:tc>
          <w:tcPr>
            <w:tcW w:type="dxa" w:w="441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16" w:after="0"/>
              <w:ind w:left="0" w:right="3456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Recipients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Afghanistan</w:t>
            </w:r>
          </w:p>
        </w:tc>
        <w:tc>
          <w:tcPr>
            <w:tcW w:type="dxa" w:w="13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9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59,204</w:t>
            </w:r>
          </w:p>
        </w:tc>
        <w:tc>
          <w:tcPr>
            <w:tcW w:type="dxa" w:w="1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9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0.18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  <w:tc>
          <w:tcPr>
            <w:tcW w:type="dxa" w:w="10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9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9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1.51 </w:t>
            </w:r>
          </w:p>
        </w:tc>
      </w:tr>
      <w:tr>
        <w:trPr>
          <w:trHeight w:hRule="exact" w:val="220"/>
        </w:trPr>
        <w:tc>
          <w:tcPr>
            <w:tcW w:type="dxa" w:w="44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Bangladesh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176,234</w:t>
            </w:r>
          </w:p>
        </w:tc>
        <w:tc>
          <w:tcPr>
            <w:tcW w:type="dxa" w:w="134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0.54</w:t>
            </w:r>
          </w:p>
        </w:tc>
        <w:tc>
          <w:tcPr>
            <w:tcW w:type="dxa" w:w="1562"/>
            <w:vMerge/>
            <w:tcBorders>
              <w:top w:sz="8.0" w:val="single" w:color="#000000"/>
            </w:tcBorders>
          </w:tcPr>
          <w:p/>
        </w:tc>
        <w:tc>
          <w:tcPr>
            <w:tcW w:type="dxa" w:w="119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7.83 </w:t>
            </w:r>
          </w:p>
        </w:tc>
      </w:tr>
      <w:tr>
        <w:trPr>
          <w:trHeight w:hRule="exact" w:val="220"/>
        </w:trPr>
        <w:tc>
          <w:tcPr>
            <w:tcW w:type="dxa" w:w="44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Benin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69,166</w:t>
            </w:r>
          </w:p>
        </w:tc>
        <w:tc>
          <w:tcPr>
            <w:tcW w:type="dxa" w:w="134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0.21</w:t>
            </w:r>
          </w:p>
        </w:tc>
        <w:tc>
          <w:tcPr>
            <w:tcW w:type="dxa" w:w="1562"/>
            <w:vMerge/>
            <w:tcBorders>
              <w:top w:sz="8.0" w:val="single" w:color="#000000"/>
            </w:tcBorders>
          </w:tcPr>
          <w:p/>
        </w:tc>
        <w:tc>
          <w:tcPr>
            <w:tcW w:type="dxa" w:w="119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0.79 </w:t>
            </w:r>
          </w:p>
        </w:tc>
      </w:tr>
      <w:tr>
        <w:trPr>
          <w:trHeight w:hRule="exact" w:val="240"/>
        </w:trPr>
        <w:tc>
          <w:tcPr>
            <w:tcW w:type="dxa" w:w="44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Bhutan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66,532</w:t>
            </w:r>
          </w:p>
        </w:tc>
        <w:tc>
          <w:tcPr>
            <w:tcW w:type="dxa" w:w="134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0.21</w:t>
            </w:r>
          </w:p>
        </w:tc>
        <w:tc>
          <w:tcPr>
            <w:tcW w:type="dxa" w:w="1562"/>
            <w:vMerge/>
            <w:tcBorders>
              <w:top w:sz="8.0" w:val="single" w:color="#000000"/>
            </w:tcBorders>
          </w:tcPr>
          <w:p/>
        </w:tc>
        <w:tc>
          <w:tcPr>
            <w:tcW w:type="dxa" w:w="119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0.08 </w:t>
            </w:r>
          </w:p>
        </w:tc>
      </w:tr>
      <w:tr>
        <w:trPr>
          <w:trHeight w:hRule="exact" w:val="228"/>
        </w:trPr>
        <w:tc>
          <w:tcPr>
            <w:tcW w:type="dxa" w:w="44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Burkina Faso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75,064</w:t>
            </w:r>
          </w:p>
        </w:tc>
        <w:tc>
          <w:tcPr>
            <w:tcW w:type="dxa" w:w="134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0.23</w:t>
            </w:r>
          </w:p>
        </w:tc>
        <w:tc>
          <w:tcPr>
            <w:tcW w:type="dxa" w:w="1562"/>
            <w:vMerge/>
            <w:tcBorders>
              <w:top w:sz="8.0" w:val="single" w:color="#000000"/>
            </w:tcBorders>
          </w:tcPr>
          <w:p/>
        </w:tc>
        <w:tc>
          <w:tcPr>
            <w:tcW w:type="dxa" w:w="119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0.82 </w:t>
            </w:r>
          </w:p>
        </w:tc>
      </w:tr>
      <w:tr>
        <w:trPr>
          <w:trHeight w:hRule="exact" w:val="212"/>
        </w:trPr>
        <w:tc>
          <w:tcPr>
            <w:tcW w:type="dxa" w:w="44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Burundi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64,460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0.20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1.09 </w:t>
            </w:r>
          </w:p>
        </w:tc>
      </w:tr>
      <w:tr>
        <w:trPr>
          <w:trHeight w:hRule="exact" w:val="220"/>
        </w:trPr>
        <w:tc>
          <w:tcPr>
            <w:tcW w:type="dxa" w:w="44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Cabo Verde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43,840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0.14</w:t>
            </w:r>
          </w:p>
        </w:tc>
        <w:tc>
          <w:tcPr>
            <w:tcW w:type="dxa" w:w="1562"/>
            <w:vMerge/>
            <w:tcBorders/>
          </w:tcPr>
          <w:p/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0.13 </w:t>
            </w:r>
          </w:p>
        </w:tc>
      </w:tr>
      <w:tr>
        <w:trPr>
          <w:trHeight w:hRule="exact" w:val="240"/>
        </w:trPr>
        <w:tc>
          <w:tcPr>
            <w:tcW w:type="dxa" w:w="44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Cambodia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71,089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0.22</w:t>
            </w:r>
          </w:p>
        </w:tc>
        <w:tc>
          <w:tcPr>
            <w:tcW w:type="dxa" w:w="1562"/>
            <w:vMerge/>
            <w:tcBorders/>
          </w:tcPr>
          <w:p/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1.61 </w:t>
            </w:r>
          </w:p>
        </w:tc>
      </w:tr>
      <w:tr>
        <w:trPr>
          <w:trHeight w:hRule="exact" w:val="220"/>
        </w:trPr>
        <w:tc>
          <w:tcPr>
            <w:tcW w:type="dxa" w:w="44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Cameroon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60,782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0.19</w:t>
            </w:r>
          </w:p>
        </w:tc>
        <w:tc>
          <w:tcPr>
            <w:tcW w:type="dxa" w:w="1562"/>
            <w:vMerge/>
            <w:tcBorders/>
          </w:tcPr>
          <w:p/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1.61 </w:t>
            </w:r>
          </w:p>
        </w:tc>
      </w:tr>
      <w:tr>
        <w:trPr>
          <w:trHeight w:hRule="exact" w:val="248"/>
        </w:trPr>
        <w:tc>
          <w:tcPr>
            <w:tcW w:type="dxa" w:w="44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Central African Republic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48,910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  <w:tc>
          <w:tcPr>
            <w:tcW w:type="dxa" w:w="1562"/>
            <w:vMerge/>
            <w:tcBorders/>
          </w:tcPr>
          <w:p/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0.77 </w:t>
            </w:r>
          </w:p>
        </w:tc>
      </w:tr>
      <w:tr>
        <w:trPr>
          <w:trHeight w:hRule="exact" w:val="232"/>
        </w:trPr>
        <w:tc>
          <w:tcPr>
            <w:tcW w:type="dxa" w:w="44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Chad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52,210</w:t>
            </w:r>
          </w:p>
        </w:tc>
        <w:tc>
          <w:tcPr>
            <w:tcW w:type="dxa" w:w="134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0.16</w:t>
            </w:r>
          </w:p>
        </w:tc>
        <w:tc>
          <w:tcPr>
            <w:tcW w:type="dxa" w:w="1000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0.78 </w:t>
            </w:r>
          </w:p>
        </w:tc>
      </w:tr>
      <w:tr>
        <w:trPr>
          <w:trHeight w:hRule="exact" w:val="240"/>
        </w:trPr>
        <w:tc>
          <w:tcPr>
            <w:tcW w:type="dxa" w:w="44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Comoros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47,140</w:t>
            </w:r>
          </w:p>
        </w:tc>
        <w:tc>
          <w:tcPr>
            <w:tcW w:type="dxa" w:w="134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  <w:tc>
          <w:tcPr>
            <w:tcW w:type="dxa" w:w="1562"/>
            <w:vMerge/>
            <w:tcBorders/>
          </w:tcPr>
          <w:p/>
        </w:tc>
        <w:tc>
          <w:tcPr>
            <w:tcW w:type="dxa" w:w="119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0.13 </w:t>
            </w:r>
          </w:p>
        </w:tc>
      </w:tr>
      <w:tr>
        <w:trPr>
          <w:trHeight w:hRule="exact" w:val="240"/>
        </w:trPr>
        <w:tc>
          <w:tcPr>
            <w:tcW w:type="dxa" w:w="44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Congo, Democratic Republic Of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82,699</w:t>
            </w:r>
          </w:p>
        </w:tc>
        <w:tc>
          <w:tcPr>
            <w:tcW w:type="dxa" w:w="134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0.26</w:t>
            </w:r>
          </w:p>
        </w:tc>
        <w:tc>
          <w:tcPr>
            <w:tcW w:type="dxa" w:w="1562"/>
            <w:vMerge/>
            <w:tcBorders/>
          </w:tcPr>
          <w:p/>
        </w:tc>
        <w:tc>
          <w:tcPr>
            <w:tcW w:type="dxa" w:w="119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4.58 </w:t>
            </w:r>
          </w:p>
        </w:tc>
      </w:tr>
      <w:tr>
        <w:trPr>
          <w:trHeight w:hRule="exact" w:val="240"/>
        </w:trPr>
        <w:tc>
          <w:tcPr>
            <w:tcW w:type="dxa" w:w="44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Congo, Republic Of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52,211</w:t>
            </w:r>
          </w:p>
        </w:tc>
        <w:tc>
          <w:tcPr>
            <w:tcW w:type="dxa" w:w="134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0.16</w:t>
            </w:r>
          </w:p>
        </w:tc>
        <w:tc>
          <w:tcPr>
            <w:tcW w:type="dxa" w:w="1562"/>
            <w:vMerge/>
            <w:tcBorders/>
          </w:tcPr>
          <w:p/>
        </w:tc>
        <w:tc>
          <w:tcPr>
            <w:tcW w:type="dxa" w:w="119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0.75 </w:t>
            </w:r>
          </w:p>
        </w:tc>
      </w:tr>
      <w:tr>
        <w:trPr>
          <w:trHeight w:hRule="exact" w:val="248"/>
        </w:trPr>
        <w:tc>
          <w:tcPr>
            <w:tcW w:type="dxa" w:w="441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Côte d'Ivoire</w:t>
            </w:r>
          </w:p>
        </w:tc>
        <w:tc>
          <w:tcPr>
            <w:tcW w:type="dxa" w:w="13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67,377</w:t>
            </w:r>
          </w:p>
        </w:tc>
        <w:tc>
          <w:tcPr>
            <w:tcW w:type="dxa" w:w="134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0.21</w:t>
            </w:r>
          </w:p>
        </w:tc>
        <w:tc>
          <w:tcPr>
            <w:tcW w:type="dxa" w:w="1562"/>
            <w:vMerge/>
            <w:tcBorders/>
          </w:tcPr>
          <w:p/>
        </w:tc>
        <w:tc>
          <w:tcPr>
            <w:tcW w:type="dxa" w:w="119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1.56 </w:t>
            </w:r>
          </w:p>
        </w:tc>
      </w:tr>
      <w:tr>
        <w:trPr>
          <w:trHeight w:hRule="exact" w:val="232"/>
        </w:trPr>
        <w:tc>
          <w:tcPr>
            <w:tcW w:type="dxa" w:w="44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Djibouti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48,116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  <w:tc>
          <w:tcPr>
            <w:tcW w:type="dxa" w:w="10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0.26 </w:t>
            </w:r>
          </w:p>
        </w:tc>
      </w:tr>
      <w:tr>
        <w:trPr>
          <w:trHeight w:hRule="exact" w:val="240"/>
        </w:trPr>
        <w:tc>
          <w:tcPr>
            <w:tcW w:type="dxa" w:w="44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Dominica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66,729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0.21</w:t>
            </w:r>
          </w:p>
        </w:tc>
        <w:tc>
          <w:tcPr>
            <w:tcW w:type="dxa" w:w="1562"/>
            <w:vMerge/>
            <w:tcBorders>
              <w:bottom w:sz="8.0" w:val="single" w:color="#000000"/>
            </w:tcBorders>
          </w:tcPr>
          <w:p/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0.14 </w:t>
            </w:r>
          </w:p>
        </w:tc>
      </w:tr>
      <w:tr>
        <w:trPr>
          <w:trHeight w:hRule="exact" w:val="240"/>
        </w:trPr>
        <w:tc>
          <w:tcPr>
            <w:tcW w:type="dxa" w:w="44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Eritrea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46,636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0.14</w:t>
            </w:r>
          </w:p>
        </w:tc>
        <w:tc>
          <w:tcPr>
            <w:tcW w:type="dxa" w:w="1562"/>
            <w:vMerge/>
            <w:tcBorders>
              <w:bottom w:sz="8.0" w:val="single" w:color="#000000"/>
            </w:tcBorders>
          </w:tcPr>
          <w:p/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0.14 </w:t>
            </w:r>
          </w:p>
        </w:tc>
      </w:tr>
      <w:tr>
        <w:trPr>
          <w:trHeight w:hRule="exact" w:val="240"/>
        </w:trPr>
        <w:tc>
          <w:tcPr>
            <w:tcW w:type="dxa" w:w="44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Ethiopia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60,179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0.19</w:t>
            </w:r>
          </w:p>
        </w:tc>
        <w:tc>
          <w:tcPr>
            <w:tcW w:type="dxa" w:w="1562"/>
            <w:vMerge/>
            <w:tcBorders>
              <w:bottom w:sz="8.0" w:val="single" w:color="#000000"/>
            </w:tcBorders>
          </w:tcPr>
          <w:p/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0.68 </w:t>
            </w:r>
          </w:p>
        </w:tc>
      </w:tr>
      <w:tr>
        <w:trPr>
          <w:trHeight w:hRule="exact" w:val="248"/>
        </w:trPr>
        <w:tc>
          <w:tcPr>
            <w:tcW w:type="dxa" w:w="441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Fiji</w:t>
            </w:r>
          </w:p>
        </w:tc>
        <w:tc>
          <w:tcPr>
            <w:tcW w:type="dxa" w:w="13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19,809</w:t>
            </w:r>
          </w:p>
        </w:tc>
        <w:tc>
          <w:tcPr>
            <w:tcW w:type="dxa" w:w="13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1562"/>
            <w:vMerge/>
            <w:tcBorders>
              <w:bottom w:sz="8.0" w:val="single" w:color="#000000"/>
            </w:tcBorders>
          </w:tcPr>
          <w:p/>
        </w:tc>
        <w:tc>
          <w:tcPr>
            <w:tcW w:type="dxa" w:w="11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0.75 </w:t>
            </w:r>
          </w:p>
        </w:tc>
      </w:tr>
      <w:tr>
        <w:trPr>
          <w:trHeight w:hRule="exact" w:val="892"/>
        </w:trPr>
        <w:tc>
          <w:tcPr>
            <w:tcW w:type="dxa" w:w="4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78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 </w:t>
            </w:r>
          </w:p>
        </w:tc>
        <w:tc>
          <w:tcPr>
            <w:tcW w:type="dxa" w:w="3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78" w:after="0"/>
              <w:ind w:left="2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IDA Financial Statements: June 30, 2025</w:t>
            </w:r>
          </w:p>
        </w:tc>
        <w:tc>
          <w:tcPr>
            <w:tcW w:type="dxa" w:w="13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92" w:right="144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28" w:lineRule="exact" w:before="2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STATEMENT OF VOTING POWER AND SUBSCRIPTIONS AND </w:t>
      </w: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CONTRIBUTIONS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>June 30, 2025</w:t>
      </w:r>
    </w:p>
    <w:p>
      <w:pPr>
        <w:autoSpaceDN w:val="0"/>
        <w:autoSpaceDE w:val="0"/>
        <w:widowControl/>
        <w:spacing w:line="180" w:lineRule="exact" w:before="278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Expressed in millions of U.S. dollars except for votes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30"/>
        <w:gridCol w:w="3130"/>
        <w:gridCol w:w="3130"/>
      </w:tblGrid>
      <w:tr>
        <w:trPr>
          <w:trHeight w:hRule="exact" w:val="524"/>
        </w:trPr>
        <w:tc>
          <w:tcPr>
            <w:tcW w:type="dxa" w:w="3460"/>
            <w:tcBorders>
              <w:top w:sz="8.0" w:val="single" w:color="#000000"/>
              <w:end w:sz="24.0" w:val="single" w:color="#FFFFFF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Member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 c</w:t>
            </w:r>
          </w:p>
        </w:tc>
        <w:tc>
          <w:tcPr>
            <w:tcW w:type="dxa" w:w="1636"/>
            <w:tcBorders>
              <w:start w:sz="24.0" w:val="single" w:color="#FFFFFF"/>
              <w:top w:sz="8.0" w:val="single" w:color="#000000"/>
              <w:end w:sz="24.0" w:val="single" w:color="#FFFFFF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Number of votes</w:t>
            </w:r>
          </w:p>
        </w:tc>
        <w:tc>
          <w:tcPr>
            <w:tcW w:type="dxa" w:w="4224"/>
            <w:tcBorders>
              <w:start w:sz="24.0" w:val="single" w:color="#FFFFFF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3.99999999999977" w:type="dxa"/>
            </w:tblPr>
            <w:tblGrid>
              <w:gridCol w:w="2112"/>
              <w:gridCol w:w="2112"/>
            </w:tblGrid>
            <w:tr>
              <w:trPr>
                <w:trHeight w:hRule="exact" w:val="426"/>
              </w:trPr>
              <w:tc>
                <w:tcPr>
                  <w:tcW w:type="dxa" w:w="1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22" w:after="0"/>
                    <w:ind w:left="0" w:right="288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Percentage of total </w:t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votes</w:t>
                  </w:r>
                </w:p>
              </w:tc>
              <w:tc>
                <w:tcPr>
                  <w:tcW w:type="dxa" w:w="218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22" w:after="0"/>
                    <w:ind w:left="288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Subscriptions and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contributions committed </w:t>
                  </w:r>
                  <w:r>
                    <w:rPr>
                      <w:w w:val="103.99999618530273"/>
                      <w:rFonts w:ascii="Arial" w:hAnsi="Arial" w:eastAsia="Arial"/>
                      <w:b w:val="0"/>
                      <w:i/>
                      <w:color w:val="000000"/>
                      <w:sz w:val="10"/>
                    </w:rPr>
                    <w:t>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252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Gambia, The</w:t>
            </w:r>
          </w:p>
        </w:tc>
        <w:tc>
          <w:tcPr>
            <w:tcW w:type="dxa" w:w="23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55,208</w:t>
            </w:r>
          </w:p>
        </w:tc>
        <w:tc>
          <w:tcPr>
            <w:tcW w:type="dxa" w:w="13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  <w:tc>
          <w:tcPr>
            <w:tcW w:type="dxa" w:w="148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0.42 </w:t>
            </w:r>
          </w:p>
        </w:tc>
      </w:tr>
      <w:tr>
        <w:trPr>
          <w:trHeight w:hRule="exact" w:val="260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Ghana</w:t>
            </w:r>
          </w:p>
        </w:tc>
        <w:tc>
          <w:tcPr>
            <w:tcW w:type="dxa" w:w="23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86,677</w:t>
            </w:r>
          </w:p>
        </w:tc>
        <w:tc>
          <w:tcPr>
            <w:tcW w:type="dxa" w:w="28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0.27</w:t>
            </w:r>
          </w:p>
        </w:tc>
        <w:tc>
          <w:tcPr>
            <w:tcW w:type="dxa" w:w="7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3.11 </w:t>
            </w:r>
          </w:p>
        </w:tc>
      </w:tr>
      <w:tr>
        <w:trPr>
          <w:trHeight w:hRule="exact" w:val="260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Grenada</w:t>
            </w:r>
          </w:p>
        </w:tc>
        <w:tc>
          <w:tcPr>
            <w:tcW w:type="dxa" w:w="23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29,027</w:t>
            </w:r>
          </w:p>
        </w:tc>
        <w:tc>
          <w:tcPr>
            <w:tcW w:type="dxa" w:w="28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  <w:tc>
          <w:tcPr>
            <w:tcW w:type="dxa" w:w="7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0.14 </w:t>
            </w:r>
          </w:p>
        </w:tc>
      </w:tr>
      <w:tr>
        <w:trPr>
          <w:trHeight w:hRule="exact" w:val="240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Guinea</w:t>
            </w:r>
          </w:p>
        </w:tc>
        <w:tc>
          <w:tcPr>
            <w:tcW w:type="dxa" w:w="23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37,287</w:t>
            </w:r>
          </w:p>
        </w:tc>
        <w:tc>
          <w:tcPr>
            <w:tcW w:type="dxa" w:w="28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0.12</w:t>
            </w:r>
          </w:p>
        </w:tc>
        <w:tc>
          <w:tcPr>
            <w:tcW w:type="dxa" w:w="7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1.33 </w:t>
            </w:r>
          </w:p>
        </w:tc>
      </w:tr>
      <w:tr>
        <w:trPr>
          <w:trHeight w:hRule="exact" w:val="264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Guinea-Bissau</w:t>
            </w:r>
          </w:p>
        </w:tc>
        <w:tc>
          <w:tcPr>
            <w:tcW w:type="dxa" w:w="23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44,500</w:t>
            </w:r>
          </w:p>
        </w:tc>
        <w:tc>
          <w:tcPr>
            <w:tcW w:type="dxa" w:w="28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0.14</w:t>
            </w:r>
          </w:p>
        </w:tc>
        <w:tc>
          <w:tcPr>
            <w:tcW w:type="dxa" w:w="7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0.22 </w:t>
            </w:r>
          </w:p>
        </w:tc>
      </w:tr>
      <w:tr>
        <w:trPr>
          <w:trHeight w:hRule="exact" w:val="256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Guyana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83,979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0.26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1.29 </w:t>
            </w:r>
          </w:p>
        </w:tc>
      </w:tr>
      <w:tr>
        <w:trPr>
          <w:trHeight w:hRule="exact" w:val="260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Haiti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54,638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0.17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1.11 </w:t>
            </w:r>
          </w:p>
        </w:tc>
      </w:tr>
      <w:tr>
        <w:trPr>
          <w:trHeight w:hRule="exact" w:val="240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Honduras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59,206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0.18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0.44 </w:t>
            </w:r>
          </w:p>
        </w:tc>
      </w:tr>
      <w:tr>
        <w:trPr>
          <w:trHeight w:hRule="exact" w:val="260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Kenya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87,732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0.27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2.40 </w:t>
            </w:r>
          </w:p>
        </w:tc>
      </w:tr>
      <w:tr>
        <w:trPr>
          <w:trHeight w:hRule="exact" w:val="258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Kiribati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43,592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0.10 </w:t>
            </w:r>
          </w:p>
        </w:tc>
      </w:tr>
      <w:tr>
        <w:trPr>
          <w:trHeight w:hRule="exact" w:val="262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Kosovo</w:t>
            </w:r>
          </w:p>
        </w:tc>
        <w:tc>
          <w:tcPr>
            <w:tcW w:type="dxa" w:w="23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77,778</w:t>
            </w:r>
          </w:p>
        </w:tc>
        <w:tc>
          <w:tcPr>
            <w:tcW w:type="dxa" w:w="28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0.24</w:t>
            </w:r>
          </w:p>
        </w:tc>
        <w:tc>
          <w:tcPr>
            <w:tcW w:type="dxa" w:w="7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0.93 </w:t>
            </w:r>
          </w:p>
        </w:tc>
      </w:tr>
      <w:tr>
        <w:trPr>
          <w:trHeight w:hRule="exact" w:val="240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Kyrgyz Republic</w:t>
            </w:r>
          </w:p>
        </w:tc>
        <w:tc>
          <w:tcPr>
            <w:tcW w:type="dxa" w:w="23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64,522</w:t>
            </w:r>
          </w:p>
        </w:tc>
        <w:tc>
          <w:tcPr>
            <w:tcW w:type="dxa" w:w="28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0.20</w:t>
            </w:r>
          </w:p>
        </w:tc>
        <w:tc>
          <w:tcPr>
            <w:tcW w:type="dxa" w:w="7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0.56 </w:t>
            </w:r>
          </w:p>
        </w:tc>
      </w:tr>
      <w:tr>
        <w:trPr>
          <w:trHeight w:hRule="exact" w:val="260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Lao People'S Democratic Republic</w:t>
            </w:r>
          </w:p>
        </w:tc>
        <w:tc>
          <w:tcPr>
            <w:tcW w:type="dxa" w:w="23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57,255</w:t>
            </w:r>
          </w:p>
        </w:tc>
        <w:tc>
          <w:tcPr>
            <w:tcW w:type="dxa" w:w="28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0.18</w:t>
            </w:r>
          </w:p>
        </w:tc>
        <w:tc>
          <w:tcPr>
            <w:tcW w:type="dxa" w:w="7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0.73 </w:t>
            </w:r>
          </w:p>
        </w:tc>
      </w:tr>
      <w:tr>
        <w:trPr>
          <w:trHeight w:hRule="exact" w:val="260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Lesotho</w:t>
            </w:r>
          </w:p>
        </w:tc>
        <w:tc>
          <w:tcPr>
            <w:tcW w:type="dxa" w:w="23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57,106</w:t>
            </w:r>
          </w:p>
        </w:tc>
        <w:tc>
          <w:tcPr>
            <w:tcW w:type="dxa" w:w="28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0.18</w:t>
            </w:r>
          </w:p>
        </w:tc>
        <w:tc>
          <w:tcPr>
            <w:tcW w:type="dxa" w:w="7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0.23 </w:t>
            </w:r>
          </w:p>
        </w:tc>
      </w:tr>
      <w:tr>
        <w:trPr>
          <w:trHeight w:hRule="exact" w:val="252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Liberia</w:t>
            </w:r>
          </w:p>
        </w:tc>
        <w:tc>
          <w:tcPr>
            <w:tcW w:type="dxa" w:w="23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52,038</w:t>
            </w:r>
          </w:p>
        </w:tc>
        <w:tc>
          <w:tcPr>
            <w:tcW w:type="dxa" w:w="28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0.16</w:t>
            </w:r>
          </w:p>
        </w:tc>
        <w:tc>
          <w:tcPr>
            <w:tcW w:type="dxa" w:w="7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1.12 </w:t>
            </w:r>
          </w:p>
        </w:tc>
      </w:tr>
      <w:tr>
        <w:trPr>
          <w:trHeight w:hRule="exact" w:val="248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Madagascar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70,583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0.22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1.38 </w:t>
            </w:r>
          </w:p>
        </w:tc>
      </w:tr>
      <w:tr>
        <w:trPr>
          <w:trHeight w:hRule="exact" w:val="260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Malawi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58,641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0.18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0.97 </w:t>
            </w:r>
          </w:p>
        </w:tc>
      </w:tr>
      <w:tr>
        <w:trPr>
          <w:trHeight w:hRule="exact" w:val="260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Maldives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62,822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0.19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0.05 </w:t>
            </w:r>
          </w:p>
        </w:tc>
      </w:tr>
      <w:tr>
        <w:trPr>
          <w:trHeight w:hRule="exact" w:val="260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Mali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62,445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0.19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1.37 </w:t>
            </w:r>
          </w:p>
        </w:tc>
      </w:tr>
      <w:tr>
        <w:trPr>
          <w:trHeight w:hRule="exact" w:val="248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Marshall Islands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12,654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0.01 </w:t>
            </w:r>
          </w:p>
        </w:tc>
      </w:tr>
      <w:tr>
        <w:trPr>
          <w:trHeight w:hRule="exact" w:val="252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Mauritania</w:t>
            </w:r>
          </w:p>
        </w:tc>
        <w:tc>
          <w:tcPr>
            <w:tcW w:type="dxa" w:w="23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60,555</w:t>
            </w:r>
          </w:p>
        </w:tc>
        <w:tc>
          <w:tcPr>
            <w:tcW w:type="dxa" w:w="28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0.19</w:t>
            </w:r>
          </w:p>
        </w:tc>
        <w:tc>
          <w:tcPr>
            <w:tcW w:type="dxa" w:w="7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0.79 </w:t>
            </w:r>
          </w:p>
        </w:tc>
      </w:tr>
      <w:tr>
        <w:trPr>
          <w:trHeight w:hRule="exact" w:val="260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Micronesia, Federated States Of</w:t>
            </w:r>
          </w:p>
        </w:tc>
        <w:tc>
          <w:tcPr>
            <w:tcW w:type="dxa" w:w="23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26,189</w:t>
            </w:r>
          </w:p>
        </w:tc>
        <w:tc>
          <w:tcPr>
            <w:tcW w:type="dxa" w:w="28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  <w:tc>
          <w:tcPr>
            <w:tcW w:type="dxa" w:w="7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0.03 </w:t>
            </w:r>
          </w:p>
        </w:tc>
      </w:tr>
      <w:tr>
        <w:trPr>
          <w:trHeight w:hRule="exact" w:val="260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Mozambique</w:t>
            </w:r>
          </w:p>
        </w:tc>
        <w:tc>
          <w:tcPr>
            <w:tcW w:type="dxa" w:w="23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73,310</w:t>
            </w:r>
          </w:p>
        </w:tc>
        <w:tc>
          <w:tcPr>
            <w:tcW w:type="dxa" w:w="28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0.23</w:t>
            </w:r>
          </w:p>
        </w:tc>
        <w:tc>
          <w:tcPr>
            <w:tcW w:type="dxa" w:w="7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2.10 </w:t>
            </w:r>
          </w:p>
        </w:tc>
      </w:tr>
      <w:tr>
        <w:trPr>
          <w:trHeight w:hRule="exact" w:val="240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Myanmar</w:t>
            </w:r>
          </w:p>
        </w:tc>
        <w:tc>
          <w:tcPr>
            <w:tcW w:type="dxa" w:w="23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82,096</w:t>
            </w:r>
          </w:p>
        </w:tc>
        <w:tc>
          <w:tcPr>
            <w:tcW w:type="dxa" w:w="28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0.25</w:t>
            </w:r>
          </w:p>
        </w:tc>
        <w:tc>
          <w:tcPr>
            <w:tcW w:type="dxa" w:w="7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2.56 </w:t>
            </w:r>
          </w:p>
        </w:tc>
      </w:tr>
      <w:tr>
        <w:trPr>
          <w:trHeight w:hRule="exact" w:val="262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Nepal</w:t>
            </w:r>
          </w:p>
        </w:tc>
        <w:tc>
          <w:tcPr>
            <w:tcW w:type="dxa" w:w="23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54,710</w:t>
            </w:r>
          </w:p>
        </w:tc>
        <w:tc>
          <w:tcPr>
            <w:tcW w:type="dxa" w:w="28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0.17</w:t>
            </w:r>
          </w:p>
        </w:tc>
        <w:tc>
          <w:tcPr>
            <w:tcW w:type="dxa" w:w="7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0.71 </w:t>
            </w:r>
          </w:p>
        </w:tc>
      </w:tr>
      <w:tr>
        <w:trPr>
          <w:trHeight w:hRule="exact" w:val="258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Nicaragua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71,347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0.22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0.44 </w:t>
            </w:r>
          </w:p>
        </w:tc>
      </w:tr>
      <w:tr>
        <w:trPr>
          <w:trHeight w:hRule="exact" w:val="260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Niger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52,210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0.16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0.76 </w:t>
            </w:r>
          </w:p>
        </w:tc>
      </w:tr>
      <w:tr>
        <w:trPr>
          <w:trHeight w:hRule="exact" w:val="240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Nigeria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139,085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0.43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60.50 </w:t>
            </w:r>
          </w:p>
        </w:tc>
      </w:tr>
      <w:tr>
        <w:trPr>
          <w:trHeight w:hRule="exact" w:val="260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Pakistan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283,226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0.87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105.84 </w:t>
            </w:r>
          </w:p>
        </w:tc>
      </w:tr>
      <w:tr>
        <w:trPr>
          <w:trHeight w:hRule="exact" w:val="258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Papua New Guinea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67,754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0.21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1.24 </w:t>
            </w:r>
          </w:p>
        </w:tc>
      </w:tr>
      <w:tr>
        <w:trPr>
          <w:trHeight w:hRule="exact" w:val="262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Rwanda</w:t>
            </w:r>
          </w:p>
        </w:tc>
        <w:tc>
          <w:tcPr>
            <w:tcW w:type="dxa" w:w="23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52,038</w:t>
            </w:r>
          </w:p>
        </w:tc>
        <w:tc>
          <w:tcPr>
            <w:tcW w:type="dxa" w:w="28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0.16</w:t>
            </w:r>
          </w:p>
        </w:tc>
        <w:tc>
          <w:tcPr>
            <w:tcW w:type="dxa" w:w="7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1.12 </w:t>
            </w:r>
          </w:p>
        </w:tc>
      </w:tr>
      <w:tr>
        <w:trPr>
          <w:trHeight w:hRule="exact" w:val="240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St. Lucia</w:t>
            </w:r>
          </w:p>
        </w:tc>
        <w:tc>
          <w:tcPr>
            <w:tcW w:type="dxa" w:w="23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30,532</w:t>
            </w:r>
          </w:p>
        </w:tc>
        <w:tc>
          <w:tcPr>
            <w:tcW w:type="dxa" w:w="28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  <w:tc>
          <w:tcPr>
            <w:tcW w:type="dxa" w:w="7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0.23 </w:t>
            </w:r>
          </w:p>
        </w:tc>
      </w:tr>
      <w:tr>
        <w:trPr>
          <w:trHeight w:hRule="exact" w:val="260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St. Vincent And The Grenadines</w:t>
            </w:r>
          </w:p>
        </w:tc>
        <w:tc>
          <w:tcPr>
            <w:tcW w:type="dxa" w:w="23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50,022</w:t>
            </w:r>
          </w:p>
        </w:tc>
        <w:tc>
          <w:tcPr>
            <w:tcW w:type="dxa" w:w="28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  <w:tc>
          <w:tcPr>
            <w:tcW w:type="dxa" w:w="7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0.12 </w:t>
            </w:r>
          </w:p>
        </w:tc>
      </w:tr>
      <w:tr>
        <w:trPr>
          <w:trHeight w:hRule="exact" w:val="260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Samoa</w:t>
            </w:r>
          </w:p>
        </w:tc>
        <w:tc>
          <w:tcPr>
            <w:tcW w:type="dxa" w:w="23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43,901</w:t>
            </w:r>
          </w:p>
        </w:tc>
        <w:tc>
          <w:tcPr>
            <w:tcW w:type="dxa" w:w="28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0.14</w:t>
            </w:r>
          </w:p>
        </w:tc>
        <w:tc>
          <w:tcPr>
            <w:tcW w:type="dxa" w:w="7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0.14 </w:t>
            </w:r>
          </w:p>
        </w:tc>
      </w:tr>
      <w:tr>
        <w:trPr>
          <w:trHeight w:hRule="exact" w:val="252"/>
        </w:trPr>
        <w:tc>
          <w:tcPr>
            <w:tcW w:type="dxa" w:w="347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Sao Tome And Principe</w:t>
            </w:r>
          </w:p>
        </w:tc>
        <w:tc>
          <w:tcPr>
            <w:tcW w:type="dxa" w:w="230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49,519</w:t>
            </w:r>
          </w:p>
        </w:tc>
        <w:tc>
          <w:tcPr>
            <w:tcW w:type="dxa" w:w="2840"/>
            <w:gridSpan w:val="2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  <w:tc>
          <w:tcPr>
            <w:tcW w:type="dxa" w:w="7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0.12 </w:t>
            </w:r>
          </w:p>
        </w:tc>
      </w:tr>
      <w:tr>
        <w:trPr>
          <w:trHeight w:hRule="exact" w:val="308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Senegal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84,615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0.26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2.73 </w:t>
            </w:r>
          </w:p>
        </w:tc>
      </w:tr>
      <w:tr>
        <w:trPr>
          <w:trHeight w:hRule="exact" w:val="280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Sierra Leone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63,638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0.20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1.02 </w:t>
            </w:r>
          </w:p>
        </w:tc>
      </w:tr>
      <w:tr>
        <w:trPr>
          <w:trHeight w:hRule="exact" w:val="280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Solomon Islands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43,901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0.13 </w:t>
            </w:r>
          </w:p>
        </w:tc>
      </w:tr>
      <w:tr>
        <w:trPr>
          <w:trHeight w:hRule="exact" w:val="280"/>
        </w:trPr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Somalia, Federal Republic of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19,165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0.97 </w:t>
            </w:r>
          </w:p>
        </w:tc>
      </w:tr>
      <w:tr>
        <w:trPr>
          <w:trHeight w:hRule="exact" w:val="278"/>
        </w:trPr>
        <w:tc>
          <w:tcPr>
            <w:tcW w:type="dxa" w:w="3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Sudan</w:t>
            </w:r>
          </w:p>
        </w:tc>
        <w:tc>
          <w:tcPr>
            <w:tcW w:type="dxa" w:w="23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52,447</w:t>
            </w:r>
          </w:p>
        </w:tc>
        <w:tc>
          <w:tcPr>
            <w:tcW w:type="dxa" w:w="28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17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0.16</w:t>
            </w:r>
          </w:p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0.45 </w:t>
            </w:r>
          </w:p>
        </w:tc>
      </w:tr>
      <w:tr>
        <w:trPr>
          <w:trHeight w:hRule="exact" w:val="1342"/>
        </w:trPr>
        <w:tc>
          <w:tcPr>
            <w:tcW w:type="dxa" w:w="34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4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2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IDA Financial Statements: June 30, 2025 </w:t>
            </w:r>
          </w:p>
        </w:tc>
        <w:tc>
          <w:tcPr>
            <w:tcW w:type="dxa" w:w="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2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92" w:right="142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28" w:lineRule="exact" w:before="2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STATEMENT OF VOTING POWER AND SUBSCRIPTIONS AND </w:t>
      </w:r>
      <w:r>
        <w:rPr>
          <w:rFonts w:ascii="ArialMT" w:hAnsi="ArialMT" w:eastAsia="ArialMT"/>
          <w:b w:val="0"/>
          <w:i w:val="0"/>
          <w:color w:val="004972"/>
          <w:sz w:val="32"/>
        </w:rPr>
        <w:t xml:space="preserve">CONTRIBUTIONS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>June 30, 2025</w:t>
      </w:r>
    </w:p>
    <w:p>
      <w:pPr>
        <w:autoSpaceDN w:val="0"/>
        <w:autoSpaceDE w:val="0"/>
        <w:widowControl/>
        <w:spacing w:line="180" w:lineRule="exact" w:before="278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Expressed in millions of U.S. dollars except for votes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3"/>
        <w:gridCol w:w="3123"/>
        <w:gridCol w:w="3123"/>
      </w:tblGrid>
      <w:tr>
        <w:trPr>
          <w:trHeight w:hRule="exact" w:val="524"/>
        </w:trPr>
        <w:tc>
          <w:tcPr>
            <w:tcW w:type="dxa" w:w="3476"/>
            <w:tcBorders>
              <w:top w:sz="8.0" w:val="single" w:color="#000000"/>
              <w:end w:sz="24.0" w:val="single" w:color="#FFFFFF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Member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 c</w:t>
            </w:r>
          </w:p>
        </w:tc>
        <w:tc>
          <w:tcPr>
            <w:tcW w:type="dxa" w:w="1724"/>
            <w:tcBorders>
              <w:start w:sz="24.0" w:val="single" w:color="#FFFFFF"/>
              <w:top w:sz="8.0" w:val="single" w:color="#000000"/>
              <w:end w:sz="24.0" w:val="single" w:color="#FFFFFF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Number of votes</w:t>
            </w:r>
          </w:p>
        </w:tc>
        <w:tc>
          <w:tcPr>
            <w:tcW w:type="dxa" w:w="4150"/>
            <w:tcBorders>
              <w:start w:sz="24.0" w:val="single" w:color="#FFFFFF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2075"/>
              <w:gridCol w:w="2075"/>
            </w:tblGrid>
            <w:tr>
              <w:trPr>
                <w:trHeight w:hRule="exact" w:val="426"/>
              </w:trPr>
              <w:tc>
                <w:tcPr>
                  <w:tcW w:type="dxa" w:w="1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22" w:after="0"/>
                    <w:ind w:left="0" w:right="144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Percentage of total </w:t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votes</w:t>
                  </w:r>
                </w:p>
              </w:tc>
              <w:tc>
                <w:tcPr>
                  <w:tcW w:type="dxa" w:w="218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22" w:after="0"/>
                    <w:ind w:left="288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Subscriptions and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contributions committed </w:t>
                  </w:r>
                  <w:r>
                    <w:rPr>
                      <w:w w:val="103.99999618530273"/>
                      <w:rFonts w:ascii="Arial" w:hAnsi="Arial" w:eastAsia="Arial"/>
                      <w:b w:val="0"/>
                      <w:i/>
                      <w:color w:val="000000"/>
                      <w:sz w:val="10"/>
                    </w:rPr>
                    <w:t>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74"/>
        <w:gridCol w:w="1874"/>
        <w:gridCol w:w="1874"/>
        <w:gridCol w:w="1874"/>
        <w:gridCol w:w="1874"/>
      </w:tblGrid>
      <w:tr>
        <w:trPr>
          <w:trHeight w:hRule="exact" w:val="272"/>
        </w:trPr>
        <w:tc>
          <w:tcPr>
            <w:tcW w:type="dxa" w:w="34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Sri Lanka</w:t>
            </w:r>
          </w:p>
        </w:tc>
        <w:tc>
          <w:tcPr>
            <w:tcW w:type="dxa" w:w="227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114,721</w:t>
            </w:r>
          </w:p>
        </w:tc>
        <w:tc>
          <w:tcPr>
            <w:tcW w:type="dxa" w:w="134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  <w:tc>
          <w:tcPr>
            <w:tcW w:type="dxa" w:w="880"/>
            <w:vMerge w:val="restart"/>
            <w:tcBorders/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4.24 </w:t>
            </w:r>
          </w:p>
        </w:tc>
      </w:tr>
      <w:tr>
        <w:trPr>
          <w:trHeight w:hRule="exact" w:val="260"/>
        </w:trPr>
        <w:tc>
          <w:tcPr>
            <w:tcW w:type="dxa" w:w="34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Sudan</w:t>
            </w:r>
          </w:p>
        </w:tc>
        <w:tc>
          <w:tcPr>
            <w:tcW w:type="dxa" w:w="227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65,003</w:t>
            </w:r>
          </w:p>
        </w:tc>
        <w:tc>
          <w:tcPr>
            <w:tcW w:type="dxa" w:w="134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0.20</w:t>
            </w:r>
          </w:p>
        </w:tc>
        <w:tc>
          <w:tcPr>
            <w:tcW w:type="dxa" w:w="1874"/>
            <w:vMerge/>
            <w:tcBorders/>
          </w:tcPr>
          <w:p/>
        </w:tc>
        <w:tc>
          <w:tcPr>
            <w:tcW w:type="dxa" w:w="13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1.50 </w:t>
            </w:r>
          </w:p>
        </w:tc>
      </w:tr>
      <w:tr>
        <w:trPr>
          <w:trHeight w:hRule="exact" w:val="280"/>
        </w:trPr>
        <w:tc>
          <w:tcPr>
            <w:tcW w:type="dxa" w:w="34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Suriname</w:t>
            </w:r>
          </w:p>
        </w:tc>
        <w:tc>
          <w:tcPr>
            <w:tcW w:type="dxa" w:w="227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64,625</w:t>
            </w:r>
          </w:p>
        </w:tc>
        <w:tc>
          <w:tcPr>
            <w:tcW w:type="dxa" w:w="134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0.20</w:t>
            </w:r>
          </w:p>
        </w:tc>
        <w:tc>
          <w:tcPr>
            <w:tcW w:type="dxa" w:w="1874"/>
            <w:vMerge/>
            <w:tcBorders/>
          </w:tcPr>
          <w:p/>
        </w:tc>
        <w:tc>
          <w:tcPr>
            <w:tcW w:type="dxa" w:w="13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0.15 </w:t>
            </w:r>
          </w:p>
        </w:tc>
      </w:tr>
      <w:tr>
        <w:trPr>
          <w:trHeight w:hRule="exact" w:val="280"/>
        </w:trPr>
        <w:tc>
          <w:tcPr>
            <w:tcW w:type="dxa" w:w="34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Syrian Arab Republic</w:t>
            </w:r>
          </w:p>
        </w:tc>
        <w:tc>
          <w:tcPr>
            <w:tcW w:type="dxa" w:w="227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24,077</w:t>
            </w:r>
          </w:p>
        </w:tc>
        <w:tc>
          <w:tcPr>
            <w:tcW w:type="dxa" w:w="134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  <w:tc>
          <w:tcPr>
            <w:tcW w:type="dxa" w:w="1874"/>
            <w:vMerge/>
            <w:tcBorders/>
          </w:tcPr>
          <w:p/>
        </w:tc>
        <w:tc>
          <w:tcPr>
            <w:tcW w:type="dxa" w:w="13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1.20 </w:t>
            </w:r>
          </w:p>
        </w:tc>
      </w:tr>
      <w:tr>
        <w:trPr>
          <w:trHeight w:hRule="exact" w:val="274"/>
        </w:trPr>
        <w:tc>
          <w:tcPr>
            <w:tcW w:type="dxa" w:w="34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Tajikistan</w:t>
            </w:r>
          </w:p>
        </w:tc>
        <w:tc>
          <w:tcPr>
            <w:tcW w:type="dxa" w:w="227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53,918</w:t>
            </w:r>
          </w:p>
        </w:tc>
        <w:tc>
          <w:tcPr>
            <w:tcW w:type="dxa" w:w="134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0.17</w:t>
            </w:r>
          </w:p>
        </w:tc>
        <w:tc>
          <w:tcPr>
            <w:tcW w:type="dxa" w:w="1874"/>
            <w:vMerge/>
            <w:tcBorders/>
          </w:tcPr>
          <w:p/>
        </w:tc>
        <w:tc>
          <w:tcPr>
            <w:tcW w:type="dxa" w:w="13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0.53 </w:t>
            </w:r>
          </w:p>
        </w:tc>
      </w:tr>
      <w:tr>
        <w:trPr>
          <w:trHeight w:hRule="exact" w:val="306"/>
        </w:trPr>
        <w:tc>
          <w:tcPr>
            <w:tcW w:type="dxa" w:w="3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Tanzania</w:t>
            </w:r>
          </w:p>
        </w:tc>
        <w:tc>
          <w:tcPr>
            <w:tcW w:type="dxa" w:w="2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78,715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0.24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2.34 </w:t>
            </w:r>
          </w:p>
        </w:tc>
      </w:tr>
      <w:tr>
        <w:trPr>
          <w:trHeight w:hRule="exact" w:val="280"/>
        </w:trPr>
        <w:tc>
          <w:tcPr>
            <w:tcW w:type="dxa" w:w="3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Timor-Leste</w:t>
            </w:r>
          </w:p>
        </w:tc>
        <w:tc>
          <w:tcPr>
            <w:tcW w:type="dxa" w:w="2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45,123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0.14</w:t>
            </w:r>
          </w:p>
        </w:tc>
        <w:tc>
          <w:tcPr>
            <w:tcW w:type="dxa" w:w="1874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0.44 </w:t>
            </w:r>
          </w:p>
        </w:tc>
      </w:tr>
      <w:tr>
        <w:trPr>
          <w:trHeight w:hRule="exact" w:val="280"/>
        </w:trPr>
        <w:tc>
          <w:tcPr>
            <w:tcW w:type="dxa" w:w="3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Togo</w:t>
            </w:r>
          </w:p>
        </w:tc>
        <w:tc>
          <w:tcPr>
            <w:tcW w:type="dxa" w:w="2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61,840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0.19</w:t>
            </w:r>
          </w:p>
        </w:tc>
        <w:tc>
          <w:tcPr>
            <w:tcW w:type="dxa" w:w="1874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1.19 </w:t>
            </w:r>
          </w:p>
        </w:tc>
      </w:tr>
      <w:tr>
        <w:trPr>
          <w:trHeight w:hRule="exact" w:val="280"/>
        </w:trPr>
        <w:tc>
          <w:tcPr>
            <w:tcW w:type="dxa" w:w="3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Tonga</w:t>
            </w:r>
          </w:p>
        </w:tc>
        <w:tc>
          <w:tcPr>
            <w:tcW w:type="dxa" w:w="2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49,514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  <w:tc>
          <w:tcPr>
            <w:tcW w:type="dxa" w:w="1874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0.11 </w:t>
            </w:r>
          </w:p>
        </w:tc>
      </w:tr>
      <w:tr>
        <w:trPr>
          <w:trHeight w:hRule="exact" w:val="278"/>
        </w:trPr>
        <w:tc>
          <w:tcPr>
            <w:tcW w:type="dxa" w:w="3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Tuvalu</w:t>
            </w:r>
          </w:p>
        </w:tc>
        <w:tc>
          <w:tcPr>
            <w:tcW w:type="dxa" w:w="2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16,615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1874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0.03 </w:t>
            </w:r>
          </w:p>
        </w:tc>
      </w:tr>
      <w:tr>
        <w:trPr>
          <w:trHeight w:hRule="exact" w:val="302"/>
        </w:trPr>
        <w:tc>
          <w:tcPr>
            <w:tcW w:type="dxa" w:w="34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Uganda</w:t>
            </w:r>
          </w:p>
        </w:tc>
        <w:tc>
          <w:tcPr>
            <w:tcW w:type="dxa" w:w="227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50,392</w:t>
            </w:r>
          </w:p>
        </w:tc>
        <w:tc>
          <w:tcPr>
            <w:tcW w:type="dxa" w:w="134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  <w:tc>
          <w:tcPr>
            <w:tcW w:type="dxa" w:w="880"/>
            <w:vMerge w:val="restart"/>
            <w:tcBorders>
              <w:bottom w:sz="8.0" w:val="single" w:color="#000000"/>
            </w:tcBorders>
            <w:shd w:fill="dadad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2.32 </w:t>
            </w:r>
          </w:p>
        </w:tc>
      </w:tr>
      <w:tr>
        <w:trPr>
          <w:trHeight w:hRule="exact" w:val="280"/>
        </w:trPr>
        <w:tc>
          <w:tcPr>
            <w:tcW w:type="dxa" w:w="34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Uzbekistan</w:t>
            </w:r>
          </w:p>
        </w:tc>
        <w:tc>
          <w:tcPr>
            <w:tcW w:type="dxa" w:w="227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73,936</w:t>
            </w:r>
          </w:p>
        </w:tc>
        <w:tc>
          <w:tcPr>
            <w:tcW w:type="dxa" w:w="134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0.23</w:t>
            </w:r>
          </w:p>
        </w:tc>
        <w:tc>
          <w:tcPr>
            <w:tcW w:type="dxa" w:w="1874"/>
            <w:vMerge/>
            <w:tcBorders>
              <w:bottom w:sz="8.0" w:val="single" w:color="#000000"/>
            </w:tcBorders>
          </w:tcPr>
          <w:p/>
        </w:tc>
        <w:tc>
          <w:tcPr>
            <w:tcW w:type="dxa" w:w="13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1.92 </w:t>
            </w:r>
          </w:p>
        </w:tc>
      </w:tr>
      <w:tr>
        <w:trPr>
          <w:trHeight w:hRule="exact" w:val="280"/>
        </w:trPr>
        <w:tc>
          <w:tcPr>
            <w:tcW w:type="dxa" w:w="34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Vanuatu</w:t>
            </w:r>
          </w:p>
        </w:tc>
        <w:tc>
          <w:tcPr>
            <w:tcW w:type="dxa" w:w="227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50,952</w:t>
            </w:r>
          </w:p>
        </w:tc>
        <w:tc>
          <w:tcPr>
            <w:tcW w:type="dxa" w:w="134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0.16</w:t>
            </w:r>
          </w:p>
        </w:tc>
        <w:tc>
          <w:tcPr>
            <w:tcW w:type="dxa" w:w="1874"/>
            <w:vMerge/>
            <w:tcBorders>
              <w:bottom w:sz="8.0" w:val="single" w:color="#000000"/>
            </w:tcBorders>
          </w:tcPr>
          <w:p/>
        </w:tc>
        <w:tc>
          <w:tcPr>
            <w:tcW w:type="dxa" w:w="13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0.31 </w:t>
            </w:r>
          </w:p>
        </w:tc>
      </w:tr>
      <w:tr>
        <w:trPr>
          <w:trHeight w:hRule="exact" w:val="300"/>
        </w:trPr>
        <w:tc>
          <w:tcPr>
            <w:tcW w:type="dxa" w:w="34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Yemen, Republic Of</w:t>
            </w:r>
          </w:p>
        </w:tc>
        <w:tc>
          <w:tcPr>
            <w:tcW w:type="dxa" w:w="227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78,475</w:t>
            </w:r>
          </w:p>
        </w:tc>
        <w:tc>
          <w:tcPr>
            <w:tcW w:type="dxa" w:w="134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0.24</w:t>
            </w:r>
          </w:p>
        </w:tc>
        <w:tc>
          <w:tcPr>
            <w:tcW w:type="dxa" w:w="1874"/>
            <w:vMerge/>
            <w:tcBorders>
              <w:bottom w:sz="8.0" w:val="single" w:color="#000000"/>
            </w:tcBorders>
          </w:tcPr>
          <w:p/>
        </w:tc>
        <w:tc>
          <w:tcPr>
            <w:tcW w:type="dxa" w:w="13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2.25 </w:t>
            </w:r>
          </w:p>
        </w:tc>
      </w:tr>
      <w:tr>
        <w:trPr>
          <w:trHeight w:hRule="exact" w:val="280"/>
        </w:trPr>
        <w:tc>
          <w:tcPr>
            <w:tcW w:type="dxa" w:w="349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Zambia</w:t>
            </w:r>
          </w:p>
        </w:tc>
        <w:tc>
          <w:tcPr>
            <w:tcW w:type="dxa" w:w="227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98,131</w:t>
            </w:r>
          </w:p>
        </w:tc>
        <w:tc>
          <w:tcPr>
            <w:tcW w:type="dxa" w:w="134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0.30</w:t>
            </w:r>
          </w:p>
        </w:tc>
        <w:tc>
          <w:tcPr>
            <w:tcW w:type="dxa" w:w="1874"/>
            <w:vMerge/>
            <w:tcBorders>
              <w:bottom w:sz="8.0" w:val="single" w:color="#000000"/>
            </w:tcBorders>
          </w:tcPr>
          <w:p/>
        </w:tc>
        <w:tc>
          <w:tcPr>
            <w:tcW w:type="dxa" w:w="13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3.68 </w:t>
            </w:r>
          </w:p>
        </w:tc>
      </w:tr>
      <w:tr>
        <w:trPr>
          <w:trHeight w:hRule="exact" w:val="268"/>
        </w:trPr>
        <w:tc>
          <w:tcPr>
            <w:tcW w:type="dxa" w:w="3494"/>
            <w:tcBorders>
              <w:bottom w:sz="8.0" w:val="single" w:color="#000000"/>
            </w:tcBorders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Zimbabwe</w:t>
            </w:r>
          </w:p>
        </w:tc>
        <w:tc>
          <w:tcPr>
            <w:tcW w:type="dxa" w:w="2276"/>
            <w:tcBorders>
              <w:bottom w:sz="8.0" w:val="single" w:color="#000000"/>
            </w:tcBorders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123,209</w:t>
            </w:r>
          </w:p>
        </w:tc>
        <w:tc>
          <w:tcPr>
            <w:tcW w:type="dxa" w:w="1340"/>
            <w:tcBorders>
              <w:bottom w:sz="8.0" w:val="single" w:color="#000000"/>
            </w:tcBorders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0.38</w:t>
            </w:r>
          </w:p>
        </w:tc>
        <w:tc>
          <w:tcPr>
            <w:tcW w:type="dxa" w:w="1874"/>
            <w:vMerge/>
            <w:tcBorders>
              <w:bottom w:sz="8.0" w:val="single" w:color="#000000"/>
            </w:tcBorders>
          </w:tcPr>
          <w:p/>
        </w:tc>
        <w:tc>
          <w:tcPr>
            <w:tcW w:type="dxa" w:w="1360"/>
            <w:tcBorders>
              <w:bottom w:sz="8.0" w:val="single" w:color="#000000"/>
            </w:tcBorders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6.52 </w:t>
            </w:r>
          </w:p>
        </w:tc>
      </w:tr>
      <w:tr>
        <w:trPr>
          <w:trHeight w:hRule="exact" w:val="284"/>
        </w:trPr>
        <w:tc>
          <w:tcPr>
            <w:tcW w:type="dxa" w:w="34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Recipients</w:t>
            </w:r>
          </w:p>
        </w:tc>
        <w:tc>
          <w:tcPr>
            <w:tcW w:type="dxa" w:w="2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4,885,583</w:t>
            </w:r>
          </w:p>
        </w:tc>
        <w:tc>
          <w:tcPr>
            <w:tcW w:type="dxa" w:w="1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15.07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  <w:tc>
          <w:tcPr>
            <w:tcW w:type="dxa" w:w="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255 </w:t>
            </w:r>
          </w:p>
        </w:tc>
      </w:tr>
      <w:tr>
        <w:trPr>
          <w:trHeight w:hRule="exact" w:val="550"/>
        </w:trPr>
        <w:tc>
          <w:tcPr>
            <w:tcW w:type="dxa" w:w="34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Total—June 30, 2025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2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50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32,423,778</w:t>
            </w:r>
          </w:p>
        </w:tc>
        <w:tc>
          <w:tcPr>
            <w:tcW w:type="dxa" w:w="1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  <w:tc>
          <w:tcPr>
            <w:tcW w:type="dxa" w:w="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5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314,972 </w:t>
            </w:r>
          </w:p>
        </w:tc>
      </w:tr>
      <w:tr>
        <w:trPr>
          <w:trHeight w:hRule="exact" w:val="570"/>
        </w:trPr>
        <w:tc>
          <w:tcPr>
            <w:tcW w:type="dxa" w:w="34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8" w:after="0"/>
              <w:ind w:left="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Total—June 30, 2024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2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70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31,791,138</w:t>
            </w:r>
          </w:p>
        </w:tc>
        <w:tc>
          <w:tcPr>
            <w:tcW w:type="dxa" w:w="1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7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7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7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310,983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85"/>
        <w:gridCol w:w="4685"/>
      </w:tblGrid>
      <w:tr>
        <w:trPr>
          <w:trHeight w:hRule="exact" w:val="6622"/>
        </w:trPr>
        <w:tc>
          <w:tcPr>
            <w:tcW w:type="dxa" w:w="4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36" w:lineRule="exact" w:before="115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 xml:space="preserve">Notes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a. See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b. Ma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c. Pur </w:t>
            </w:r>
            <w:r>
              <w:tab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sub </w:t>
            </w:r>
            <w:r>
              <w:tab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by t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d. If a </w:t>
            </w:r>
            <w:r>
              <w:tab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me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*  Indi</w:t>
            </w:r>
          </w:p>
          <w:p>
            <w:pPr>
              <w:autoSpaceDN w:val="0"/>
              <w:autoSpaceDE w:val="0"/>
              <w:widowControl/>
              <w:spacing w:line="224" w:lineRule="exact" w:before="313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88 </w:t>
            </w:r>
          </w:p>
        </w:tc>
        <w:tc>
          <w:tcPr>
            <w:tcW w:type="dxa" w:w="8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9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a. See  Notes to Financial Statements—Note A for an explanation of the two categories of membership.</w:t>
            </w:r>
          </w:p>
          <w:p>
            <w:pPr>
              <w:autoSpaceDN w:val="0"/>
              <w:autoSpaceDE w:val="0"/>
              <w:widowControl/>
              <w:spacing w:line="180" w:lineRule="exact" w:before="10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b. Ma y differ from the calculated amounts or sum of individual figures shown due to rounding.</w:t>
            </w:r>
          </w:p>
          <w:p>
            <w:pPr>
              <w:autoSpaceDN w:val="0"/>
              <w:tabs>
                <w:tab w:pos="238" w:val="left"/>
                <w:tab w:pos="258" w:val="left"/>
              </w:tabs>
              <w:autoSpaceDE w:val="0"/>
              <w:widowControl/>
              <w:spacing w:line="192" w:lineRule="exact" w:before="68" w:after="0"/>
              <w:ind w:left="0" w:right="0" w:firstLine="0"/>
              <w:jc w:val="left"/>
            </w:pPr>
            <w:r>
              <w:tab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suant to the IDA Voting Rights Framework approved by IDA’s Board effective July 1, 2022, for the purposes of additional 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scriptions, IDA’s membership structure was changed from either Part I or Part II to either Non-Recipient or Recipient, driven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by t heir IDA borrowing eligibility (See Notes to Financial Statements—Note A for Members' Subscriptions and Contributions).</w:t>
            </w:r>
          </w:p>
          <w:p>
            <w:pPr>
              <w:autoSpaceDN w:val="0"/>
              <w:tabs>
                <w:tab w:pos="266" w:val="left"/>
              </w:tabs>
              <w:autoSpaceDE w:val="0"/>
              <w:widowControl/>
              <w:spacing w:line="192" w:lineRule="exact" w:before="52" w:after="0"/>
              <w:ind w:left="0" w:right="288" w:firstLine="0"/>
              <w:jc w:val="left"/>
            </w:pPr>
            <w:r>
              <w:tab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Non-Recipient member has graduated within the last five replenishments, they are classified as Interstitial Non-Recipient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me mbers (See Notes to Financial Statements—Note A for Members' Subscriptions and Contributions).</w:t>
            </w:r>
          </w:p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*  Indicates amounts less than 0.005%.</w:t>
            </w:r>
          </w:p>
          <w:p>
            <w:pPr>
              <w:autoSpaceDN w:val="0"/>
              <w:autoSpaceDE w:val="0"/>
              <w:widowControl/>
              <w:spacing w:line="200" w:lineRule="exact" w:before="938" w:after="0"/>
              <w:ind w:left="99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The Notes to Financial Statements are an integral part of these Statements.</w:t>
            </w:r>
          </w:p>
          <w:p>
            <w:pPr>
              <w:autoSpaceDN w:val="0"/>
              <w:autoSpaceDE w:val="0"/>
              <w:widowControl/>
              <w:spacing w:line="224" w:lineRule="exact" w:before="1994" w:after="0"/>
              <w:ind w:left="2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IDA Financial Statements: June 30, 2025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92" w:right="144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56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4972"/>
          <w:sz w:val="32"/>
        </w:rPr>
        <w:t>NOTES TO FINANCIAL STATEMENTS</w:t>
      </w:r>
    </w:p>
    <w:p>
      <w:pPr>
        <w:autoSpaceDN w:val="0"/>
        <w:autoSpaceDE w:val="0"/>
        <w:widowControl/>
        <w:spacing w:line="314" w:lineRule="exact" w:before="1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PURPOSE AND AFFILIATED ORGANIZATIONS</w:t>
      </w:r>
    </w:p>
    <w:p>
      <w:pPr>
        <w:autoSpaceDN w:val="0"/>
        <w:autoSpaceDE w:val="0"/>
        <w:widowControl/>
        <w:spacing w:line="240" w:lineRule="exact" w:before="14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International Development Association (IDA) is an international organization established in 1960.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main goal is reducing poverty through promoting sustainable economic development in the less </w:t>
      </w:r>
      <w:r>
        <w:rPr>
          <w:rFonts w:ascii="ArialMT" w:hAnsi="ArialMT" w:eastAsia="ArialMT"/>
          <w:b w:val="0"/>
          <w:i w:val="0"/>
          <w:color w:val="000000"/>
          <w:sz w:val="20"/>
        </w:rPr>
        <w:t>developed countries of the world that are members of IDA, by extending concessionary and non-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concessionary financing in the form of grants, loans and guarantees, and by providing related technical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assistance. The activities of IDA are complemented by those of three affiliated organizations,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International Bank for Reconstruction and Development (IBRD), the International Finance Corporation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(IFC), and the Multilateral Investment Guarantee Agency (MIGA). Each of these organizations is legally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financially independent from IDA, with separate assets and liabilities, and IDA is not liable for their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respective obligations. Transactions with these affiliates are disclosed in the notes that follow.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is immune from taxation pursuant to Article VIII, Section 9, </w:t>
      </w:r>
      <w:r>
        <w:rPr>
          <w:rFonts w:ascii="Arial" w:hAnsi="Arial" w:eastAsia="Arial"/>
          <w:b w:val="0"/>
          <w:i/>
          <w:color w:val="000000"/>
          <w:sz w:val="20"/>
        </w:rPr>
        <w:t>Immunities from Taxation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, of IDA’s Articles </w:t>
      </w:r>
      <w:r>
        <w:rPr>
          <w:rFonts w:ascii="ArialMT" w:hAnsi="ArialMT" w:eastAsia="ArialMT"/>
          <w:b w:val="0"/>
          <w:i w:val="0"/>
          <w:color w:val="000000"/>
          <w:sz w:val="20"/>
        </w:rPr>
        <w:t>of Agreement.</w:t>
      </w:r>
    </w:p>
    <w:p>
      <w:pPr>
        <w:autoSpaceDN w:val="0"/>
        <w:autoSpaceDE w:val="0"/>
        <w:widowControl/>
        <w:spacing w:line="336" w:lineRule="exact" w:before="220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NOTE A—SUMMARY OF SIGNIFICANT ACCOUNTING AND RELATED </w:t>
      </w:r>
      <w:r>
        <w:rPr>
          <w:rFonts w:ascii="Arial" w:hAnsi="Arial" w:eastAsia="Arial"/>
          <w:b/>
          <w:i w:val="0"/>
          <w:color w:val="004972"/>
          <w:sz w:val="28"/>
        </w:rPr>
        <w:t>POLICIES</w:t>
      </w:r>
    </w:p>
    <w:p>
      <w:pPr>
        <w:autoSpaceDN w:val="0"/>
        <w:autoSpaceDE w:val="0"/>
        <w:widowControl/>
        <w:spacing w:line="240" w:lineRule="exact" w:before="14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financial statements are prepared in conformity with accounting principles generally accepted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United States of America (U.S. GAAP).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preparation of financial statements in conformity with U.S. GAAP requires management to make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estimates and assumptions that affect the reported amounts of assets and liabilities and disclosures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contingent assets and liabilities at the date of the financial statements and the reported amounts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revenue and expenses during the reporting period. Due to the inherent uncertainty involved in making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those estimates, actual results could differ from these estimates. Significant judgment has been used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valuation of certain financial instruments and the determination of the adequacy of the accumulated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>provisions for debt relief and losses on loans and other exposures.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Executive Directors approved these financial statements for issuance on August 7, 2025, which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>also the date through which IDA’s management evaluated subsequent events.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Certain reclassifications to the prior year’s information have been made to conform with the current year’s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presentation. 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Translation and Remeasurement of Currencies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financial statements are expressed in U.S. dollars for the purpose of reporting its financial position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and the results of its operations.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conducts its operations in Special Drawing Rights (SDR) and its component currencies of U.S. dollar,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euro, Japanese yen, pound sterling and Chinese renminbi. These constitute the functional currencies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Assets and liabilities are translated at market exchange rates in effect at the end of the accounting period.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Revenue and expenses are translated at either the market exchange rates in effect on the dates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revenue and expense recognition, or at an average of the market exchange rates in effect during each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month. Translation adjustments relating to the revaluation of all assets and liabilities denominated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either SDR or the component currencies of SDR, are reflected in Accumulated Other Comprehensive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Income. Remeasurement adjustments relating to other currencies (non-functional currencies)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>reported in the Statements of Income.</w:t>
      </w:r>
    </w:p>
    <w:p>
      <w:pPr>
        <w:autoSpaceDN w:val="0"/>
        <w:tabs>
          <w:tab w:pos="9138" w:val="left"/>
        </w:tabs>
        <w:autoSpaceDE w:val="0"/>
        <w:widowControl/>
        <w:spacing w:line="224" w:lineRule="exact" w:before="1628" w:after="0"/>
        <w:ind w:left="48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89</w:t>
      </w:r>
    </w:p>
    <w:p>
      <w:pPr>
        <w:sectPr>
          <w:pgSz w:w="12240" w:h="15840"/>
          <w:pgMar w:top="692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Members’ Subscriptions and Contributions</w:t>
      </w:r>
    </w:p>
    <w:p>
      <w:pPr>
        <w:autoSpaceDN w:val="0"/>
        <w:autoSpaceDE w:val="0"/>
        <w:widowControl/>
        <w:spacing w:line="246" w:lineRule="exact" w:before="14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Recognition</w:t>
      </w:r>
    </w:p>
    <w:p>
      <w:pPr>
        <w:autoSpaceDN w:val="0"/>
        <w:autoSpaceDE w:val="0"/>
        <w:widowControl/>
        <w:spacing w:line="240" w:lineRule="exact" w:before="126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Members’ subscriptions and contributions committed for each IDA replenishment are initially recorded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both subscriptions and contributions committed and, correspondingly, as subscriptions and contributions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receivable. Prior to effectiveness, only a portion of the value of Instruments of Commitment (IoCs)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received as specified in the replenishment resolution is recorded as subscriptions and contributions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committed. Upon effectiveness, the remainder of the value of IoCs received is subsequently recorded as </w:t>
      </w:r>
      <w:r>
        <w:rPr>
          <w:rFonts w:ascii="ArialMT" w:hAnsi="ArialMT" w:eastAsia="ArialMT"/>
          <w:b w:val="0"/>
          <w:i w:val="0"/>
          <w:color w:val="000000"/>
          <w:sz w:val="20"/>
        </w:rPr>
        <w:t>subscriptions and contributions committed.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IoCs can contain unqualified or qualified commitments. Under an unqualified commitment, a contributing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member agrees to pay a specified amount of its subscriptions and contributions without requiring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appropriation legislation. A qualified commitment is subject to the contributing member obtaining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necessary appropriation legislation. Subscriptions and contributions made under IoCs become available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commitment for loans, grants and guarantees by IDA for a particular replenishment in accordance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IDA replenishment envelope as approved by the Executive Directors.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replenishment becomes effective when IDA receives IoCs from contributing members whose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subscriptions and contributions aggregate to a specified portion of the full replenishment. Amounts not yet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paid in at the date of effectiveness, are recorded as subscriptions and contributions receivable and shown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a reduction of subscriptions and contributions committed. These receivables become due throughout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replenishment period, generally three years, in accordance with an agreed payment schedule.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actual payment of receivables when they become due may be subject to the budgetary appropriation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processes for certain members.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subscriptions and contributions receivable are settled through payment of cash or deposit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nonnegotiable, noninterest-bearing demand notes. The notes are encashed by IDA on an approximately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 rata basis either as provided in the relevant replenishment resolution over the disbursement period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loans and grants committed under the replenishment, or as needed.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certain replenishments, donors receive discounts (a reduced obligation) when they pay a contribution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amount before the relevant due date, and acceleration credits when they pay their full contribution amount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before the due date. IDA retains any related revenue earned on these early payments, with subscriptions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contributions committed being recorded at contribution amounts received, grossed up for discounts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acceleration credits. Acceleration credits and discounts are presented on the Balance Sheet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line item Cumulative discounts/credits on subscriptions and contributions, net. The discounts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acceleration credits are deducted in arriving at the subscriptions and contributions paid-in.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the Seventeenth Replenishment of IDA’s Resources (IDA17), which became effective beginning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fiscal year ended June 30, 2015, IDA’s Executive Directors approved the use of a limited amount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concessional debt funding, referred to as concessional partner loans (CPL), which continued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subsequent Replenishments of IDA’s Resources. The borrowing terms of this concessional debt funding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aim to match the concessional features of IDA’s loans. Generally, proceeds received under this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arrangement have two separate components: (1) a borrowing component and (2) a grant component,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voting rights are allocated to providers of the CPL. The borrowing component of the CPL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recognized and reported at amortized cost (see Borrowings section of this note for more details).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grant component is calculated as a function of the terms of the loan and the discount rate agreed upon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replenishment discussions. This grant component is recorded as equity, equivalent to the cash </w:t>
      </w:r>
      <w:r>
        <w:rPr>
          <w:rFonts w:ascii="ArialMT" w:hAnsi="ArialMT" w:eastAsia="ArialMT"/>
          <w:b w:val="0"/>
          <w:i w:val="0"/>
          <w:color w:val="000000"/>
          <w:sz w:val="20"/>
        </w:rPr>
        <w:t>received.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purposes of determining its initial subscriptions and additional subscriptions and contributions up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and including IDA19, the membership of IDA is divided into two categories: (1) Part I members,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make payments of subscriptions and contributions provided to IDA in convertible currencies that may be </w:t>
      </w:r>
      <w:r>
        <w:rPr>
          <w:rFonts w:ascii="ArialMT" w:hAnsi="ArialMT" w:eastAsia="ArialMT"/>
          <w:b w:val="0"/>
          <w:i w:val="0"/>
          <w:color w:val="000000"/>
          <w:sz w:val="20"/>
        </w:rPr>
        <w:t>freely used or exchanged by IDA in its operations and (2) Part II members, which make payments of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10%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0"/>
        </w:rPr>
        <w:t>of their initial subscriptions in freely convertible currencies, and the remaining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90%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of their initial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subscriptions, and all additional subscriptions and contributions in their own currencies or in freely 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7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700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convertible currencies. Certain Part II members provide a portion of their subscriptions and contributions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same manner as mentioned in (1) above. IDA’s Articles of Agreement and subsequent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replenishment resolutions provide that the currency of any Part II member paid in by it may not be used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IDA for projects financed by IDA and located outside the territory of the member except by agreement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between the member and IDA. The national currency portion of subscriptions of Part II members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recorded as restricted under Members’ subscriptions and contributions unless released under 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agreement between the member and IDA, or used for administrative expenses. The cash paid and notes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deposited in nonconvertible local currencies for the subscriptions of Part II members are recorded either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Restricted cash under Due from Banks, or as Restricted notes included under Nonnegotiable, </w:t>
      </w:r>
      <w:r>
        <w:rPr>
          <w:rFonts w:ascii="ArialMT" w:hAnsi="ArialMT" w:eastAsia="ArialMT"/>
          <w:b w:val="0"/>
          <w:i w:val="0"/>
          <w:color w:val="000000"/>
          <w:sz w:val="20"/>
        </w:rPr>
        <w:t>Noninterest-bearing Demand Obligations on Account of Members’ subscriptions and contributions.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IDA20 and onwards, under the new Voting Rights Framework, IDA members are classified as either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Non-Recipient, Interstitial Non-Recipient, or Recipient member. The payment terms for Non-Recipient </w:t>
      </w:r>
      <w:r>
        <w:rPr>
          <w:rFonts w:ascii="ArialMT" w:hAnsi="ArialMT" w:eastAsia="ArialMT"/>
          <w:b w:val="0"/>
          <w:i w:val="0"/>
          <w:color w:val="000000"/>
          <w:sz w:val="20"/>
        </w:rPr>
        <w:t>members correspond to those outlined above for Part I members. Payment terms for Interstitial Non-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Recipient and Recipient members follow those outlined above for Part II members.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Each original member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shall, in respect of its initial subscription, have 500 votes plus one additional vote for each $5,000 of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initial subscription. Subscriptions other than initial subscriptions of original members carry such voting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rights as the Board of Governors determine. Certain subscriptions and contributions do not carry voting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rights.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Following adoption by the Board of Governors on April 21, 2006 of a resolution authorizing additions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resources to finance the MDRI (Multilateral Debt Relief Initiative), pledges received in the form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IoCs for financing the MDRI are recorded and accounted for in their entirety. Therefore, the full value of 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IoCs received is recorded as Subscriptions and contributions committed. Correspondingly, the IoCs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>recorded as Subscriptions and contributions receivable and deducted from equity.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Withdrawal of Membership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IDA’s Articles of Agreement, a member may withdraw from membership in IDA at any time. When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government ceases to be a member, it remains liable for all financial obligations undertaken by it to IDA,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whether as a member, borrower, guarantor or otherwise. The Articles provide that upon withdrawal, IDA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the government shall proceed to a settlement of accounts. If agreement is not reached within six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months, standard arrangements are provided. Under these arrangements, IDA would pay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government the lower of the member’s total paid-in subscriptions and contributions or the member’s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proportionate share of IDA’s net assets. These funds would be paid as a proportionate share of all </w:t>
      </w:r>
      <w:r>
        <w:rPr>
          <w:rFonts w:ascii="ArialMT" w:hAnsi="ArialMT" w:eastAsia="ArialMT"/>
          <w:b w:val="0"/>
          <w:i w:val="0"/>
          <w:color w:val="000000"/>
          <w:sz w:val="20"/>
        </w:rPr>
        <w:t>principal repayments received by IDA on loans made during the period of the government’s membership.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Valuation of Subscriptions and Contributions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subscriptions and contributions provided through the Third Replenishment are expressed in terms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“U.S. dollars of the weight and fineness in effect on January 1, 1960” (1960 dollars). Following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abolition of gold as a common denominator of the monetary system and the repeal of the provision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U.S. law defining the par value of the U.S. dollar in terms of gold, the pre-existing basis for translating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1960 dollars into current dollars or any other currency disappeared. The Executive Directors of IDA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decided, that until such time as the relevant provisions of the Articles of Agreement are amended,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words “U.S. dollars of the weight and fineness in effect on January 1, 1960” in Article II, Section 2(b)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Articles of Agreement of IDA are interpreted to mean the SDR introduced by the International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Monetary Fund as the SDR was valued in terms of U.S. dollars immediately before the introduction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basket method of valuing the SDR on July 1, 1974, such value being equal to $1.20635 for one SDR (the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1974 SDR). The Executive Directors also decided to apply the same standard of value to amounts </w:t>
      </w:r>
      <w:r>
        <w:rPr>
          <w:rFonts w:ascii="ArialMT" w:hAnsi="ArialMT" w:eastAsia="ArialMT"/>
          <w:b w:val="0"/>
          <w:i w:val="0"/>
          <w:color w:val="000000"/>
          <w:sz w:val="20"/>
        </w:rPr>
        <w:t>expressed in 1960 dollars in the relevant resolutions of the Board of Governors.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subscriptions and contributions provided through the Third Replenishment are expressed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basis of the 1974 SDR. Prior to the decision of the Executive Directors, IDA had valued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>subscriptions and contributions on the basis of the SDR at the current market value of the SDR.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subscriptions and contributions provided under the Fourth Replenishment and thereafter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expressed in members’ currencies or SDRs and are payable in members’ currencies. Subscriptions and </w:t>
      </w:r>
    </w:p>
    <w:p>
      <w:pPr>
        <w:autoSpaceDN w:val="0"/>
        <w:tabs>
          <w:tab w:pos="9138" w:val="left"/>
        </w:tabs>
        <w:autoSpaceDE w:val="0"/>
        <w:widowControl/>
        <w:spacing w:line="224" w:lineRule="exact" w:before="500" w:after="0"/>
        <w:ind w:left="48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91</w:t>
      </w:r>
    </w:p>
    <w:p>
      <w:pPr>
        <w:sectPr>
          <w:pgSz w:w="12240" w:h="15840"/>
          <w:pgMar w:top="702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3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contributions made available for disbursement in cash to IDA are translated at market exchange rates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effect on the dates they were made available. Subscriptions and contributions not yet available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>disbursements are translated at market exchange rates in effect at the end of the reporting period.</w:t>
      </w:r>
    </w:p>
    <w:p>
      <w:pPr>
        <w:autoSpaceDN w:val="0"/>
        <w:autoSpaceDE w:val="0"/>
        <w:widowControl/>
        <w:spacing w:line="264" w:lineRule="exact" w:before="1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Nonnegotiable, Noninterest-bearing Demand Obligations on Account of Members’ </w:t>
      </w:r>
      <w:r>
        <w:rPr>
          <w:rFonts w:ascii="Arial" w:hAnsi="Arial" w:eastAsia="Arial"/>
          <w:b/>
          <w:i w:val="0"/>
          <w:color w:val="004972"/>
          <w:sz w:val="22"/>
        </w:rPr>
        <w:t>Subscriptions and Contributions</w:t>
      </w:r>
    </w:p>
    <w:p>
      <w:pPr>
        <w:autoSpaceDN w:val="0"/>
        <w:autoSpaceDE w:val="0"/>
        <w:widowControl/>
        <w:spacing w:line="240" w:lineRule="exact" w:before="126" w:after="0"/>
        <w:ind w:left="0" w:right="3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Payments on demand obligations are due to IDA upon demand and these instruments are held in bank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accounts or in the designated depository in IDA’s name. These instruments are carried and reported at </w:t>
      </w:r>
      <w:r>
        <w:rPr>
          <w:rFonts w:ascii="ArialMT" w:hAnsi="ArialMT" w:eastAsia="ArialMT"/>
          <w:b w:val="0"/>
          <w:i w:val="0"/>
          <w:color w:val="000000"/>
          <w:sz w:val="20"/>
        </w:rPr>
        <w:t>face value as a reduction to equity on the Balance Sheets.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Deferred amounts to maintain value of currency holdings</w:t>
      </w:r>
    </w:p>
    <w:p>
      <w:pPr>
        <w:autoSpaceDN w:val="0"/>
        <w:autoSpaceDE w:val="0"/>
        <w:widowControl/>
        <w:spacing w:line="240" w:lineRule="exact" w:before="126" w:after="0"/>
        <w:ind w:left="0" w:right="3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Article IV, Section 2(a) and (b) of IDA’s Articles of Agreement provides for maintenance of value payments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account of the local currency portion of the initial subscription whenever the par value of the member’s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currency or its foreign exchange value has depreciated or appreciated to a significant extent, so long as,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to the extent that, such currency shall not have been initially disbursed or exchanged for the currency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another member. The provisions of Article IV, Section 2(a) and (b) have by agreement been extended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cover additional subscriptions and contributions of IDA through the Third Replenishment, but are not </w:t>
      </w:r>
      <w:r>
        <w:rPr>
          <w:rFonts w:ascii="ArialMT" w:hAnsi="ArialMT" w:eastAsia="ArialMT"/>
          <w:b w:val="0"/>
          <w:i w:val="0"/>
          <w:color w:val="000000"/>
          <w:sz w:val="20"/>
        </w:rPr>
        <w:t>applicable to those of the Fourth and subsequent replenishments.</w:t>
      </w:r>
    </w:p>
    <w:p>
      <w:pPr>
        <w:autoSpaceDN w:val="0"/>
        <w:autoSpaceDE w:val="0"/>
        <w:widowControl/>
        <w:spacing w:line="240" w:lineRule="exact" w:before="120" w:after="0"/>
        <w:ind w:left="0" w:right="2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Executive Directors decided on June 30, 1987 that settlements of maintenance of value, which would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result from the resolution of the valuation issue on the basis of the 1974 SDR, would be deferred until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Executive Directors decide to resume such settlements. These amounts are shown as Deferred amounts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maintain value of currency holdings and deducted from equity; any changes relate solely to translation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adjustments.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Accumulated other comprehensive loss</w:t>
      </w:r>
    </w:p>
    <w:p>
      <w:pPr>
        <w:autoSpaceDN w:val="0"/>
        <w:autoSpaceDE w:val="0"/>
        <w:widowControl/>
        <w:spacing w:line="240" w:lineRule="exact" w:before="126" w:after="0"/>
        <w:ind w:left="0" w:right="2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Comprehensive loss consists of net loss and other gains or losses affecting equity that, under U.S. GAAP,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excluded from net income (loss). For IDA, other comprehensive loss is comprised of currency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translation adjustments on functional currencies and DVA on fair value option elected liabilities, as </w:t>
      </w:r>
      <w:r>
        <w:rPr>
          <w:rFonts w:ascii="ArialMT" w:hAnsi="ArialMT" w:eastAsia="ArialMT"/>
          <w:b w:val="0"/>
          <w:i w:val="0"/>
          <w:color w:val="000000"/>
          <w:sz w:val="20"/>
        </w:rPr>
        <w:t>presented in the Statements of Comprehensive Income.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Loans and Other Exposures</w:t>
      </w:r>
    </w:p>
    <w:p>
      <w:pPr>
        <w:autoSpaceDN w:val="0"/>
        <w:autoSpaceDE w:val="0"/>
        <w:widowControl/>
        <w:spacing w:line="246" w:lineRule="exact" w:before="14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Loans</w:t>
      </w:r>
    </w:p>
    <w:p>
      <w:pPr>
        <w:autoSpaceDN w:val="0"/>
        <w:autoSpaceDE w:val="0"/>
        <w:widowControl/>
        <w:spacing w:line="240" w:lineRule="exact" w:before="126" w:after="0"/>
        <w:ind w:left="0" w:right="2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fulfilling its mission, IDA makes concessional and non-concessional loans. These loans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exposures (collectively “exposures”) are made to, or guaranteed by, member governments or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government of a territory of a member (except for loans which have been made to regional development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institutions for the benefit of members or territories of members of IDA). In order to qualify for lending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regular terms, a country’s per capita income must be below a certain level ($1,335 for the fiscal year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ended June 30, 2025 and $1,315 for the fiscal year ended June 30, 2024) and the country may have only </w:t>
      </w:r>
      <w:r>
        <w:rPr>
          <w:rFonts w:ascii="ArialMT" w:hAnsi="ArialMT" w:eastAsia="ArialMT"/>
          <w:b w:val="0"/>
          <w:i w:val="0"/>
          <w:color w:val="000000"/>
          <w:sz w:val="20"/>
        </w:rPr>
        <w:t>limited or no access to IBRD lending.</w:t>
      </w:r>
    </w:p>
    <w:p>
      <w:pPr>
        <w:autoSpaceDN w:val="0"/>
        <w:autoSpaceDE w:val="0"/>
        <w:widowControl/>
        <w:spacing w:line="240" w:lineRule="exact" w:before="120" w:after="0"/>
        <w:ind w:left="0" w:right="2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Apart from loans to member countries described above, under IDA18, the IDA-IFC-MIGA Private Sector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Window (PSW) was created  to mobilize private sector investment in IDA-only countries and IDA-eligible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Fragile and Conflict-affected Situations. PSW includes loans which are deployed through facilities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designed to target critical challenges faced by the private sector and leverages IFC's and MIGA's </w:t>
      </w:r>
      <w:r>
        <w:rPr>
          <w:rFonts w:ascii="ArialMT" w:hAnsi="ArialMT" w:eastAsia="ArialMT"/>
          <w:b w:val="0"/>
          <w:i w:val="0"/>
          <w:color w:val="000000"/>
          <w:sz w:val="20"/>
        </w:rPr>
        <w:t>business platform and instruments.</w:t>
      </w:r>
    </w:p>
    <w:p>
      <w:pPr>
        <w:autoSpaceDN w:val="0"/>
        <w:autoSpaceDE w:val="0"/>
        <w:widowControl/>
        <w:spacing w:line="240" w:lineRule="exact" w:before="120" w:after="0"/>
        <w:ind w:left="0" w:right="2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Loans are carried at amortized cost. Commitment charges on the undisbursed balance of loans,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recognized in revenue as earned. Any loan origination fees incorporated in the terms of a loan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deferred and recognized over the life of the loan as an adjustment of the yield. Accrued interest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presented on the Balance Sheets in the line item Other receivables, accrued interest and commitment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>charges.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 is IDA’s practice not to reschedule service charges, interest or principal payments on its loans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participate in debt rescheduling agreements with respect to its loans, except for activation of a deferral 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50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702" w:right="1356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the Climate Resilient Debt Clause (CRDC). Should any other modifications be made to the terms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existing loans, IDA would perform an evaluation to determine the required accounting treatment, including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whether the modifications would result in the affected loans being accounted for as a new loan, or as a </w:t>
      </w:r>
      <w:r>
        <w:rPr>
          <w:rFonts w:ascii="ArialMT" w:hAnsi="ArialMT" w:eastAsia="ArialMT"/>
          <w:b w:val="0"/>
          <w:i w:val="0"/>
          <w:color w:val="000000"/>
          <w:sz w:val="20"/>
        </w:rPr>
        <w:t>continuation of the existing loans.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 is IDA's policy to place into nonaccrual status all loans and other exposures made to, or guaranteed by,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member or to the territory of a member if principal or charges with respect to any such loan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exposures are overdue by more than six months, unless IDA’s management determines that the overdue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amount will be collected in the immediate future. In addition, if loans by IBRD to a member government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placed into nonaccrual status, all loans and other exposures to that member will also be placed into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nonaccrual status by IDA. On the date a member’s loans and other exposures are placed into nonaccrual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status, unpaid charges that had been accrued on loans are deducted from loan revenue in the current </w:t>
      </w:r>
      <w:r>
        <w:rPr>
          <w:rFonts w:ascii="ArialMT" w:hAnsi="ArialMT" w:eastAsia="ArialMT"/>
          <w:b w:val="0"/>
          <w:i w:val="0"/>
          <w:color w:val="000000"/>
          <w:sz w:val="20"/>
        </w:rPr>
        <w:t>period.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Interest and other charges on nonaccruing exposures are included in revenue only to the extent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payments have been received by IDA. A decision on the restoration of accrual status is made upon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arrears clearance. If collectibility risk is considered to be particularly high at the time of arrears clearance,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member’s exposures may not automatically emerge from nonaccrual status until a suitable period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payment performance has passed.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repayment obligations of loans funded from resources through the Fifth Replenishment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expressed in the loan agreements in terms of 1960 dollars. In June 1987, the Executive Directors decided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value those loans at the rate of $1.20635 per 1960 dollar on a permanent basis. Loans funded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provided under the Sixth Replenishment and thereafter are denominated in SDRs, with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exception of loans provided under the Single Currency Lending program, which allows IDA recipients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>denominate new IDA loans in one of the five constituent currencies of the SDR basket.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Loan commitments 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Loan Commitments are undisbursed loans approved by the Executive Directors for which disbursements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yet to be made. IDA records a provision for expected losses on undisbursed loan commitments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including Deferred Drawdown Options (DDOs), when signed by both parties. The signature of the loan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agreement is a binding event that prevents IDA from unconditionally withdrawing from the agreement. 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Buy-down of Loans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enters into loan buy-down agreements with third party donors who make payments on the borrower’s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service and commitment charges through a trust fund until the borrower reaches agreed performance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goals. The trust fund then buys down the related loans for an amount equivalent to the present value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remaining cash flows of the related loans. The difference between the carrying amount of the related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>loans and their net present value at the time of buy-down is reflected through provision expense.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Development Grants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Development grants made by IDA that are deemed to be conditional, are expensed when all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conditions have been met, which generally occurs at the time of disbursement. At times, grant advances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may be disbursed to recipients prior to the conditions stipulated in the grant agreement being met and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presented in the Other assets line on the Balance Sheets. Once the conditions for the grant advances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met, they are expensed. Development grants that are deemed to be unconditional are expensed upon </w:t>
      </w:r>
      <w:r>
        <w:rPr>
          <w:rFonts w:ascii="ArialMT" w:hAnsi="ArialMT" w:eastAsia="ArialMT"/>
          <w:b w:val="0"/>
          <w:i w:val="0"/>
          <w:color w:val="000000"/>
          <w:sz w:val="20"/>
        </w:rPr>
        <w:t>approval.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Commitment charges on the undisbursed balance of development grants, if any, are recognized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>revenue as earned.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Project Preparation Advances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Project Preparation Advances (PPAs) are advances made to borrowers to finance project preparation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costs pending the approval of follow-on development operations. If approved under grant terms,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amounts are expensed upon approval by management. To the extent there are follow-on loans or grants, </w:t>
      </w:r>
    </w:p>
    <w:p>
      <w:pPr>
        <w:autoSpaceDN w:val="0"/>
        <w:tabs>
          <w:tab w:pos="9138" w:val="left"/>
        </w:tabs>
        <w:autoSpaceDE w:val="0"/>
        <w:widowControl/>
        <w:spacing w:line="224" w:lineRule="exact" w:before="620" w:after="0"/>
        <w:ind w:left="48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93</w:t>
      </w:r>
    </w:p>
    <w:p>
      <w:pPr>
        <w:sectPr>
          <w:pgSz w:w="12240" w:h="15840"/>
          <w:pgMar w:top="702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PPAs are refinanced out of the proceeds of the loans and grants. Accordingly, the PPA grant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amounts initially charged to expense are reversed upon approval of the follow-on development grants or </w:t>
      </w:r>
      <w:r>
        <w:rPr>
          <w:rFonts w:ascii="ArialMT" w:hAnsi="ArialMT" w:eastAsia="ArialMT"/>
          <w:b w:val="0"/>
          <w:i w:val="0"/>
          <w:color w:val="000000"/>
          <w:sz w:val="20"/>
        </w:rPr>
        <w:t>loans.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Guarantees Provided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guarantees are commitments issued by IDA to guarantee payment performance by a member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country (the debtor) to a third party in the event that a member government (or government-owned entity)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fails to perform its contractual obligations to a third party.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Guarantees are regarded as outstanding when the underlying financial obligation of the borrower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incurred, and called when a guaranteed party demands payment under the guarantee. IDA would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required to perform under its guarantees if the payments guaranteed are not made by the borrower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guaranteed party called the guarantee by demanding payment from IDA in accordance with the terms </w:t>
      </w:r>
      <w:r>
        <w:rPr>
          <w:rFonts w:ascii="ArialMT" w:hAnsi="ArialMT" w:eastAsia="ArialMT"/>
          <w:b w:val="0"/>
          <w:i w:val="0"/>
          <w:color w:val="000000"/>
          <w:sz w:val="20"/>
        </w:rPr>
        <w:t>of the guarantee.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 inception of the guarantees, IDA records the fair value of the obligation to stand ready and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corresponding guarantee fee receivable, included in Other Liabilities - Accounts payable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miscellaneous liabilities, and in Other Assets, respectively, on the Balance Sheets. Upfront guarantee </w:t>
      </w:r>
      <w:r>
        <w:rPr>
          <w:rFonts w:ascii="ArialMT" w:hAnsi="ArialMT" w:eastAsia="ArialMT"/>
          <w:b w:val="0"/>
          <w:i w:val="0"/>
          <w:color w:val="000000"/>
          <w:sz w:val="20"/>
        </w:rPr>
        <w:t>fees received are deferred and amortized over the life of the guarantee.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event that a sovereign guarantee is called, IDA has the contractual right to require payment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member country under an indemnity agreement. Any receivables arising out of the indemnity </w:t>
      </w:r>
      <w:r>
        <w:rPr>
          <w:rFonts w:ascii="ArialMT" w:hAnsi="ArialMT" w:eastAsia="ArialMT"/>
          <w:b w:val="0"/>
          <w:i w:val="0"/>
          <w:color w:val="000000"/>
          <w:sz w:val="20"/>
        </w:rPr>
        <w:t>agreements for amounts paid by IDA are presented as Loans outstanding on the Balance Sheets.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HIPC Debt Initiative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Heavily Indebted Poor Countries (HIPC) Debt Initiative was launched in 1996 as a joint effort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bilateral and multilateral creditors to ensure that reform efforts of HIPCs would not be put at risk by </w:t>
      </w:r>
      <w:r>
        <w:rPr>
          <w:rFonts w:ascii="ArialMT" w:hAnsi="ArialMT" w:eastAsia="ArialMT"/>
          <w:b w:val="0"/>
          <w:i w:val="0"/>
          <w:color w:val="000000"/>
          <w:sz w:val="20"/>
        </w:rPr>
        <w:t>unsustainable external debt burdens.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the Enhanced HIPC Framework, implementation mechanisms include: (i) partial forgiveness of IDA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debt service as it comes due, and ii) in the case of countries with a substantial amount of outstanding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debt, partial repayment with IDA resources (excluding transfers from IBRD) of outstanding IBRD </w:t>
      </w:r>
      <w:r>
        <w:rPr>
          <w:rFonts w:ascii="ArialMT" w:hAnsi="ArialMT" w:eastAsia="ArialMT"/>
          <w:b w:val="0"/>
          <w:i w:val="0"/>
          <w:color w:val="000000"/>
          <w:sz w:val="20"/>
        </w:rPr>
        <w:t>debt.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Upon signature by IDA of the country specific legal notification, immediately following the decision by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Executive Directors of IDA to provide debt relief to the country (the Decision Point), the country becomes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eligible for debt relief up to the nominal value equivalent of one third of the net present value of the total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HIPC debt relief committed to the specific country. Completion Point is reached when the conditions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specified in the legal notification are met and the country’s other creditors have confirmed their full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participation in the debt relief initiative. When the country reaches its Completion Point, IDA’s commitment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provide the total debt relief for which the country is eligible, becomes irrevocable. IDA’s provisioning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policy for the HIPC Debt Initiative is discussed below.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Donors compensate IDA on a “pay-as-you-go” basis to finance IDA’s forgone loan reflows (principal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service charge repayments) under the HIPC Debt Initiative. This means that for the debt relief provided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writing off the principal and charges during a replenishment, the donors compensate IDA for the forgone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reflows through additional contributions in the relevant replenishment. These additional resources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>accounted for as equity, as subscriptions and contributions, because they carry voting rights.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MDRI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Debt relief provided under the Multilateral Debt Relief Initiative (MDRI), which is characterized by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write-off of eligible loans upon qualifying borrowers reaching the HIPC Completion Point, is in addition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existing debt relief commitments provided by IDA and other creditors under the HIPC Debt Initiative.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a country reaches Completion Point, the applicable loans are written off. This write off occurs at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beginning of the quarterly period following the date on which the country reaches Completion Point.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forgone repayments under MDRI, donors established a separate MDRI replenishment spanning fiscal 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64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702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years 2007 through 2044 and pledged to compensate IDA for the costs of providing debt relief under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MDRI on a “dollar-for-dollar” basis. These additional resources are accounted for as equity, as </w:t>
      </w:r>
      <w:r>
        <w:rPr>
          <w:rFonts w:ascii="ArialMT" w:hAnsi="ArialMT" w:eastAsia="ArialMT"/>
          <w:b w:val="0"/>
          <w:i w:val="0"/>
          <w:color w:val="000000"/>
          <w:sz w:val="20"/>
        </w:rPr>
        <w:t>subscriptions and contributions, because they carry voting rights.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Accumulated Provision for Losses on Loans and Other Exposures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determines the appropriate level of accumulated provisions for losses on loan exposures, </w:t>
      </w:r>
      <w:r>
        <w:rPr>
          <w:rFonts w:ascii="ArialMT" w:hAnsi="ArialMT" w:eastAsia="ArialMT"/>
          <w:b w:val="0"/>
          <w:i w:val="0"/>
          <w:color w:val="000000"/>
          <w:sz w:val="20"/>
        </w:rPr>
        <w:t>which reflects the expected losses inherent in IDA’s exposures.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accumulated provision for losses on loans and other exposures includes the accumulated provision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for the HIPC Debt Initiative and MDRI.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HIPC Debt Initiative and MDRI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adequacy of the accumulated provision for the HIPC Debt Initiative and MDRI is based on both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quantitative and qualitative analyses of various factors, including estimates of the Decision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Completion point dates. IDA periodically reviews these factors and reassesses the adequacy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accumulated provision for the HIPC Debt Initiative and MDRI.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Upon approval by the Executive Directors of a country as potentially eligible for IDA debt relief under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Enhanced HIPC Initiative, the principal component of the estimated debt relief costs is recorded within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accumulated provision for loan losses on the Balance Sheets, and as a provision expense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Statements of Income. This estimate is subject to periodic revision. Adjustments to the accumulated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provision are recorded as a charge to or release of provision in the Statements of Income.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accumulated provision for HIPC Debt Initiative is reduced as debt relief is provided. The accumulated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provision for the HIPC Debt Initiative is reduced by the amount of the eligible loans written off when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country reaches Completion Point and becomes eligible for MDRI debt relief.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Loans 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Loan exposures are disaggregated into two groups: exposures in accrual status and exposures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nonaccrual status. In each group, a credit risk rating is then assigned to the exposures for each borrower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(defined as the nominal amount of loans outstanding less the accumulated provision for loss under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HIPC Debt Relief Initiative and MDRI).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total exposure for provisioning is the current exposure and the estimated exposure taking into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account expected disbursements and repayments over the life of the instruments. The expected credit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losses related to loans and other exposures are calculated over the life of the instruments based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expected exposures, the expected default frequency (probability of default to IDA) and the estimated loss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given default. The provision for expected losses is the sum of the expected annual losses over the life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instruments.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countries in accrual status, these exposures are grouped in pools of borrowers with a similar risk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rating. The determination of a borrower’s rating is based on various factors (see Note D—Loans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exposures). Each risk rating is mapped to an expected default frequency using IDA’s credit migration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matrix, based on historical observations of credit ratings at the beginning and at the end of each year.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Expected losses on loan exposures comprise estimates of potential losses arising from default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nonpayment of principal and interest amounts due, and any economic loss due to delays in receiving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payments. The estimated loss given default is determined at each balance sheet date, based on IDA’s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historical experience as well as parameters adjusted for current conditions during the reasonable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supportable forecast period of IDA. The loss given default is based on the borrower’s eligibility, namely: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IDA, Blend (IBRD and IDA) and IBRD, with the highest loss given default associated with IDA eligibility.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borrower’s eligibility is assessed at least annually. The main factors used to determine the loss given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default are the estimated length of delays in receiving loan payments and the effective interest rate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exposures. IDA’s loan portfolio comprises mostly fixed interest rate loans, therefore, the measurement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loss severity is not sensitive to market interest rate movements.</w:t>
      </w:r>
    </w:p>
    <w:p>
      <w:pPr>
        <w:autoSpaceDN w:val="0"/>
        <w:tabs>
          <w:tab w:pos="9138" w:val="left"/>
        </w:tabs>
        <w:autoSpaceDE w:val="0"/>
        <w:widowControl/>
        <w:spacing w:line="224" w:lineRule="exact" w:before="1052" w:after="0"/>
        <w:ind w:left="48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95</w:t>
      </w:r>
    </w:p>
    <w:p>
      <w:pPr>
        <w:sectPr>
          <w:pgSz w:w="12240" w:h="15840"/>
          <w:pgMar w:top="702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calculation of expected credit losses, IDA applies a three-year reasonable and supportable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forecast period representing the most reliable and available economic data during this period. IDA also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applies a ten-year straight-line reversion to the mean to reflect the historical pattern of rating migration to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mean of its loan portfolio.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methodology is also applied to countries with exposures in nonaccrual status, although the expected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default frequency is equal to 100%. At times, to reflect certain distinguishing circumstances of a particular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nonaccrual situation, different input assumptions may be used for a specific country.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 exposures for countries in nonaccrual status are individually assessed. Except for debt relief provided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the HIPC Debt Initiative and MDRI, it is IDA’s practice not to write off its loans. To date, no loans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have been written off, other than under the HIPC Debt Initiative, MDRI and buy-down of loans.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reassesses the adequacy of the accumulated provision on a quarterly basis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adjustments to the accumulated provision are recorded as a charge to or release of provision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Statements of Income. In addition, reasonableness of the inputs used is reassessed quarterly.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a member country prepays its outstanding loans, it may receive a discount equivalent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difference between the outstanding carrying amount and the present value of the remaining cash flows.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such instances, IDA records a provision for losses on loans equivalent to the discount provided at the time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the prepayment terms are agreed between IDA and the member country. 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Loan Commitments 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records the expected credit losses on loan commitments based on the projected disbursements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signed loan commitments (adjusted by cancellations based on historical experience), the probability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default and loss given default. The provision is included in Other liabilities - Accounts payable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miscellaneous liabilities on the Balance Sheets.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Guarantees Provided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records a contingent liability for the expected losses related to guarantees over the projected life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instruments, which is determined based on the estimated exposure at default multiplied by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corresponding loss given default and expected default probability for the projected life of the guarantee.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provision, as well as the unamortized balance of the deferred guarantee fees, and the unamortized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balance of the obligation to stand ready, are included in Other liabilities - Accounts payable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miscellaneous liabilities on the Balance Sheets.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Statements of Cash Flows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purpose of IDA's Statements of Cash Flows, cash is defined as the amount of both Unrestricted </w:t>
      </w:r>
      <w:r>
        <w:rPr>
          <w:rFonts w:ascii="ArialMT" w:hAnsi="ArialMT" w:eastAsia="ArialMT"/>
          <w:b w:val="0"/>
          <w:i w:val="0"/>
          <w:color w:val="000000"/>
          <w:sz w:val="20"/>
        </w:rPr>
        <w:t>cash and Restricted cash presented under the Due from banks line on the Balance Sheets.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Restricted Cash 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mainly includes amounts which have been received from members as part of their subscriptions,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are restricted for specified purposes. 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Investments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 securities are classified based on management’s intention on the date of purchase, their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nature, and IDA’s policies governing the level and use of such investments. All investment securities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>held in the trading portfolio, except for a security purchased from IFC in 2015, which is classified as non-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trading. While IDA does not plan to sell the IFC security, IDA elected to measure it at fair value, so that 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its investment securities are measured on the same basis. All investment securities and related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instruments held by IDA are carried and reported at fair value, or at face value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approximates fair value. Where available, quoted market prices are used to determine the fair value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trading securities. Examples include most government and agency securities, asset-backed securities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(ABS) and mortgage-backed securities (MBS). For instruments for which market quotations are not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available, fair values are determined using model-based valuation techniques, whether internally 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59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702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3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generated or vendor-supplied, that include the standard discounted cash flow method using observable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inputs such as yield curves, credit spreads, and constant prepayment rates. Unless quoted prices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available, time deposits are reported at face value, which approximates fair value, as they are short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term in nature. The first-in first-out method is used to determine the cost of securities sold in computing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realized gains and losses on these instruments.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Interest revenue is included in the Investments, net line in the Statements of Income. Unrealized mark-to-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gains and losses for investment trading securities and related financial instruments held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 portfolio are included in the Unrealized mark-to-market gains (losses) on Investments-Trading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portfolio, net line in the Statements of Income. Realized gains and losses on investment trading securities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>are recognized in the same line in the Statements of Income when securities are sold.</w:t>
      </w:r>
    </w:p>
    <w:p>
      <w:pPr>
        <w:autoSpaceDN w:val="0"/>
        <w:autoSpaceDE w:val="0"/>
        <w:widowControl/>
        <w:spacing w:line="240" w:lineRule="exact" w:before="120" w:after="0"/>
        <w:ind w:left="0" w:right="3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may require collateral in the form of cash or approved liquid securities from individual counterparties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legal agreements that provide for collateralization in order to mitigate its credit exposure to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counterparties. For collateral received in the form of cash from counterparties, IDA invests the amounts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received and records the investment and a corresponding obligation to return the cash. Collateral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received in the form of liquid securities is only recorded on IDA’s Balance Sheets to the extent that it has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been transferred under securities lending agreements in return for cash. </w:t>
      </w:r>
    </w:p>
    <w:p>
      <w:pPr>
        <w:autoSpaceDN w:val="0"/>
        <w:autoSpaceDE w:val="0"/>
        <w:widowControl/>
        <w:spacing w:line="288" w:lineRule="exact" w:before="110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Securities Purchased Under Resale Agreements, Securities Sold Under 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Repurchase Agreements, Securities Lent Under Securities Lending Agreements </w:t>
      </w:r>
      <w:r>
        <w:rPr>
          <w:rFonts w:ascii="Arial" w:hAnsi="Arial" w:eastAsia="Arial"/>
          <w:b/>
          <w:i w:val="0"/>
          <w:color w:val="000000"/>
          <w:sz w:val="24"/>
        </w:rPr>
        <w:t>and Payable for Cash Collateral Received</w:t>
      </w:r>
    </w:p>
    <w:p>
      <w:pPr>
        <w:autoSpaceDN w:val="0"/>
        <w:autoSpaceDE w:val="0"/>
        <w:widowControl/>
        <w:spacing w:line="240" w:lineRule="exact" w:before="130" w:after="0"/>
        <w:ind w:left="0" w:right="3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Securities purchased under resale agreements, securities sold under repurchase agreements, securities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lent under securities lending agreements and payable for cash collateral received are recorded at face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value, which approximates fair value, as they are short term in nature. IDA receives securities purchased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resale agreements, monitors the fair value of the securities and, if necessary, closes out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transactions and enters into new repriced transactions. The securities transferred to counterparties under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repurchase and security lending arrangements and the securities transferred to IDA under the resale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agreements have not met the accounting criteria for treatment as a sale. Therefore, securities transferred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repurchase agreements and security lending arrangements are retained as assets on the Balance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Sheets, and securities received under resale agreements are not recorded on the Balance Sheets.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Securities lent under securities lending agreements and sold under securities repurchase agreements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well as securities purchased under resale agreements are presented on a gross basis, which is consistent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the manner in which these instruments are settled. The interest earned with respect to securities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purchased under resale agreements is included in Investments, net, line in the Statements of Income.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interest expense pertaining to the securities sold under repurchase agreements and security lending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arrangements is included in the Borrowing expenses, net line in the Statements of Income.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Borrowings</w:t>
      </w:r>
    </w:p>
    <w:p>
      <w:pPr>
        <w:autoSpaceDN w:val="0"/>
        <w:autoSpaceDE w:val="0"/>
        <w:widowControl/>
        <w:spacing w:line="240" w:lineRule="exact" w:before="130" w:after="0"/>
        <w:ind w:left="0" w:right="3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introduced long term borrowings through the CPL with borrowing terms aimed at matching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features of IDA’s concessional loans. These borrowings are unsecured and unsubordinated debt in SDR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component currencies. IDA may prepay some or the entire outstanding amounts without penalty.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>borrowings are carried and reported at amortized cost.</w:t>
      </w:r>
    </w:p>
    <w:p>
      <w:pPr>
        <w:autoSpaceDN w:val="0"/>
        <w:autoSpaceDE w:val="0"/>
        <w:widowControl/>
        <w:spacing w:line="240" w:lineRule="exact" w:before="120" w:after="0"/>
        <w:ind w:left="0" w:right="3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also issues debt instruments in the capital markets that are reported at either fair value or amortized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cost. IDA only elects fair value for market debt designated to fund liquidity or variable rate loans. Market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debt not meeting the fair value election criteria are reported at amortized cost. For debt carried at fair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value, changes in fair value are recognized in the related Unrealized mark-to-market gains (losses)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non-trading portfolios, net, line in the Statements of Income, except for changes in the fair value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relate to IDA’s own credit risk, which are reported in Other Comprehensive Income (OCI) as a Debit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Valuation Adjustment (DVA). The DVA on fair value option elected liabilities is measured by revaluing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each liability to determine the changes in fair value of that liability arising from changes in IDA’s cost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funding relative to the applicable reference rates.</w:t>
      </w:r>
    </w:p>
    <w:p>
      <w:pPr>
        <w:autoSpaceDN w:val="0"/>
        <w:tabs>
          <w:tab w:pos="9138" w:val="left"/>
        </w:tabs>
        <w:autoSpaceDE w:val="0"/>
        <w:widowControl/>
        <w:spacing w:line="224" w:lineRule="exact" w:before="956" w:after="0"/>
        <w:ind w:left="48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97</w:t>
      </w:r>
    </w:p>
    <w:p>
      <w:pPr>
        <w:sectPr>
          <w:pgSz w:w="12240" w:h="15840"/>
          <w:pgMar w:top="702" w:right="135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Plain vanilla bonds and discount notes, if any, are valued using the standard discounted cash flow method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relies on observable market inputs such as yield curves, foreign exchange rates, basis spreads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funding spreads. Where available, quoted market prices are used to determine the fair value of short-term </w:t>
      </w:r>
      <w:r>
        <w:rPr>
          <w:rFonts w:ascii="ArialMT" w:hAnsi="ArialMT" w:eastAsia="ArialMT"/>
          <w:b w:val="0"/>
          <w:i w:val="0"/>
          <w:color w:val="000000"/>
          <w:sz w:val="20"/>
        </w:rPr>
        <w:t>notes.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Interest expense relating to all debt instruments in IDA’s borrowing portfolio is measured on an effective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>yield basis and is reported as part of the Borrowing expenses, net line in the Statements of Income.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Amortization of discounts and premiums is also included in the Borrowing expenses, net line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Statements of Income.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purpose of the Statements of Cash Flows, short term borrowings, if any, with an original maturity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less than 90 days, are presented net of new issuances and retirements. In contrast, short term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borrowings with an original maturity greater than 90 days and less than one year are presented on a </w:t>
      </w:r>
      <w:r>
        <w:rPr>
          <w:rFonts w:ascii="ArialMT" w:hAnsi="ArialMT" w:eastAsia="ArialMT"/>
          <w:b w:val="0"/>
          <w:i w:val="0"/>
          <w:color w:val="000000"/>
          <w:sz w:val="20"/>
        </w:rPr>
        <w:t>gross basis.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Accounting for Derivatives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>IDA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has elected not to designate any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hedging relationships for accounting purposes. Rather, all derivative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instruments are recorded at fair value on the Balance Sheets, with changes in fair value accounted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through the Statements of Income.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presentation of derivative instruments on IDA’s Balance Sheets reflects the netting of derivative asset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liability positions and the related cash collateral received from the counterparty when a legally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enforceable master netting agreement exists, and other conditions are met. In addition, in the Notes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financial statements, unless stated differently, derivatives are presented on a net basis by instrument.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master netting agreement is an industry standard agreement with a counterparty that permits multiple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transactions governed by that agreement to be terminated or accelerated and settled through a single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payment in a single currency in the event of a default (e.g., bankruptcy, failure to make a required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payment or transfer securities or deliver collateral when due). Obligations under master netting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agreements are often secured by collateral posted under an industry standard credit support annex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master netting agreement. Upon default by the counterparty, the collateral agreement grants an entity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right to set-off any amounts payable by the counterparty against any posted collateral.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uses derivative instruments in its investment trading portfolio to manage interest rate and currency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risks. These derivatives are carried and reported at fair value. Interest revenue (expenses) from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instruments are reflected as part of Investment interest revenue, while unrealized mark-to-market gains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losses on these derivatives are reflected as part of the Unrealized mark-to-market gains (losses) on </w:t>
      </w:r>
      <w:r>
        <w:rPr>
          <w:rFonts w:ascii="ArialMT" w:hAnsi="ArialMT" w:eastAsia="ArialMT"/>
          <w:b w:val="0"/>
          <w:i w:val="0"/>
          <w:color w:val="000000"/>
          <w:sz w:val="20"/>
        </w:rPr>
        <w:t>Investments-Trading portfolio, net line in the Statements of Income.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also uses derivatives in its loan, asset-liability management and borrowing portfolios. Within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asset-liability management portfolio, currency forward contracts are used to manage foreign exchange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fluctuation risks and interest rate swap contracts under the Capital Value Protection program are used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 interest rate volatility of IDA’s capital adequacy model. In the loan and borrowing portfolios,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interest rate swaps are used to modify the interest rate characteristics of these portfolios. The interest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component of these derivatives is recognized as an adjustment to the loan revenue and borrowing costs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over the life of the derivative contracts and is included in Loans, net and Borrowing expenses, net lines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Statements of Income. Changes in fair values of these derivatives are recorded in the Statements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Income as Unrealized mark-to-market gains and losses on non-trading portfolios, net.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purpose of the Statements of Cash Flows, IDA has elected to report the cash flows associated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the derivative instruments that are used to economically hedge its borrowings and investments, in a </w:t>
      </w:r>
      <w:r>
        <w:rPr>
          <w:rFonts w:ascii="ArialMT" w:hAnsi="ArialMT" w:eastAsia="ArialMT"/>
          <w:b w:val="0"/>
          <w:i w:val="0"/>
          <w:color w:val="000000"/>
          <w:sz w:val="20"/>
        </w:rPr>
        <w:t>manner consistent with the presentation of the related borrowing and investment cash flows.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Derivative contracts include currency forward contracts, TBA securities, swaptions, exchange traded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options and futures contracts, currency swaps and interest rate swaps. Currency swaps and interest rate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swaps are primarily plain vanilla instruments and they are valued based on standard discounted cash flow 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86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702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methods using observable market inputs such as yield curves, foreign exchange rates, basis spreads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funding spreads.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Most outstanding derivative positions are transacted over-the-counter and are therefore valued using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internally developed valuation models. For commercial and non-commercial counterparties where IDA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 net receivable position, IDA calculates a Credit Valuation Adjustment (CVA) to reflect credit risk.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net derivative positions with commercial and non-commercial counterparties where IDA is in a net payable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position, IDA calculates a DVA to reflect its own credit risk. The CVA is calculated using future projected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exposures of the derivative contracts, net of collateral received under credit support annex,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probability of counterparty default based on the Credit Default Swaps (CDS) spread and, where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applicable, proxy CDS spreads. The DVA calculation is generally consistent with the CVA methodology </w:t>
      </w:r>
      <w:r>
        <w:rPr>
          <w:rFonts w:ascii="ArialMT" w:hAnsi="ArialMT" w:eastAsia="ArialMT"/>
          <w:b w:val="0"/>
          <w:i w:val="0"/>
          <w:color w:val="000000"/>
          <w:sz w:val="20"/>
        </w:rPr>
        <w:t>and incorporates IDA’s own credit spread as observed through the CDS market.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Valuation of Financial Instruments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has an established and documented process for determining fair values. Fair value is based upon </w:t>
      </w:r>
      <w:r>
        <w:rPr>
          <w:rFonts w:ascii="ArialMT" w:hAnsi="ArialMT" w:eastAsia="ArialMT"/>
          <w:b w:val="0"/>
          <w:i w:val="0"/>
          <w:color w:val="000000"/>
          <w:sz w:val="20"/>
        </w:rPr>
        <w:t>quoted market prices for the same or similar securities, where available.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instruments for which quoted market prices are not readily available are valued based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discounted cash flow models and other established valuation models. These models primarily use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market-based or independently sourced market parameters such as yield curves, interest rates,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volatilities, foreign exchange rates and credit curves, and may incorporate unobservable inputs. Selection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these inputs may involve some judgment. In instances where management relies on instrument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valuations supplied by external pricing vendors, there are procedures in place to validate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appropriateness of the models used as well as the inputs applied in determining those values. IDA also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has various internal controls in place to ensure that the valuations are appropriate where internally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>developed models are used.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Fair Value Hierarchy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instruments are categorized based on the priority of the inputs to the valuation technique.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fair value hierarchy gives the highest priority to quoted prices in active markets for identical assets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liabilities (Level 1), the next highest priority to observable market-based inputs or inputs that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corroborated by market data (Level 2) and the lowest priority to unobservable inputs that are not </w:t>
      </w:r>
      <w:r>
        <w:rPr>
          <w:rFonts w:ascii="ArialMT" w:hAnsi="ArialMT" w:eastAsia="ArialMT"/>
          <w:b w:val="0"/>
          <w:i w:val="0"/>
          <w:color w:val="000000"/>
          <w:sz w:val="20"/>
        </w:rPr>
        <w:t>corroborated by market data (Level 3).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assets and liabilities recorded at fair value on the Balance Sheets are categorized based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inputs to the valuation techniques as follows:</w:t>
      </w:r>
    </w:p>
    <w:p>
      <w:pPr>
        <w:autoSpaceDN w:val="0"/>
        <w:tabs>
          <w:tab w:pos="1012" w:val="left"/>
        </w:tabs>
        <w:autoSpaceDE w:val="0"/>
        <w:widowControl/>
        <w:spacing w:line="240" w:lineRule="exact" w:before="172" w:after="0"/>
        <w:ind w:left="88" w:right="72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Level 1: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Financial assets and liabilities whose values are based on unadjusted quoted prices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>identical assets or liabilities in active markets.</w:t>
      </w:r>
    </w:p>
    <w:p>
      <w:pPr>
        <w:autoSpaceDN w:val="0"/>
        <w:autoSpaceDE w:val="0"/>
        <w:widowControl/>
        <w:spacing w:line="240" w:lineRule="exact" w:before="106" w:after="0"/>
        <w:ind w:left="1012" w:right="288" w:hanging="924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Level 2: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Financial assets and liabilities whose values are based on quoted prices for similar assets or </w:t>
      </w:r>
      <w:r>
        <w:rPr>
          <w:rFonts w:ascii="ArialMT" w:hAnsi="ArialMT" w:eastAsia="ArialMT"/>
          <w:b w:val="0"/>
          <w:i w:val="0"/>
          <w:color w:val="000000"/>
          <w:sz w:val="20"/>
        </w:rPr>
        <w:t>liabilities in active markets; quoted prices for identical or similar assets or liabilities in non-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active markets; or pricing models for which all significant inputs are observable, either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>directly or indirectly for substantially the full term of the asset or liability.</w:t>
      </w:r>
    </w:p>
    <w:p>
      <w:pPr>
        <w:autoSpaceDN w:val="0"/>
        <w:autoSpaceDE w:val="0"/>
        <w:widowControl/>
        <w:spacing w:line="240" w:lineRule="exact" w:before="44" w:after="0"/>
        <w:ind w:left="982" w:right="288" w:hanging="894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Level 3: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assets and liabilities whose values are based on prices or valuation techniques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require inputs that are both unobservable and significant to the overall fair value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>measurement.</w:t>
      </w:r>
    </w:p>
    <w:p>
      <w:pPr>
        <w:autoSpaceDN w:val="0"/>
        <w:autoSpaceDE w:val="0"/>
        <w:widowControl/>
        <w:spacing w:line="240" w:lineRule="exact" w:before="21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policy is to recognize transfers in and transfers out of levels as of the end of the reporting period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>which they occur.</w:t>
      </w:r>
    </w:p>
    <w:p>
      <w:pPr>
        <w:autoSpaceDN w:val="0"/>
        <w:tabs>
          <w:tab w:pos="9138" w:val="left"/>
        </w:tabs>
        <w:autoSpaceDE w:val="0"/>
        <w:widowControl/>
        <w:spacing w:line="224" w:lineRule="exact" w:before="1958" w:after="0"/>
        <w:ind w:left="48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99</w:t>
      </w:r>
    </w:p>
    <w:p>
      <w:pPr>
        <w:sectPr>
          <w:pgSz w:w="12240" w:h="15840"/>
          <w:pgMar w:top="702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Accounting for Contributions to Special Programs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recognizes unconditional grants such as contributions to special programs as an expense upon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approval by the Executive Directors. 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Transfers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Transfers from IBRD’s net income to IDA are recognized in the Statements of Income upon approval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Board of Governors of IBRD. Similarly, transfers relating to grants made from IFC’s retained earnings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IDA are recognized in the transfers from affiliated organizations on the Statements of Income upon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execution of a grant agreement between IFC and IDA.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addition, IDA periodically receives contributions from trust funds and private institutions. IDA does not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assign any voting rights for these contributions. Temporary restrictions relating to these contributions may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arise from the timing of receipt of cash, or donor imposed restrictions as to use. 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Trust Funds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the extent that IDA acts as an agent for or controls Bank-executed activities for trust funds, assets held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behalf of specified beneficiaries are recorded on IDA’s Balance Sheets, along with corresponding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liabilities. Amounts disbursed from these trust funds are recorded as expenses with the corresponding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amounts recognized as revenue. For recipient-executed activities for trust funds, since IDA acts as a </w:t>
      </w:r>
      <w:r>
        <w:rPr>
          <w:rFonts w:ascii="ArialMT" w:hAnsi="ArialMT" w:eastAsia="ArialMT"/>
          <w:b w:val="0"/>
          <w:i w:val="0"/>
          <w:color w:val="000000"/>
          <w:sz w:val="20"/>
        </w:rPr>
        <w:t>trustee, no assets or liabilities relating to these activities are recorded on the Balance Sheets.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some trust funds, execution is split between recipient-executed and IDA-executed portions. Decisions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assignment of funding resources between the two types of execution may be made on an ongoing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basis; therefore, the execution of a portion of these available resources may not yet be assigned.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also acts as a financial intermediary to provide specific administrative or financial services with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limited fiduciary or operational role. These arrangements, referred to as Financial Intermediary Funds,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include, for example, administration of debt service trust funds, financial intermediation and other more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specialized limited fund management roles. For these arrangements, funds are held and disbursed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accordance with instructions from donors or, in some cases, an external governance structure or a body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operating on behalf of donors. For Financial Intermediary Funds, since IDA acts as a trustee, no assets or </w:t>
      </w:r>
      <w:r>
        <w:rPr>
          <w:rFonts w:ascii="ArialMT" w:hAnsi="ArialMT" w:eastAsia="ArialMT"/>
          <w:b w:val="0"/>
          <w:i w:val="0"/>
          <w:color w:val="000000"/>
          <w:sz w:val="20"/>
        </w:rPr>
        <w:t>liabilities relating to these activities are recorded on IDA’s Balance Sheets.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Accounting and Reporting Developments</w:t>
      </w:r>
    </w:p>
    <w:p>
      <w:pPr>
        <w:autoSpaceDN w:val="0"/>
        <w:autoSpaceDE w:val="0"/>
        <w:widowControl/>
        <w:spacing w:line="246" w:lineRule="exact" w:before="14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Evaluated Accounting Standards</w:t>
      </w:r>
    </w:p>
    <w:p>
      <w:pPr>
        <w:autoSpaceDN w:val="0"/>
        <w:autoSpaceDE w:val="0"/>
        <w:widowControl/>
        <w:spacing w:line="240" w:lineRule="exact" w:before="126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November 2023, the FASB issued ASU 2023-07,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Segment Reporting (Topic 280): Improvements to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Reportable Segment Disclosures,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requires additional segment disclosures for public entities,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including those with a single reportable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>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egment (such as IDA). All existing annual disclosures about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segment profit or loss must be provided on an interim basis in addition to disclosure of significant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segment expenses.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IDA, the ASU became effective for the annual period ended June 30, 2025,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adoption of the ASU has resulted in additional disclosures (see Note L - Segment Reporting).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Accounting Standards Under Evaluation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November 2024, the FASB issued ASU 2024-03,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Income Statement—Reporting Comprehensive </w:t>
      </w:r>
      <w:r>
        <w:rPr>
          <w:rFonts w:ascii="Arial" w:hAnsi="Arial" w:eastAsia="Arial"/>
          <w:b w:val="0"/>
          <w:i/>
          <w:color w:val="000000"/>
          <w:sz w:val="20"/>
        </w:rPr>
        <w:t>Income—Expense Disaggregation Disclosures (Subtopic 220-40)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, which requires disaggregated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disclosure of income statement expenses for public business entities. The ASU does not change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expense captions an entity presents on the face of the income statement; rather, it requires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disaggregation of certain expense captions into specified categories in disclosures within the footnotes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financial statements. In January 2025, the FASB issued ASU 2025-01,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Income Statement—Reporting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Comprehensive Income—Expense Disaggregation Disclosures (Subtopic 220-40): Clarifying the Effective </w:t>
      </w:r>
      <w:r>
        <w:rPr>
          <w:rFonts w:ascii="Arial" w:hAnsi="Arial" w:eastAsia="Arial"/>
          <w:b w:val="0"/>
          <w:i/>
          <w:color w:val="000000"/>
          <w:sz w:val="20"/>
        </w:rPr>
        <w:t>Date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which clarifies the effective date of ASU 2024-03. For IDA, the ASUs will be effective for the annual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 ending June 30, 2028 (annual statements of fiscal year 2028 and interim reporting periods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thereafter). IDA is currently evaluating the impact of the ASUs on its financial statements.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66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700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October 2023, the FASB issued ASU 2023-06,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Disclosure Improvements: Codification Amendments in </w:t>
      </w:r>
      <w:r>
        <w:rPr>
          <w:rFonts w:ascii="Arial" w:hAnsi="Arial" w:eastAsia="Arial"/>
          <w:b w:val="0"/>
          <w:i/>
          <w:color w:val="000000"/>
          <w:sz w:val="20"/>
        </w:rPr>
        <w:t>Response to the SEC’s Disclosure Update and Simplification Initiative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The new guidance is intended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align U.S. GAAP requirements with those of the SEC and to facilitate the application of U.S. GAAP for 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entities. If by June 30, 2027, the SEC has not removed the applicable SEC requirement, the related ASU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amendment will not become effective. IDA is currently evaluating the impact of the ASU on its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>statements.</w:t>
      </w:r>
    </w:p>
    <w:p>
      <w:pPr>
        <w:autoSpaceDN w:val="0"/>
        <w:autoSpaceDE w:val="0"/>
        <w:widowControl/>
        <w:spacing w:line="336" w:lineRule="exact" w:before="224" w:after="0"/>
        <w:ind w:left="10" w:right="288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NOTE B—MEMBERS’ SUBSCRIPTIONS AND CONTRIBUTIONS AND </w:t>
      </w:r>
      <w:r>
        <w:rPr>
          <w:rFonts w:ascii="Arial" w:hAnsi="Arial" w:eastAsia="Arial"/>
          <w:b/>
          <w:i w:val="0"/>
          <w:color w:val="004972"/>
          <w:sz w:val="28"/>
        </w:rPr>
        <w:t>MEMBERSHIP</w:t>
      </w:r>
    </w:p>
    <w:p>
      <w:pPr>
        <w:autoSpaceDN w:val="0"/>
        <w:autoSpaceDE w:val="0"/>
        <w:widowControl/>
        <w:spacing w:line="224" w:lineRule="exact" w:before="15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movement in Subscriptions and Contributions paid-in is summarized below: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B1: Subscriptions and contributions paid-in</w:t>
      </w:r>
    </w:p>
    <w:p>
      <w:pPr>
        <w:autoSpaceDN w:val="0"/>
        <w:autoSpaceDE w:val="0"/>
        <w:widowControl/>
        <w:spacing w:line="178" w:lineRule="exact" w:before="144" w:after="20"/>
        <w:ind w:left="1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40"/>
        </w:trPr>
        <w:tc>
          <w:tcPr>
            <w:tcW w:type="dxa" w:w="5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5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24"/>
        </w:trPr>
        <w:tc>
          <w:tcPr>
            <w:tcW w:type="dxa" w:w="55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Beginning of the fiscal year</w:t>
            </w:r>
          </w:p>
        </w:tc>
        <w:tc>
          <w:tcPr>
            <w:tcW w:type="dxa" w:w="2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280,073 </w:t>
            </w:r>
          </w:p>
        </w:tc>
        <w:tc>
          <w:tcPr>
            <w:tcW w:type="dxa" w:w="5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271,258 </w:t>
            </w:r>
          </w:p>
        </w:tc>
      </w:tr>
      <w:tr>
        <w:trPr>
          <w:trHeight w:hRule="exact" w:val="240"/>
        </w:trPr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 contributions received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6,035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4,620 </w:t>
            </w:r>
          </w:p>
        </w:tc>
      </w:tr>
      <w:tr>
        <w:trPr>
          <w:trHeight w:hRule="exact" w:val="240"/>
        </w:trPr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Demand obligations received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4,839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4,276 </w:t>
            </w:r>
          </w:p>
        </w:tc>
      </w:tr>
      <w:tr>
        <w:trPr>
          <w:trHeight w:hRule="exact" w:val="256"/>
        </w:trPr>
        <w:tc>
          <w:tcPr>
            <w:tcW w:type="dxa" w:w="5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Translation adjustment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735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(81) </w:t>
            </w:r>
          </w:p>
        </w:tc>
      </w:tr>
      <w:tr>
        <w:trPr>
          <w:trHeight w:hRule="exact" w:val="220"/>
        </w:trPr>
        <w:tc>
          <w:tcPr>
            <w:tcW w:type="dxa" w:w="5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End of the fiscal year</w:t>
            </w:r>
          </w:p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291,682 </w:t>
            </w:r>
          </w:p>
        </w:tc>
        <w:tc>
          <w:tcPr>
            <w:tcW w:type="dxa" w:w="5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280,073 </w:t>
            </w:r>
          </w:p>
        </w:tc>
      </w:tr>
    </w:tbl>
    <w:p>
      <w:pPr>
        <w:autoSpaceDN w:val="0"/>
        <w:autoSpaceDE w:val="0"/>
        <w:widowControl/>
        <w:spacing w:line="240" w:lineRule="exact" w:before="478" w:after="0"/>
        <w:ind w:left="10" w:right="72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B2: Nonnegotiable, noninterest-bearing demand obligations on account of members' </w:t>
      </w:r>
      <w:r>
        <w:rPr>
          <w:rFonts w:ascii="Arial" w:hAnsi="Arial" w:eastAsia="Arial"/>
          <w:b/>
          <w:i w:val="0"/>
          <w:color w:val="000000"/>
          <w:sz w:val="20"/>
        </w:rPr>
        <w:t>subscriptions and contributions</w:t>
      </w:r>
    </w:p>
    <w:p>
      <w:pPr>
        <w:autoSpaceDN w:val="0"/>
        <w:autoSpaceDE w:val="0"/>
        <w:widowControl/>
        <w:spacing w:line="178" w:lineRule="exact" w:before="144" w:after="20"/>
        <w:ind w:left="1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40"/>
        </w:trPr>
        <w:tc>
          <w:tcPr>
            <w:tcW w:type="dxa" w:w="5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24"/>
        </w:trPr>
        <w:tc>
          <w:tcPr>
            <w:tcW w:type="dxa" w:w="55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Beginning of the fiscal year</w:t>
            </w:r>
          </w:p>
        </w:tc>
        <w:tc>
          <w:tcPr>
            <w:tcW w:type="dxa" w:w="2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12,553 </w:t>
            </w:r>
          </w:p>
        </w:tc>
        <w:tc>
          <w:tcPr>
            <w:tcW w:type="dxa" w:w="28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13,477 </w:t>
            </w:r>
          </w:p>
        </w:tc>
      </w:tr>
      <w:tr>
        <w:trPr>
          <w:trHeight w:hRule="exact" w:val="240"/>
        </w:trPr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Demand obligations received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4,839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4,276 </w:t>
            </w:r>
          </w:p>
        </w:tc>
      </w:tr>
      <w:tr>
        <w:trPr>
          <w:trHeight w:hRule="exact" w:val="240"/>
        </w:trPr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Demand obligations encashed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(5,877)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(5,119) </w:t>
            </w:r>
          </w:p>
        </w:tc>
      </w:tr>
      <w:tr>
        <w:trPr>
          <w:trHeight w:hRule="exact" w:val="256"/>
        </w:trPr>
        <w:tc>
          <w:tcPr>
            <w:tcW w:type="dxa" w:w="5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Translation adjustment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6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735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(81) </w:t>
            </w:r>
          </w:p>
        </w:tc>
      </w:tr>
      <w:tr>
        <w:trPr>
          <w:trHeight w:hRule="exact" w:val="220"/>
        </w:trPr>
        <w:tc>
          <w:tcPr>
            <w:tcW w:type="dxa" w:w="5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End of the fiscal year</w:t>
            </w:r>
          </w:p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12,250 </w:t>
            </w:r>
          </w:p>
        </w:tc>
        <w:tc>
          <w:tcPr>
            <w:tcW w:type="dxa" w:w="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12,553 </w:t>
            </w:r>
          </w:p>
        </w:tc>
      </w:tr>
    </w:tbl>
    <w:p>
      <w:pPr>
        <w:autoSpaceDN w:val="0"/>
        <w:autoSpaceDE w:val="0"/>
        <w:widowControl/>
        <w:spacing w:line="268" w:lineRule="exact" w:before="48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Membership</w:t>
      </w:r>
    </w:p>
    <w:p>
      <w:pPr>
        <w:autoSpaceDN w:val="0"/>
        <w:autoSpaceDE w:val="0"/>
        <w:widowControl/>
        <w:spacing w:line="25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On October 18, 2024, the Republic of Suriname became the 175</w:t>
      </w:r>
      <w:r>
        <w:rPr>
          <w:rFonts w:ascii="ArialMT" w:hAnsi="ArialMT" w:eastAsia="ArialMT"/>
          <w:b w:val="0"/>
          <w:i w:val="0"/>
          <w:color w:val="000000"/>
          <w:sz w:val="13"/>
        </w:rPr>
        <w:t>th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member of IDA. </w:t>
      </w:r>
    </w:p>
    <w:p>
      <w:pPr>
        <w:autoSpaceDN w:val="0"/>
        <w:tabs>
          <w:tab w:pos="9036" w:val="left"/>
        </w:tabs>
        <w:autoSpaceDE w:val="0"/>
        <w:widowControl/>
        <w:spacing w:line="224" w:lineRule="exact" w:before="4764" w:after="0"/>
        <w:ind w:left="47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rPr>
          <w:rFonts w:ascii="ArialMT" w:hAnsi="ArialMT" w:eastAsia="ArialMT"/>
          <w:b w:val="0"/>
          <w:i w:val="0"/>
          <w:color w:val="000000"/>
          <w:sz w:val="20"/>
        </w:rPr>
        <w:t>101</w:t>
      </w:r>
    </w:p>
    <w:p>
      <w:pPr>
        <w:sectPr>
          <w:pgSz w:w="12240" w:h="15840"/>
          <w:pgMar w:top="702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NOTE C—INVESTMENTS</w:t>
      </w:r>
    </w:p>
    <w:p>
      <w:pPr>
        <w:autoSpaceDN w:val="0"/>
        <w:autoSpaceDE w:val="0"/>
        <w:widowControl/>
        <w:spacing w:line="240" w:lineRule="exact" w:before="14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investment securities held by IDA are designated as either trading or non-trading. All securities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>carried and reported at fair value, or at face value, which approximates fair value.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IDA’s Investments were mainly comprised of government, agency and corporate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obligations (56%) and time deposits (44%), with all of the instruments classified as either Level 1 or Level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 within the fair value hierarchy. 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summary of IDA’s Investments is as follows: 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C1: Investments-composition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2"/>
        <w:gridCol w:w="4722"/>
      </w:tblGrid>
      <w:tr>
        <w:trPr>
          <w:trHeight w:hRule="exact" w:val="240"/>
        </w:trPr>
        <w:tc>
          <w:tcPr>
            <w:tcW w:type="dxa" w:w="7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2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1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22"/>
        </w:trPr>
        <w:tc>
          <w:tcPr>
            <w:tcW w:type="dxa" w:w="5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Government, agency and corporate obligations</w:t>
            </w:r>
          </w:p>
        </w:tc>
        <w:tc>
          <w:tcPr>
            <w:tcW w:type="dxa" w:w="5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26,429 </w:t>
            </w:r>
          </w:p>
        </w:tc>
        <w:tc>
          <w:tcPr>
            <w:tcW w:type="dxa" w:w="7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19,380 </w:t>
            </w:r>
          </w:p>
        </w:tc>
      </w:tr>
      <w:tr>
        <w:trPr>
          <w:trHeight w:hRule="exact" w:val="240"/>
        </w:trPr>
        <w:tc>
          <w:tcPr>
            <w:tcW w:type="dxa" w:w="5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20,641 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14,715 </w:t>
            </w:r>
          </w:p>
        </w:tc>
      </w:tr>
      <w:tr>
        <w:trPr>
          <w:trHeight w:hRule="exact" w:val="256"/>
        </w:trPr>
        <w:tc>
          <w:tcPr>
            <w:tcW w:type="dxa" w:w="55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Asset-backed securities (ABS)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2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 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</w:tr>
      <w:tr>
        <w:trPr>
          <w:trHeight w:hRule="exact" w:val="242"/>
        </w:trPr>
        <w:tc>
          <w:tcPr>
            <w:tcW w:type="dxa" w:w="55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47,157 </w:t>
            </w:r>
          </w:p>
        </w:tc>
        <w:tc>
          <w:tcPr>
            <w:tcW w:type="dxa" w:w="7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34,206 </w:t>
            </w:r>
          </w:p>
        </w:tc>
      </w:tr>
    </w:tbl>
    <w:p>
      <w:pPr>
        <w:autoSpaceDN w:val="0"/>
        <w:autoSpaceDE w:val="0"/>
        <w:widowControl/>
        <w:spacing w:line="178" w:lineRule="exact" w:before="30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Non-trading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238"/>
        </w:trPr>
        <w:tc>
          <w:tcPr>
            <w:tcW w:type="dxa" w:w="568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Debt security</w:t>
            </w:r>
          </w:p>
        </w:tc>
        <w:tc>
          <w:tcPr>
            <w:tcW w:type="dxa" w:w="5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115 </w:t>
            </w:r>
          </w:p>
        </w:tc>
        <w:tc>
          <w:tcPr>
            <w:tcW w:type="dxa" w:w="7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</w:tr>
      <w:tr>
        <w:trPr>
          <w:trHeight w:hRule="exact" w:val="220"/>
        </w:trPr>
        <w:tc>
          <w:tcPr>
            <w:tcW w:type="dxa" w:w="568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47,272 </w:t>
            </w:r>
          </w:p>
        </w:tc>
        <w:tc>
          <w:tcPr>
            <w:tcW w:type="dxa" w:w="7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34,377 </w:t>
            </w:r>
          </w:p>
        </w:tc>
      </w:tr>
      <w:tr>
        <w:trPr>
          <w:trHeight w:hRule="exact" w:val="8724"/>
        </w:trPr>
        <w:tc>
          <w:tcPr>
            <w:tcW w:type="dxa" w:w="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51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102 </w:t>
            </w:r>
          </w:p>
        </w:tc>
        <w:tc>
          <w:tcPr>
            <w:tcW w:type="dxa" w:w="51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51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IDA Financial Statements: June 30, 2025</w:t>
            </w:r>
          </w:p>
        </w:tc>
        <w:tc>
          <w:tcPr>
            <w:tcW w:type="dxa" w:w="5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96" w:right="1366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manages its investments on a net portfolio basis. As of June 30, 2025, the largest holdings from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single counterparty within the net investment portfolio was German government instruments (12%).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uses derivative instruments to manage currency and interest rate risk in the investment portfolio.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details regarding these instruments, see Note F—Derivative Instruments. The following table summarizes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net investment portfolio position: 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C2: Net investment portfolio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40"/>
        </w:trPr>
        <w:tc>
          <w:tcPr>
            <w:tcW w:type="dxa" w:w="7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6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15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38"/>
        </w:trPr>
        <w:tc>
          <w:tcPr>
            <w:tcW w:type="dxa" w:w="5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Trading</w:t>
            </w:r>
          </w:p>
        </w:tc>
        <w:tc>
          <w:tcPr>
            <w:tcW w:type="dxa" w:w="5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47,157 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34,206 </w:t>
            </w:r>
          </w:p>
        </w:tc>
      </w:tr>
      <w:tr>
        <w:trPr>
          <w:trHeight w:hRule="exact" w:val="240"/>
        </w:trPr>
        <w:tc>
          <w:tcPr>
            <w:tcW w:type="dxa" w:w="58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Non-trading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2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115 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1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</w:tr>
      <w:tr>
        <w:trPr>
          <w:trHeight w:hRule="exact" w:val="240"/>
        </w:trPr>
        <w:tc>
          <w:tcPr>
            <w:tcW w:type="dxa" w:w="58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47,272 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34,377 </w:t>
            </w:r>
          </w:p>
        </w:tc>
      </w:tr>
      <w:tr>
        <w:trPr>
          <w:trHeight w:hRule="exact" w:val="580"/>
        </w:trPr>
        <w:tc>
          <w:tcPr>
            <w:tcW w:type="dxa" w:w="58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 purchased under resale agreements</w:t>
            </w:r>
          </w:p>
        </w:tc>
        <w:tc>
          <w:tcPr>
            <w:tcW w:type="dxa" w:w="52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136 </w:t>
            </w:r>
          </w:p>
        </w:tc>
        <w:tc>
          <w:tcPr>
            <w:tcW w:type="dxa" w:w="4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 </w:t>
            </w:r>
          </w:p>
        </w:tc>
      </w:tr>
      <w:tr>
        <w:trPr>
          <w:trHeight w:hRule="exact" w:val="318"/>
        </w:trPr>
        <w:tc>
          <w:tcPr>
            <w:tcW w:type="dxa" w:w="5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sold under repurchase agreements, securities lent under securities </w:t>
            </w:r>
          </w:p>
        </w:tc>
        <w:tc>
          <w:tcPr>
            <w:tcW w:type="dxa" w:w="1889"/>
            <w:vMerge/>
            <w:tcBorders>
              <w:top w:sz="8.0" w:val="single" w:color="#000000"/>
            </w:tcBorders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(1,388) </w:t>
            </w:r>
          </w:p>
        </w:tc>
        <w:tc>
          <w:tcPr>
            <w:tcW w:type="dxa" w:w="1889"/>
            <w:vMerge/>
            <w:tcBorders>
              <w:top w:sz="8.0" w:val="single" w:color="#000000"/>
            </w:tcBorders>
          </w:tcPr>
          <w:p/>
        </w:tc>
        <w:tc>
          <w:tcPr>
            <w:tcW w:type="dxa" w:w="11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(964) </w:t>
            </w:r>
          </w:p>
        </w:tc>
      </w:tr>
      <w:tr>
        <w:trPr>
          <w:trHeight w:hRule="exact" w:val="258"/>
        </w:trPr>
        <w:tc>
          <w:tcPr>
            <w:tcW w:type="dxa" w:w="5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lending agreements, and payable for cash collateral received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889"/>
            <w:vMerge/>
            <w:tcBorders>
              <w:top w:sz="8.0" w:val="single" w:color="#000000"/>
            </w:tcBorders>
          </w:tcPr>
          <w:p/>
        </w:tc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>
              <w:top w:sz="8.0" w:val="single" w:color="#000000"/>
            </w:tcBorders>
          </w:tcPr>
          <w:p/>
        </w:tc>
        <w:tc>
          <w:tcPr>
            <w:tcW w:type="dxa" w:w="18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106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Derivative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149"/>
        <w:gridCol w:w="3149"/>
        <w:gridCol w:w="3149"/>
      </w:tblGrid>
      <w:tr>
        <w:trPr>
          <w:trHeight w:hRule="exact" w:val="228"/>
        </w:trPr>
        <w:tc>
          <w:tcPr>
            <w:tcW w:type="dxa" w:w="5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forward contracts</w:t>
            </w:r>
          </w:p>
        </w:tc>
        <w:tc>
          <w:tcPr>
            <w:tcW w:type="dxa" w:w="1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232 </w:t>
            </w:r>
          </w:p>
        </w:tc>
      </w:tr>
      <w:tr>
        <w:trPr>
          <w:trHeight w:hRule="exact" w:val="240"/>
        </w:trPr>
        <w:tc>
          <w:tcPr>
            <w:tcW w:type="dxa" w:w="5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250"/>
        </w:trPr>
        <w:tc>
          <w:tcPr>
            <w:tcW w:type="dxa" w:w="57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7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5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40"/>
        </w:trPr>
        <w:tc>
          <w:tcPr>
            <w:tcW w:type="dxa" w:w="57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17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  <w:tc>
          <w:tcPr>
            <w:tcW w:type="dxa" w:w="15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237 </w:t>
            </w:r>
          </w:p>
        </w:tc>
      </w:tr>
    </w:tbl>
    <w:p>
      <w:pPr>
        <w:autoSpaceDN w:val="0"/>
        <w:autoSpaceDE w:val="0"/>
        <w:widowControl/>
        <w:spacing w:line="180" w:lineRule="exact" w:before="256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Derivative 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24"/>
        </w:trPr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forward contracts</w:t>
            </w:r>
          </w:p>
        </w:tc>
        <w:tc>
          <w:tcPr>
            <w:tcW w:type="dxa" w:w="5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(294) 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(20) </w:t>
            </w:r>
          </w:p>
        </w:tc>
      </w:tr>
      <w:tr>
        <w:trPr>
          <w:trHeight w:hRule="exact" w:val="254"/>
        </w:trPr>
        <w:tc>
          <w:tcPr>
            <w:tcW w:type="dxa" w:w="58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2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(4) 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1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58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(298) 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(20) </w:t>
            </w:r>
          </w:p>
        </w:tc>
      </w:tr>
      <w:tr>
        <w:trPr>
          <w:trHeight w:hRule="exact" w:val="446"/>
        </w:trPr>
        <w:tc>
          <w:tcPr>
            <w:tcW w:type="dxa" w:w="58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Cash held in investment portfolio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52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8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712 </w:t>
            </w:r>
          </w:p>
        </w:tc>
        <w:tc>
          <w:tcPr>
            <w:tcW w:type="dxa" w:w="4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532 </w:t>
            </w:r>
          </w:p>
        </w:tc>
      </w:tr>
      <w:tr>
        <w:trPr>
          <w:trHeight w:hRule="exact" w:val="240"/>
        </w:trPr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Receivable from investment securities traded and other assets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</w:tr>
      <w:tr>
        <w:trPr>
          <w:trHeight w:hRule="exact" w:val="260"/>
        </w:trPr>
        <w:tc>
          <w:tcPr>
            <w:tcW w:type="dxa" w:w="58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Payable for investment securities purchased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(644)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(648) </w:t>
            </w:r>
          </w:p>
        </w:tc>
      </w:tr>
      <w:tr>
        <w:trPr>
          <w:trHeight w:hRule="exact" w:val="220"/>
        </w:trPr>
        <w:tc>
          <w:tcPr>
            <w:tcW w:type="dxa" w:w="58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Net investment portfolio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f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45,829 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33,581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82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As of June 30, 2025, this amount includes cash collateral of $1,266 million received from counterparties under derivative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agreements ($893 million - June 30, 2024).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These relate to to-be-announced (TBA) Securities, swaptions, exchange traded options and futures contracts.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These amounts are included in Unrestricted cash under Due from banks on the Balance Sheets.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These amounts are included in Other receivables on the Balance Sheets.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0" w:after="0"/>
        <w:ind w:left="62" w:right="432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e. These amounts are included in Other liabilities on the Balance Sheets. As of June 30, 2025, short sales amounted to $139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million ($59 million - June 30, 2024).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2" w:after="0"/>
        <w:ind w:left="62" w:right="1008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f. As of June 30, 2025, the liquid assets amount to $45,714 million ($33,410 million - June 30, 2024), which is the Net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investment portfolio, excluding Non-trading investments.</w:t>
      </w:r>
    </w:p>
    <w:p>
      <w:pPr>
        <w:autoSpaceDN w:val="0"/>
        <w:autoSpaceDE w:val="0"/>
        <w:widowControl/>
        <w:spacing w:line="240" w:lineRule="exact" w:before="196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IDA’s non-trading investment portfolio (principal amount due on a debt security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IFC) was $124 million ($185 million—June 30, 2024). For details regarding this instrument, see Note H - </w:t>
      </w:r>
      <w:r>
        <w:rPr>
          <w:rFonts w:ascii="ArialMT" w:hAnsi="ArialMT" w:eastAsia="ArialMT"/>
          <w:b w:val="0"/>
          <w:i w:val="0"/>
          <w:color w:val="000000"/>
          <w:sz w:val="20"/>
        </w:rPr>
        <w:t>Transactions with Affiliated Organizations.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Commercial Credit Risk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purposes of risk management, IDA is party to a variety of financial transactions, certain of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involve elements of credit risk. Credit risk exposure represents the maximum potential loss due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possible nonperformance by obligors and counterparties under the terms of the contracts. For 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securities, IDA limits trading to a list of authorized dealers and counterparties. In addition, credit limits </w:t>
      </w:r>
      <w:r>
        <w:rPr>
          <w:rFonts w:ascii="ArialMT" w:hAnsi="ArialMT" w:eastAsia="ArialMT"/>
          <w:b w:val="0"/>
          <w:i w:val="0"/>
          <w:color w:val="000000"/>
          <w:sz w:val="20"/>
        </w:rPr>
        <w:t>have been established for counterparties by type of instrument and maturity category.</w:t>
      </w:r>
    </w:p>
    <w:p>
      <w:pPr>
        <w:autoSpaceDN w:val="0"/>
        <w:tabs>
          <w:tab w:pos="9036" w:val="left"/>
        </w:tabs>
        <w:autoSpaceDE w:val="0"/>
        <w:widowControl/>
        <w:spacing w:line="224" w:lineRule="exact" w:before="596" w:after="0"/>
        <w:ind w:left="47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rPr>
          <w:rFonts w:ascii="ArialMT" w:hAnsi="ArialMT" w:eastAsia="ArialMT"/>
          <w:b w:val="0"/>
          <w:i w:val="0"/>
          <w:color w:val="000000"/>
          <w:sz w:val="20"/>
        </w:rPr>
        <w:t>103</w:t>
      </w:r>
    </w:p>
    <w:p>
      <w:pPr>
        <w:sectPr>
          <w:pgSz w:w="12240" w:h="15840"/>
          <w:pgMar w:top="702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Swap Agreements </w:t>
      </w:r>
    </w:p>
    <w:p>
      <w:pPr>
        <w:autoSpaceDN w:val="0"/>
        <w:autoSpaceDE w:val="0"/>
        <w:widowControl/>
        <w:spacing w:line="240" w:lineRule="exact" w:before="126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Credit risk is mitigated through a credit approval process, volume limits, monitoring procedures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 of mark-to-market collateral arrangements. IDA may require collateral in the form of cash or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approved liquid securities from individual counterparties to mitigate its credit exposure.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has entered into master derivative agreements, which contain legally enforceable close-out netting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provisions. These agreements may further reduce the gross credit risk exposure related to the swaps.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Credit risk with financial assets subject to a master derivatives arrangement is further reduced under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agreements to the extent that payments and receipts with the counterparty are netted at settlement.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reduction in exposure as a result of these netting provisions can vary due to the impact of changes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conditions on existing and new transactions. For more information on netting and offsetting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provisions, see Note F—Derivative Instruments.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following is a summary of the collateral received by IDA in relation to swap transactions.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C3: Collateral received 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40"/>
        </w:trPr>
        <w:tc>
          <w:tcPr>
            <w:tcW w:type="dxa" w:w="7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5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2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Collateral received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36"/>
        </w:trPr>
        <w:tc>
          <w:tcPr>
            <w:tcW w:type="dxa" w:w="5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</w:t>
            </w:r>
          </w:p>
        </w:tc>
        <w:tc>
          <w:tcPr>
            <w:tcW w:type="dxa" w:w="6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1,266 </w:t>
            </w:r>
          </w:p>
        </w:tc>
        <w:tc>
          <w:tcPr>
            <w:tcW w:type="dxa" w:w="6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893 </w:t>
            </w:r>
          </w:p>
        </w:tc>
      </w:tr>
      <w:tr>
        <w:trPr>
          <w:trHeight w:hRule="exact" w:val="244"/>
        </w:trPr>
        <w:tc>
          <w:tcPr>
            <w:tcW w:type="dxa" w:w="51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 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51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collateral received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1,299 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893 </w:t>
            </w:r>
          </w:p>
        </w:tc>
      </w:tr>
      <w:tr>
        <w:trPr>
          <w:trHeight w:hRule="exact" w:val="236"/>
        </w:trPr>
        <w:tc>
          <w:tcPr>
            <w:tcW w:type="dxa" w:w="51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Collateral permitted to be repledged</w:t>
            </w:r>
          </w:p>
        </w:tc>
        <w:tc>
          <w:tcPr>
            <w:tcW w:type="dxa" w:w="6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1,299 </w:t>
            </w:r>
          </w:p>
        </w:tc>
        <w:tc>
          <w:tcPr>
            <w:tcW w:type="dxa" w:w="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893 </w:t>
            </w:r>
          </w:p>
        </w:tc>
      </w:tr>
      <w:tr>
        <w:trPr>
          <w:trHeight w:hRule="exact" w:val="244"/>
        </w:trPr>
        <w:tc>
          <w:tcPr>
            <w:tcW w:type="dxa" w:w="5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Amount of collateral repledged</w:t>
            </w:r>
          </w:p>
        </w:tc>
        <w:tc>
          <w:tcPr>
            <w:tcW w:type="dxa" w:w="6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480"/>
        </w:trPr>
        <w:tc>
          <w:tcPr>
            <w:tcW w:type="dxa" w:w="51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Amount of cash collateral invested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796 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601 </w:t>
            </w:r>
          </w:p>
        </w:tc>
      </w:tr>
    </w:tbl>
    <w:p>
      <w:pPr>
        <w:autoSpaceDN w:val="0"/>
        <w:autoSpaceDE w:val="0"/>
        <w:widowControl/>
        <w:spacing w:line="246" w:lineRule="exact" w:before="18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Securities Lending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may engage in securities lending and repurchases, against adequate collateral, as well as securities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borrowing and reverse repurchases (resales) of government, agency and corporate obligations, and ABS.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transactions have been conducted under legally enforceable master netting arrangements,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allow IDA to reduce its gross credit exposure related to these transactions. IDA presents its securities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lending and repurchases, as well as resales, on a gross basis on the Balance Sheets. As of 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2025, there were no amounts that could potentially be offset as a result of legally enforceable master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netting arrangements ($58 million—June 30, 2024).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Transfers of securities by IDA to counterparties are not accounted for as sales as the accounting criteria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treatment as a sale have not been met. Counterparties are permitted to repledge these securities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>until the repurchase date.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Securities lending agreements and repurchase agreements expose IDA to several risks, including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counterparty risk, reinvestment risk, and risk of a collateral gap (increase or decrease in the fair value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collateral pledged). IDA has procedures in place to ensure that trading activity and balances under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agreements are below predefined counterparty and maturity limits, and to actively monitor net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counterparty exposure, after collateral, using daily market values. Whenever the collateral pledged by IDA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related to its borrowings under securities lending agreements and repurchase agreements declines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>value, the transaction is re-priced as appropriate by returning cash or pledging additional collateral.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liabilities relating to securities transferred under repurchase or securities lending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agreements were $122 million ($71 million—June 30, 2024) and there were no unsettled trades relating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repurchase or securities lending agreements (Nil—June 30, 2024). There were no replacement trades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entered into in anticipation of maturing trades of a similar amount (Nil—June 30, 2024). As of 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2025, and June 30, 2024, the remaining contractual maturity of these agreements was up to 30 days.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securities transferred were mainly comprised of government and agency obligations.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94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700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case of resale agreements, IDA receives collateral in the form of liquid securities and is permitted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repledge these securities. While these transactions are legally considered to be true purchases and sales,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securities received are not recorded on IDA’s Balance Sheets as the accounting criteria for treatment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a sale have not been met. As of June 30, 2025, and June 30, 2024, there were no unsettled trades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pertaining to securities purchased under resale agreements. For resale agreements, IDA received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securities with a fair value of $139 million as of June 30, 2025 ($59 million—June 30, 2024). As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June 30, 2025 and June 30, 2024, none of these securities had been transferred under repurchase or </w:t>
      </w:r>
      <w:r>
        <w:rPr>
          <w:rFonts w:ascii="ArialMT" w:hAnsi="ArialMT" w:eastAsia="ArialMT"/>
          <w:b w:val="0"/>
          <w:i w:val="0"/>
          <w:color w:val="000000"/>
          <w:sz w:val="20"/>
        </w:rPr>
        <w:t>security lending agreements.</w:t>
      </w:r>
    </w:p>
    <w:p>
      <w:pPr>
        <w:autoSpaceDN w:val="0"/>
        <w:autoSpaceDE w:val="0"/>
        <w:widowControl/>
        <w:spacing w:line="314" w:lineRule="exact" w:before="24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NOTE D—LOANS AND OTHER EXPOSURES</w:t>
      </w:r>
    </w:p>
    <w:p>
      <w:pPr>
        <w:autoSpaceDN w:val="0"/>
        <w:autoSpaceDE w:val="0"/>
        <w:widowControl/>
        <w:spacing w:line="240" w:lineRule="exact" w:before="14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loans and other exposures are generally made to, or guaranteed by, member countries of IDA.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Loans are carried at amortized cost. Other exposures include signed loan commitments, Deferred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Drawdown Options (DDO), irrevocable commitments, grant advances, project preparation advances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guarantees. Based on IDA’s internal credit quality indicators, the loans outstanding are in the High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Medium risk classes.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excludes the interest and service charges receivable balance from the amortized cost basis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related disclosures. As of June 30, 2025, accrued interest income and service charges on loans of $849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($715 million—June 30, 2024) are presented in Other receivables - Accrued interest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commitment charges on the Balance Sheets.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0.4% of IDA’s loans were in nonaccrual status and related to two borrowers.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total accumulated provision for losses on loans in accrual status and nonaccrual status was 2% of total </w:t>
      </w:r>
      <w:r>
        <w:rPr>
          <w:rFonts w:ascii="ArialMT" w:hAnsi="ArialMT" w:eastAsia="ArialMT"/>
          <w:b w:val="0"/>
          <w:i w:val="0"/>
          <w:color w:val="000000"/>
          <w:sz w:val="20"/>
        </w:rPr>
        <w:t>loans as of June 30, 2025.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maturity structure of loans outstanding was as follows: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D1: Loans outstanding - Maturity structure </w:t>
      </w:r>
    </w:p>
    <w:p>
      <w:pPr>
        <w:autoSpaceDN w:val="0"/>
        <w:autoSpaceDE w:val="0"/>
        <w:widowControl/>
        <w:spacing w:line="178" w:lineRule="exact" w:before="144" w:after="20"/>
        <w:ind w:left="1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240"/>
        </w:trPr>
        <w:tc>
          <w:tcPr>
            <w:tcW w:type="dxa" w:w="3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4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24"/>
        </w:trPr>
        <w:tc>
          <w:tcPr>
            <w:tcW w:type="dxa" w:w="3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July 01, 2025 through June 30, 2026</w:t>
            </w:r>
          </w:p>
        </w:tc>
        <w:tc>
          <w:tcPr>
            <w:tcW w:type="dxa" w:w="2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10,218 </w:t>
            </w:r>
          </w:p>
        </w:tc>
        <w:tc>
          <w:tcPr>
            <w:tcW w:type="dxa" w:w="3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July 01, 2024 through June 30, 2025</w:t>
            </w:r>
          </w:p>
        </w:tc>
        <w:tc>
          <w:tcPr>
            <w:tcW w:type="dxa" w:w="6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9,359 </w:t>
            </w:r>
          </w:p>
        </w:tc>
      </w:tr>
      <w:tr>
        <w:trPr>
          <w:trHeight w:hRule="exact" w:val="240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July 01, 2026 through June 30, 2030</w:t>
            </w:r>
          </w:p>
        </w:tc>
        <w:tc>
          <w:tcPr>
            <w:tcW w:type="dxa" w:w="15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46,083 </w:t>
            </w:r>
          </w:p>
        </w:tc>
        <w:tc>
          <w:tcPr>
            <w:tcW w:type="dxa" w:w="3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8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July 01, 2025 through June 30, 2029</w:t>
            </w:r>
          </w:p>
        </w:tc>
        <w:tc>
          <w:tcPr>
            <w:tcW w:type="dxa" w:w="14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41,030 </w:t>
            </w:r>
          </w:p>
        </w:tc>
      </w:tr>
      <w:tr>
        <w:trPr>
          <w:trHeight w:hRule="exact" w:val="240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July 01, 2030 through June 30, 2040</w:t>
            </w:r>
          </w:p>
        </w:tc>
        <w:tc>
          <w:tcPr>
            <w:tcW w:type="dxa" w:w="15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99,016 </w:t>
            </w:r>
          </w:p>
        </w:tc>
        <w:tc>
          <w:tcPr>
            <w:tcW w:type="dxa" w:w="3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8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July 01, 2029 through June 30, 2039</w:t>
            </w:r>
          </w:p>
        </w:tc>
        <w:tc>
          <w:tcPr>
            <w:tcW w:type="dxa" w:w="14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90,203 </w:t>
            </w:r>
          </w:p>
        </w:tc>
      </w:tr>
      <w:tr>
        <w:trPr>
          <w:trHeight w:hRule="exact" w:val="256"/>
        </w:trPr>
        <w:tc>
          <w:tcPr>
            <w:tcW w:type="dxa" w:w="3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Thereafter</w:t>
            </w:r>
          </w:p>
        </w:tc>
        <w:tc>
          <w:tcPr>
            <w:tcW w:type="dxa" w:w="15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72,570 </w:t>
            </w:r>
          </w:p>
        </w:tc>
        <w:tc>
          <w:tcPr>
            <w:tcW w:type="dxa" w:w="36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8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Thereafter</w:t>
            </w:r>
          </w:p>
        </w:tc>
        <w:tc>
          <w:tcPr>
            <w:tcW w:type="dxa" w:w="141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61,956 </w:t>
            </w:r>
          </w:p>
        </w:tc>
      </w:tr>
      <w:tr>
        <w:trPr>
          <w:trHeight w:hRule="exact" w:val="220"/>
        </w:trPr>
        <w:tc>
          <w:tcPr>
            <w:tcW w:type="dxa" w:w="3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227,887 </w:t>
            </w:r>
          </w:p>
        </w:tc>
        <w:tc>
          <w:tcPr>
            <w:tcW w:type="dxa" w:w="3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141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$ 202,548 </w:t>
            </w:r>
          </w:p>
        </w:tc>
      </w:tr>
      <w:tr>
        <w:trPr>
          <w:trHeight w:hRule="exact" w:val="5484"/>
        </w:trPr>
        <w:tc>
          <w:tcPr>
            <w:tcW w:type="dxa" w:w="3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7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70" w:after="0"/>
              <w:ind w:left="3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IDA Financial Statements: June 30, 2025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70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2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Loans outstanding had the following currency composition: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D2: Loans outstanding- Currency composition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38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11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% of total</w:t>
            </w:r>
          </w:p>
        </w:tc>
        <w:tc>
          <w:tcPr>
            <w:tcW w:type="dxa" w:w="170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11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% of total</w:t>
            </w:r>
          </w:p>
        </w:tc>
      </w:tr>
      <w:tr>
        <w:trPr>
          <w:trHeight w:hRule="exact" w:val="240"/>
        </w:trPr>
        <w:tc>
          <w:tcPr>
            <w:tcW w:type="dxa" w:w="38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SDR</w:t>
            </w:r>
          </w:p>
        </w:tc>
        <w:tc>
          <w:tcPr>
            <w:tcW w:type="dxa" w:w="4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169,746 </w:t>
            </w:r>
          </w:p>
        </w:tc>
        <w:tc>
          <w:tcPr>
            <w:tcW w:type="dxa" w:w="11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75 %</w:t>
            </w:r>
          </w:p>
        </w:tc>
        <w:tc>
          <w:tcPr>
            <w:tcW w:type="dxa" w:w="6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160,957 </w:t>
            </w:r>
          </w:p>
        </w:tc>
        <w:tc>
          <w:tcPr>
            <w:tcW w:type="dxa" w:w="1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80 %</w:t>
            </w:r>
          </w:p>
        </w:tc>
      </w:tr>
      <w:tr>
        <w:trPr>
          <w:trHeight w:hRule="exact" w:val="240"/>
        </w:trPr>
        <w:tc>
          <w:tcPr>
            <w:tcW w:type="dxa" w:w="3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U.S. dollar</w:t>
            </w:r>
          </w:p>
        </w:tc>
        <w:tc>
          <w:tcPr>
            <w:tcW w:type="dxa" w:w="14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31,609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14 %</w:t>
            </w:r>
          </w:p>
        </w:tc>
        <w:tc>
          <w:tcPr>
            <w:tcW w:type="dxa" w:w="17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22,310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11 %</w:t>
            </w:r>
          </w:p>
        </w:tc>
      </w:tr>
      <w:tr>
        <w:trPr>
          <w:trHeight w:hRule="exact" w:val="240"/>
        </w:trPr>
        <w:tc>
          <w:tcPr>
            <w:tcW w:type="dxa" w:w="3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</w:t>
            </w:r>
          </w:p>
        </w:tc>
        <w:tc>
          <w:tcPr>
            <w:tcW w:type="dxa" w:w="14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25,427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11 %</w:t>
            </w:r>
          </w:p>
        </w:tc>
        <w:tc>
          <w:tcPr>
            <w:tcW w:type="dxa" w:w="17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18,626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9 %</w:t>
            </w:r>
          </w:p>
        </w:tc>
      </w:tr>
      <w:tr>
        <w:trPr>
          <w:trHeight w:hRule="exact" w:val="240"/>
        </w:trPr>
        <w:tc>
          <w:tcPr>
            <w:tcW w:type="dxa" w:w="3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Japanese yen</w:t>
            </w:r>
          </w:p>
        </w:tc>
        <w:tc>
          <w:tcPr>
            <w:tcW w:type="dxa" w:w="14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998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17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569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40"/>
        </w:trPr>
        <w:tc>
          <w:tcPr>
            <w:tcW w:type="dxa" w:w="38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Pound sterling</w:t>
            </w:r>
          </w:p>
        </w:tc>
        <w:tc>
          <w:tcPr>
            <w:tcW w:type="dxa" w:w="144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107 </w:t>
            </w:r>
          </w:p>
        </w:tc>
        <w:tc>
          <w:tcPr>
            <w:tcW w:type="dxa" w:w="11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170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 </w:t>
            </w:r>
          </w:p>
        </w:tc>
        <w:tc>
          <w:tcPr>
            <w:tcW w:type="dxa" w:w="1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20"/>
        </w:trPr>
        <w:tc>
          <w:tcPr>
            <w:tcW w:type="dxa" w:w="38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227,887 </w:t>
            </w:r>
          </w:p>
        </w:tc>
        <w:tc>
          <w:tcPr>
            <w:tcW w:type="dxa" w:w="11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6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202,548 </w:t>
            </w:r>
          </w:p>
        </w:tc>
        <w:tc>
          <w:tcPr>
            <w:tcW w:type="dxa" w:w="11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100 %</w:t>
            </w:r>
          </w:p>
        </w:tc>
      </w:tr>
    </w:tbl>
    <w:p>
      <w:pPr>
        <w:autoSpaceDN w:val="0"/>
        <w:autoSpaceDE w:val="0"/>
        <w:widowControl/>
        <w:spacing w:line="178" w:lineRule="exact" w:before="28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 Indicates percentage less than 0.5%.</w:t>
      </w:r>
    </w:p>
    <w:p>
      <w:pPr>
        <w:autoSpaceDN w:val="0"/>
        <w:autoSpaceDE w:val="0"/>
        <w:widowControl/>
        <w:spacing w:line="268" w:lineRule="exact" w:before="20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Credit Quality of Loans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Sovereign loans constitute the substantial majority of IDA's loan exposures. In addition, IDA has exposure </w:t>
      </w:r>
      <w:r>
        <w:rPr>
          <w:rFonts w:ascii="ArialMT" w:hAnsi="ArialMT" w:eastAsia="ArialMT"/>
          <w:b w:val="0"/>
          <w:i w:val="0"/>
          <w:color w:val="000000"/>
          <w:sz w:val="20"/>
        </w:rPr>
        <w:t>to PSW loans which constitute 0.1% of the loans outstanding.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country risk ratings are an assessment of its borrowers’ ability and willingness to repay IDA on time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in full. These ratings are internal credit quality indicators. Individual country risk ratings are derived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basis of both quantitative and qualitative analyses. The components considered in the analysis can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grouped broadly into eight categories: political risks; external debt and liquidity; fiscal policy and public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debt burden; balance of payments risks; economic structure and growth prospects; monetary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exchange rate policy; financial sector risks; and corporate sector debt and vulnerabilities. The analysis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also takes into account Environmental, Social and Governance (ESG) factors. </w:t>
      </w:r>
    </w:p>
    <w:p>
      <w:pPr>
        <w:autoSpaceDN w:val="0"/>
        <w:autoSpaceDE w:val="0"/>
        <w:widowControl/>
        <w:spacing w:line="224" w:lineRule="exact" w:before="13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on the borrower risk ratings, IDA classifies loans into three credit quality categories—Low Risk,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Medium Risk, and High Risk. These categories, which are described below, are intended to differentiate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between varying levels of borrower credit risk and the associated likelihood of non-timely debt service </w:t>
      </w:r>
      <w:r>
        <w:rPr>
          <w:rFonts w:ascii="ArialMT" w:hAnsi="ArialMT" w:eastAsia="ArialMT"/>
          <w:b w:val="0"/>
          <w:i w:val="0"/>
          <w:color w:val="000000"/>
          <w:sz w:val="20"/>
        </w:rPr>
        <w:t>across IDA’s loan portfolio.</w:t>
      </w:r>
    </w:p>
    <w:p>
      <w:pPr>
        <w:autoSpaceDN w:val="0"/>
        <w:autoSpaceDE w:val="0"/>
        <w:widowControl/>
        <w:spacing w:line="210" w:lineRule="exact" w:before="134" w:after="0"/>
        <w:ind w:left="10" w:right="20" w:firstLine="0"/>
        <w:jc w:val="both"/>
      </w:pPr>
      <w:r>
        <w:rPr>
          <w:rFonts w:ascii="Arial" w:hAnsi="Arial" w:eastAsia="Arial"/>
          <w:b w:val="0"/>
          <w:i/>
          <w:color w:val="000000"/>
          <w:sz w:val="20"/>
        </w:rPr>
        <w:t>Low Risk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Exposures in this group generally exhibit strong credit characteristics with minimal uncertainty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around repayment. Borrowers in this category typically demonstrate solid financial performance,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consistent and stable cash flows, and a history of timely debt service. The likelihood of non-timely debt </w:t>
      </w:r>
      <w:r>
        <w:rPr>
          <w:rFonts w:ascii="ArialMT" w:hAnsi="ArialMT" w:eastAsia="ArialMT"/>
          <w:b w:val="0"/>
          <w:i w:val="0"/>
          <w:color w:val="000000"/>
          <w:sz w:val="20"/>
        </w:rPr>
        <w:t>service is considered low.</w:t>
      </w:r>
    </w:p>
    <w:p>
      <w:pPr>
        <w:autoSpaceDN w:val="0"/>
        <w:autoSpaceDE w:val="0"/>
        <w:widowControl/>
        <w:spacing w:line="210" w:lineRule="exact" w:before="210" w:after="0"/>
        <w:ind w:left="10" w:right="20" w:firstLine="0"/>
        <w:jc w:val="both"/>
      </w:pPr>
      <w:r>
        <w:rPr>
          <w:rFonts w:ascii="Arial" w:hAnsi="Arial" w:eastAsia="Arial"/>
          <w:b w:val="0"/>
          <w:i/>
          <w:color w:val="000000"/>
          <w:sz w:val="20"/>
        </w:rPr>
        <w:t>Medium Risk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Exposures in this group display satisfactory credit profiles, but may be subject to moderate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 factors, such as country-specific volatility or operational challenges. Borrowers in this category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usually exhibit adequate financial performance, though their resilience to adverse conditions may be more </w:t>
      </w:r>
      <w:r>
        <w:rPr>
          <w:rFonts w:ascii="ArialMT" w:hAnsi="ArialMT" w:eastAsia="ArialMT"/>
          <w:b w:val="0"/>
          <w:i w:val="0"/>
          <w:color w:val="000000"/>
          <w:sz w:val="20"/>
        </w:rPr>
        <w:t>limited. The likelihood of non-timely debt service is considered moderate to low.</w:t>
      </w:r>
    </w:p>
    <w:p>
      <w:pPr>
        <w:autoSpaceDN w:val="0"/>
        <w:autoSpaceDE w:val="0"/>
        <w:widowControl/>
        <w:spacing w:line="210" w:lineRule="exact" w:before="210" w:after="0"/>
        <w:ind w:left="10" w:right="22" w:firstLine="0"/>
        <w:jc w:val="both"/>
      </w:pPr>
      <w:r>
        <w:rPr>
          <w:rFonts w:ascii="Arial" w:hAnsi="Arial" w:eastAsia="Arial"/>
          <w:b w:val="0"/>
          <w:i/>
          <w:color w:val="000000"/>
          <w:sz w:val="20"/>
        </w:rPr>
        <w:t>High Risk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Exposures in this category exhibit signs of elevated credit risk. Borrowers in this category may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show weak or deteriorating financial indicators, irregular or delayed payment history, or limited capacity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absorb external shocks. While these loans remain on accrual status, the likelihood of non-timely debt </w:t>
      </w:r>
      <w:r>
        <w:rPr>
          <w:rFonts w:ascii="ArialMT" w:hAnsi="ArialMT" w:eastAsia="ArialMT"/>
          <w:b w:val="0"/>
          <w:i w:val="0"/>
          <w:color w:val="000000"/>
          <w:sz w:val="20"/>
        </w:rPr>
        <w:t>service is considered heightened.</w:t>
      </w:r>
    </w:p>
    <w:p>
      <w:pPr>
        <w:autoSpaceDN w:val="0"/>
        <w:autoSpaceDE w:val="0"/>
        <w:widowControl/>
        <w:spacing w:line="240" w:lineRule="exact" w:before="18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borrower country risk ratings are key determinants in the provision for loan losses. Country risk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ratings of borrowers in accrual status are grouped in pools with similar credit ratings for the purpose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calculation of the expected credit losses. Exposure for certain countries in accrual status may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individually assessed on the basis that they do not share common risk characteristics with an existing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pool of exposures. All exposures for countries in nonaccrual status are individually assessed. Country risk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ratings are determined in review meetings that take place several times a year. All countries are reviewed </w:t>
      </w:r>
      <w:r>
        <w:rPr>
          <w:rFonts w:ascii="ArialMT" w:hAnsi="ArialMT" w:eastAsia="ArialMT"/>
          <w:b w:val="0"/>
          <w:i w:val="0"/>
          <w:color w:val="000000"/>
          <w:sz w:val="20"/>
        </w:rPr>
        <w:t>at least once a year, or more frequently if circumstances warrant, to determine the appropriate ratings.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assessment was also performed to determine whether a qualitative adjustment was needed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loan loss provision as of June 30, 2025, including consideration of global and macroeconomic events.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97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702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concluded that a qualitative adjustment beyond the regular application of IDA’s loan loss </w:t>
      </w:r>
      <w:r>
        <w:rPr>
          <w:rFonts w:ascii="ArialMT" w:hAnsi="ArialMT" w:eastAsia="ArialMT"/>
          <w:b w:val="0"/>
          <w:i w:val="0"/>
          <w:color w:val="000000"/>
          <w:sz w:val="20"/>
        </w:rPr>
        <w:t>provision framework was not warranted.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Overdue Amounts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there were no principal and charges under sovereign loans in accrual status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were overdue by more than three months.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considers loans to be past due when a borrower fails to make payment on any principal, interest or </w:t>
      </w:r>
      <w:r>
        <w:rPr>
          <w:rFonts w:ascii="ArialMT" w:hAnsi="ArialMT" w:eastAsia="ArialMT"/>
          <w:b w:val="0"/>
          <w:i w:val="0"/>
          <w:color w:val="000000"/>
          <w:sz w:val="20"/>
        </w:rPr>
        <w:t>other charges due to IDA on the dates provided in the contractual loan agreement.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following tables provide an aging analysis and amounts past due of loans outstanding: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D3: Loans outstanding-Aging structure</w:t>
      </w:r>
    </w:p>
    <w:p>
      <w:pPr>
        <w:autoSpaceDN w:val="0"/>
        <w:autoSpaceDE w:val="0"/>
        <w:widowControl/>
        <w:spacing w:line="178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325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12"/>
        </w:trPr>
        <w:tc>
          <w:tcPr>
            <w:tcW w:type="dxa" w:w="20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Days past due</w:t>
            </w:r>
          </w:p>
        </w:tc>
        <w:tc>
          <w:tcPr>
            <w:tcW w:type="dxa" w:w="87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Up to 45</w:t>
            </w:r>
          </w:p>
        </w:tc>
        <w:tc>
          <w:tcPr>
            <w:tcW w:type="dxa" w:w="91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46-60</w:t>
            </w:r>
          </w:p>
        </w:tc>
        <w:tc>
          <w:tcPr>
            <w:tcW w:type="dxa" w:w="91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61-90</w:t>
            </w:r>
          </w:p>
        </w:tc>
        <w:tc>
          <w:tcPr>
            <w:tcW w:type="dxa" w:w="91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91-180</w:t>
            </w:r>
          </w:p>
        </w:tc>
        <w:tc>
          <w:tcPr>
            <w:tcW w:type="dxa" w:w="91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Over 180</w:t>
            </w:r>
          </w:p>
        </w:tc>
        <w:tc>
          <w:tcPr>
            <w:tcW w:type="dxa" w:w="9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Past </w:t>
            </w:r>
          </w:p>
        </w:tc>
        <w:tc>
          <w:tcPr>
            <w:tcW w:type="dxa" w:w="91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Current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b</w:t>
            </w:r>
          </w:p>
        </w:tc>
        <w:tc>
          <w:tcPr>
            <w:tcW w:type="dxa" w:w="97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24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Due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0" w:lineRule="exact" w:before="2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rHeight w:hRule="exact" w:val="236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3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14,367 </w:t>
            </w:r>
          </w:p>
        </w:tc>
        <w:tc>
          <w:tcPr>
            <w:tcW w:type="dxa" w:w="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14,367 </w:t>
            </w:r>
          </w:p>
        </w:tc>
      </w:tr>
      <w:tr>
        <w:trPr>
          <w:trHeight w:hRule="exact" w:val="262"/>
        </w:trPr>
        <w:tc>
          <w:tcPr>
            <w:tcW w:type="dxa" w:w="2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High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4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4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5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  <w:tc>
          <w:tcPr>
            <w:tcW w:type="dxa" w:w="91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212,615 </w:t>
            </w:r>
          </w:p>
        </w:tc>
        <w:tc>
          <w:tcPr>
            <w:tcW w:type="dxa" w:w="9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212,638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</w:tr>
      <w:tr>
        <w:trPr>
          <w:trHeight w:hRule="exact" w:val="238"/>
        </w:trPr>
        <w:tc>
          <w:tcPr>
            <w:tcW w:type="dxa" w:w="20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3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</w:t>
            </w:r>
          </w:p>
        </w:tc>
        <w:tc>
          <w:tcPr>
            <w:tcW w:type="dxa" w:w="41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3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39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  <w:tc>
          <w:tcPr>
            <w:tcW w:type="dxa" w:w="91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226,982 </w:t>
            </w:r>
          </w:p>
        </w:tc>
        <w:tc>
          <w:tcPr>
            <w:tcW w:type="dxa" w:w="98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227,005 </w:t>
            </w:r>
          </w:p>
        </w:tc>
      </w:tr>
      <w:tr>
        <w:trPr>
          <w:trHeight w:hRule="exact" w:val="242"/>
        </w:trPr>
        <w:tc>
          <w:tcPr>
            <w:tcW w:type="dxa" w:w="2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5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5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5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5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5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524 </w:t>
            </w:r>
          </w:p>
        </w:tc>
        <w:tc>
          <w:tcPr>
            <w:tcW w:type="dxa" w:w="5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543 </w:t>
            </w:r>
          </w:p>
        </w:tc>
        <w:tc>
          <w:tcPr>
            <w:tcW w:type="dxa" w:w="91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339 </w:t>
            </w:r>
          </w:p>
        </w:tc>
        <w:tc>
          <w:tcPr>
            <w:tcW w:type="dxa" w:w="9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882 </w:t>
            </w:r>
          </w:p>
        </w:tc>
      </w:tr>
      <w:tr>
        <w:trPr>
          <w:trHeight w:hRule="exact" w:val="220"/>
        </w:trPr>
        <w:tc>
          <w:tcPr>
            <w:tcW w:type="dxa" w:w="2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524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566 </w:t>
            </w:r>
          </w:p>
        </w:tc>
        <w:tc>
          <w:tcPr>
            <w:tcW w:type="dxa" w:w="916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$ 227,321 </w:t>
            </w:r>
          </w:p>
        </w:tc>
        <w:tc>
          <w:tcPr>
            <w:tcW w:type="dxa" w:w="984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$ 227,887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</w:tr>
      <w:tr>
        <w:trPr>
          <w:trHeight w:hRule="exact" w:val="260"/>
        </w:trPr>
        <w:tc>
          <w:tcPr>
            <w:tcW w:type="dxa" w:w="2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12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4" w:lineRule="exact" w:before="318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D3.1: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18"/>
        <w:ind w:left="0" w:right="325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08"/>
        </w:trPr>
        <w:tc>
          <w:tcPr>
            <w:tcW w:type="dxa" w:w="20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Days past due</w:t>
            </w:r>
          </w:p>
        </w:tc>
        <w:tc>
          <w:tcPr>
            <w:tcW w:type="dxa" w:w="87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Up to 45</w:t>
            </w:r>
          </w:p>
        </w:tc>
        <w:tc>
          <w:tcPr>
            <w:tcW w:type="dxa" w:w="91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46-60</w:t>
            </w:r>
          </w:p>
        </w:tc>
        <w:tc>
          <w:tcPr>
            <w:tcW w:type="dxa" w:w="91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61-90</w:t>
            </w:r>
          </w:p>
        </w:tc>
        <w:tc>
          <w:tcPr>
            <w:tcW w:type="dxa" w:w="91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91-180</w:t>
            </w:r>
          </w:p>
        </w:tc>
        <w:tc>
          <w:tcPr>
            <w:tcW w:type="dxa" w:w="91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Over 180</w:t>
            </w:r>
          </w:p>
        </w:tc>
        <w:tc>
          <w:tcPr>
            <w:tcW w:type="dxa" w:w="9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Past </w:t>
            </w:r>
          </w:p>
        </w:tc>
        <w:tc>
          <w:tcPr>
            <w:tcW w:type="dxa" w:w="91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Current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b</w:t>
            </w:r>
          </w:p>
        </w:tc>
        <w:tc>
          <w:tcPr>
            <w:tcW w:type="dxa" w:w="97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28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Due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78" w:lineRule="exact" w:before="2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rHeight w:hRule="exact" w:val="232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3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16,266 </w:t>
            </w:r>
          </w:p>
        </w:tc>
        <w:tc>
          <w:tcPr>
            <w:tcW w:type="dxa" w:w="9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16,266 </w:t>
            </w:r>
          </w:p>
        </w:tc>
      </w:tr>
      <w:tr>
        <w:trPr>
          <w:trHeight w:hRule="exact" w:val="268"/>
        </w:trPr>
        <w:tc>
          <w:tcPr>
            <w:tcW w:type="dxa" w:w="2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High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4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4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5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556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</w:t>
            </w:r>
          </w:p>
        </w:tc>
        <w:tc>
          <w:tcPr>
            <w:tcW w:type="dxa" w:w="190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185,404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185,423 </w:t>
            </w:r>
          </w:p>
        </w:tc>
      </w:tr>
      <w:tr>
        <w:trPr>
          <w:trHeight w:hRule="exact" w:val="232"/>
        </w:trPr>
        <w:tc>
          <w:tcPr>
            <w:tcW w:type="dxa" w:w="20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3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41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4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4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39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</w:t>
            </w:r>
          </w:p>
        </w:tc>
        <w:tc>
          <w:tcPr>
            <w:tcW w:type="dxa" w:w="93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201,670 </w:t>
            </w:r>
          </w:p>
        </w:tc>
        <w:tc>
          <w:tcPr>
            <w:tcW w:type="dxa" w:w="96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201,689 </w:t>
            </w:r>
          </w:p>
        </w:tc>
      </w:tr>
      <w:tr>
        <w:trPr>
          <w:trHeight w:hRule="exact" w:val="248"/>
        </w:trPr>
        <w:tc>
          <w:tcPr>
            <w:tcW w:type="dxa" w:w="2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5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5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5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5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5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478 </w:t>
            </w:r>
          </w:p>
        </w:tc>
        <w:tc>
          <w:tcPr>
            <w:tcW w:type="dxa" w:w="5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497 </w:t>
            </w:r>
          </w:p>
        </w:tc>
        <w:tc>
          <w:tcPr>
            <w:tcW w:type="dxa" w:w="938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362 </w:t>
            </w:r>
          </w:p>
        </w:tc>
        <w:tc>
          <w:tcPr>
            <w:tcW w:type="dxa" w:w="96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859 </w:t>
            </w:r>
          </w:p>
        </w:tc>
      </w:tr>
      <w:tr>
        <w:trPr>
          <w:trHeight w:hRule="exact" w:val="220"/>
        </w:trPr>
        <w:tc>
          <w:tcPr>
            <w:tcW w:type="dxa" w:w="2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*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478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516 </w:t>
            </w:r>
          </w:p>
        </w:tc>
        <w:tc>
          <w:tcPr>
            <w:tcW w:type="dxa" w:w="938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$ 202,032 </w:t>
            </w:r>
          </w:p>
        </w:tc>
        <w:tc>
          <w:tcPr>
            <w:tcW w:type="dxa" w:w="962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$ 202,548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</w:tr>
      <w:tr>
        <w:trPr>
          <w:trHeight w:hRule="exact" w:val="260"/>
        </w:trPr>
        <w:tc>
          <w:tcPr>
            <w:tcW w:type="dxa" w:w="2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12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78" w:lineRule="exact" w:before="3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PSW loans of $282 million ($236 million - June 30, 2024).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Represents the principal amounts not yet contractually due.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2" w:after="0"/>
        <w:ind w:left="62" w:right="288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The total amounts of sovereign loans at amortized cost which contain principal past due amounts was $1,741 million ($1,717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million-June 30, 2024).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 Indicates amount less than $0.5 million.</w:t>
      </w:r>
    </w:p>
    <w:p>
      <w:pPr>
        <w:autoSpaceDN w:val="0"/>
        <w:tabs>
          <w:tab w:pos="9036" w:val="left"/>
        </w:tabs>
        <w:autoSpaceDE w:val="0"/>
        <w:widowControl/>
        <w:spacing w:line="224" w:lineRule="exact" w:before="3222" w:after="0"/>
        <w:ind w:left="47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rPr>
          <w:rFonts w:ascii="ArialMT" w:hAnsi="ArialMT" w:eastAsia="ArialMT"/>
          <w:b w:val="0"/>
          <w:i w:val="0"/>
          <w:color w:val="000000"/>
          <w:sz w:val="20"/>
        </w:rPr>
        <w:t>107</w:t>
      </w:r>
    </w:p>
    <w:p>
      <w:pPr>
        <w:sectPr>
          <w:pgSz w:w="12240" w:h="15840"/>
          <w:pgMar w:top="702" w:right="1366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D4: Loans in nonaccrual status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hRule="exact" w:val="257"/>
        </w:trPr>
        <w:tc>
          <w:tcPr>
            <w:tcW w:type="dxa" w:w="1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gridSpan w:val="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0" w:after="0"/>
              <w:ind w:left="19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Recorded </w:t>
            </w:r>
          </w:p>
        </w:tc>
        <w:tc>
          <w:tcPr>
            <w:tcW w:type="dxa" w:w="106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2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Average </w:t>
            </w:r>
          </w:p>
        </w:tc>
        <w:tc>
          <w:tcPr>
            <w:tcW w:type="dxa" w:w="109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10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Accumulated </w:t>
            </w:r>
          </w:p>
        </w:tc>
        <w:tc>
          <w:tcPr>
            <w:tcW w:type="dxa" w:w="119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Accumulated 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Overdue amounts</w:t>
            </w:r>
          </w:p>
        </w:tc>
      </w:tr>
      <w:tr>
        <w:trPr>
          <w:trHeight w:hRule="exact" w:val="182"/>
        </w:trPr>
        <w:tc>
          <w:tcPr>
            <w:tcW w:type="dxa" w:w="15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Borrower</w:t>
            </w:r>
          </w:p>
        </w:tc>
        <w:tc>
          <w:tcPr>
            <w:tcW w:type="dxa" w:w="12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Nonaccrual </w:t>
            </w:r>
          </w:p>
        </w:tc>
        <w:tc>
          <w:tcPr>
            <w:tcW w:type="dxa" w:w="1350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10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2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recorded </w:t>
            </w:r>
          </w:p>
        </w:tc>
        <w:tc>
          <w:tcPr>
            <w:tcW w:type="dxa" w:w="10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provision for </w:t>
            </w:r>
          </w:p>
        </w:tc>
        <w:tc>
          <w:tcPr>
            <w:tcW w:type="dxa" w:w="11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provision for </w:t>
            </w:r>
          </w:p>
        </w:tc>
        <w:tc>
          <w:tcPr>
            <w:tcW w:type="dxa" w:w="2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Principal</w:t>
            </w:r>
          </w:p>
        </w:tc>
        <w:tc>
          <w:tcPr>
            <w:tcW w:type="dxa" w:w="1044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Interest and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Charges</w:t>
            </w:r>
          </w:p>
        </w:tc>
      </w:tr>
      <w:tr>
        <w:trPr>
          <w:trHeight w:hRule="exact" w:val="234"/>
        </w:trPr>
        <w:tc>
          <w:tcPr>
            <w:tcW w:type="dxa" w:w="67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since</w:t>
            </w:r>
          </w:p>
        </w:tc>
        <w:tc>
          <w:tcPr>
            <w:tcW w:type="dxa" w:w="103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investment </w:t>
            </w:r>
          </w:p>
        </w:tc>
        <w:tc>
          <w:tcPr>
            <w:tcW w:type="dxa" w:w="10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investment</w:t>
            </w:r>
          </w:p>
        </w:tc>
        <w:tc>
          <w:tcPr>
            <w:tcW w:type="dxa" w:w="109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debt relief</w:t>
            </w:r>
          </w:p>
        </w:tc>
        <w:tc>
          <w:tcPr>
            <w:tcW w:type="dxa" w:w="119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losses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67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7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50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26"/>
        </w:trPr>
        <w:tc>
          <w:tcPr>
            <w:tcW w:type="dxa" w:w="1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Eritrea</w:t>
            </w:r>
          </w:p>
        </w:tc>
        <w:tc>
          <w:tcPr>
            <w:tcW w:type="dxa" w:w="12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March 2012</w:t>
            </w:r>
          </w:p>
        </w:tc>
        <w:tc>
          <w:tcPr>
            <w:tcW w:type="dxa" w:w="103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429 </w:t>
            </w:r>
          </w:p>
        </w:tc>
        <w:tc>
          <w:tcPr>
            <w:tcW w:type="dxa" w:w="106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417 </w:t>
            </w:r>
          </w:p>
        </w:tc>
        <w:tc>
          <w:tcPr>
            <w:tcW w:type="dxa" w:w="109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 </w:t>
            </w:r>
          </w:p>
        </w:tc>
        <w:tc>
          <w:tcPr>
            <w:tcW w:type="dxa" w:w="119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  <w:tc>
          <w:tcPr>
            <w:tcW w:type="dxa" w:w="2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167 </w:t>
            </w:r>
          </w:p>
        </w:tc>
        <w:tc>
          <w:tcPr>
            <w:tcW w:type="dxa" w:w="104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 </w:t>
            </w:r>
          </w:p>
        </w:tc>
      </w:tr>
      <w:tr>
        <w:trPr>
          <w:trHeight w:hRule="exact" w:val="254"/>
        </w:trPr>
        <w:tc>
          <w:tcPr>
            <w:tcW w:type="dxa" w:w="1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Zimbabwe</w:t>
            </w:r>
          </w:p>
        </w:tc>
        <w:tc>
          <w:tcPr>
            <w:tcW w:type="dxa" w:w="12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October 2000</w:t>
            </w:r>
          </w:p>
        </w:tc>
        <w:tc>
          <w:tcPr>
            <w:tcW w:type="dxa" w:w="103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453 </w:t>
            </w:r>
          </w:p>
        </w:tc>
        <w:tc>
          <w:tcPr>
            <w:tcW w:type="dxa" w:w="10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440 </w:t>
            </w:r>
          </w:p>
        </w:tc>
        <w:tc>
          <w:tcPr>
            <w:tcW w:type="dxa" w:w="109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9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227 </w:t>
            </w:r>
          </w:p>
        </w:tc>
        <w:tc>
          <w:tcPr>
            <w:tcW w:type="dxa" w:w="67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376 </w:t>
            </w:r>
          </w:p>
        </w:tc>
        <w:tc>
          <w:tcPr>
            <w:tcW w:type="dxa" w:w="104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 </w:t>
            </w:r>
          </w:p>
        </w:tc>
      </w:tr>
      <w:tr>
        <w:trPr>
          <w:trHeight w:hRule="exact" w:val="220"/>
        </w:trPr>
        <w:tc>
          <w:tcPr>
            <w:tcW w:type="dxa" w:w="1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- June 30, 2025</w:t>
            </w:r>
          </w:p>
        </w:tc>
        <w:tc>
          <w:tcPr>
            <w:tcW w:type="dxa" w:w="12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882 </w:t>
            </w:r>
          </w:p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857 </w:t>
            </w:r>
          </w:p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 </w:t>
            </w:r>
          </w:p>
        </w:tc>
        <w:tc>
          <w:tcPr>
            <w:tcW w:type="dxa" w:w="5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242 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543 </w:t>
            </w:r>
          </w:p>
        </w:tc>
        <w:tc>
          <w:tcPr>
            <w:tcW w:type="dxa" w:w="45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122 </w:t>
            </w:r>
          </w:p>
        </w:tc>
      </w:tr>
      <w:tr>
        <w:trPr>
          <w:trHeight w:hRule="exact" w:val="240"/>
        </w:trPr>
        <w:tc>
          <w:tcPr>
            <w:tcW w:type="dxa" w:w="1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- June 30, 2024</w:t>
            </w:r>
          </w:p>
        </w:tc>
        <w:tc>
          <w:tcPr>
            <w:tcW w:type="dxa" w:w="12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859 </w:t>
            </w:r>
          </w:p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866 </w:t>
            </w:r>
          </w:p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270 </w:t>
            </w:r>
          </w:p>
        </w:tc>
        <w:tc>
          <w:tcPr>
            <w:tcW w:type="dxa" w:w="5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233 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497 </w:t>
            </w:r>
          </w:p>
        </w:tc>
        <w:tc>
          <w:tcPr>
            <w:tcW w:type="dxa" w:w="45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 </w:t>
            </w:r>
          </w:p>
        </w:tc>
      </w:tr>
    </w:tbl>
    <w:p>
      <w:pPr>
        <w:autoSpaceDN w:val="0"/>
        <w:autoSpaceDE w:val="0"/>
        <w:widowControl/>
        <w:spacing w:line="178" w:lineRule="exact" w:before="32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Loan loss provisions are determined after taking into account accumulated provision for debt relief.</w:t>
      </w:r>
    </w:p>
    <w:p>
      <w:pPr>
        <w:autoSpaceDN w:val="0"/>
        <w:autoSpaceDE w:val="0"/>
        <w:widowControl/>
        <w:spacing w:line="240" w:lineRule="exact" w:before="198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fiscal year ended June 30, 2025, no sovereign loans were placed in nonaccrual status.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May 12, 2025, the Syrian Arab Republic, with the assistance of two countries, cleared all of its overdue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principal and charges due to IDA of $14 million and $1 million respectively, and was subsequently </w:t>
      </w:r>
      <w:r>
        <w:rPr>
          <w:rFonts w:ascii="ArialMT" w:hAnsi="ArialMT" w:eastAsia="ArialMT"/>
          <w:b w:val="0"/>
          <w:i w:val="0"/>
          <w:color w:val="000000"/>
          <w:sz w:val="20"/>
        </w:rPr>
        <w:t>removed from nonaccrual status.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Service charge revenue not recognized as a result of loans being in nonaccrual status was $6 million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>each of the fiscal years ended June 30, 2025, June 30, 2024, and June 30, 2023.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Service charge revenue recognized on loans in nonaccrual status upon receipt of payment was less than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$1 million for each of the fiscal years ended June 30, 2025 and June 30, 2024 ($1 million – fiscal year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ended June 30, 2023).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considers the signature date of a loan as the best indicator of the decision point in the origination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process, rather than the disbursement date. The table below discloses the balances of IDA’s loans </w:t>
      </w:r>
      <w:r>
        <w:rPr>
          <w:rFonts w:ascii="ArialMT" w:hAnsi="ArialMT" w:eastAsia="ArialMT"/>
          <w:b w:val="0"/>
          <w:i w:val="0"/>
          <w:color w:val="000000"/>
          <w:sz w:val="20"/>
        </w:rPr>
        <w:t>outstanding, classified by the year the loan agreement was signed.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D5: Loans outstanding-vintage disclosure</w:t>
      </w:r>
    </w:p>
    <w:p>
      <w:pPr>
        <w:autoSpaceDN w:val="0"/>
        <w:autoSpaceDE w:val="0"/>
        <w:widowControl/>
        <w:spacing w:line="178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321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</w:tblGrid>
      <w:tr>
        <w:trPr>
          <w:trHeight w:hRule="exact" w:val="200"/>
        </w:trPr>
        <w:tc>
          <w:tcPr>
            <w:tcW w:type="dxa" w:w="7414"/>
            <w:gridSpan w:val="18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91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3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103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3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</w:tr>
      <w:tr>
        <w:trPr>
          <w:trHeight w:hRule="exact" w:val="200"/>
        </w:trPr>
        <w:tc>
          <w:tcPr>
            <w:tcW w:type="dxa" w:w="6550"/>
            <w:gridSpan w:val="1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2" w:after="0"/>
              <w:ind w:left="0" w:right="13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Fiscal Year of origination</w:t>
            </w:r>
          </w:p>
        </w:tc>
        <w:tc>
          <w:tcPr>
            <w:tcW w:type="dxa" w:w="86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disbursed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7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10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Outstanding </w:t>
            </w:r>
          </w:p>
        </w:tc>
      </w:tr>
      <w:tr>
        <w:trPr>
          <w:trHeight w:hRule="exact" w:val="180"/>
        </w:trPr>
        <w:tc>
          <w:tcPr>
            <w:tcW w:type="dxa" w:w="6435"/>
            <w:gridSpan w:val="15"/>
            <w:vMerge/>
            <w:tcBorders/>
          </w:tcPr>
          <w:p/>
        </w:tc>
        <w:tc>
          <w:tcPr>
            <w:tcW w:type="dxa" w:w="1287"/>
            <w:gridSpan w:val="3"/>
            <w:vMerge/>
            <w:tcBorders/>
          </w:tcPr>
          <w:p/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Converted </w:t>
            </w:r>
          </w:p>
        </w:tc>
        <w:tc>
          <w:tcPr>
            <w:tcW w:type="dxa" w:w="10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as of </w:t>
            </w:r>
          </w:p>
        </w:tc>
      </w:tr>
      <w:tr>
        <w:trPr>
          <w:trHeight w:hRule="exact" w:val="200"/>
        </w:trPr>
        <w:tc>
          <w:tcPr>
            <w:tcW w:type="dxa" w:w="655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Prior </w:t>
            </w:r>
          </w:p>
        </w:tc>
        <w:tc>
          <w:tcPr>
            <w:tcW w:type="dxa" w:w="8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and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 Term </w:t>
            </w:r>
          </w:p>
        </w:tc>
        <w:tc>
          <w:tcPr>
            <w:tcW w:type="dxa" w:w="10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June 30, </w:t>
            </w:r>
          </w:p>
        </w:tc>
      </w:tr>
      <w:tr>
        <w:trPr>
          <w:trHeight w:hRule="exact" w:val="226"/>
        </w:trPr>
        <w:tc>
          <w:tcPr>
            <w:tcW w:type="dxa" w:w="20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Risk Class</w:t>
            </w:r>
          </w:p>
        </w:tc>
        <w:tc>
          <w:tcPr>
            <w:tcW w:type="dxa" w:w="7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7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7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2021</w:t>
            </w:r>
          </w:p>
        </w:tc>
        <w:tc>
          <w:tcPr>
            <w:tcW w:type="dxa" w:w="78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Years</w:t>
            </w:r>
          </w:p>
        </w:tc>
        <w:tc>
          <w:tcPr>
            <w:tcW w:type="dxa" w:w="86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revolving</w:t>
            </w:r>
          </w:p>
        </w:tc>
        <w:tc>
          <w:tcPr>
            <w:tcW w:type="dxa" w:w="91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Loans</w:t>
            </w:r>
          </w:p>
        </w:tc>
        <w:tc>
          <w:tcPr>
            <w:tcW w:type="dxa" w:w="103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</w:tr>
      <w:tr>
        <w:trPr>
          <w:trHeight w:hRule="exact" w:val="474"/>
        </w:trPr>
        <w:tc>
          <w:tcPr>
            <w:tcW w:type="dxa" w:w="205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36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9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9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0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9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2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2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2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397 </w:t>
            </w:r>
          </w:p>
        </w:tc>
        <w:tc>
          <w:tcPr>
            <w:tcW w:type="dxa" w:w="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13,690 </w:t>
            </w:r>
          </w:p>
        </w:tc>
        <w:tc>
          <w:tcPr>
            <w:tcW w:type="dxa" w:w="8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14,367 </w:t>
            </w:r>
          </w:p>
        </w:tc>
      </w:tr>
      <w:tr>
        <w:trPr>
          <w:trHeight w:hRule="exact" w:val="246"/>
        </w:trPr>
        <w:tc>
          <w:tcPr>
            <w:tcW w:type="dxa" w:w="20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7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10,691 </w:t>
            </w:r>
          </w:p>
        </w:tc>
        <w:tc>
          <w:tcPr>
            <w:tcW w:type="dxa" w:w="7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8,477 </w:t>
            </w:r>
          </w:p>
        </w:tc>
        <w:tc>
          <w:tcPr>
            <w:tcW w:type="dxa" w:w="7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14,037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12,533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16,223 </w:t>
            </w:r>
          </w:p>
        </w:tc>
        <w:tc>
          <w:tcPr>
            <w:tcW w:type="dxa" w:w="78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150,000 </w:t>
            </w:r>
          </w:p>
        </w:tc>
        <w:tc>
          <w:tcPr>
            <w:tcW w:type="dxa" w:w="86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184 </w:t>
            </w:r>
          </w:p>
        </w:tc>
        <w:tc>
          <w:tcPr>
            <w:tcW w:type="dxa" w:w="91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493 </w:t>
            </w:r>
          </w:p>
        </w:tc>
        <w:tc>
          <w:tcPr>
            <w:tcW w:type="dxa" w:w="103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212,638 </w:t>
            </w:r>
          </w:p>
        </w:tc>
      </w:tr>
      <w:tr>
        <w:trPr>
          <w:trHeight w:hRule="exact" w:val="234"/>
        </w:trPr>
        <w:tc>
          <w:tcPr>
            <w:tcW w:type="dxa" w:w="205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7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10,722 </w:t>
            </w:r>
          </w:p>
        </w:tc>
        <w:tc>
          <w:tcPr>
            <w:tcW w:type="dxa" w:w="7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8,531 </w:t>
            </w:r>
          </w:p>
        </w:tc>
        <w:tc>
          <w:tcPr>
            <w:tcW w:type="dxa" w:w="7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14,120 </w:t>
            </w:r>
          </w:p>
        </w:tc>
        <w:tc>
          <w:tcPr>
            <w:tcW w:type="dxa" w:w="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12,645 </w:t>
            </w:r>
          </w:p>
        </w:tc>
        <w:tc>
          <w:tcPr>
            <w:tcW w:type="dxa" w:w="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16,620 </w:t>
            </w:r>
          </w:p>
        </w:tc>
        <w:tc>
          <w:tcPr>
            <w:tcW w:type="dxa" w:w="78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163,690 </w:t>
            </w:r>
          </w:p>
        </w:tc>
        <w:tc>
          <w:tcPr>
            <w:tcW w:type="dxa" w:w="864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184 </w:t>
            </w:r>
          </w:p>
        </w:tc>
        <w:tc>
          <w:tcPr>
            <w:tcW w:type="dxa" w:w="91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493 </w:t>
            </w:r>
          </w:p>
        </w:tc>
        <w:tc>
          <w:tcPr>
            <w:tcW w:type="dxa" w:w="103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227,005 </w:t>
            </w:r>
          </w:p>
        </w:tc>
      </w:tr>
      <w:tr>
        <w:trPr>
          <w:trHeight w:hRule="exact" w:val="246"/>
        </w:trPr>
        <w:tc>
          <w:tcPr>
            <w:tcW w:type="dxa" w:w="20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7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1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882 </w:t>
            </w:r>
          </w:p>
        </w:tc>
        <w:tc>
          <w:tcPr>
            <w:tcW w:type="dxa" w:w="86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1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3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882 </w:t>
            </w:r>
          </w:p>
        </w:tc>
      </w:tr>
      <w:tr>
        <w:trPr>
          <w:trHeight w:hRule="exact" w:val="220"/>
        </w:trPr>
        <w:tc>
          <w:tcPr>
            <w:tcW w:type="dxa" w:w="205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1480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$ 10,722 $ 8,531 </w:t>
            </w:r>
          </w:p>
        </w:tc>
        <w:tc>
          <w:tcPr>
            <w:tcW w:type="dxa" w:w="7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$ 14,120 </w:t>
            </w:r>
          </w:p>
        </w:tc>
        <w:tc>
          <w:tcPr>
            <w:tcW w:type="dxa" w:w="2628"/>
            <w:gridSpan w:val="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$ 12,645 $ 16,620 $ 164,572 $ </w:t>
            </w:r>
          </w:p>
        </w:tc>
        <w:tc>
          <w:tcPr>
            <w:tcW w:type="dxa" w:w="49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184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493 </w:t>
            </w:r>
          </w:p>
        </w:tc>
        <w:tc>
          <w:tcPr>
            <w:tcW w:type="dxa" w:w="3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227,887 </w:t>
            </w:r>
          </w:p>
        </w:tc>
      </w:tr>
      <w:tr>
        <w:trPr>
          <w:trHeight w:hRule="exact" w:val="514"/>
        </w:trPr>
        <w:tc>
          <w:tcPr>
            <w:tcW w:type="dxa" w:w="7414"/>
            <w:gridSpan w:val="18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Current period gross write-</w:t>
            </w:r>
          </w:p>
        </w:tc>
        <w:tc>
          <w:tcPr>
            <w:tcW w:type="dxa" w:w="916"/>
            <w:gridSpan w:val="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n.a</w:t>
            </w:r>
          </w:p>
        </w:tc>
        <w:tc>
          <w:tcPr>
            <w:tcW w:type="dxa" w:w="3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</w:tr>
      <w:tr>
        <w:trPr>
          <w:trHeight w:hRule="exact" w:val="510"/>
        </w:trPr>
        <w:tc>
          <w:tcPr>
            <w:tcW w:type="dxa" w:w="20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offs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 a</w:t>
            </w:r>
          </w:p>
        </w:tc>
        <w:tc>
          <w:tcPr>
            <w:tcW w:type="dxa" w:w="36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9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9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0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9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8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2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86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n.a</w:t>
            </w:r>
          </w:p>
        </w:tc>
        <w:tc>
          <w:tcPr>
            <w:tcW w:type="dxa" w:w="858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910"/>
        </w:trPr>
        <w:tc>
          <w:tcPr>
            <w:tcW w:type="dxa" w:w="5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96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108 </w:t>
            </w:r>
          </w:p>
        </w:tc>
        <w:tc>
          <w:tcPr>
            <w:tcW w:type="dxa" w:w="6848"/>
            <w:gridSpan w:val="17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96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IDA Financial Statements: June 30, 2025</w:t>
            </w:r>
          </w:p>
        </w:tc>
        <w:tc>
          <w:tcPr>
            <w:tcW w:type="dxa" w:w="858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2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D5.1:</w:t>
      </w:r>
    </w:p>
    <w:p>
      <w:pPr>
        <w:autoSpaceDN w:val="0"/>
        <w:autoSpaceDE w:val="0"/>
        <w:widowControl/>
        <w:spacing w:line="178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320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</w:tblGrid>
      <w:tr>
        <w:trPr>
          <w:trHeight w:hRule="exact" w:val="200"/>
        </w:trPr>
        <w:tc>
          <w:tcPr>
            <w:tcW w:type="dxa" w:w="204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Risk Class</w:t>
            </w:r>
          </w:p>
        </w:tc>
        <w:tc>
          <w:tcPr>
            <w:tcW w:type="dxa" w:w="5234"/>
            <w:gridSpan w:val="17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2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91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3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1186"/>
            <w:gridSpan w:val="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0" w:after="0"/>
              <w:ind w:left="0" w:right="31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</w:tr>
      <w:tr>
        <w:trPr>
          <w:trHeight w:hRule="exact" w:val="200"/>
        </w:trPr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364"/>
            <w:gridSpan w:val="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Fiscal Year of origination</w:t>
            </w:r>
          </w:p>
        </w:tc>
        <w:tc>
          <w:tcPr>
            <w:tcW w:type="dxa" w:w="8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disbursed </w:t>
            </w:r>
          </w:p>
        </w:tc>
        <w:tc>
          <w:tcPr>
            <w:tcW w:type="dxa" w:w="9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7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858"/>
            <w:gridSpan w:val="2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006"/>
            <w:gridSpan w:val="14"/>
            <w:vMerge/>
            <w:tcBorders/>
          </w:tcPr>
          <w:p/>
        </w:tc>
        <w:tc>
          <w:tcPr>
            <w:tcW w:type="dxa" w:w="1287"/>
            <w:gridSpan w:val="3"/>
            <w:vMerge/>
            <w:tcBorders/>
          </w:tcPr>
          <w:p/>
        </w:tc>
        <w:tc>
          <w:tcPr>
            <w:tcW w:type="dxa" w:w="9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Converted </w:t>
            </w:r>
          </w:p>
        </w:tc>
        <w:tc>
          <w:tcPr>
            <w:tcW w:type="dxa" w:w="11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8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Outstanding </w:t>
            </w:r>
          </w:p>
        </w:tc>
      </w:tr>
      <w:tr>
        <w:trPr>
          <w:trHeight w:hRule="exact" w:val="200"/>
        </w:trPr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364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Prior </w:t>
            </w:r>
          </w:p>
        </w:tc>
        <w:tc>
          <w:tcPr>
            <w:tcW w:type="dxa" w:w="8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and </w:t>
            </w:r>
          </w:p>
        </w:tc>
        <w:tc>
          <w:tcPr>
            <w:tcW w:type="dxa" w:w="9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 Term </w:t>
            </w:r>
          </w:p>
        </w:tc>
        <w:tc>
          <w:tcPr>
            <w:tcW w:type="dxa" w:w="11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as of June 30, </w:t>
            </w:r>
          </w:p>
        </w:tc>
      </w:tr>
      <w:tr>
        <w:trPr>
          <w:trHeight w:hRule="exact" w:val="226"/>
        </w:trPr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7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7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  <w:tc>
          <w:tcPr>
            <w:tcW w:type="dxa" w:w="7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2021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2020</w:t>
            </w:r>
          </w:p>
        </w:tc>
        <w:tc>
          <w:tcPr>
            <w:tcW w:type="dxa" w:w="82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Years</w:t>
            </w:r>
          </w:p>
        </w:tc>
        <w:tc>
          <w:tcPr>
            <w:tcW w:type="dxa" w:w="87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revolving</w:t>
            </w:r>
          </w:p>
        </w:tc>
        <w:tc>
          <w:tcPr>
            <w:tcW w:type="dxa" w:w="91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Loans</w:t>
            </w:r>
          </w:p>
        </w:tc>
        <w:tc>
          <w:tcPr>
            <w:tcW w:type="dxa" w:w="118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  <w:tr>
        <w:trPr>
          <w:trHeight w:hRule="exact" w:val="474"/>
        </w:trPr>
        <w:tc>
          <w:tcPr>
            <w:tcW w:type="dxa" w:w="20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3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7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3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8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76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2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393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542 </w:t>
            </w:r>
          </w:p>
        </w:tc>
        <w:tc>
          <w:tcPr>
            <w:tcW w:type="dxa" w:w="8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15,081 </w:t>
            </w:r>
          </w:p>
        </w:tc>
        <w:tc>
          <w:tcPr>
            <w:tcW w:type="dxa" w:w="8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16,266 </w:t>
            </w:r>
          </w:p>
        </w:tc>
      </w:tr>
      <w:tr>
        <w:trPr>
          <w:trHeight w:hRule="exact" w:val="246"/>
        </w:trPr>
        <w:tc>
          <w:tcPr>
            <w:tcW w:type="dxa" w:w="20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6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5,670 </w:t>
            </w:r>
          </w:p>
        </w:tc>
        <w:tc>
          <w:tcPr>
            <w:tcW w:type="dxa" w:w="7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10,661 </w:t>
            </w:r>
          </w:p>
        </w:tc>
        <w:tc>
          <w:tcPr>
            <w:tcW w:type="dxa" w:w="7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9,487 </w:t>
            </w:r>
          </w:p>
        </w:tc>
        <w:tc>
          <w:tcPr>
            <w:tcW w:type="dxa" w:w="7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13,294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10,279 </w:t>
            </w:r>
          </w:p>
        </w:tc>
        <w:tc>
          <w:tcPr>
            <w:tcW w:type="dxa" w:w="82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135,597 </w:t>
            </w:r>
          </w:p>
        </w:tc>
        <w:tc>
          <w:tcPr>
            <w:tcW w:type="dxa" w:w="87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101 </w:t>
            </w:r>
          </w:p>
        </w:tc>
        <w:tc>
          <w:tcPr>
            <w:tcW w:type="dxa" w:w="91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334 </w:t>
            </w:r>
          </w:p>
        </w:tc>
        <w:tc>
          <w:tcPr>
            <w:tcW w:type="dxa" w:w="118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185,423 </w:t>
            </w:r>
          </w:p>
        </w:tc>
      </w:tr>
      <w:tr>
        <w:trPr>
          <w:trHeight w:hRule="exact" w:val="234"/>
        </w:trPr>
        <w:tc>
          <w:tcPr>
            <w:tcW w:type="dxa" w:w="20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68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5,726 </w:t>
            </w:r>
          </w:p>
        </w:tc>
        <w:tc>
          <w:tcPr>
            <w:tcW w:type="dxa" w:w="7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10,744 </w:t>
            </w:r>
          </w:p>
        </w:tc>
        <w:tc>
          <w:tcPr>
            <w:tcW w:type="dxa" w:w="7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9,598 </w:t>
            </w:r>
          </w:p>
        </w:tc>
        <w:tc>
          <w:tcPr>
            <w:tcW w:type="dxa" w:w="7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13,687 </w:t>
            </w:r>
          </w:p>
        </w:tc>
        <w:tc>
          <w:tcPr>
            <w:tcW w:type="dxa" w:w="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10,821 </w:t>
            </w:r>
          </w:p>
        </w:tc>
        <w:tc>
          <w:tcPr>
            <w:tcW w:type="dxa" w:w="820"/>
            <w:gridSpan w:val="4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150,678 </w:t>
            </w:r>
          </w:p>
        </w:tc>
        <w:tc>
          <w:tcPr>
            <w:tcW w:type="dxa" w:w="87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101 </w:t>
            </w:r>
          </w:p>
        </w:tc>
        <w:tc>
          <w:tcPr>
            <w:tcW w:type="dxa" w:w="91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334 </w:t>
            </w:r>
          </w:p>
        </w:tc>
        <w:tc>
          <w:tcPr>
            <w:tcW w:type="dxa" w:w="118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201,689 </w:t>
            </w:r>
          </w:p>
        </w:tc>
      </w:tr>
      <w:tr>
        <w:trPr>
          <w:trHeight w:hRule="exact" w:val="246"/>
        </w:trPr>
        <w:tc>
          <w:tcPr>
            <w:tcW w:type="dxa" w:w="20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6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3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859 </w:t>
            </w:r>
          </w:p>
        </w:tc>
        <w:tc>
          <w:tcPr>
            <w:tcW w:type="dxa" w:w="87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1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8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859 </w:t>
            </w:r>
          </w:p>
        </w:tc>
      </w:tr>
      <w:tr>
        <w:trPr>
          <w:trHeight w:hRule="exact" w:val="220"/>
        </w:trPr>
        <w:tc>
          <w:tcPr>
            <w:tcW w:type="dxa" w:w="20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104"/>
            <w:gridSpan w:val="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$ 5,726 $ 10,744 $ 9,598 </w:t>
            </w:r>
          </w:p>
        </w:tc>
        <w:tc>
          <w:tcPr>
            <w:tcW w:type="dxa" w:w="2626"/>
            <w:gridSpan w:val="9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$ 13,687 $ 10,821 $ 151,537 $ </w:t>
            </w:r>
          </w:p>
        </w:tc>
        <w:tc>
          <w:tcPr>
            <w:tcW w:type="dxa" w:w="50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101 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334 </w:t>
            </w:r>
          </w:p>
        </w:tc>
        <w:tc>
          <w:tcPr>
            <w:tcW w:type="dxa" w:w="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202,548 </w:t>
            </w:r>
          </w:p>
        </w:tc>
      </w:tr>
      <w:tr>
        <w:trPr>
          <w:trHeight w:hRule="exact" w:val="512"/>
        </w:trPr>
        <w:tc>
          <w:tcPr>
            <w:tcW w:type="dxa" w:w="20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Fiscal year 2024 gross </w:t>
            </w:r>
          </w:p>
        </w:tc>
        <w:tc>
          <w:tcPr>
            <w:tcW w:type="dxa" w:w="32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7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3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88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1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8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2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8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104 </w:t>
            </w:r>
          </w:p>
        </w:tc>
        <w:tc>
          <w:tcPr>
            <w:tcW w:type="dxa" w:w="870"/>
            <w:gridSpan w:val="3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n.a</w:t>
            </w:r>
          </w:p>
        </w:tc>
        <w:tc>
          <w:tcPr>
            <w:tcW w:type="dxa" w:w="914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n.a</w:t>
            </w:r>
          </w:p>
        </w:tc>
        <w:tc>
          <w:tcPr>
            <w:tcW w:type="dxa" w:w="3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104 </w:t>
            </w:r>
          </w:p>
        </w:tc>
      </w:tr>
      <w:tr>
        <w:trPr>
          <w:trHeight w:hRule="exact" w:val="512"/>
        </w:trPr>
        <w:tc>
          <w:tcPr>
            <w:tcW w:type="dxa" w:w="20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write-offs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 a</w:t>
            </w:r>
          </w:p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87"/>
            <w:gridSpan w:val="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78" w:lineRule="exact" w:before="2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Relate to HIPC/MDRI.</w:t>
      </w:r>
    </w:p>
    <w:p>
      <w:pPr>
        <w:autoSpaceDN w:val="0"/>
        <w:autoSpaceDE w:val="0"/>
        <w:widowControl/>
        <w:spacing w:line="240" w:lineRule="exact" w:before="198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Catastrophe Deferred Draw-Down Option (CAT-DDO) promotes countries' resilience to disasters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expands the range of IDA's crisis instruments. It is a contingent credit line that provides immediate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liquidity to countries in the aftermath of a catastrophe. The amount of CAT DDOs outstanding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revolving that was converted to term loans during the fiscal year ended June 30, 2025 was $150 million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(Nil —June 30, 2024).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Accumulated Provision for Losses on Loans and Other Exposures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determines the appropriate level of the accumulated provisions for losses, which reflects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expected losses inherent in IDA’s exposures. Management reassesses the adequacy of accumulated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provision on a quarterly basis and adjustments to the accumulated provision are recorded as a charge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 release of provision in the Statements of Income.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accumulated provision for HIPC Debt Initiative and MDRI was recorded at the inception of this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initiative and is based on </w:t>
      </w:r>
      <w:r>
        <w:rPr>
          <w:rFonts w:ascii="ArialMT" w:hAnsi="ArialMT" w:eastAsia="ArialMT"/>
          <w:b w:val="0"/>
          <w:i w:val="0"/>
          <w:strike/>
          <w:color w:val="000000"/>
          <w:sz w:val="20"/>
        </w:rPr>
        <w:t>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quantitative and qualitative analyses of various factors, including estimates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Decision Point and Completion Point dates. These factors are reviewed periodically as part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reassessment of the adequacy of the accumulated provision for loan losses. Accumulated provisions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reduced as qualifying debt service becomes due and is forgiven under the HIPC Debt Initiative.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the country reaches HIPC Completion Point, it becomes eligible for MDRI debt relief which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characterized by the write-off of eligible loans. This write-off occurs at the beginning of the quarterly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 following the date on which the country reaches Completion Point. MDRI provision is reduced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amount of the eligible loans written off.</w:t>
      </w:r>
    </w:p>
    <w:p>
      <w:pPr>
        <w:autoSpaceDN w:val="0"/>
        <w:tabs>
          <w:tab w:pos="9036" w:val="left"/>
        </w:tabs>
        <w:autoSpaceDE w:val="0"/>
        <w:widowControl/>
        <w:spacing w:line="224" w:lineRule="exact" w:before="3490" w:after="0"/>
        <w:ind w:left="47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rPr>
          <w:rFonts w:ascii="ArialMT" w:hAnsi="ArialMT" w:eastAsia="ArialMT"/>
          <w:b w:val="0"/>
          <w:i w:val="0"/>
          <w:color w:val="000000"/>
          <w:sz w:val="20"/>
        </w:rPr>
        <w:t>109</w:t>
      </w:r>
    </w:p>
    <w:p>
      <w:pPr>
        <w:sectPr>
          <w:pgSz w:w="12240" w:h="15840"/>
          <w:pgMar w:top="702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Changes to the accumulated provision for losses on loans and other exposures are summarized below: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D6: Accumulated provisions</w:t>
      </w:r>
    </w:p>
    <w:p>
      <w:pPr>
        <w:autoSpaceDN w:val="0"/>
        <w:autoSpaceDE w:val="0"/>
        <w:widowControl/>
        <w:spacing w:line="178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220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2025</w:t>
      </w:r>
    </w:p>
    <w:p>
      <w:pPr>
        <w:autoSpaceDN w:val="0"/>
        <w:autoSpaceDE w:val="0"/>
        <w:widowControl/>
        <w:spacing w:line="180" w:lineRule="exact" w:before="82" w:after="6"/>
        <w:ind w:left="0" w:right="218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Debt relief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rPr>
          <w:trHeight w:hRule="exact" w:val="182"/>
        </w:trPr>
        <w:tc>
          <w:tcPr>
            <w:tcW w:type="dxa" w:w="5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23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1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32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</w:t>
            </w:r>
          </w:p>
        </w:tc>
        <w:tc>
          <w:tcPr>
            <w:tcW w:type="dxa" w:w="2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23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under </w:t>
            </w:r>
          </w:p>
        </w:tc>
        <w:tc>
          <w:tcPr>
            <w:tcW w:type="dxa" w:w="794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3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9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26"/>
        </w:trPr>
        <w:tc>
          <w:tcPr>
            <w:tcW w:type="dxa" w:w="500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8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  <w:tc>
          <w:tcPr>
            <w:tcW w:type="dxa" w:w="112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commitments</w:t>
            </w:r>
          </w:p>
        </w:tc>
        <w:tc>
          <w:tcPr>
            <w:tcW w:type="dxa" w:w="856"/>
            <w:vMerge/>
            <w:tcBorders>
              <w:bottom w:sz="8.0" w:val="single" w:color="#000000"/>
            </w:tcBorders>
          </w:tcPr>
          <w:p/>
        </w:tc>
        <w:tc>
          <w:tcPr>
            <w:tcW w:type="dxa" w:w="10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HIPC/MDRI</w:t>
            </w:r>
          </w:p>
        </w:tc>
        <w:tc>
          <w:tcPr>
            <w:tcW w:type="dxa" w:w="1712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856"/>
            <w:vMerge/>
            <w:tcBorders>
              <w:bottom w:sz="8.0" w:val="single" w:color="#000000"/>
            </w:tcBorders>
          </w:tcPr>
          <w:p/>
        </w:tc>
        <w:tc>
          <w:tcPr>
            <w:tcW w:type="dxa" w:w="856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34"/>
        </w:trPr>
        <w:tc>
          <w:tcPr>
            <w:tcW w:type="dxa" w:w="43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Accumulated provision, beginning of the fiscal year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3,534 </w:t>
            </w:r>
          </w:p>
        </w:tc>
        <w:tc>
          <w:tcPr>
            <w:tcW w:type="dxa" w:w="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1,316 </w:t>
            </w:r>
          </w:p>
        </w:tc>
        <w:tc>
          <w:tcPr>
            <w:tcW w:type="dxa" w:w="2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531 </w:t>
            </w:r>
          </w:p>
        </w:tc>
        <w:tc>
          <w:tcPr>
            <w:tcW w:type="dxa" w:w="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240 </w:t>
            </w:r>
          </w:p>
        </w:tc>
        <w:tc>
          <w:tcPr>
            <w:tcW w:type="dxa" w:w="31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5,621 </w:t>
            </w:r>
          </w:p>
        </w:tc>
      </w:tr>
      <w:tr>
        <w:trPr>
          <w:trHeight w:hRule="exact" w:val="240"/>
        </w:trPr>
        <w:tc>
          <w:tcPr>
            <w:tcW w:type="dxa" w:w="4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Provision, net - charge (release)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431 </w:t>
            </w:r>
          </w:p>
        </w:tc>
        <w:tc>
          <w:tcPr>
            <w:tcW w:type="dxa" w:w="1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8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(57) </w:t>
            </w:r>
          </w:p>
        </w:tc>
        <w:tc>
          <w:tcPr>
            <w:tcW w:type="dxa" w:w="7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(14) </w:t>
            </w:r>
          </w:p>
        </w:tc>
        <w:tc>
          <w:tcPr>
            <w:tcW w:type="dxa" w:w="8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358 </w:t>
            </w:r>
          </w:p>
        </w:tc>
      </w:tr>
      <w:tr>
        <w:trPr>
          <w:trHeight w:hRule="exact" w:val="220"/>
        </w:trPr>
        <w:tc>
          <w:tcPr>
            <w:tcW w:type="dxa" w:w="4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written off under HIPC/MDRI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(12) </w:t>
            </w:r>
          </w:p>
        </w:tc>
        <w:tc>
          <w:tcPr>
            <w:tcW w:type="dxa" w:w="7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(12) </w:t>
            </w:r>
          </w:p>
        </w:tc>
      </w:tr>
      <w:tr>
        <w:trPr>
          <w:trHeight w:hRule="exact" w:val="260"/>
        </w:trPr>
        <w:tc>
          <w:tcPr>
            <w:tcW w:type="dxa" w:w="4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Guarantee claims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(33) </w:t>
            </w:r>
          </w:p>
        </w:tc>
        <w:tc>
          <w:tcPr>
            <w:tcW w:type="dxa" w:w="8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(33) </w:t>
            </w:r>
          </w:p>
        </w:tc>
      </w:tr>
      <w:tr>
        <w:trPr>
          <w:trHeight w:hRule="exact" w:val="246"/>
        </w:trPr>
        <w:tc>
          <w:tcPr>
            <w:tcW w:type="dxa" w:w="43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Translation adjustment</w:t>
            </w:r>
          </w:p>
        </w:tc>
        <w:tc>
          <w:tcPr>
            <w:tcW w:type="dxa" w:w="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172 </w:t>
            </w:r>
          </w:p>
        </w:tc>
        <w:tc>
          <w:tcPr>
            <w:tcW w:type="dxa" w:w="112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 </w:t>
            </w:r>
          </w:p>
        </w:tc>
        <w:tc>
          <w:tcPr>
            <w:tcW w:type="dxa" w:w="8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79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8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256 </w:t>
            </w:r>
          </w:p>
        </w:tc>
      </w:tr>
      <w:tr>
        <w:trPr>
          <w:trHeight w:hRule="exact" w:val="230"/>
        </w:trPr>
        <w:tc>
          <w:tcPr>
            <w:tcW w:type="dxa" w:w="377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Accumulated provision, end of the fiscal year</w:t>
            </w:r>
          </w:p>
        </w:tc>
        <w:tc>
          <w:tcPr>
            <w:tcW w:type="dxa" w:w="58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4,137 </w:t>
            </w:r>
          </w:p>
        </w:tc>
        <w:tc>
          <w:tcPr>
            <w:tcW w:type="dxa" w:w="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1,380 </w:t>
            </w:r>
          </w:p>
        </w:tc>
        <w:tc>
          <w:tcPr>
            <w:tcW w:type="dxa" w:w="2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474 </w:t>
            </w:r>
          </w:p>
        </w:tc>
        <w:tc>
          <w:tcPr>
            <w:tcW w:type="dxa" w:w="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199 </w:t>
            </w:r>
          </w:p>
        </w:tc>
        <w:tc>
          <w:tcPr>
            <w:tcW w:type="dxa" w:w="3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6,190 </w:t>
            </w:r>
          </w:p>
        </w:tc>
      </w:tr>
    </w:tbl>
    <w:p>
      <w:pPr>
        <w:autoSpaceDN w:val="0"/>
        <w:autoSpaceDE w:val="0"/>
        <w:widowControl/>
        <w:spacing w:line="180" w:lineRule="exact" w:before="4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Including accumulated provision for losses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rHeight w:hRule="exact" w:val="234"/>
        </w:trPr>
        <w:tc>
          <w:tcPr>
            <w:tcW w:type="dxa" w:w="4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accrual status </w:t>
            </w:r>
          </w:p>
        </w:tc>
        <w:tc>
          <w:tcPr>
            <w:tcW w:type="dxa" w:w="3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3,895 </w:t>
            </w:r>
          </w:p>
        </w:tc>
        <w:tc>
          <w:tcPr>
            <w:tcW w:type="dxa" w:w="16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187 </w:t>
            </w:r>
          </w:p>
        </w:tc>
        <w:tc>
          <w:tcPr>
            <w:tcW w:type="dxa" w:w="12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4,082 </w:t>
            </w:r>
          </w:p>
        </w:tc>
      </w:tr>
      <w:tr>
        <w:trPr>
          <w:trHeight w:hRule="exact" w:val="246"/>
        </w:trPr>
        <w:tc>
          <w:tcPr>
            <w:tcW w:type="dxa" w:w="40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nonaccrual status </w:t>
            </w:r>
          </w:p>
        </w:tc>
        <w:tc>
          <w:tcPr>
            <w:tcW w:type="dxa" w:w="1346"/>
            <w:vMerge/>
            <w:tcBorders>
              <w:bottom w:sz="8.0" w:val="single" w:color="#000000"/>
            </w:tcBorders>
          </w:tcPr>
          <w:p/>
        </w:tc>
        <w:tc>
          <w:tcPr>
            <w:tcW w:type="dxa" w:w="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242 </w:t>
            </w:r>
          </w:p>
        </w:tc>
        <w:tc>
          <w:tcPr>
            <w:tcW w:type="dxa" w:w="1346"/>
            <w:vMerge/>
            <w:tcBorders>
              <w:bottom w:sz="8.0" w:val="single" w:color="#000000"/>
            </w:tcBorders>
          </w:tcPr>
          <w:p/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 </w:t>
            </w:r>
          </w:p>
        </w:tc>
        <w:tc>
          <w:tcPr>
            <w:tcW w:type="dxa" w:w="1346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529 </w:t>
            </w:r>
          </w:p>
        </w:tc>
      </w:tr>
      <w:tr>
        <w:trPr>
          <w:trHeight w:hRule="exact" w:val="220"/>
        </w:trPr>
        <w:tc>
          <w:tcPr>
            <w:tcW w:type="dxa" w:w="40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4,137 </w:t>
            </w:r>
          </w:p>
        </w:tc>
        <w:tc>
          <w:tcPr>
            <w:tcW w:type="dxa" w:w="1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474 </w:t>
            </w:r>
          </w:p>
        </w:tc>
        <w:tc>
          <w:tcPr>
            <w:tcW w:type="dxa" w:w="12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4,611 </w:t>
            </w:r>
          </w:p>
        </w:tc>
      </w:tr>
    </w:tbl>
    <w:p>
      <w:pPr>
        <w:autoSpaceDN w:val="0"/>
        <w:autoSpaceDE w:val="0"/>
        <w:widowControl/>
        <w:spacing w:line="180" w:lineRule="exact" w:before="5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Loans: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0"/>
        <w:gridCol w:w="3140"/>
        <w:gridCol w:w="3140"/>
      </w:tblGrid>
      <w:tr>
        <w:trPr>
          <w:trHeight w:hRule="exact" w:val="234"/>
        </w:trPr>
        <w:tc>
          <w:tcPr>
            <w:tcW w:type="dxa" w:w="8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accrual status </w:t>
            </w:r>
          </w:p>
        </w:tc>
        <w:tc>
          <w:tcPr>
            <w:tcW w:type="dxa" w:w="2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227,005 </w:t>
            </w:r>
          </w:p>
        </w:tc>
      </w:tr>
      <w:tr>
        <w:trPr>
          <w:trHeight w:hRule="exact" w:val="246"/>
        </w:trPr>
        <w:tc>
          <w:tcPr>
            <w:tcW w:type="dxa" w:w="82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nonaccrual status </w:t>
            </w:r>
          </w:p>
        </w:tc>
        <w:tc>
          <w:tcPr>
            <w:tcW w:type="dxa" w:w="3140"/>
            <w:vMerge/>
            <w:tcBorders>
              <w:bottom w:sz="8.0" w:val="single" w:color="#000000"/>
            </w:tcBorders>
          </w:tcPr>
          <w:p/>
        </w:tc>
        <w:tc>
          <w:tcPr>
            <w:tcW w:type="dxa" w:w="7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882 </w:t>
            </w:r>
          </w:p>
        </w:tc>
      </w:tr>
      <w:tr>
        <w:trPr>
          <w:trHeight w:hRule="exact" w:val="220"/>
        </w:trPr>
        <w:tc>
          <w:tcPr>
            <w:tcW w:type="dxa" w:w="82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outstanding</w:t>
            </w:r>
          </w:p>
        </w:tc>
        <w:tc>
          <w:tcPr>
            <w:tcW w:type="dxa" w:w="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227,887 </w:t>
            </w:r>
          </w:p>
        </w:tc>
      </w:tr>
    </w:tbl>
    <w:p>
      <w:pPr>
        <w:autoSpaceDN w:val="0"/>
        <w:autoSpaceDE w:val="0"/>
        <w:widowControl/>
        <w:spacing w:line="224" w:lineRule="exact" w:before="51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D6.1: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222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p>
      <w:pPr>
        <w:autoSpaceDN w:val="0"/>
        <w:autoSpaceDE w:val="0"/>
        <w:widowControl/>
        <w:spacing w:line="180" w:lineRule="exact" w:before="82" w:after="6"/>
        <w:ind w:left="0" w:right="214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Debt relief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rPr>
          <w:trHeight w:hRule="exact" w:val="192"/>
        </w:trPr>
        <w:tc>
          <w:tcPr>
            <w:tcW w:type="dxa" w:w="50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5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1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7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7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under </w:t>
            </w:r>
          </w:p>
        </w:tc>
        <w:tc>
          <w:tcPr>
            <w:tcW w:type="dxa" w:w="884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3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8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14"/>
        </w:trPr>
        <w:tc>
          <w:tcPr>
            <w:tcW w:type="dxa" w:w="504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  <w:tc>
          <w:tcPr>
            <w:tcW w:type="dxa" w:w="123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commitments</w:t>
            </w:r>
          </w:p>
        </w:tc>
        <w:tc>
          <w:tcPr>
            <w:tcW w:type="dxa" w:w="10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HIPC/MDRI</w:t>
            </w:r>
          </w:p>
        </w:tc>
        <w:tc>
          <w:tcPr>
            <w:tcW w:type="dxa" w:w="1712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856"/>
            <w:vMerge/>
            <w:tcBorders>
              <w:bottom w:sz="8.0" w:val="single" w:color="#000000"/>
            </w:tcBorders>
          </w:tcPr>
          <w:p/>
        </w:tc>
        <w:tc>
          <w:tcPr>
            <w:tcW w:type="dxa" w:w="856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6"/>
        </w:trPr>
        <w:tc>
          <w:tcPr>
            <w:tcW w:type="dxa" w:w="43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Accumulated provision, beginning of the fiscal year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3,325 </w:t>
            </w:r>
          </w:p>
        </w:tc>
        <w:tc>
          <w:tcPr>
            <w:tcW w:type="dxa" w:w="4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1,320 </w:t>
            </w:r>
          </w:p>
        </w:tc>
        <w:tc>
          <w:tcPr>
            <w:tcW w:type="dxa" w:w="4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668 </w:t>
            </w:r>
          </w:p>
        </w:tc>
        <w:tc>
          <w:tcPr>
            <w:tcW w:type="dxa" w:w="3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198 </w:t>
            </w:r>
          </w:p>
        </w:tc>
        <w:tc>
          <w:tcPr>
            <w:tcW w:type="dxa" w:w="3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5,511 </w:t>
            </w:r>
          </w:p>
        </w:tc>
      </w:tr>
      <w:tr>
        <w:trPr>
          <w:trHeight w:hRule="exact" w:val="240"/>
        </w:trPr>
        <w:tc>
          <w:tcPr>
            <w:tcW w:type="dxa" w:w="4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Provision, net - charge (release)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252 </w:t>
            </w:r>
          </w:p>
        </w:tc>
        <w:tc>
          <w:tcPr>
            <w:tcW w:type="dxa" w:w="1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(31)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  <w:tc>
          <w:tcPr>
            <w:tcW w:type="dxa" w:w="8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275 </w:t>
            </w:r>
          </w:p>
        </w:tc>
      </w:tr>
      <w:tr>
        <w:trPr>
          <w:trHeight w:hRule="exact" w:val="240"/>
        </w:trPr>
        <w:tc>
          <w:tcPr>
            <w:tcW w:type="dxa" w:w="4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written off under HIPC/MDRI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(104)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(104) </w:t>
            </w:r>
          </w:p>
        </w:tc>
      </w:tr>
      <w:tr>
        <w:trPr>
          <w:trHeight w:hRule="exact" w:val="254"/>
        </w:trPr>
        <w:tc>
          <w:tcPr>
            <w:tcW w:type="dxa" w:w="43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Translation adjustment</w:t>
            </w:r>
          </w:p>
        </w:tc>
        <w:tc>
          <w:tcPr>
            <w:tcW w:type="dxa" w:w="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(43) </w:t>
            </w:r>
          </w:p>
        </w:tc>
        <w:tc>
          <w:tcPr>
            <w:tcW w:type="dxa" w:w="123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(16) </w:t>
            </w:r>
          </w:p>
        </w:tc>
        <w:tc>
          <w:tcPr>
            <w:tcW w:type="dxa" w:w="10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8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(61) </w:t>
            </w:r>
          </w:p>
        </w:tc>
      </w:tr>
      <w:tr>
        <w:trPr>
          <w:trHeight w:hRule="exact" w:val="231"/>
        </w:trPr>
        <w:tc>
          <w:tcPr>
            <w:tcW w:type="dxa" w:w="377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Accumulated provision, end of the fiscal year</w:t>
            </w:r>
          </w:p>
        </w:tc>
        <w:tc>
          <w:tcPr>
            <w:tcW w:type="dxa" w:w="60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3,534 </w:t>
            </w:r>
          </w:p>
        </w:tc>
        <w:tc>
          <w:tcPr>
            <w:tcW w:type="dxa" w:w="4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1,316 </w:t>
            </w:r>
          </w:p>
        </w:tc>
        <w:tc>
          <w:tcPr>
            <w:tcW w:type="dxa" w:w="4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531 </w:t>
            </w:r>
          </w:p>
        </w:tc>
        <w:tc>
          <w:tcPr>
            <w:tcW w:type="dxa" w:w="3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240 </w:t>
            </w:r>
          </w:p>
        </w:tc>
        <w:tc>
          <w:tcPr>
            <w:tcW w:type="dxa" w:w="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5,621 </w:t>
            </w:r>
          </w:p>
        </w:tc>
      </w:tr>
    </w:tbl>
    <w:p>
      <w:pPr>
        <w:autoSpaceDN w:val="0"/>
        <w:autoSpaceDE w:val="0"/>
        <w:widowControl/>
        <w:spacing w:line="180" w:lineRule="exact" w:before="4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Including accumulated provision for losses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rHeight w:hRule="exact" w:val="224"/>
        </w:trPr>
        <w:tc>
          <w:tcPr>
            <w:tcW w:type="dxa" w:w="4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accrual status </w:t>
            </w:r>
          </w:p>
        </w:tc>
        <w:tc>
          <w:tcPr>
            <w:tcW w:type="dxa" w:w="3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3,301 </w:t>
            </w:r>
          </w:p>
        </w:tc>
        <w:tc>
          <w:tcPr>
            <w:tcW w:type="dxa" w:w="17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 </w:t>
            </w:r>
          </w:p>
        </w:tc>
        <w:tc>
          <w:tcPr>
            <w:tcW w:type="dxa" w:w="128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3,562 </w:t>
            </w:r>
          </w:p>
        </w:tc>
      </w:tr>
      <w:tr>
        <w:trPr>
          <w:trHeight w:hRule="exact" w:val="254"/>
        </w:trPr>
        <w:tc>
          <w:tcPr>
            <w:tcW w:type="dxa" w:w="40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1346"/>
            <w:vMerge/>
            <w:tcBorders>
              <w:bottom w:sz="8.0" w:val="single" w:color="#000000"/>
            </w:tcBorders>
          </w:tcPr>
          <w:p/>
        </w:tc>
        <w:tc>
          <w:tcPr>
            <w:tcW w:type="dxa" w:w="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233 </w:t>
            </w:r>
          </w:p>
        </w:tc>
        <w:tc>
          <w:tcPr>
            <w:tcW w:type="dxa" w:w="1346"/>
            <w:vMerge/>
            <w:tcBorders>
              <w:bottom w:sz="8.0" w:val="single" w:color="#000000"/>
            </w:tcBorders>
          </w:tcPr>
          <w:p/>
        </w:tc>
        <w:tc>
          <w:tcPr>
            <w:tcW w:type="dxa" w:w="5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270 </w:t>
            </w:r>
          </w:p>
        </w:tc>
        <w:tc>
          <w:tcPr>
            <w:tcW w:type="dxa" w:w="1346"/>
            <w:vMerge/>
            <w:tcBorders>
              <w:bottom w:sz="8.0" w:val="single" w:color="#000000"/>
            </w:tcBorders>
          </w:tcPr>
          <w:p/>
        </w:tc>
        <w:tc>
          <w:tcPr>
            <w:tcW w:type="dxa" w:w="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503 </w:t>
            </w:r>
          </w:p>
        </w:tc>
      </w:tr>
      <w:tr>
        <w:trPr>
          <w:trHeight w:hRule="exact" w:val="220"/>
        </w:trPr>
        <w:tc>
          <w:tcPr>
            <w:tcW w:type="dxa" w:w="40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3,534 </w:t>
            </w:r>
          </w:p>
        </w:tc>
        <w:tc>
          <w:tcPr>
            <w:tcW w:type="dxa" w:w="17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531 </w:t>
            </w:r>
          </w:p>
        </w:tc>
        <w:tc>
          <w:tcPr>
            <w:tcW w:type="dxa" w:w="1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4,065 </w:t>
            </w:r>
          </w:p>
        </w:tc>
      </w:tr>
    </w:tbl>
    <w:p>
      <w:pPr>
        <w:autoSpaceDN w:val="0"/>
        <w:autoSpaceDE w:val="0"/>
        <w:widowControl/>
        <w:spacing w:line="180" w:lineRule="exact" w:before="5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Loans: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0"/>
        <w:gridCol w:w="3140"/>
        <w:gridCol w:w="3140"/>
      </w:tblGrid>
      <w:tr>
        <w:trPr>
          <w:trHeight w:hRule="exact" w:val="224"/>
        </w:trPr>
        <w:tc>
          <w:tcPr>
            <w:tcW w:type="dxa" w:w="83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accrual status </w:t>
            </w:r>
          </w:p>
        </w:tc>
        <w:tc>
          <w:tcPr>
            <w:tcW w:type="dxa" w:w="2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201,689 </w:t>
            </w:r>
          </w:p>
        </w:tc>
      </w:tr>
      <w:tr>
        <w:trPr>
          <w:trHeight w:hRule="exact" w:val="254"/>
        </w:trPr>
        <w:tc>
          <w:tcPr>
            <w:tcW w:type="dxa" w:w="83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nonaccrual status </w:t>
            </w:r>
          </w:p>
        </w:tc>
        <w:tc>
          <w:tcPr>
            <w:tcW w:type="dxa" w:w="3140"/>
            <w:vMerge/>
            <w:tcBorders>
              <w:bottom w:sz="8.0" w:val="single" w:color="#000000"/>
            </w:tcBorders>
          </w:tcPr>
          <w:p/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859 </w:t>
            </w:r>
          </w:p>
        </w:tc>
      </w:tr>
      <w:tr>
        <w:trPr>
          <w:trHeight w:hRule="exact" w:val="220"/>
        </w:trPr>
        <w:tc>
          <w:tcPr>
            <w:tcW w:type="dxa" w:w="8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outstanding</w:t>
            </w:r>
          </w:p>
        </w:tc>
        <w:tc>
          <w:tcPr>
            <w:tcW w:type="dxa" w:w="2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202,548 </w:t>
            </w:r>
          </w:p>
        </w:tc>
      </w:tr>
    </w:tbl>
    <w:p>
      <w:pPr>
        <w:autoSpaceDN w:val="0"/>
        <w:autoSpaceDE w:val="0"/>
        <w:widowControl/>
        <w:spacing w:line="180" w:lineRule="exact" w:before="29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These amounts primarily relate to outstanding guarantees and include exposures under PSW.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Represents settlements of guarantee claims made in connection with the PSW MIGA Guarantee Facility.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263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702" w:right="139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178" w:lineRule="exact" w:before="34" w:after="28"/>
        <w:ind w:left="0" w:right="2804" w:firstLine="0"/>
        <w:jc w:val="right"/>
      </w:pPr>
      <w:r>
        <w:rPr>
          <w:rFonts w:ascii="Arial" w:hAnsi="Arial" w:eastAsia="Arial"/>
          <w:b/>
          <w:i w:val="0"/>
          <w:color w:val="000000"/>
          <w:sz w:val="16"/>
        </w:rPr>
        <w:t>Reported as Follows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40.0" w:type="dxa"/>
      </w:tblPr>
      <w:tblGrid>
        <w:gridCol w:w="4723"/>
        <w:gridCol w:w="4723"/>
      </w:tblGrid>
      <w:tr>
        <w:trPr>
          <w:trHeight w:hRule="exact" w:val="240"/>
        </w:trPr>
        <w:tc>
          <w:tcPr>
            <w:tcW w:type="dxa" w:w="3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Balance Sheets</w:t>
            </w:r>
          </w:p>
        </w:tc>
        <w:tc>
          <w:tcPr>
            <w:tcW w:type="dxa" w:w="3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9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Statements of Income</w:t>
            </w:r>
          </w:p>
        </w:tc>
      </w:tr>
    </w:tbl>
    <w:p>
      <w:pPr>
        <w:autoSpaceDN w:val="0"/>
        <w:tabs>
          <w:tab w:pos="152" w:val="left"/>
        </w:tabs>
        <w:autoSpaceDE w:val="0"/>
        <w:widowControl/>
        <w:spacing w:line="160" w:lineRule="exact" w:before="32" w:after="34"/>
        <w:ind w:left="62" w:right="7056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Accumulated Provision for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>Losses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149"/>
        <w:gridCol w:w="3149"/>
        <w:gridCol w:w="3149"/>
      </w:tblGrid>
      <w:tr>
        <w:trPr>
          <w:trHeight w:hRule="exact" w:val="22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outstanding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Accumulated provision for loan losses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Provision for losses on loans and other </w:t>
            </w:r>
          </w:p>
        </w:tc>
      </w:tr>
    </w:tbl>
    <w:p>
      <w:pPr>
        <w:autoSpaceDN w:val="0"/>
        <w:autoSpaceDE w:val="0"/>
        <w:widowControl/>
        <w:spacing w:line="178" w:lineRule="exact" w:before="6" w:after="32"/>
        <w:ind w:left="0" w:right="145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exposures, release (charge)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08"/>
        </w:trPr>
        <w:tc>
          <w:tcPr>
            <w:tcW w:type="dxa" w:w="2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Debt Relief under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Accumulated provision for loan losses</w:t>
            </w:r>
          </w:p>
        </w:tc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Provision for losses on loans and other </w:t>
            </w:r>
          </w:p>
        </w:tc>
      </w:tr>
      <w:tr>
        <w:trPr>
          <w:trHeight w:hRule="exact" w:val="226"/>
        </w:trPr>
        <w:tc>
          <w:tcPr>
            <w:tcW w:type="dxa" w:w="2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HIPC/MDRI</w:t>
            </w:r>
          </w:p>
        </w:tc>
        <w:tc>
          <w:tcPr>
            <w:tcW w:type="dxa" w:w="32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assets/ liabilities</w:t>
            </w:r>
          </w:p>
        </w:tc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5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exposures,  release (charge)</w:t>
            </w:r>
          </w:p>
        </w:tc>
      </w:tr>
      <w:tr>
        <w:trPr>
          <w:trHeight w:hRule="exact" w:val="214"/>
        </w:trPr>
        <w:tc>
          <w:tcPr>
            <w:tcW w:type="dxa" w:w="2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 commitments and Other </w:t>
            </w:r>
          </w:p>
        </w:tc>
        <w:tc>
          <w:tcPr>
            <w:tcW w:type="dxa" w:w="3149"/>
            <w:vMerge/>
            <w:tcBorders>
              <w:bottom w:sz="8.0" w:val="single" w:color="#000000"/>
            </w:tcBorders>
          </w:tcPr>
          <w:p/>
        </w:tc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Provision for losses on loans and other </w:t>
            </w:r>
          </w:p>
        </w:tc>
      </w:tr>
      <w:tr>
        <w:trPr>
          <w:trHeight w:hRule="exact" w:val="426"/>
        </w:trPr>
        <w:tc>
          <w:tcPr>
            <w:tcW w:type="dxa" w:w="22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Exposures</w:t>
            </w:r>
          </w:p>
        </w:tc>
        <w:tc>
          <w:tcPr>
            <w:tcW w:type="dxa" w:w="3149"/>
            <w:vMerge/>
            <w:tcBorders>
              <w:bottom w:sz="8.0" w:val="single" w:color="#000000"/>
            </w:tcBorders>
          </w:tcPr>
          <w:p/>
        </w:tc>
        <w:tc>
          <w:tcPr>
            <w:tcW w:type="dxa" w:w="3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5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exposures,  release (charge)</w:t>
            </w:r>
          </w:p>
        </w:tc>
      </w:tr>
    </w:tbl>
    <w:p>
      <w:pPr>
        <w:autoSpaceDN w:val="0"/>
        <w:autoSpaceDE w:val="0"/>
        <w:widowControl/>
        <w:spacing w:line="230" w:lineRule="exact" w:before="17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accumulated provision for losses on loan and other exposures as of June 30, 2025, was $6,190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million, compared to $5,621 million as of June 30, 2024. The increase was primarily due to the overall </w:t>
      </w:r>
      <w:r>
        <w:rPr>
          <w:rFonts w:ascii="ArialMT" w:hAnsi="ArialMT" w:eastAsia="ArialMT"/>
          <w:b w:val="0"/>
          <w:i w:val="0"/>
          <w:color w:val="000000"/>
          <w:sz w:val="20"/>
        </w:rPr>
        <w:t>increase in exposure and the impact of rating changes for the fiscal year ended June 30, 2025.</w:t>
      </w:r>
    </w:p>
    <w:p>
      <w:pPr>
        <w:autoSpaceDN w:val="0"/>
        <w:autoSpaceDE w:val="0"/>
        <w:widowControl/>
        <w:spacing w:line="268" w:lineRule="exact" w:before="1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Loans to be written off under MDRI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fiscal year ended June 30, 2025, no loans eligible for debt relief under the MDRI were written </w:t>
      </w:r>
      <w:r>
        <w:rPr>
          <w:rFonts w:ascii="ArialMT" w:hAnsi="ArialMT" w:eastAsia="ArialMT"/>
          <w:b w:val="0"/>
          <w:i w:val="0"/>
          <w:color w:val="000000"/>
          <w:sz w:val="20"/>
        </w:rPr>
        <w:t>off.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fiscal year ended June 30, 2024, loans eligible for debt relief under the MDRI totaling $94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were written off under the MDRI as a result of Somalia reaching the Completion Point under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HIPC debt relief initiative on December 13, 2023. 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Guarantees Provided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Guarantees of $2,822 million were outstanding as of June 30, 2025 ($2,787 million—June 30, 2024). This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amount includes $1,173 million relating to the PSW ($1,169 million—June 30, 2024). The outstanding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guarantees represents the maximum potential undiscounted future payments that IDA could be required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make under these guarantees, and are not included on the Balance Sheets. The guarantees issued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have original maturities ranging between 2 and 22 years and expire in decreasing amounts through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2044.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liabilities related to IDA’s obligations under guarantees provided include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obligation to stand ready of $132 million ($141 million—June 30, 2024), and the accumulated provision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guarantee losses of $174 million ($220 million—June 30, 2024). These have been included in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>liabilities - Accounts payable and miscellaneous liabilities on the Balance Sheets.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fiscal year ended June 30, 2025, $212 million of guarantees provided by IDA to sovereign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sub-sovereign borrowers were called  ($100 million — fiscal year ended June 30, 2024). A total of $362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is included in Loans Outstanding on the Balance Sheet as of June 30, 2025, following payments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IDA and pursuant to the terms of the related indemnity agreement between IDA and the borrower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reimbursement terms agreed with the borrower.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fiscal year ended June 30, 2025, less than $1 million of IDA-PSW Blended Finance Facility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guarantees pursuant to the risk-sharing agreement between IDA and IFC were called ($1 million— fiscal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 ended June 30, 2024). During the same period, $33 million of guarantees under the PSW MIGA </w:t>
      </w:r>
      <w:r>
        <w:rPr>
          <w:rFonts w:ascii="ArialMT" w:hAnsi="ArialMT" w:eastAsia="ArialMT"/>
          <w:b w:val="0"/>
          <w:i w:val="0"/>
          <w:color w:val="000000"/>
          <w:sz w:val="20"/>
        </w:rPr>
        <w:t>guarantee facility agreement between IDA and MIGA were called (nil — fiscal year ended June 30, 2024).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Concentration Risk 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Loan revenue comprises service charges, interest and commitment charges, net of waivers. For the fiscal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 ended June 30, 2025, loan revenue of $303 million from India was in excess of 10% of total loan </w:t>
      </w:r>
      <w:r>
        <w:rPr>
          <w:rFonts w:ascii="ArialMT" w:hAnsi="ArialMT" w:eastAsia="ArialMT"/>
          <w:b w:val="0"/>
          <w:i w:val="0"/>
          <w:color w:val="000000"/>
          <w:sz w:val="20"/>
        </w:rPr>
        <w:t>revenue.</w:t>
      </w:r>
    </w:p>
    <w:p>
      <w:pPr>
        <w:autoSpaceDN w:val="0"/>
        <w:tabs>
          <w:tab w:pos="9066" w:val="left"/>
        </w:tabs>
        <w:autoSpaceDE w:val="0"/>
        <w:widowControl/>
        <w:spacing w:line="224" w:lineRule="exact" w:before="1670" w:after="0"/>
        <w:ind w:left="474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rPr>
          <w:rFonts w:ascii="ArialMT" w:hAnsi="ArialMT" w:eastAsia="ArialMT"/>
          <w:b w:val="0"/>
          <w:i w:val="0"/>
          <w:color w:val="000000"/>
          <w:sz w:val="20"/>
        </w:rPr>
        <w:t>111</w:t>
      </w:r>
    </w:p>
    <w:p>
      <w:pPr>
        <w:sectPr>
          <w:pgSz w:w="12240" w:h="15840"/>
          <w:pgMar w:top="71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following table presents IDA’s loans outstanding and associated loan revenue by geographic region:</w:t>
      </w:r>
    </w:p>
    <w:p>
      <w:pPr>
        <w:autoSpaceDN w:val="0"/>
        <w:autoSpaceDE w:val="0"/>
        <w:widowControl/>
        <w:spacing w:line="224" w:lineRule="exact" w:before="136" w:after="84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D7: Loan revenue and outstanding loan balances by geographic region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268"/>
        </w:trPr>
        <w:tc>
          <w:tcPr>
            <w:tcW w:type="dxa" w:w="3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millions of U.S. dollars</w:t>
            </w:r>
          </w:p>
        </w:tc>
        <w:tc>
          <w:tcPr>
            <w:tcW w:type="dxa" w:w="5974"/>
            <w:gridSpan w:val="11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 of and for the fiscal year ended</w:t>
            </w:r>
          </w:p>
        </w:tc>
      </w:tr>
      <w:tr>
        <w:trPr>
          <w:trHeight w:hRule="exact" w:val="240"/>
        </w:trPr>
        <w:tc>
          <w:tcPr>
            <w:tcW w:type="dxa" w:w="3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10"/>
            <w:gridSpan w:val="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2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2764"/>
            <w:gridSpan w:val="5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9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00"/>
        </w:trPr>
        <w:tc>
          <w:tcPr>
            <w:tcW w:type="dxa" w:w="33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Region</w:t>
            </w:r>
          </w:p>
        </w:tc>
        <w:tc>
          <w:tcPr>
            <w:tcW w:type="dxa" w:w="3210"/>
            <w:gridSpan w:val="6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72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2764"/>
            <w:gridSpan w:val="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40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</w:tr>
      <w:tr>
        <w:trPr>
          <w:trHeight w:hRule="exact" w:val="234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7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Revenue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4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  <w:tc>
          <w:tcPr>
            <w:tcW w:type="dxa" w:w="1408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Revenue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356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</w:tr>
      <w:tr>
        <w:trPr>
          <w:trHeight w:hRule="exact" w:val="226"/>
        </w:trPr>
        <w:tc>
          <w:tcPr>
            <w:tcW w:type="dxa" w:w="33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62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South Asia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Eastern and Southern Africa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Western and Central Africa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East Asia and Pacific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Europe and Central Asia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Latin America and the Caribbean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Middle East and North Africa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9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938 </w:t>
            </w:r>
          </w:p>
        </w:tc>
        <w:tc>
          <w:tcPr>
            <w:tcW w:type="dxa" w:w="3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9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65,469 </w:t>
            </w:r>
          </w:p>
        </w:tc>
        <w:tc>
          <w:tcPr>
            <w:tcW w:type="dxa" w:w="34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7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916 </w:t>
            </w:r>
          </w:p>
        </w:tc>
        <w:tc>
          <w:tcPr>
            <w:tcW w:type="dxa" w:w="628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62,724 </w:t>
            </w:r>
          </w:p>
        </w:tc>
      </w:tr>
      <w:tr>
        <w:trPr>
          <w:trHeight w:hRule="exact" w:val="240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668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67,220 </w:t>
            </w:r>
          </w:p>
        </w:tc>
        <w:tc>
          <w:tcPr>
            <w:tcW w:type="dxa" w:w="1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8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597 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59,083 </w:t>
            </w:r>
          </w:p>
        </w:tc>
      </w:tr>
      <w:tr>
        <w:trPr>
          <w:trHeight w:hRule="exact" w:val="240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687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55,777 </w:t>
            </w:r>
          </w:p>
        </w:tc>
        <w:tc>
          <w:tcPr>
            <w:tcW w:type="dxa" w:w="1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8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587 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47,662 </w:t>
            </w:r>
          </w:p>
        </w:tc>
      </w:tr>
      <w:tr>
        <w:trPr>
          <w:trHeight w:hRule="exact" w:val="240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240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18,165 </w:t>
            </w:r>
          </w:p>
        </w:tc>
        <w:tc>
          <w:tcPr>
            <w:tcW w:type="dxa" w:w="1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8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244 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17,884 </w:t>
            </w:r>
          </w:p>
        </w:tc>
      </w:tr>
      <w:tr>
        <w:trPr>
          <w:trHeight w:hRule="exact" w:val="240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381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14,942 </w:t>
            </w:r>
          </w:p>
        </w:tc>
        <w:tc>
          <w:tcPr>
            <w:tcW w:type="dxa" w:w="1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8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201 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9,269 </w:t>
            </w:r>
          </w:p>
        </w:tc>
      </w:tr>
      <w:tr>
        <w:trPr>
          <w:trHeight w:hRule="exact" w:val="240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4,074 </w:t>
            </w:r>
          </w:p>
        </w:tc>
        <w:tc>
          <w:tcPr>
            <w:tcW w:type="dxa" w:w="1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 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3,683 </w:t>
            </w:r>
          </w:p>
        </w:tc>
      </w:tr>
      <w:tr>
        <w:trPr>
          <w:trHeight w:hRule="exact" w:val="240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1,958 </w:t>
            </w:r>
          </w:p>
        </w:tc>
        <w:tc>
          <w:tcPr>
            <w:tcW w:type="dxa" w:w="1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 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2,007 </w:t>
            </w:r>
          </w:p>
        </w:tc>
      </w:tr>
      <w:tr>
        <w:trPr>
          <w:trHeight w:hRule="exact" w:val="254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7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14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282 </w:t>
            </w:r>
          </w:p>
        </w:tc>
        <w:tc>
          <w:tcPr>
            <w:tcW w:type="dxa" w:w="190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8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236 </w:t>
            </w:r>
          </w:p>
        </w:tc>
      </w:tr>
      <w:tr>
        <w:trPr>
          <w:trHeight w:hRule="exact" w:val="220"/>
        </w:trPr>
        <w:tc>
          <w:tcPr>
            <w:tcW w:type="dxa" w:w="3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3,029 </w:t>
            </w:r>
          </w:p>
        </w:tc>
        <w:tc>
          <w:tcPr>
            <w:tcW w:type="dxa" w:w="37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9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227,887 </w:t>
            </w:r>
          </w:p>
        </w:tc>
        <w:tc>
          <w:tcPr>
            <w:tcW w:type="dxa" w:w="34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7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2,646 </w:t>
            </w:r>
          </w:p>
        </w:tc>
        <w:tc>
          <w:tcPr>
            <w:tcW w:type="dxa" w:w="47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1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202,548 </w:t>
            </w:r>
          </w:p>
        </w:tc>
      </w:tr>
    </w:tbl>
    <w:p>
      <w:pPr>
        <w:autoSpaceDN w:val="0"/>
        <w:autoSpaceDE w:val="0"/>
        <w:widowControl/>
        <w:spacing w:line="192" w:lineRule="exact" w:before="300" w:after="0"/>
        <w:ind w:left="242" w:right="144" w:hanging="18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Excludes $15 million of interest rate swap income from loan-related derivatives for the fiscal year ended June 30, 2025 ($19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million of interest rate swap income - fiscal year ended June 30, 2024). Includes net commitment charges of $23 million for the </w:t>
      </w:r>
      <w:r>
        <w:rPr>
          <w:rFonts w:ascii="Arial" w:hAnsi="Arial" w:eastAsia="Arial"/>
          <w:b w:val="0"/>
          <w:i/>
          <w:color w:val="000000"/>
          <w:sz w:val="16"/>
        </w:rPr>
        <w:t>fiscal year ended June 30, 2025 ($26 million – fiscal year ended June 30, 2024).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Represents loans under the PSW.</w:t>
      </w:r>
    </w:p>
    <w:p>
      <w:pPr>
        <w:autoSpaceDN w:val="0"/>
        <w:autoSpaceDE w:val="0"/>
        <w:widowControl/>
        <w:spacing w:line="314" w:lineRule="exact" w:before="3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NOTE E—BORROWINGS</w:t>
      </w:r>
    </w:p>
    <w:p>
      <w:pPr>
        <w:autoSpaceDN w:val="0"/>
        <w:autoSpaceDE w:val="0"/>
        <w:widowControl/>
        <w:spacing w:line="240" w:lineRule="exact" w:before="14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borrowings comprise market borrowings (carried at amortized cost or fair value) and concessional </w:t>
      </w:r>
      <w:r>
        <w:rPr>
          <w:rFonts w:ascii="ArialMT" w:hAnsi="ArialMT" w:eastAsia="ArialMT"/>
          <w:b w:val="0"/>
          <w:i w:val="0"/>
          <w:color w:val="000000"/>
          <w:sz w:val="20"/>
        </w:rPr>
        <w:t>partner loans made by IDA members (carried at amortized cost).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CPL are unsecured and unsubordinated fixed rate debt in SDR component currencies. IDA may prepay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some or the entire outstanding amounts without penalty. As of June 30, 2025, these borrowings have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original contractual maturities between 25 and 50 years, with the final maturity in 2075. This does not </w:t>
      </w:r>
      <w:r>
        <w:rPr>
          <w:rFonts w:ascii="ArialMT" w:hAnsi="ArialMT" w:eastAsia="ArialMT"/>
          <w:b w:val="0"/>
          <w:i w:val="0"/>
          <w:color w:val="000000"/>
          <w:sz w:val="20"/>
        </w:rPr>
        <w:t>include the proceeds received under the grant component of the CPL, which is included in equity.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borrowings are unsecured and unsubordinated debt issued in a variety of currencies, primarily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fixed rates. Some of these instruments are callable. IDA has elected the fair value option for certain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instruments. Overall market borrowings have original maturities that range from 30 days to 30 years,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final maturity in 2053.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uses derivative contracts to manage the currency risk and the interest rate risk in the market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borrowings carried at fair value. For example, IDA may enter into derivative transactions to convert fixed </w:t>
      </w:r>
      <w:r>
        <w:rPr>
          <w:rFonts w:ascii="ArialMT" w:hAnsi="ArialMT" w:eastAsia="ArialMT"/>
          <w:b w:val="0"/>
          <w:i w:val="0"/>
          <w:color w:val="000000"/>
          <w:sz w:val="20"/>
        </w:rPr>
        <w:t>rate bonds into floating rate instruments. For details regarding the derivatives used, see Note F—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Derivative Instruments. After the effect of these derivatives, the borrowing portfolio carried variable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>interest rates with a weighted average cost of 4.27% as of June 30, 2025 (5.27% as of June 30, 2024).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and June 30, 2024, the instruments in IDA’s borrowing portfolio measured at fair </w:t>
      </w:r>
      <w:r>
        <w:rPr>
          <w:rFonts w:ascii="ArialMT" w:hAnsi="ArialMT" w:eastAsia="ArialMT"/>
          <w:b w:val="0"/>
          <w:i w:val="0"/>
          <w:color w:val="000000"/>
          <w:sz w:val="20"/>
        </w:rPr>
        <w:t>value were classified as Level 2 within the fair value hierarchy.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329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702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A summary of IDA’s borrowings are as follows (for details on principal due upon maturity, see Note J—</w:t>
      </w:r>
      <w:r>
        <w:rPr>
          <w:rFonts w:ascii="ArialMT" w:hAnsi="ArialMT" w:eastAsia="ArialMT"/>
          <w:b w:val="0"/>
          <w:i w:val="0"/>
          <w:color w:val="000000"/>
          <w:sz w:val="20"/>
        </w:rPr>
        <w:t>Fair Value Disclosures):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E1: Market borrowings and borrowing-related derivatives, at fair value</w:t>
      </w:r>
    </w:p>
    <w:p>
      <w:pPr>
        <w:autoSpaceDN w:val="0"/>
        <w:autoSpaceDE w:val="0"/>
        <w:widowControl/>
        <w:spacing w:line="178" w:lineRule="exact" w:before="144" w:after="20"/>
        <w:ind w:left="15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26"/>
        </w:trPr>
        <w:tc>
          <w:tcPr>
            <w:tcW w:type="dxa" w:w="61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34"/>
        </w:trPr>
        <w:tc>
          <w:tcPr>
            <w:tcW w:type="dxa" w:w="61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 borrowings</w:t>
            </w:r>
          </w:p>
        </w:tc>
        <w:tc>
          <w:tcPr>
            <w:tcW w:type="dxa" w:w="2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45,154 </w:t>
            </w:r>
          </w:p>
        </w:tc>
        <w:tc>
          <w:tcPr>
            <w:tcW w:type="dxa" w:w="2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26,425 </w:t>
            </w:r>
          </w:p>
        </w:tc>
      </w:tr>
      <w:tr>
        <w:trPr>
          <w:trHeight w:hRule="exact" w:val="240"/>
        </w:trPr>
        <w:tc>
          <w:tcPr>
            <w:tcW w:type="dxa" w:w="6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swaps, net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123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488 </w:t>
            </w:r>
          </w:p>
        </w:tc>
      </w:tr>
      <w:tr>
        <w:trPr>
          <w:trHeight w:hRule="exact" w:val="246"/>
        </w:trPr>
        <w:tc>
          <w:tcPr>
            <w:tcW w:type="dxa" w:w="61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swaps, net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883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1,617 </w:t>
            </w:r>
          </w:p>
        </w:tc>
      </w:tr>
      <w:tr>
        <w:trPr>
          <w:trHeight w:hRule="exact" w:val="220"/>
        </w:trPr>
        <w:tc>
          <w:tcPr>
            <w:tcW w:type="dxa" w:w="61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46,160 </w:t>
            </w:r>
          </w:p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28,530 </w:t>
            </w:r>
          </w:p>
        </w:tc>
      </w:tr>
    </w:tbl>
    <w:p>
      <w:pPr>
        <w:autoSpaceDN w:val="0"/>
        <w:autoSpaceDE w:val="0"/>
        <w:widowControl/>
        <w:spacing w:line="240" w:lineRule="exact" w:before="41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fiscal year ended June 30, 2025, Borrowing expenses, net in the Statements of Income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$2,292 million ($1,616 million—fiscal year ended June 30, 2024, and $957 million—fiscal year ended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June 30, 2023). This includes $731 million of interest expense, net related to derivatives associated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Borrowing portfolio (interest expense, net of $816 million— fiscal year ended June 30, 2024, and $477 </w:t>
      </w:r>
      <w:r>
        <w:rPr>
          <w:rFonts w:ascii="ArialMT" w:hAnsi="ArialMT" w:eastAsia="ArialMT"/>
          <w:b w:val="0"/>
          <w:i w:val="0"/>
          <w:color w:val="000000"/>
          <w:sz w:val="20"/>
        </w:rPr>
        <w:t>million—fiscal year ended June 30, 2023).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E2: Market borrowings outstanding, at amortized cost</w:t>
      </w:r>
    </w:p>
    <w:p>
      <w:pPr>
        <w:autoSpaceDN w:val="0"/>
        <w:autoSpaceDE w:val="0"/>
        <w:widowControl/>
        <w:spacing w:line="180" w:lineRule="exact" w:before="144" w:after="20"/>
        <w:ind w:left="15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3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Principal at face value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Net unamortized discount</w:t>
            </w:r>
          </w:p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34"/>
        </w:trPr>
        <w:tc>
          <w:tcPr>
            <w:tcW w:type="dxa" w:w="3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2025</w:t>
            </w:r>
          </w:p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0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18,173 </w:t>
            </w:r>
          </w:p>
        </w:tc>
        <w:tc>
          <w:tcPr>
            <w:tcW w:type="dxa" w:w="2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(46) </w:t>
            </w:r>
          </w:p>
        </w:tc>
        <w:tc>
          <w:tcPr>
            <w:tcW w:type="dxa" w:w="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18,127 </w:t>
            </w:r>
          </w:p>
        </w:tc>
      </w:tr>
      <w:tr>
        <w:trPr>
          <w:trHeight w:hRule="exact" w:val="486"/>
        </w:trPr>
        <w:tc>
          <w:tcPr>
            <w:tcW w:type="dxa" w:w="3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2024</w:t>
            </w:r>
          </w:p>
        </w:tc>
        <w:tc>
          <w:tcPr>
            <w:tcW w:type="dxa" w:w="2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0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11,512 </w:t>
            </w:r>
          </w:p>
        </w:tc>
        <w:tc>
          <w:tcPr>
            <w:tcW w:type="dxa" w:w="2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(18) </w:t>
            </w:r>
          </w:p>
        </w:tc>
        <w:tc>
          <w:tcPr>
            <w:tcW w:type="dxa" w:w="3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11,494 </w:t>
            </w:r>
          </w:p>
        </w:tc>
      </w:tr>
    </w:tbl>
    <w:p>
      <w:pPr>
        <w:autoSpaceDN w:val="0"/>
        <w:autoSpaceDE w:val="0"/>
        <w:widowControl/>
        <w:spacing w:line="222" w:lineRule="exact" w:before="17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E3: Concessional partner loans outstanding, at amortized cost</w:t>
      </w:r>
    </w:p>
    <w:p>
      <w:pPr>
        <w:autoSpaceDN w:val="0"/>
        <w:autoSpaceDE w:val="0"/>
        <w:widowControl/>
        <w:spacing w:line="180" w:lineRule="exact" w:before="144" w:after="20"/>
        <w:ind w:left="15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3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Principal at face value</w:t>
            </w:r>
          </w:p>
        </w:tc>
        <w:tc>
          <w:tcPr>
            <w:tcW w:type="dxa" w:w="2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Net unamortized discount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34"/>
        </w:trPr>
        <w:tc>
          <w:tcPr>
            <w:tcW w:type="dxa" w:w="3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2025</w:t>
            </w:r>
          </w:p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9,086 </w:t>
            </w:r>
          </w:p>
        </w:tc>
        <w:tc>
          <w:tcPr>
            <w:tcW w:type="dxa" w:w="2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(1,535) </w:t>
            </w:r>
          </w:p>
        </w:tc>
        <w:tc>
          <w:tcPr>
            <w:tcW w:type="dxa" w:w="3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7,551 </w:t>
            </w:r>
          </w:p>
        </w:tc>
      </w:tr>
      <w:tr>
        <w:trPr>
          <w:trHeight w:hRule="exact" w:val="486"/>
        </w:trPr>
        <w:tc>
          <w:tcPr>
            <w:tcW w:type="dxa" w:w="3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2024</w:t>
            </w:r>
          </w:p>
        </w:tc>
        <w:tc>
          <w:tcPr>
            <w:tcW w:type="dxa" w:w="2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8,486 </w:t>
            </w:r>
          </w:p>
        </w:tc>
        <w:tc>
          <w:tcPr>
            <w:tcW w:type="dxa" w:w="2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(1,482) </w:t>
            </w:r>
          </w:p>
        </w:tc>
        <w:tc>
          <w:tcPr>
            <w:tcW w:type="dxa" w:w="3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7,004 </w:t>
            </w:r>
          </w:p>
        </w:tc>
      </w:tr>
    </w:tbl>
    <w:p>
      <w:pPr>
        <w:autoSpaceDN w:val="0"/>
        <w:autoSpaceDE w:val="0"/>
        <w:widowControl/>
        <w:spacing w:line="222" w:lineRule="exact" w:before="17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following table provides a summary of the interest rate characteristics of IDA’s borrowings: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E4: Borrowings-Interest rate composition before derivatives</w:t>
      </w:r>
    </w:p>
    <w:p>
      <w:pPr>
        <w:autoSpaceDN w:val="0"/>
        <w:autoSpaceDE w:val="0"/>
        <w:widowControl/>
        <w:spacing w:line="178" w:lineRule="exact" w:before="130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2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1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37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WAC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 (%)</w:t>
            </w:r>
          </w:p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18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37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WAC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 (%)</w:t>
            </w:r>
          </w:p>
        </w:tc>
      </w:tr>
      <w:tr>
        <w:trPr>
          <w:trHeight w:hRule="exact" w:val="230"/>
        </w:trPr>
        <w:tc>
          <w:tcPr>
            <w:tcW w:type="dxa" w:w="2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Fixed</w:t>
            </w:r>
          </w:p>
        </w:tc>
        <w:tc>
          <w:tcPr>
            <w:tcW w:type="dxa" w:w="2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71,176 </w:t>
            </w:r>
          </w:p>
        </w:tc>
        <w:tc>
          <w:tcPr>
            <w:tcW w:type="dxa" w:w="1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2.63 %</w:t>
            </w:r>
          </w:p>
        </w:tc>
        <w:tc>
          <w:tcPr>
            <w:tcW w:type="dxa" w:w="48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46,383 </w:t>
            </w:r>
          </w:p>
        </w:tc>
        <w:tc>
          <w:tcPr>
            <w:tcW w:type="dxa" w:w="18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2.05%</w:t>
            </w:r>
          </w:p>
        </w:tc>
      </w:tr>
      <w:tr>
        <w:trPr>
          <w:trHeight w:hRule="exact" w:val="250"/>
        </w:trPr>
        <w:tc>
          <w:tcPr>
            <w:tcW w:type="dxa" w:w="2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597 </w:t>
            </w:r>
          </w:p>
        </w:tc>
        <w:tc>
          <w:tcPr>
            <w:tcW w:type="dxa" w:w="1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4.88 %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284 </w:t>
            </w:r>
          </w:p>
        </w:tc>
        <w:tc>
          <w:tcPr>
            <w:tcW w:type="dxa" w:w="18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5.04%</w:t>
            </w:r>
          </w:p>
        </w:tc>
      </w:tr>
      <w:tr>
        <w:trPr>
          <w:trHeight w:hRule="exact" w:val="230"/>
        </w:trPr>
        <w:tc>
          <w:tcPr>
            <w:tcW w:type="dxa" w:w="2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Borrowings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2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71,773 </w:t>
            </w:r>
          </w:p>
        </w:tc>
        <w:tc>
          <w:tcPr>
            <w:tcW w:type="dxa" w:w="18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2.64 %</w:t>
            </w:r>
          </w:p>
        </w:tc>
        <w:tc>
          <w:tcPr>
            <w:tcW w:type="dxa" w:w="48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46,667 </w:t>
            </w:r>
          </w:p>
        </w:tc>
        <w:tc>
          <w:tcPr>
            <w:tcW w:type="dxa" w:w="18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2.07%</w:t>
            </w:r>
          </w:p>
        </w:tc>
      </w:tr>
      <w:tr>
        <w:trPr>
          <w:trHeight w:hRule="exact" w:val="234"/>
        </w:trPr>
        <w:tc>
          <w:tcPr>
            <w:tcW w:type="dxa" w:w="2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Fair Value Adjustment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(941)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(1,744)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Borrowings</w:t>
            </w:r>
          </w:p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70,832 </w:t>
            </w:r>
          </w:p>
        </w:tc>
        <w:tc>
          <w:tcPr>
            <w:tcW w:type="dxa" w:w="1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44,923 </w:t>
            </w:r>
          </w:p>
        </w:tc>
        <w:tc>
          <w:tcPr>
            <w:tcW w:type="dxa" w:w="18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2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2" w:lineRule="exact" w:before="0" w:after="0"/>
        <w:ind w:left="62" w:right="4032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WAC refers to weighted average borrowing cost as of the reporting date. </w:t>
      </w:r>
      <w:r>
        <w:rPr>
          <w:rFonts w:ascii="Arial" w:hAnsi="Arial" w:eastAsia="Arial"/>
          <w:b w:val="0"/>
          <w:i/>
          <w:color w:val="000000"/>
          <w:sz w:val="16"/>
        </w:rPr>
        <w:t>b. At amortized cost.</w:t>
      </w:r>
    </w:p>
    <w:p>
      <w:pPr>
        <w:autoSpaceDN w:val="0"/>
        <w:tabs>
          <w:tab w:pos="9052" w:val="left"/>
        </w:tabs>
        <w:autoSpaceDE w:val="0"/>
        <w:widowControl/>
        <w:spacing w:line="224" w:lineRule="exact" w:before="2926" w:after="0"/>
        <w:ind w:left="47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113</w:t>
      </w:r>
    </w:p>
    <w:p>
      <w:pPr>
        <w:sectPr>
          <w:pgSz w:w="12240" w:h="15840"/>
          <w:pgMar w:top="702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92" w:lineRule="exact" w:before="0" w:after="102"/>
        <w:ind w:left="10" w:right="158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currency composition of debt in IDA’s borrowings before derivatives was as follows: </w:t>
      </w:r>
      <w:r>
        <w:rPr>
          <w:rFonts w:ascii="Arial" w:hAnsi="Arial" w:eastAsia="Arial"/>
          <w:b/>
          <w:i w:val="0"/>
          <w:color w:val="000000"/>
          <w:sz w:val="20"/>
        </w:rPr>
        <w:t>Table E5: Borrowings-Currency composition before derivatives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74"/>
        <w:gridCol w:w="1874"/>
        <w:gridCol w:w="1874"/>
        <w:gridCol w:w="1874"/>
        <w:gridCol w:w="1874"/>
      </w:tblGrid>
      <w:tr>
        <w:trPr>
          <w:trHeight w:hRule="exact" w:val="240"/>
        </w:trPr>
        <w:tc>
          <w:tcPr>
            <w:tcW w:type="dxa" w:w="5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2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</w:t>
            </w:r>
          </w:p>
        </w:tc>
        <w:tc>
          <w:tcPr>
            <w:tcW w:type="dxa" w:w="1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tcW w:type="dxa" w:w="4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  <w:tc>
          <w:tcPr>
            <w:tcW w:type="dxa" w:w="17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3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240"/>
        </w:trPr>
        <w:tc>
          <w:tcPr>
            <w:tcW w:type="dxa" w:w="5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U.S. dollar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47</w:t>
            </w:r>
          </w:p>
        </w:tc>
        <w:tc>
          <w:tcPr>
            <w:tcW w:type="dxa" w:w="18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1874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5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Pound sterling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8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874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5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Japanese yen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8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874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52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Others</w:t>
            </w:r>
          </w:p>
        </w:tc>
        <w:tc>
          <w:tcPr>
            <w:tcW w:type="dxa" w:w="1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8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874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5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  <w:tc>
          <w:tcPr>
            <w:tcW w:type="dxa" w:w="17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</w:tbl>
    <w:p>
      <w:pPr>
        <w:autoSpaceDN w:val="0"/>
        <w:tabs>
          <w:tab w:pos="62" w:val="left"/>
        </w:tabs>
        <w:autoSpaceDE w:val="0"/>
        <w:widowControl/>
        <w:spacing w:line="340" w:lineRule="exact" w:before="318" w:after="20"/>
        <w:ind w:left="10" w:right="302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maturity structure of IDA’s borrowings outstanding was as follows: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Table E6: Borrowings-Maturity structure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74"/>
        <w:gridCol w:w="1874"/>
        <w:gridCol w:w="1874"/>
        <w:gridCol w:w="1874"/>
        <w:gridCol w:w="1874"/>
      </w:tblGrid>
      <w:tr>
        <w:trPr>
          <w:trHeight w:hRule="exact" w:val="240"/>
        </w:trPr>
        <w:tc>
          <w:tcPr>
            <w:tcW w:type="dxa" w:w="3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Period</w:t>
            </w:r>
          </w:p>
        </w:tc>
        <w:tc>
          <w:tcPr>
            <w:tcW w:type="dxa" w:w="2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42"/>
        </w:trPr>
        <w:tc>
          <w:tcPr>
            <w:tcW w:type="dxa" w:w="32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Less than 1 year</w:t>
            </w:r>
          </w:p>
        </w:tc>
        <w:tc>
          <w:tcPr>
            <w:tcW w:type="dxa" w:w="2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12,894 </w:t>
            </w:r>
          </w:p>
        </w:tc>
        <w:tc>
          <w:tcPr>
            <w:tcW w:type="dxa" w:w="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5,478 </w:t>
            </w:r>
          </w:p>
        </w:tc>
      </w:tr>
    </w:tbl>
    <w:p>
      <w:pPr>
        <w:autoSpaceDN w:val="0"/>
        <w:autoSpaceDE w:val="0"/>
        <w:widowControl/>
        <w:spacing w:line="178" w:lineRule="exact" w:before="20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Between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74"/>
        <w:gridCol w:w="1874"/>
        <w:gridCol w:w="1874"/>
        <w:gridCol w:w="1874"/>
        <w:gridCol w:w="1874"/>
      </w:tblGrid>
      <w:tr>
        <w:trPr>
          <w:trHeight w:hRule="exact" w:val="238"/>
        </w:trPr>
        <w:tc>
          <w:tcPr>
            <w:tcW w:type="dxa" w:w="5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1 - 2 years</w:t>
            </w:r>
          </w:p>
        </w:tc>
        <w:tc>
          <w:tcPr>
            <w:tcW w:type="dxa" w:w="5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2,948 </w:t>
            </w:r>
          </w:p>
        </w:tc>
        <w:tc>
          <w:tcPr>
            <w:tcW w:type="dxa" w:w="8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3,933 </w:t>
            </w:r>
          </w:p>
        </w:tc>
      </w:tr>
      <w:tr>
        <w:trPr>
          <w:trHeight w:hRule="exact" w:val="240"/>
        </w:trPr>
        <w:tc>
          <w:tcPr>
            <w:tcW w:type="dxa" w:w="5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2 - 3 years</w:t>
            </w:r>
          </w:p>
        </w:tc>
        <w:tc>
          <w:tcPr>
            <w:tcW w:type="dxa" w:w="1874"/>
            <w:vMerge/>
            <w:tcBorders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1,508 </w:t>
            </w:r>
          </w:p>
        </w:tc>
        <w:tc>
          <w:tcPr>
            <w:tcW w:type="dxa" w:w="1874"/>
            <w:vMerge/>
            <w:tcBorders>
              <w:bottom w:sz="8.0" w:val="single" w:color="#000000"/>
            </w:tcBorders>
          </w:tcPr>
          <w:p/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2,681 </w:t>
            </w:r>
          </w:p>
        </w:tc>
      </w:tr>
      <w:tr>
        <w:trPr>
          <w:trHeight w:hRule="exact" w:val="240"/>
        </w:trPr>
        <w:tc>
          <w:tcPr>
            <w:tcW w:type="dxa" w:w="5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3 - 4 years</w:t>
            </w:r>
          </w:p>
        </w:tc>
        <w:tc>
          <w:tcPr>
            <w:tcW w:type="dxa" w:w="1874"/>
            <w:vMerge/>
            <w:tcBorders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10,327 </w:t>
            </w:r>
          </w:p>
        </w:tc>
        <w:tc>
          <w:tcPr>
            <w:tcW w:type="dxa" w:w="1874"/>
            <w:vMerge/>
            <w:tcBorders>
              <w:bottom w:sz="8.0" w:val="single" w:color="#000000"/>
            </w:tcBorders>
          </w:tcPr>
          <w:p/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1,341 </w:t>
            </w:r>
          </w:p>
        </w:tc>
      </w:tr>
      <w:tr>
        <w:trPr>
          <w:trHeight w:hRule="exact" w:val="240"/>
        </w:trPr>
        <w:tc>
          <w:tcPr>
            <w:tcW w:type="dxa" w:w="5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4 - 5 years</w:t>
            </w:r>
          </w:p>
        </w:tc>
        <w:tc>
          <w:tcPr>
            <w:tcW w:type="dxa" w:w="1874"/>
            <w:vMerge/>
            <w:tcBorders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8,605 </w:t>
            </w:r>
          </w:p>
        </w:tc>
        <w:tc>
          <w:tcPr>
            <w:tcW w:type="dxa" w:w="1874"/>
            <w:vMerge/>
            <w:tcBorders>
              <w:bottom w:sz="8.0" w:val="single" w:color="#000000"/>
            </w:tcBorders>
          </w:tcPr>
          <w:p/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9,827 </w:t>
            </w:r>
          </w:p>
        </w:tc>
      </w:tr>
      <w:tr>
        <w:trPr>
          <w:trHeight w:hRule="exact" w:val="240"/>
        </w:trPr>
        <w:tc>
          <w:tcPr>
            <w:tcW w:type="dxa" w:w="51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Thereafter</w:t>
            </w:r>
          </w:p>
        </w:tc>
        <w:tc>
          <w:tcPr>
            <w:tcW w:type="dxa" w:w="1874"/>
            <w:vMerge/>
            <w:tcBorders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36,131 </w:t>
            </w:r>
          </w:p>
        </w:tc>
        <w:tc>
          <w:tcPr>
            <w:tcW w:type="dxa" w:w="1874"/>
            <w:vMerge/>
            <w:tcBorders>
              <w:bottom w:sz="8.0" w:val="single" w:color="#000000"/>
            </w:tcBorders>
          </w:tcPr>
          <w:p/>
        </w:tc>
        <w:tc>
          <w:tcPr>
            <w:tcW w:type="dxa" w:w="1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23,164 </w:t>
            </w:r>
          </w:p>
        </w:tc>
      </w:tr>
      <w:tr>
        <w:trPr>
          <w:trHeight w:hRule="exact" w:val="220"/>
        </w:trPr>
        <w:tc>
          <w:tcPr>
            <w:tcW w:type="dxa" w:w="51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Total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5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72,413 </w:t>
            </w:r>
          </w:p>
        </w:tc>
        <w:tc>
          <w:tcPr>
            <w:tcW w:type="dxa" w:w="8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46,424 </w:t>
            </w:r>
          </w:p>
        </w:tc>
      </w:tr>
    </w:tbl>
    <w:p>
      <w:pPr>
        <w:autoSpaceDN w:val="0"/>
        <w:tabs>
          <w:tab w:pos="212" w:val="left"/>
        </w:tabs>
        <w:autoSpaceDE w:val="0"/>
        <w:widowControl/>
        <w:spacing w:line="160" w:lineRule="exact" w:before="31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As of June 30, 2025, total includes net unamortized discount of $1,535 million ($1,482 million—June 30, 2024) for CPL and $46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million ($18 million—June 30, 2024) for market borrowings at amortized cost.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698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702" w:right="144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NOTE F—DERIVATIVE INSTRUMENTS</w:t>
      </w:r>
    </w:p>
    <w:p>
      <w:pPr>
        <w:autoSpaceDN w:val="0"/>
        <w:autoSpaceDE w:val="0"/>
        <w:widowControl/>
        <w:spacing w:line="240" w:lineRule="exact" w:before="14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uses derivative instruments in its investment, loan and borrowing portfolios, for asset-liability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purposes, and to assist clients in managing risks. 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following table summarizes IDA’s use of derivatives in its various financial portfolios.</w:t>
      </w:r>
    </w:p>
    <w:p>
      <w:pPr>
        <w:autoSpaceDN w:val="0"/>
        <w:autoSpaceDE w:val="0"/>
        <w:widowControl/>
        <w:spacing w:line="224" w:lineRule="exact" w:before="136" w:after="102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F1: Use of derivatives in various financial portfolios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40"/>
        </w:trPr>
        <w:tc>
          <w:tcPr>
            <w:tcW w:type="dxa" w:w="15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Portfolio</w:t>
            </w:r>
          </w:p>
        </w:tc>
        <w:tc>
          <w:tcPr>
            <w:tcW w:type="dxa" w:w="3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Derivative instruments used</w:t>
            </w:r>
          </w:p>
        </w:tc>
        <w:tc>
          <w:tcPr>
            <w:tcW w:type="dxa" w:w="38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Purpose/Risk being managed</w:t>
            </w:r>
          </w:p>
        </w:tc>
      </w:tr>
    </w:tbl>
    <w:p>
      <w:pPr>
        <w:autoSpaceDN w:val="0"/>
        <w:autoSpaceDE w:val="0"/>
        <w:widowControl/>
        <w:spacing w:line="178" w:lineRule="exact" w:before="18" w:after="0"/>
        <w:ind w:left="6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management purposes:</w:t>
      </w:r>
    </w:p>
    <w:p>
      <w:pPr>
        <w:autoSpaceDN w:val="0"/>
        <w:autoSpaceDE w:val="0"/>
        <w:widowControl/>
        <w:spacing w:line="178" w:lineRule="exact" w:before="58" w:after="6"/>
        <w:ind w:left="234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Interest rate swaps, forward contracts, currency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149"/>
        <w:gridCol w:w="3149"/>
        <w:gridCol w:w="3149"/>
      </w:tblGrid>
      <w:tr>
        <w:trPr>
          <w:trHeight w:hRule="exact" w:val="192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Investments—Trading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3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swaps, options, swaptions, futures contracts, and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 currency and interest rate risks</w:t>
            </w:r>
          </w:p>
        </w:tc>
      </w:tr>
    </w:tbl>
    <w:p>
      <w:pPr>
        <w:autoSpaceDN w:val="0"/>
        <w:autoSpaceDE w:val="0"/>
        <w:widowControl/>
        <w:spacing w:line="178" w:lineRule="exact" w:before="8" w:after="30"/>
        <w:ind w:left="0" w:right="5986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TBA securities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149"/>
        <w:gridCol w:w="3149"/>
        <w:gridCol w:w="3149"/>
      </w:tblGrid>
      <w:tr>
        <w:trPr>
          <w:trHeight w:hRule="exact" w:val="208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asset-liability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3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forward contracts, currency swaps and </w:t>
            </w:r>
          </w:p>
        </w:tc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 currency and interest rate risks</w:t>
            </w:r>
          </w:p>
        </w:tc>
      </w:tr>
      <w:tr>
        <w:trPr>
          <w:trHeight w:hRule="exact" w:val="22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management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4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3149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3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 interest rate risk</w:t>
            </w:r>
          </w:p>
        </w:tc>
      </w:tr>
      <w:tr>
        <w:trPr>
          <w:trHeight w:hRule="exact" w:val="268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3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 and currency swaps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 currency and interest rate risks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30"/>
        <w:ind w:left="6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Other purposes: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62"/>
        </w:trPr>
        <w:tc>
          <w:tcPr>
            <w:tcW w:type="dxa" w:w="1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</w:t>
            </w:r>
          </w:p>
        </w:tc>
        <w:tc>
          <w:tcPr>
            <w:tcW w:type="dxa" w:w="3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 and currency swaps</w:t>
            </w:r>
          </w:p>
        </w:tc>
        <w:tc>
          <w:tcPr>
            <w:tcW w:type="dxa" w:w="35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Assist clients in managing risks</w:t>
            </w:r>
          </w:p>
        </w:tc>
      </w:tr>
    </w:tbl>
    <w:p>
      <w:pPr>
        <w:autoSpaceDN w:val="0"/>
        <w:autoSpaceDE w:val="0"/>
        <w:widowControl/>
        <w:spacing w:line="240" w:lineRule="exact" w:before="16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derivatives in the related tables of Note F are presented on a net basis by instrument. A reconciliation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to the Balance Sheet presentation is shown in Table F2.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Offsetting assets and liabilities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enters into International Swaps and Derivatives Association, Inc. (ISDA) master netting agreements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substantially all of its derivative counterparties. These legally enforceable master netting agreements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give IDA the right to liquidate securities held as collateral and to offset receivables and payables with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same counterparty, in the event of default by the counterparty.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tables summarize the gross and net derivative positions by instrument type. Instruments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are in a net asset position are included in the Derivative Assets columns and instruments that are in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net liability position are included in the Derivative Liabilities columns. The effects of the master netting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agreements are applied on an aggregate basis to the total derivative asset and liability positions and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presented net of any cash collateral received on the Balance Sheets. The net derivative asset positions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tables below have been further reduced by any securities received as collateral to disclose IDA’s net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exposure on its derivative asset positions. </w:t>
      </w:r>
    </w:p>
    <w:p>
      <w:pPr>
        <w:autoSpaceDN w:val="0"/>
        <w:tabs>
          <w:tab w:pos="9052" w:val="left"/>
        </w:tabs>
        <w:autoSpaceDE w:val="0"/>
        <w:widowControl/>
        <w:spacing w:line="224" w:lineRule="exact" w:before="5150" w:after="0"/>
        <w:ind w:left="47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115</w:t>
      </w:r>
    </w:p>
    <w:p>
      <w:pPr>
        <w:sectPr>
          <w:pgSz w:w="12240" w:h="15840"/>
          <w:pgMar w:top="696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F2: Derivatives assets and liabilities before and after netting adjustments</w:t>
      </w:r>
    </w:p>
    <w:p>
      <w:pPr>
        <w:autoSpaceDN w:val="0"/>
        <w:autoSpaceDE w:val="0"/>
        <w:widowControl/>
        <w:spacing w:line="178" w:lineRule="exact" w:before="8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40"/>
        </w:trPr>
        <w:tc>
          <w:tcPr>
            <w:tcW w:type="dxa" w:w="4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34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2220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20"/>
        </w:trPr>
        <w:tc>
          <w:tcPr>
            <w:tcW w:type="dxa" w:w="49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106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19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115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106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19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</w:tr>
      <w:tr>
        <w:trPr>
          <w:trHeight w:hRule="exact" w:val="214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Assets</w:t>
            </w:r>
          </w:p>
        </w:tc>
        <w:tc>
          <w:tcPr>
            <w:tcW w:type="dxa" w:w="106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Liabilities</w:t>
            </w:r>
          </w:p>
        </w:tc>
        <w:tc>
          <w:tcPr>
            <w:tcW w:type="dxa" w:w="11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Assets</w:t>
            </w:r>
          </w:p>
        </w:tc>
        <w:tc>
          <w:tcPr>
            <w:tcW w:type="dxa" w:w="106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Liabilities</w:t>
            </w:r>
          </w:p>
        </w:tc>
      </w:tr>
      <w:tr>
        <w:trPr>
          <w:trHeight w:hRule="exact" w:val="226"/>
        </w:trPr>
        <w:tc>
          <w:tcPr>
            <w:tcW w:type="dxa" w:w="4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3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3,035 </w:t>
            </w:r>
          </w:p>
        </w:tc>
        <w:tc>
          <w:tcPr>
            <w:tcW w:type="dxa" w:w="41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1,212 </w:t>
            </w:r>
          </w:p>
        </w:tc>
        <w:tc>
          <w:tcPr>
            <w:tcW w:type="dxa" w:w="4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2,250 </w:t>
            </w:r>
          </w:p>
        </w:tc>
        <w:tc>
          <w:tcPr>
            <w:tcW w:type="dxa" w:w="41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1,694 </w:t>
            </w:r>
          </w:p>
        </w:tc>
      </w:tr>
      <w:tr>
        <w:trPr>
          <w:trHeight w:hRule="exact" w:val="240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0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266 </w:t>
            </w:r>
          </w:p>
        </w:tc>
        <w:tc>
          <w:tcPr>
            <w:tcW w:type="dxa" w:w="1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810 </w:t>
            </w:r>
          </w:p>
        </w:tc>
        <w:tc>
          <w:tcPr>
            <w:tcW w:type="dxa" w:w="1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767 </w:t>
            </w:r>
          </w:p>
        </w:tc>
        <w:tc>
          <w:tcPr>
            <w:tcW w:type="dxa" w:w="1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665 </w:t>
            </w:r>
          </w:p>
        </w:tc>
      </w:tr>
      <w:tr>
        <w:trPr>
          <w:trHeight w:hRule="exact" w:val="254"/>
        </w:trPr>
        <w:tc>
          <w:tcPr>
            <w:tcW w:type="dxa" w:w="4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0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6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06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4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Gross Total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3,301 </w:t>
            </w:r>
          </w:p>
        </w:tc>
        <w:tc>
          <w:tcPr>
            <w:tcW w:type="dxa" w:w="41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2,022 </w:t>
            </w:r>
          </w:p>
        </w:tc>
        <w:tc>
          <w:tcPr>
            <w:tcW w:type="dxa" w:w="4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3,020 </w:t>
            </w:r>
          </w:p>
        </w:tc>
        <w:tc>
          <w:tcPr>
            <w:tcW w:type="dxa" w:w="41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2,359 </w:t>
            </w:r>
          </w:p>
        </w:tc>
      </w:tr>
    </w:tbl>
    <w:p>
      <w:pPr>
        <w:autoSpaceDN w:val="0"/>
        <w:autoSpaceDE w:val="0"/>
        <w:widowControl/>
        <w:spacing w:line="180" w:lineRule="exact" w:before="2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02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</w:t>
            </w:r>
          </w:p>
        </w:tc>
        <w:tc>
          <w:tcPr>
            <w:tcW w:type="dxa" w:w="3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1,620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1,526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3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1,764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1,692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</w:tr>
      <w:tr>
        <w:trPr>
          <w:trHeight w:hRule="exact" w:val="22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agreements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50"/>
        </w:trPr>
        <w:tc>
          <w:tcPr>
            <w:tcW w:type="dxa" w:w="4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Cash collateral received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1,266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893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31"/>
        </w:trPr>
        <w:tc>
          <w:tcPr>
            <w:tcW w:type="dxa" w:w="4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derivative positions on the Balance Sheet</w:t>
            </w:r>
          </w:p>
        </w:tc>
        <w:tc>
          <w:tcPr>
            <w:tcW w:type="dxa" w:w="3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415 </w:t>
            </w:r>
          </w:p>
        </w:tc>
        <w:tc>
          <w:tcPr>
            <w:tcW w:type="dxa" w:w="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496 </w:t>
            </w:r>
          </w:p>
        </w:tc>
        <w:tc>
          <w:tcPr>
            <w:tcW w:type="dxa" w:w="3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363 </w:t>
            </w:r>
          </w:p>
        </w:tc>
        <w:tc>
          <w:tcPr>
            <w:tcW w:type="dxa" w:w="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667 </w:t>
            </w:r>
          </w:p>
        </w:tc>
      </w:tr>
    </w:tbl>
    <w:p>
      <w:pPr>
        <w:autoSpaceDN w:val="0"/>
        <w:autoSpaceDE w:val="0"/>
        <w:widowControl/>
        <w:spacing w:line="178" w:lineRule="exact" w:before="40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38"/>
        </w:trPr>
        <w:tc>
          <w:tcPr>
            <w:tcW w:type="dxa" w:w="4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Securities collateral received </w:t>
            </w:r>
          </w:p>
        </w:tc>
        <w:tc>
          <w:tcPr>
            <w:tcW w:type="dxa" w:w="4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 </w:t>
            </w:r>
          </w:p>
        </w:tc>
        <w:tc>
          <w:tcPr>
            <w:tcW w:type="dxa" w:w="4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4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derivative exposure after collateral</w:t>
            </w:r>
          </w:p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382 </w:t>
            </w:r>
          </w:p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363 </w:t>
            </w:r>
          </w:p>
        </w:tc>
      </w:tr>
    </w:tbl>
    <w:p>
      <w:pPr>
        <w:autoSpaceDN w:val="0"/>
        <w:autoSpaceDE w:val="0"/>
        <w:widowControl/>
        <w:spacing w:line="180" w:lineRule="exact" w:before="15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forward contracts.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These include swaptions, exchange traded options, futures contracts and TBA securities.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Includes $108 million Credit Valuation Adjustment (CVA) ($92 million-June 30, 2024).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Includes $14 million Debit Valuation Adjustment (DVA) ($20 million-June 30, 2024).</w:t>
      </w:r>
    </w:p>
    <w:p>
      <w:pPr>
        <w:autoSpaceDN w:val="0"/>
        <w:autoSpaceDE w:val="0"/>
        <w:widowControl/>
        <w:spacing w:line="240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tables provide information about the credit risk exposures at fair value of IDA's derivative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instruments by portfolio, before the effects of master netting arrangements and collateral: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F3: Credit risk exposure of the derivative instruments</w:t>
      </w:r>
    </w:p>
    <w:p>
      <w:pPr>
        <w:autoSpaceDN w:val="0"/>
        <w:tabs>
          <w:tab w:pos="6300" w:val="left"/>
          <w:tab w:pos="6322" w:val="left"/>
        </w:tabs>
        <w:autoSpaceDE w:val="0"/>
        <w:widowControl/>
        <w:spacing w:line="244" w:lineRule="exact" w:before="80" w:after="8"/>
        <w:ind w:left="62" w:right="1872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June 30, 2025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Currency swaps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10.0" w:type="dxa"/>
      </w:tblPr>
      <w:tblGrid>
        <w:gridCol w:w="3148"/>
        <w:gridCol w:w="3148"/>
        <w:gridCol w:w="3148"/>
      </w:tblGrid>
      <w:tr>
        <w:trPr>
          <w:trHeight w:hRule="exact" w:val="190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1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Interest rate swaps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(including forward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78" w:lineRule="exact" w:before="8" w:after="34"/>
        <w:ind w:left="0" w:right="222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contracts)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43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 - Trading</w:t>
            </w:r>
          </w:p>
        </w:tc>
        <w:tc>
          <w:tcPr>
            <w:tcW w:type="dxa" w:w="5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7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  <w:tc>
          <w:tcPr>
            <w:tcW w:type="dxa" w:w="5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</w:tr>
      <w:tr>
        <w:trPr>
          <w:trHeight w:hRule="exact" w:val="240"/>
        </w:trPr>
        <w:tc>
          <w:tcPr>
            <w:tcW w:type="dxa" w:w="4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Asset-liability management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2,595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166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2,761 </w:t>
            </w:r>
          </w:p>
        </w:tc>
      </w:tr>
      <w:tr>
        <w:trPr>
          <w:trHeight w:hRule="exact" w:val="220"/>
        </w:trPr>
        <w:tc>
          <w:tcPr>
            <w:tcW w:type="dxa" w:w="4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321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390 </w:t>
            </w:r>
          </w:p>
        </w:tc>
      </w:tr>
      <w:tr>
        <w:trPr>
          <w:trHeight w:hRule="exact" w:val="260"/>
        </w:trPr>
        <w:tc>
          <w:tcPr>
            <w:tcW w:type="dxa" w:w="43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120 </w:t>
            </w:r>
          </w:p>
        </w:tc>
      </w:tr>
      <w:tr>
        <w:trPr>
          <w:trHeight w:hRule="exact" w:val="220"/>
        </w:trPr>
        <w:tc>
          <w:tcPr>
            <w:tcW w:type="dxa" w:w="43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Exposure</w:t>
            </w:r>
          </w:p>
        </w:tc>
        <w:tc>
          <w:tcPr>
            <w:tcW w:type="dxa" w:w="5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3,035 </w:t>
            </w:r>
          </w:p>
        </w:tc>
        <w:tc>
          <w:tcPr>
            <w:tcW w:type="dxa" w:w="7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266 </w:t>
            </w:r>
          </w:p>
        </w:tc>
        <w:tc>
          <w:tcPr>
            <w:tcW w:type="dxa" w:w="5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3,301 </w:t>
            </w:r>
          </w:p>
        </w:tc>
      </w:tr>
    </w:tbl>
    <w:p>
      <w:pPr>
        <w:autoSpaceDN w:val="0"/>
        <w:tabs>
          <w:tab w:pos="6300" w:val="left"/>
          <w:tab w:pos="6322" w:val="left"/>
        </w:tabs>
        <w:autoSpaceDE w:val="0"/>
        <w:widowControl/>
        <w:spacing w:line="242" w:lineRule="exact" w:before="488" w:after="6"/>
        <w:ind w:left="62" w:right="1872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Table F3.1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June 30, 2024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Currency swaps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10.0" w:type="dxa"/>
      </w:tblPr>
      <w:tblGrid>
        <w:gridCol w:w="3148"/>
        <w:gridCol w:w="3148"/>
        <w:gridCol w:w="3148"/>
      </w:tblGrid>
      <w:tr>
        <w:trPr>
          <w:trHeight w:hRule="exact" w:val="192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1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Interest rate swaps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(including forward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4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80" w:lineRule="exact" w:before="6" w:after="32"/>
        <w:ind w:left="0" w:right="222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contracts)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26"/>
        </w:trPr>
        <w:tc>
          <w:tcPr>
            <w:tcW w:type="dxa" w:w="43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 - Trading</w:t>
            </w:r>
          </w:p>
        </w:tc>
        <w:tc>
          <w:tcPr>
            <w:tcW w:type="dxa" w:w="5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7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232 </w:t>
            </w:r>
          </w:p>
        </w:tc>
        <w:tc>
          <w:tcPr>
            <w:tcW w:type="dxa" w:w="4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234 </w:t>
            </w:r>
          </w:p>
        </w:tc>
      </w:tr>
      <w:tr>
        <w:trPr>
          <w:trHeight w:hRule="exact" w:val="240"/>
        </w:trPr>
        <w:tc>
          <w:tcPr>
            <w:tcW w:type="dxa" w:w="4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Asset-liability management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2,063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519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2,582 </w:t>
            </w:r>
          </w:p>
        </w:tc>
      </w:tr>
      <w:tr>
        <w:trPr>
          <w:trHeight w:hRule="exact" w:val="240"/>
        </w:trPr>
        <w:tc>
          <w:tcPr>
            <w:tcW w:type="dxa" w:w="4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 </w:t>
            </w:r>
          </w:p>
        </w:tc>
      </w:tr>
      <w:tr>
        <w:trPr>
          <w:trHeight w:hRule="exact" w:val="254"/>
        </w:trPr>
        <w:tc>
          <w:tcPr>
            <w:tcW w:type="dxa" w:w="43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 </w:t>
            </w:r>
          </w:p>
        </w:tc>
      </w:tr>
      <w:tr>
        <w:trPr>
          <w:trHeight w:hRule="exact" w:val="220"/>
        </w:trPr>
        <w:tc>
          <w:tcPr>
            <w:tcW w:type="dxa" w:w="43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Exposure</w:t>
            </w:r>
          </w:p>
        </w:tc>
        <w:tc>
          <w:tcPr>
            <w:tcW w:type="dxa" w:w="5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2,250 </w:t>
            </w:r>
          </w:p>
        </w:tc>
        <w:tc>
          <w:tcPr>
            <w:tcW w:type="dxa" w:w="7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767 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3,017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34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Includes derivatives related to loans and PSW, and excludes exchange traded instruments as they are generally subject to daily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margin requirements and are deemed to have no material credit risk.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122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702" w:right="1366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volume of derivative contracts is measured using the U.S. dollar equivalent notional balance.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notional balance represents the face value or reference value on which the calculations of payments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derivative instrument are determined. As of June 30, 2025, the notional amounts of IDA's derivative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contracts outstanding were as follows: interest rate swaps $52,538 million ($39,153 million as of 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2024) and currency swaps $22,683 million ($22,792 million as of June 30, 2024). There were $352 million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long positions and $860 million of short positions pertaining to other derivatives as of June 30, 2025 </w:t>
      </w:r>
      <w:r>
        <w:rPr>
          <w:rFonts w:ascii="ArialMT" w:hAnsi="ArialMT" w:eastAsia="ArialMT"/>
          <w:b w:val="0"/>
          <w:i w:val="0"/>
          <w:color w:val="000000"/>
          <w:sz w:val="20"/>
        </w:rPr>
        <w:t>($566 million and $74 million, respectively as of June 30, 2024).</w:t>
      </w:r>
    </w:p>
    <w:p>
      <w:pPr>
        <w:autoSpaceDN w:val="0"/>
        <w:autoSpaceDE w:val="0"/>
        <w:widowControl/>
        <w:spacing w:line="246" w:lineRule="exact" w:before="13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Collateral 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is not required to post collateral under its derivative agreements as long as it maintains a triple-A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credit rating. The aggregate fair value of all derivative instruments with credit-risk related contingent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features that are in a liability position as of June 30, 2025, was $439 million ($593 million —June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2024). As of June 30, 2025, IDA was not required to post any collateral in accordance with the relevant </w:t>
      </w:r>
      <w:r>
        <w:rPr>
          <w:rFonts w:ascii="ArialMT" w:hAnsi="ArialMT" w:eastAsia="ArialMT"/>
          <w:b w:val="0"/>
          <w:i w:val="0"/>
          <w:color w:val="000000"/>
          <w:sz w:val="20"/>
        </w:rPr>
        <w:t>agreements.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If the credit-risk related contingent features underlying these agreements were triggered to the extent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would be required to post collateral as of June 30, 2025, the amount of collateral that would need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 posted would be less than $1 million ($30 million—June 30, 2024). Subsequent triggers of contingent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features would require posting of additional collateral, up to a maximum of $439 million as of 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2025 ($593 million—June 30, 2024).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gains or losses on the non-trading derivatives, by instrument type and their location in the Statements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>of Income are as follows: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F4: Unrealized mark-to-market gains or losses on non-trading derivatives</w:t>
      </w:r>
    </w:p>
    <w:p>
      <w:pPr>
        <w:autoSpaceDN w:val="0"/>
        <w:autoSpaceDE w:val="0"/>
        <w:widowControl/>
        <w:spacing w:line="178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452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Fiscal Year Ended June 30,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40"/>
        </w:trPr>
        <w:tc>
          <w:tcPr>
            <w:tcW w:type="dxa" w:w="38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Type of instrument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28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8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Reported as</w:t>
            </w:r>
          </w:p>
        </w:tc>
        <w:tc>
          <w:tcPr>
            <w:tcW w:type="dxa" w:w="2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3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3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436"/>
        </w:trPr>
        <w:tc>
          <w:tcPr>
            <w:tcW w:type="dxa" w:w="383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1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28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Unrealized mark-to-market </w:t>
            </w:r>
          </w:p>
        </w:tc>
        <w:tc>
          <w:tcPr>
            <w:tcW w:type="dxa" w:w="2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9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1,234 </w:t>
            </w:r>
          </w:p>
        </w:tc>
        <w:tc>
          <w:tcPr>
            <w:tcW w:type="dxa" w:w="3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96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9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912 </w:t>
            </w:r>
          </w:p>
        </w:tc>
        <w:tc>
          <w:tcPr>
            <w:tcW w:type="dxa" w:w="3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96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9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(252) </w:t>
            </w:r>
          </w:p>
        </w:tc>
      </w:tr>
      <w:tr>
        <w:trPr>
          <w:trHeight w:hRule="exact" w:val="200"/>
        </w:trPr>
        <w:tc>
          <w:tcPr>
            <w:tcW w:type="dxa" w:w="1181"/>
            <w:vMerge/>
            <w:tcBorders>
              <w:top w:sz="8.0" w:val="single" w:color="#000000"/>
            </w:tcBorders>
          </w:tcPr>
          <w:p/>
        </w:tc>
        <w:tc>
          <w:tcPr>
            <w:tcW w:type="dxa" w:w="2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gains (losses) on non-trading</w:t>
            </w:r>
          </w:p>
        </w:tc>
        <w:tc>
          <w:tcPr>
            <w:tcW w:type="dxa" w:w="118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top w:sz="8.0" w:val="single" w:color="#000000"/>
            </w:tcBorders>
          </w:tcPr>
          <w:p/>
        </w:tc>
        <w:tc>
          <w:tcPr>
            <w:tcW w:type="dxa" w:w="118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top w:sz="8.0" w:val="single" w:color="#000000"/>
            </w:tcBorders>
          </w:tcPr>
          <w:p/>
        </w:tc>
        <w:tc>
          <w:tcPr>
            <w:tcW w:type="dxa" w:w="118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3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forward contracts and currency swaps</w:t>
            </w:r>
          </w:p>
        </w:tc>
        <w:tc>
          <w:tcPr>
            <w:tcW w:type="dxa" w:w="28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portfolios, net</w:t>
            </w:r>
          </w:p>
        </w:tc>
        <w:tc>
          <w:tcPr>
            <w:tcW w:type="dxa" w:w="118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148 </w:t>
            </w:r>
          </w:p>
        </w:tc>
        <w:tc>
          <w:tcPr>
            <w:tcW w:type="dxa" w:w="118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178 </w:t>
            </w:r>
          </w:p>
        </w:tc>
        <w:tc>
          <w:tcPr>
            <w:tcW w:type="dxa" w:w="118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(182) </w:t>
            </w:r>
          </w:p>
        </w:tc>
      </w:tr>
      <w:tr>
        <w:trPr>
          <w:trHeight w:hRule="exact" w:val="220"/>
        </w:trPr>
        <w:tc>
          <w:tcPr>
            <w:tcW w:type="dxa" w:w="38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8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1,382 </w:t>
            </w:r>
          </w:p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1,090 </w:t>
            </w:r>
          </w:p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(434) </w:t>
            </w:r>
          </w:p>
        </w:tc>
      </w:tr>
      <w:tr>
        <w:trPr>
          <w:trHeight w:hRule="exact" w:val="260"/>
        </w:trPr>
        <w:tc>
          <w:tcPr>
            <w:tcW w:type="dxa" w:w="38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2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For disclosures related to derivatives in trading portfolio, see Table F5. </w:t>
      </w:r>
    </w:p>
    <w:p>
      <w:pPr>
        <w:autoSpaceDN w:val="0"/>
        <w:autoSpaceDE w:val="0"/>
        <w:widowControl/>
        <w:spacing w:line="240" w:lineRule="exact" w:before="19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majority of the instruments in IDA’s investment portfolio are held for trading purposes. Within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trading portfolio, IDA holds highly rated fixed income instruments as well as derivatives. The trading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portfolio is primarily held to ensure the availability of funds to meet future cash flow requirements and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liquidity management purposes. The following table provides information on the amount of gains or losses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IDA’s investment trading portfolio (derivative and non-derivative instruments), and their location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Statements of Income: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F5: Unrealized mark-to-market gains or losses on investment trading portfolio</w:t>
      </w:r>
    </w:p>
    <w:p>
      <w:pPr>
        <w:autoSpaceDN w:val="0"/>
        <w:autoSpaceDE w:val="0"/>
        <w:widowControl/>
        <w:spacing w:line="180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20"/>
        <w:ind w:left="0" w:right="50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Fiscal Year Ended June 30,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40"/>
        </w:trPr>
        <w:tc>
          <w:tcPr>
            <w:tcW w:type="dxa" w:w="37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Type of instrument</w:t>
            </w:r>
          </w:p>
        </w:tc>
        <w:tc>
          <w:tcPr>
            <w:tcW w:type="dxa" w:w="287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5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Reported as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9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9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180" w:lineRule="exact" w:before="206" w:after="6"/>
        <w:ind w:left="0" w:right="3196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Unrealized mark-to-market gains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178"/>
        </w:trPr>
        <w:tc>
          <w:tcPr>
            <w:tcW w:type="dxa" w:w="36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Fixed income (including related derivatives)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3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(losses) on Investment-Trading </w:t>
            </w:r>
          </w:p>
        </w:tc>
        <w:tc>
          <w:tcPr>
            <w:tcW w:type="dxa" w:w="3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340 </w:t>
            </w:r>
          </w:p>
        </w:tc>
        <w:tc>
          <w:tcPr>
            <w:tcW w:type="dxa" w:w="4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316 </w:t>
            </w:r>
          </w:p>
        </w:tc>
        <w:tc>
          <w:tcPr>
            <w:tcW w:type="dxa" w:w="4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(29) </w:t>
            </w:r>
          </w:p>
        </w:tc>
      </w:tr>
      <w:tr>
        <w:trPr>
          <w:trHeight w:hRule="exact" w:val="210"/>
        </w:trPr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  <w:tc>
          <w:tcPr>
            <w:tcW w:type="dxa" w:w="30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portfolios, net</w:t>
            </w:r>
          </w:p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  <w:tc>
          <w:tcPr>
            <w:tcW w:type="dxa" w:w="1181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3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0" w:after="0"/>
        <w:ind w:left="62" w:right="72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unrealized mark-to-market gains/losses from IDA's share of Post-Employment Benefit Plan (PEBP) and Post-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Retirement Contribution Reserve Fund (PCRF) holdings.</w:t>
      </w:r>
    </w:p>
    <w:p>
      <w:pPr>
        <w:autoSpaceDN w:val="0"/>
        <w:tabs>
          <w:tab w:pos="9052" w:val="left"/>
        </w:tabs>
        <w:autoSpaceDE w:val="0"/>
        <w:widowControl/>
        <w:spacing w:line="224" w:lineRule="exact" w:before="1182" w:after="0"/>
        <w:ind w:left="47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117</w:t>
      </w:r>
    </w:p>
    <w:p>
      <w:pPr>
        <w:sectPr>
          <w:pgSz w:w="12240" w:h="15840"/>
          <w:pgMar w:top="702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NOTE G—DEVELOPMENT GRANTS</w:t>
      </w:r>
    </w:p>
    <w:p>
      <w:pPr>
        <w:autoSpaceDN w:val="0"/>
        <w:autoSpaceDE w:val="0"/>
        <w:widowControl/>
        <w:spacing w:line="224" w:lineRule="exact" w:before="15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A summary of grant activities is presented below:</w:t>
      </w:r>
    </w:p>
    <w:p>
      <w:pPr>
        <w:autoSpaceDN w:val="0"/>
        <w:autoSpaceDE w:val="0"/>
        <w:widowControl/>
        <w:spacing w:line="224" w:lineRule="exact" w:before="136" w:after="102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G1: Grant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240"/>
        </w:trPr>
        <w:tc>
          <w:tcPr>
            <w:tcW w:type="dxa" w:w="51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millions of U.S dollars</w:t>
            </w:r>
          </w:p>
        </w:tc>
        <w:tc>
          <w:tcPr>
            <w:tcW w:type="dxa" w:w="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8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Fiscal Year Ended June 30,</w:t>
            </w:r>
          </w:p>
        </w:tc>
        <w:tc>
          <w:tcPr>
            <w:tcW w:type="dxa" w:w="10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1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218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4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0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224"/>
        </w:trPr>
        <w:tc>
          <w:tcPr>
            <w:tcW w:type="dxa" w:w="51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Grants approved</w:t>
            </w:r>
          </w:p>
        </w:tc>
        <w:tc>
          <w:tcPr>
            <w:tcW w:type="dxa" w:w="29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8,256 </w:t>
            </w:r>
          </w:p>
        </w:tc>
        <w:tc>
          <w:tcPr>
            <w:tcW w:type="dxa" w:w="9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8,117 </w:t>
            </w:r>
          </w:p>
        </w:tc>
        <w:tc>
          <w:tcPr>
            <w:tcW w:type="dxa" w:w="10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$ 7,263 </w:t>
            </w:r>
          </w:p>
        </w:tc>
      </w:tr>
      <w:tr>
        <w:trPr>
          <w:trHeight w:hRule="exact" w:val="240"/>
        </w:trPr>
        <w:tc>
          <w:tcPr>
            <w:tcW w:type="dxa" w:w="5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Grant disbursements</w:t>
            </w:r>
          </w:p>
        </w:tc>
        <w:tc>
          <w:tcPr>
            <w:tcW w:type="dxa" w:w="15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8,332 </w:t>
            </w:r>
          </w:p>
        </w:tc>
        <w:tc>
          <w:tcPr>
            <w:tcW w:type="dxa" w:w="2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7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7,191 </w:t>
            </w:r>
          </w:p>
        </w:tc>
        <w:tc>
          <w:tcPr>
            <w:tcW w:type="dxa" w:w="1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7,170 </w:t>
            </w:r>
          </w:p>
        </w:tc>
      </w:tr>
      <w:tr>
        <w:trPr>
          <w:trHeight w:hRule="exact" w:val="240"/>
        </w:trPr>
        <w:tc>
          <w:tcPr>
            <w:tcW w:type="dxa" w:w="5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Unconditional grants</w:t>
            </w:r>
          </w:p>
        </w:tc>
        <w:tc>
          <w:tcPr>
            <w:tcW w:type="dxa" w:w="15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603 </w:t>
            </w:r>
          </w:p>
        </w:tc>
        <w:tc>
          <w:tcPr>
            <w:tcW w:type="dxa" w:w="2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7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1,142 </w:t>
            </w:r>
          </w:p>
        </w:tc>
        <w:tc>
          <w:tcPr>
            <w:tcW w:type="dxa" w:w="1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1,385 </w:t>
            </w:r>
          </w:p>
        </w:tc>
      </w:tr>
      <w:tr>
        <w:trPr>
          <w:trHeight w:hRule="exact" w:val="240"/>
        </w:trPr>
        <w:tc>
          <w:tcPr>
            <w:tcW w:type="dxa" w:w="5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Conditional grants</w:t>
            </w:r>
          </w:p>
        </w:tc>
        <w:tc>
          <w:tcPr>
            <w:tcW w:type="dxa" w:w="15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7,729 </w:t>
            </w:r>
          </w:p>
        </w:tc>
        <w:tc>
          <w:tcPr>
            <w:tcW w:type="dxa" w:w="2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7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6,049 </w:t>
            </w:r>
          </w:p>
        </w:tc>
        <w:tc>
          <w:tcPr>
            <w:tcW w:type="dxa" w:w="1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5,785 </w:t>
            </w:r>
          </w:p>
        </w:tc>
      </w:tr>
      <w:tr>
        <w:trPr>
          <w:trHeight w:hRule="exact" w:val="256"/>
        </w:trPr>
        <w:tc>
          <w:tcPr>
            <w:tcW w:type="dxa" w:w="51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Grant expenses</w:t>
            </w:r>
          </w:p>
        </w:tc>
        <w:tc>
          <w:tcPr>
            <w:tcW w:type="dxa" w:w="15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7,200 </w:t>
            </w:r>
          </w:p>
        </w:tc>
        <w:tc>
          <w:tcPr>
            <w:tcW w:type="dxa" w:w="21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7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5,291 </w:t>
            </w:r>
          </w:p>
        </w:tc>
        <w:tc>
          <w:tcPr>
            <w:tcW w:type="dxa" w:w="10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3,946 </w:t>
            </w:r>
          </w:p>
        </w:tc>
      </w:tr>
    </w:tbl>
    <w:p>
      <w:pPr>
        <w:autoSpaceDN w:val="0"/>
        <w:autoSpaceDE w:val="0"/>
        <w:widowControl/>
        <w:spacing w:line="240" w:lineRule="exact" w:before="15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the cumulative amount of conditional grants approved but not yet expensed, since </w:t>
      </w:r>
      <w:r>
        <w:rPr>
          <w:rFonts w:ascii="ArialMT" w:hAnsi="ArialMT" w:eastAsia="ArialMT"/>
          <w:b w:val="0"/>
          <w:i w:val="0"/>
          <w:color w:val="000000"/>
          <w:sz w:val="20"/>
        </w:rPr>
        <w:t>all conditions have not been met, was $30,582 million ($29,135 million —June 30, 2024).</w:t>
      </w:r>
    </w:p>
    <w:p>
      <w:pPr>
        <w:autoSpaceDN w:val="0"/>
        <w:autoSpaceDE w:val="0"/>
        <w:widowControl/>
        <w:spacing w:line="314" w:lineRule="exact" w:before="24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NOTE H—TRANSACTIONS WITH AFFILIATED ORGANIZATIONS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transacts with affiliated organizations as a recipient of transfers and grants, administrative, derivative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investment intermediation services and through cost sharing of IBRD’s sponsored pension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postretirement benefit plans. 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total amounts receivable from (payable to) affiliated organizations is comprised of the following: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H1: IDA’s receivables and payables with affiliated organizations</w:t>
      </w:r>
    </w:p>
    <w:p>
      <w:pPr>
        <w:autoSpaceDN w:val="0"/>
        <w:autoSpaceDE w:val="0"/>
        <w:widowControl/>
        <w:spacing w:line="178" w:lineRule="exact" w:before="14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</w:tblGrid>
      <w:tr>
        <w:trPr>
          <w:trHeight w:hRule="exact" w:val="240"/>
        </w:trPr>
        <w:tc>
          <w:tcPr>
            <w:tcW w:type="dxa" w:w="43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4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9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2656"/>
            <w:gridSpan w:val="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5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40"/>
        </w:trPr>
        <w:tc>
          <w:tcPr>
            <w:tcW w:type="dxa" w:w="43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IBRD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IFC</w:t>
            </w:r>
          </w:p>
        </w:tc>
        <w:tc>
          <w:tcPr>
            <w:tcW w:type="dxa" w:w="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2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  <w:tc>
          <w:tcPr>
            <w:tcW w:type="dxa" w:w="9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IBRD</w:t>
            </w:r>
          </w:p>
        </w:tc>
        <w:tc>
          <w:tcPr>
            <w:tcW w:type="dxa" w:w="64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IFC</w:t>
            </w:r>
          </w:p>
        </w:tc>
        <w:tc>
          <w:tcPr>
            <w:tcW w:type="dxa" w:w="1076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28"/>
        </w:trPr>
        <w:tc>
          <w:tcPr>
            <w:tcW w:type="dxa" w:w="436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62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Administrative Services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Derivative (liabilities)/assets, net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PSW-Blended Finance Facility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Investments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PCRF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Pension and Other Postretirement Benefits</w:t>
            </w:r>
          </w:p>
        </w:tc>
        <w:tc>
          <w:tcPr>
            <w:tcW w:type="dxa" w:w="98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(631)  $ </w:t>
            </w:r>
          </w:p>
        </w:tc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082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(631)  $ (279)  $ </w:t>
            </w:r>
          </w:p>
        </w:tc>
        <w:tc>
          <w:tcPr>
            <w:tcW w:type="dxa" w:w="41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7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(279) </w:t>
            </w:r>
          </w:p>
        </w:tc>
      </w:tr>
      <w:tr>
        <w:trPr>
          <w:trHeight w:hRule="exact" w:val="240"/>
        </w:trPr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(70)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(70)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(94) 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(94) </w:t>
            </w:r>
          </w:p>
        </w:tc>
      </w:tr>
      <w:tr>
        <w:trPr>
          <w:trHeight w:hRule="exact" w:val="240"/>
        </w:trPr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124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124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102 </w:t>
            </w:r>
          </w:p>
        </w:tc>
        <w:tc>
          <w:tcPr>
            <w:tcW w:type="dxa" w:w="10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102 </w:t>
            </w:r>
          </w:p>
        </w:tc>
      </w:tr>
      <w:tr>
        <w:trPr>
          <w:trHeight w:hRule="exact" w:val="240"/>
        </w:trPr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115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115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  <w:tc>
          <w:tcPr>
            <w:tcW w:type="dxa" w:w="10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</w:tr>
      <w:tr>
        <w:trPr>
          <w:trHeight w:hRule="exact" w:val="240"/>
        </w:trPr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721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721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489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489 </w:t>
            </w:r>
          </w:p>
        </w:tc>
      </w:tr>
      <w:tr>
        <w:trPr>
          <w:trHeight w:hRule="exact" w:val="252"/>
        </w:trPr>
        <w:tc>
          <w:tcPr>
            <w:tcW w:type="dxa" w:w="85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1,086 </w:t>
            </w:r>
          </w:p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1,086 </w:t>
            </w:r>
          </w:p>
        </w:tc>
        <w:tc>
          <w:tcPr>
            <w:tcW w:type="dxa" w:w="9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906 </w:t>
            </w:r>
          </w:p>
        </w:tc>
        <w:tc>
          <w:tcPr>
            <w:tcW w:type="dxa" w:w="6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76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906 </w:t>
            </w:r>
          </w:p>
        </w:tc>
      </w:tr>
      <w:tr>
        <w:trPr>
          <w:trHeight w:hRule="exact" w:val="220"/>
        </w:trPr>
        <w:tc>
          <w:tcPr>
            <w:tcW w:type="dxa" w:w="43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Total </w:t>
            </w:r>
          </w:p>
        </w:tc>
        <w:tc>
          <w:tcPr>
            <w:tcW w:type="dxa" w:w="7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$ 1,176 </w:t>
            </w:r>
          </w:p>
        </w:tc>
        <w:tc>
          <w:tcPr>
            <w:tcW w:type="dxa" w:w="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169 </w:t>
            </w:r>
          </w:p>
        </w:tc>
        <w:tc>
          <w:tcPr>
            <w:tcW w:type="dxa" w:w="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$ 1,345 </w:t>
            </w:r>
          </w:p>
        </w:tc>
        <w:tc>
          <w:tcPr>
            <w:tcW w:type="dxa" w:w="9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$ 1,116 </w:t>
            </w:r>
          </w:p>
        </w:tc>
        <w:tc>
          <w:tcPr>
            <w:tcW w:type="dxa" w:w="64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$ 179 </w:t>
            </w:r>
          </w:p>
        </w:tc>
        <w:tc>
          <w:tcPr>
            <w:tcW w:type="dxa" w:w="1076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$ 1,295 </w:t>
            </w:r>
          </w:p>
        </w:tc>
      </w:tr>
    </w:tbl>
    <w:p>
      <w:pPr>
        <w:autoSpaceDN w:val="0"/>
        <w:tabs>
          <w:tab w:pos="332" w:val="left"/>
        </w:tabs>
        <w:autoSpaceDE w:val="0"/>
        <w:widowControl/>
        <w:spacing w:line="192" w:lineRule="exact" w:before="256" w:after="0"/>
        <w:ind w:left="152" w:right="86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Receivable from IBRD for IDA's share of investments associated with PCRF, which is a fund established to stabilize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contributions made to the pension plans.</w:t>
      </w:r>
    </w:p>
    <w:p>
      <w:pPr>
        <w:autoSpaceDN w:val="0"/>
        <w:autoSpaceDE w:val="0"/>
        <w:widowControl/>
        <w:spacing w:line="240" w:lineRule="exact" w:before="198" w:after="162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receivables from (payables to) these affiliated organizations are reported on the Balance Sheets as </w:t>
      </w:r>
      <w:r>
        <w:rPr>
          <w:rFonts w:ascii="ArialMT" w:hAnsi="ArialMT" w:eastAsia="ArialMT"/>
          <w:b w:val="0"/>
          <w:i w:val="0"/>
          <w:color w:val="000000"/>
          <w:sz w:val="20"/>
        </w:rPr>
        <w:t>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2"/>
        <w:gridCol w:w="4722"/>
      </w:tblGrid>
      <w:tr>
        <w:trPr>
          <w:trHeight w:hRule="exact" w:val="182"/>
        </w:trPr>
        <w:tc>
          <w:tcPr>
            <w:tcW w:type="dxa" w:w="36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Receivables / Payables related to:</w:t>
            </w:r>
          </w:p>
        </w:tc>
        <w:tc>
          <w:tcPr>
            <w:tcW w:type="dxa" w:w="56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0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Reported as:</w:t>
            </w:r>
          </w:p>
        </w:tc>
      </w:tr>
    </w:tbl>
    <w:p>
      <w:pPr>
        <w:autoSpaceDN w:val="0"/>
        <w:autoSpaceDE w:val="0"/>
        <w:widowControl/>
        <w:spacing w:line="14" w:lineRule="exact" w:before="0" w:after="62"/>
        <w:ind w:left="0" w:right="0"/>
      </w:pPr>
    </w:p>
    <w:p>
      <w:pPr>
        <w:sectPr>
          <w:pgSz w:w="12240" w:h="15840"/>
          <w:pgMar w:top="696" w:right="1366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6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Payable for administrative services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Net receivables (payables) for derivative transactions</w:t>
      </w:r>
    </w:p>
    <w:p>
      <w:pPr>
        <w:sectPr>
          <w:type w:val="continuous"/>
          <w:pgSz w:w="12240" w:h="15840"/>
          <w:pgMar w:top="696" w:right="1366" w:bottom="360" w:left="1430" w:header="720" w:footer="720" w:gutter="0"/>
          <w:cols w:num="2" w:equalWidth="0">
            <w:col w:w="4288" w:space="0"/>
            <w:col w:w="5156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62"/>
        <w:ind w:left="460" w:right="230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Payable to affiliated organization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Derivative assets/liabilities, net</w:t>
      </w:r>
    </w:p>
    <w:p>
      <w:pPr>
        <w:sectPr>
          <w:type w:val="nextColumn"/>
          <w:pgSz w:w="12240" w:h="15840"/>
          <w:pgMar w:top="696" w:right="1366" w:bottom="360" w:left="1430" w:header="720" w:footer="720" w:gutter="0"/>
          <w:cols w:num="2" w:equalWidth="0">
            <w:col w:w="4288" w:space="0"/>
            <w:col w:w="5156" w:space="0"/>
          </w:cols>
          <w:docGrid w:linePitch="360"/>
        </w:sectPr>
      </w:pPr>
    </w:p>
    <w:p>
      <w:pPr>
        <w:autoSpaceDN w:val="0"/>
        <w:tabs>
          <w:tab w:pos="4748" w:val="left"/>
        </w:tabs>
        <w:autoSpaceDE w:val="0"/>
        <w:widowControl/>
        <w:spacing w:line="178" w:lineRule="exact" w:before="0" w:after="0"/>
        <w:ind w:left="6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Receivable for PSW – Blended Finance Facility </w:t>
      </w:r>
      <w:r>
        <w:rPr>
          <w:rFonts w:ascii="ArialMT" w:hAnsi="ArialMT" w:eastAsia="ArialMT"/>
          <w:b w:val="0"/>
          <w:i w:val="0"/>
          <w:color w:val="000000"/>
          <w:sz w:val="16"/>
        </w:rPr>
        <w:t>Other Assets</w:t>
      </w:r>
    </w:p>
    <w:p>
      <w:pPr>
        <w:autoSpaceDN w:val="0"/>
        <w:tabs>
          <w:tab w:pos="4748" w:val="left"/>
        </w:tabs>
        <w:autoSpaceDE w:val="0"/>
        <w:widowControl/>
        <w:spacing w:line="178" w:lineRule="exact" w:before="62" w:after="62"/>
        <w:ind w:left="6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Receivable for non-trading investments </w:t>
      </w:r>
      <w:r>
        <w:rPr>
          <w:rFonts w:ascii="ArialMT" w:hAnsi="ArialMT" w:eastAsia="ArialMT"/>
          <w:b w:val="0"/>
          <w:i w:val="0"/>
          <w:color w:val="000000"/>
          <w:sz w:val="16"/>
        </w:rPr>
        <w:t>Investments</w:t>
      </w:r>
    </w:p>
    <w:p>
      <w:pPr>
        <w:sectPr>
          <w:type w:val="continuous"/>
          <w:pgSz w:w="12240" w:h="15840"/>
          <w:pgMar w:top="696" w:right="1366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68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Receivable for PCRF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Receivable for pension and other postretirement benefits</w:t>
      </w:r>
    </w:p>
    <w:p>
      <w:pPr>
        <w:sectPr>
          <w:type w:val="continuous"/>
          <w:pgSz w:w="12240" w:h="15840"/>
          <w:pgMar w:top="696" w:right="1366" w:bottom="360" w:left="1430" w:header="720" w:footer="720" w:gutter="0"/>
          <w:cols w:num="2" w:equalWidth="0">
            <w:col w:w="4416" w:space="0"/>
            <w:col w:w="5028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28"/>
        <w:ind w:left="332" w:right="187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Receivable from affiliated organization </w:t>
      </w:r>
      <w:r>
        <w:rPr>
          <w:rFonts w:ascii="ArialMT" w:hAnsi="ArialMT" w:eastAsia="ArialMT"/>
          <w:b w:val="0"/>
          <w:i w:val="0"/>
          <w:color w:val="000000"/>
          <w:sz w:val="16"/>
        </w:rPr>
        <w:t>Receivable from affiliated organization</w:t>
      </w:r>
    </w:p>
    <w:p>
      <w:pPr>
        <w:sectPr>
          <w:type w:val="nextColumn"/>
          <w:pgSz w:w="12240" w:h="15840"/>
          <w:pgMar w:top="696" w:right="1366" w:bottom="360" w:left="1430" w:header="720" w:footer="720" w:gutter="0"/>
          <w:cols w:num="2" w:equalWidth="0">
            <w:col w:w="4416" w:space="0"/>
            <w:col w:w="50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2"/>
        <w:gridCol w:w="4722"/>
      </w:tblGrid>
      <w:tr>
        <w:trPr>
          <w:trHeight w:hRule="exact" w:val="2408"/>
        </w:trPr>
        <w:tc>
          <w:tcPr>
            <w:tcW w:type="dxa" w:w="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94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118 </w:t>
            </w:r>
          </w:p>
        </w:tc>
        <w:tc>
          <w:tcPr>
            <w:tcW w:type="dxa" w:w="88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94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IDA Financial Statements: June 30, 2025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696" w:right="1366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68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Transfers and Grants Received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Cumulative transfers and grants made to IDA as of June 30, 2025 were $21,399 million ($20,884 million—</w:t>
      </w:r>
      <w:r>
        <w:rPr>
          <w:rFonts w:ascii="ArialMT" w:hAnsi="ArialMT" w:eastAsia="ArialMT"/>
          <w:b w:val="0"/>
          <w:i w:val="0"/>
          <w:color w:val="000000"/>
          <w:sz w:val="20"/>
        </w:rPr>
        <w:t>June 30, 2024). Details by transferor are as follows: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H2: Transfers and grants </w:t>
      </w:r>
    </w:p>
    <w:p>
      <w:pPr>
        <w:autoSpaceDN w:val="0"/>
        <w:autoSpaceDE w:val="0"/>
        <w:widowControl/>
        <w:spacing w:line="178" w:lineRule="exact" w:before="144" w:after="0"/>
        <w:ind w:left="6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p>
      <w:pPr>
        <w:autoSpaceDN w:val="0"/>
        <w:tabs>
          <w:tab w:pos="8192" w:val="left"/>
        </w:tabs>
        <w:autoSpaceDE w:val="0"/>
        <w:widowControl/>
        <w:spacing w:line="192" w:lineRule="exact" w:before="84" w:after="8"/>
        <w:ind w:left="772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 Cumulative transfers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 as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14"/>
        </w:trPr>
        <w:tc>
          <w:tcPr>
            <w:tcW w:type="dxa" w:w="40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Transfers</w:t>
            </w:r>
          </w:p>
        </w:tc>
        <w:tc>
          <w:tcPr>
            <w:tcW w:type="dxa" w:w="3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8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</w:tr>
      <w:tr>
        <w:trPr>
          <w:trHeight w:hRule="exact" w:val="240"/>
        </w:trPr>
        <w:tc>
          <w:tcPr>
            <w:tcW w:type="dxa" w:w="40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21,399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0"/>
        <w:ind w:left="6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Of which transfers from: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720"/>
        </w:trPr>
        <w:tc>
          <w:tcPr>
            <w:tcW w:type="dxa" w:w="51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242" w:right="28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IFC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Nonaffiliated organizations</w:t>
            </w:r>
          </w:p>
        </w:tc>
        <w:tc>
          <w:tcPr>
            <w:tcW w:type="dxa" w:w="42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288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17,284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3,885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230 </w:t>
            </w:r>
          </w:p>
        </w:tc>
      </w:tr>
    </w:tbl>
    <w:p>
      <w:pPr>
        <w:autoSpaceDN w:val="0"/>
        <w:autoSpaceDE w:val="0"/>
        <w:widowControl/>
        <w:spacing w:line="240" w:lineRule="exact" w:before="16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September 18, 2024, IBRD's Board of Governors approved a transfer of $515 million to IDA. This </w:t>
      </w:r>
      <w:r>
        <w:rPr>
          <w:rFonts w:ascii="ArialMT" w:hAnsi="ArialMT" w:eastAsia="ArialMT"/>
          <w:b w:val="0"/>
          <w:i w:val="0"/>
          <w:color w:val="000000"/>
          <w:sz w:val="20"/>
        </w:rPr>
        <w:t>transfer was received on September 30, 2024.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Administrative Services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payable to IBRD represents IDA’s share of joint administrative expenses including contributions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special programs, net of other revenue jointly earned. The allocation of expenses is based upon 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agreed cost sharing formula, and amounts are settled quarterly.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fiscal year ended June 30, 2025, IDA’s share of joint administrative expenses and contributions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special programs totaled $1,989 million ($1,750 million—fiscal year ended June 30, 2024 and $1,744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million—fiscal year ended June 30, 2023). This amount excludes Bank-executed activities for trust funds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expenses of $768 million ($705 million—fiscal year ended June 30, 2024 and $686 million—fiscal year </w:t>
      </w:r>
      <w:r>
        <w:rPr>
          <w:rFonts w:ascii="ArialMT" w:hAnsi="ArialMT" w:eastAsia="ArialMT"/>
          <w:b w:val="0"/>
          <w:i w:val="0"/>
          <w:color w:val="000000"/>
          <w:sz w:val="20"/>
        </w:rPr>
        <w:t>ended June 30, 2023).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Other revenue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IDA’s share of other revenue jointly earned with IBRD during the fiscal year ended June 30, 2025, totaled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$330 million ($326 million—fiscal year ended June 30, 2024 and $280 million—fiscal year ended 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>2023). This amount excludes Bank-executed activities for trust fund revenue of $768 million ($705 million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—fiscal year ended June 30, 2024 and $686 million—fiscal year ended June 30, 2023).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amount of fee revenue associated with services provided to other affiliated organizations is included </w:t>
      </w:r>
      <w:r>
        <w:rPr>
          <w:rFonts w:ascii="ArialMT" w:hAnsi="ArialMT" w:eastAsia="ArialMT"/>
          <w:b w:val="0"/>
          <w:i w:val="0"/>
          <w:color w:val="000000"/>
          <w:sz w:val="20"/>
        </w:rPr>
        <w:t>in Other revenue on the Statements of Income, as follows: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H3: Fee revenue from affiliated organizations</w:t>
      </w:r>
    </w:p>
    <w:p>
      <w:pPr>
        <w:autoSpaceDN w:val="0"/>
        <w:autoSpaceDE w:val="0"/>
        <w:widowControl/>
        <w:spacing w:line="178" w:lineRule="exact" w:before="144" w:after="0"/>
        <w:ind w:left="12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214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Fiscal Year Ended June 30,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35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6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236"/>
        </w:trPr>
        <w:tc>
          <w:tcPr>
            <w:tcW w:type="dxa" w:w="35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Fees charged to IFC</w:t>
            </w:r>
          </w:p>
        </w:tc>
        <w:tc>
          <w:tcPr>
            <w:tcW w:type="dxa" w:w="3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106 </w:t>
            </w:r>
          </w:p>
        </w:tc>
        <w:tc>
          <w:tcPr>
            <w:tcW w:type="dxa" w:w="68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 </w:t>
            </w:r>
          </w:p>
        </w:tc>
        <w:tc>
          <w:tcPr>
            <w:tcW w:type="dxa" w:w="6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 </w:t>
            </w:r>
          </w:p>
        </w:tc>
      </w:tr>
      <w:tr>
        <w:trPr>
          <w:trHeight w:hRule="exact" w:val="484"/>
        </w:trPr>
        <w:tc>
          <w:tcPr>
            <w:tcW w:type="dxa" w:w="35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Fees charged to MIGA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68" w:lineRule="exact" w:before="16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Derivative transactions </w:t>
      </w:r>
    </w:p>
    <w:p>
      <w:pPr>
        <w:autoSpaceDN w:val="0"/>
        <w:autoSpaceDE w:val="0"/>
        <w:widowControl/>
        <w:spacing w:line="224" w:lineRule="exact" w:before="14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the Local Currency Facility of the PSW, IDA enters into derivative transactions with IFC to support </w:t>
      </w:r>
      <w:r>
        <w:rPr>
          <w:rFonts w:ascii="ArialMT" w:hAnsi="ArialMT" w:eastAsia="ArialMT"/>
          <w:b w:val="0"/>
          <w:i w:val="0"/>
          <w:color w:val="000000"/>
          <w:sz w:val="20"/>
        </w:rPr>
        <w:t>local currency loan transactions where currency hedging capabilities are limited or unavailable.</w:t>
      </w:r>
    </w:p>
    <w:p>
      <w:pPr>
        <w:autoSpaceDN w:val="0"/>
        <w:tabs>
          <w:tab w:pos="9052" w:val="left"/>
        </w:tabs>
        <w:autoSpaceDE w:val="0"/>
        <w:widowControl/>
        <w:spacing w:line="224" w:lineRule="exact" w:before="1792" w:after="0"/>
        <w:ind w:left="47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119</w:t>
      </w:r>
    </w:p>
    <w:p>
      <w:pPr>
        <w:sectPr>
          <w:pgSz w:w="12240" w:h="15840"/>
          <w:pgMar w:top="700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Private Sector Window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PSW was created under the Eighteenth Replenishment of IDA’s Resources (IDA18) to mobilize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private sector investment in IDA-only countries and IDA-eligible Fragile and Conflict-affected Situations.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PSW continued under IDA’s Twentieth Replenishment of Resources (IDA20), which commenced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July 1, 2022, with an initial allocation of $2.5 billion. In December 2024, the Board approved an increase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the IDA20 allocation to the PSW by $234 million, corresponding to the release of the PSW resources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allocated in the previous replenishment cycles, bringing the total allocation to $2.7 billion. Under the fee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arrangement for the PSW, IDA receives fee income for transactions executed under this Window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reimburses IFC and MIGA for the related costs incurred in administering these transactions. As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June 30, 2025, the PSW exposures comprising mainly of MIGA Guarantee Facility and IFC Blended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Finance Facility, were $1,579 million ($1,507 million—June 30, 2024), and the related accumulated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provision was $179 million ($212 million—June 30, 2024). In addition, the signed loan commitments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relating to PSW amounted to $149 million as of June 30, 2025 ($168 million—June 30, 2024),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related accumulated provision was $4 million ($13 million—June 30, 2024).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Investments – Non-trading 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fiscal year ended June 30, 2015, IDA purchased a debt security issued by IFC for a principal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amount of $1,179 million, amortizing over a period of 25 years. The investment carries a fixed interest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rate of 1.84% and has a weighted average maturity of 4 years. As of June 30, 2025, the principal amount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due on the debt security was $124 million ($185 million—June 30, 2024), and it had a fair value of $115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($171 million—June 30, 2024). The investment is reported under Investments in the Balance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Sheets. During the fiscal year ended June 30, 2025, IDA recognized interest income of $3 million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investment ($4 million—fiscal year ended June 30, 2024 and $6 million—fiscal year ended 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>2023).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Pension and Other Post-Retirement Benefits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staff of IBRD perform functions for both IBRD and IDA, but all staff compensation is paid directly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IBRD. Accordingly, a portion of IBRD's staff and associated administrative costs is allocated to IDA based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an agreed cost sharing ratio using various indicators. The methodology for computing this share ratio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approved by the Executive Directors for both institutions.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IBRD, along with IFC and MIGA, sponsor a defined benefit Staff Retirement Plan and Trust (SRP),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Retired Staff Benefits Plan and Trust (RSBP) and the Post-Employment Benefits Plan (PEBP) that cover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 of their staff members.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SRP provides regular defined pension benefits and also includes a cash balance component.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RSBP provides certain health and life insurance benefits to eligible retirees. The PEBP provides certain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pension benefits administered outside the SRP.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June 30 is used as the measurement date for these pension and other postretirement benefit plans. 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costs, assets and liabilities associated with these plans are allocated between IBRD, IFC, and MIGA </w:t>
      </w:r>
      <w:r>
        <w:rPr>
          <w:rFonts w:ascii="ArialMT" w:hAnsi="ArialMT" w:eastAsia="ArialMT"/>
          <w:b w:val="0"/>
          <w:i w:val="0"/>
          <w:color w:val="000000"/>
          <w:sz w:val="20"/>
        </w:rPr>
        <w:t>based upon their employees’ respective participation in the plans.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While IDA is not a participating entity to these benefit plans, IDA shares in the costs and reimburses IBRD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its proportionate share of any contributions made to these plans by IBRD based on an agreed cost </w:t>
      </w:r>
      <w:r>
        <w:rPr>
          <w:rFonts w:ascii="ArialMT" w:hAnsi="ArialMT" w:eastAsia="ArialMT"/>
          <w:b w:val="0"/>
          <w:i w:val="0"/>
          <w:color w:val="000000"/>
          <w:sz w:val="20"/>
        </w:rPr>
        <w:t>sharing ratio.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fiscal year ended June 30, 2025, IDA’s share of IBRD’s costs relating to all three plans totaled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$128 million ($98 million—fiscal year ended June 30, 2024 and $163 million—fiscal year ended June 30, </w:t>
      </w:r>
      <w:r>
        <w:rPr>
          <w:rFonts w:ascii="ArialMT" w:hAnsi="ArialMT" w:eastAsia="ArialMT"/>
          <w:b w:val="0"/>
          <w:i w:val="0"/>
          <w:color w:val="000000"/>
          <w:sz w:val="20"/>
        </w:rPr>
        <w:t>2023).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receivable from IBRD represents IDA’s net share of prepaid costs for pension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postretirement benefit plans and PEBP assets. These will be realized over the lives of the plan </w:t>
      </w:r>
      <w:r>
        <w:rPr>
          <w:rFonts w:ascii="ArialMT" w:hAnsi="ArialMT" w:eastAsia="ArialMT"/>
          <w:b w:val="0"/>
          <w:i w:val="0"/>
          <w:color w:val="000000"/>
          <w:sz w:val="20"/>
        </w:rPr>
        <w:t>participants.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100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700" w:right="136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cost of any potential future liability arising from these plans would be shared by IBRD and IDA using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applicable cost sharing ratio. As of June 30, 2025, the SRP and the RSBP were overfunded by $5,845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and $2,196 million, respectively. The PEBP, after reflecting IBRD and IDA’s share of assets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>are included in IBRD’s investment portfolio of $2,359 million, was overfunded by $289 million.</w:t>
      </w:r>
    </w:p>
    <w:p>
      <w:pPr>
        <w:autoSpaceDN w:val="0"/>
        <w:autoSpaceDE w:val="0"/>
        <w:widowControl/>
        <w:spacing w:line="314" w:lineRule="exact" w:before="24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 xml:space="preserve">NOTE I—ACCUMULATED OTHER COMPREHENSIVE LOSS </w:t>
      </w:r>
    </w:p>
    <w:p>
      <w:pPr>
        <w:autoSpaceDN w:val="0"/>
        <w:autoSpaceDE w:val="0"/>
        <w:widowControl/>
        <w:spacing w:line="240" w:lineRule="exact" w:before="14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Comprehensive income consists of net income (loss) and other gains or losses affecting equity that,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U.S. GAAP, are excluded from net income (loss). For IDA, other comprehensive income (loss)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comprised of currency translation adjustments on functional currencies and DVA on fair value option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elected liabilities. These items are presented in the Statements of Comprehensive Income.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following table presents the changes in AOCL balances: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I1: Changes in AOCL</w:t>
      </w:r>
    </w:p>
    <w:p>
      <w:pPr>
        <w:autoSpaceDN w:val="0"/>
        <w:autoSpaceDE w:val="0"/>
        <w:widowControl/>
        <w:spacing w:line="180" w:lineRule="exact" w:before="128" w:after="0"/>
        <w:ind w:left="3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p>
      <w:pPr>
        <w:autoSpaceDN w:val="0"/>
        <w:autoSpaceDE w:val="0"/>
        <w:widowControl/>
        <w:spacing w:line="180" w:lineRule="exact" w:before="60" w:after="0"/>
        <w:ind w:left="0" w:right="202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2025</w:t>
      </w:r>
    </w:p>
    <w:p>
      <w:pPr>
        <w:autoSpaceDN w:val="0"/>
        <w:autoSpaceDE w:val="0"/>
        <w:widowControl/>
        <w:spacing w:line="178" w:lineRule="exact" w:before="82" w:after="8"/>
        <w:ind w:left="0" w:right="331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Balance,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180"/>
        </w:trPr>
        <w:tc>
          <w:tcPr>
            <w:tcW w:type="dxa" w:w="511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beginning of the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Changes </w:t>
            </w:r>
          </w:p>
        </w:tc>
        <w:tc>
          <w:tcPr>
            <w:tcW w:type="dxa" w:w="14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end of </w:t>
            </w:r>
          </w:p>
        </w:tc>
      </w:tr>
      <w:tr>
        <w:trPr>
          <w:trHeight w:hRule="exact" w:val="226"/>
        </w:trPr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  <w:tc>
          <w:tcPr>
            <w:tcW w:type="dxa" w:w="13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fiscal year</w:t>
            </w:r>
          </w:p>
        </w:tc>
        <w:tc>
          <w:tcPr>
            <w:tcW w:type="dxa" w:w="1574"/>
            <w:vMerge/>
            <w:tcBorders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AOCI</w:t>
            </w:r>
          </w:p>
        </w:tc>
        <w:tc>
          <w:tcPr>
            <w:tcW w:type="dxa" w:w="14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3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the fiscal year</w:t>
            </w:r>
          </w:p>
        </w:tc>
      </w:tr>
      <w:tr>
        <w:trPr>
          <w:trHeight w:hRule="exact" w:val="194"/>
        </w:trPr>
        <w:tc>
          <w:tcPr>
            <w:tcW w:type="dxa" w:w="51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translation adjustments on functional currencies</w:t>
            </w:r>
          </w:p>
        </w:tc>
        <w:tc>
          <w:tcPr>
            <w:tcW w:type="dxa" w:w="13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(10,567) </w:t>
            </w:r>
          </w:p>
        </w:tc>
        <w:tc>
          <w:tcPr>
            <w:tcW w:type="dxa" w:w="4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2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7,447 </w:t>
            </w:r>
          </w:p>
        </w:tc>
        <w:tc>
          <w:tcPr>
            <w:tcW w:type="dxa" w:w="4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(3,120) </w:t>
            </w:r>
          </w:p>
        </w:tc>
      </w:tr>
      <w:tr>
        <w:trPr>
          <w:trHeight w:hRule="exact" w:val="256"/>
        </w:trPr>
        <w:tc>
          <w:tcPr>
            <w:tcW w:type="dxa" w:w="51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DVA on Fair Value option elected liabilities</w:t>
            </w:r>
          </w:p>
        </w:tc>
        <w:tc>
          <w:tcPr>
            <w:tcW w:type="dxa" w:w="13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(25) </w:t>
            </w:r>
          </w:p>
        </w:tc>
        <w:tc>
          <w:tcPr>
            <w:tcW w:type="dxa" w:w="15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 </w:t>
            </w:r>
          </w:p>
        </w:tc>
        <w:tc>
          <w:tcPr>
            <w:tcW w:type="dxa" w:w="14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  <w:tr>
        <w:trPr>
          <w:trHeight w:hRule="exact" w:val="220"/>
        </w:trPr>
        <w:tc>
          <w:tcPr>
            <w:tcW w:type="dxa" w:w="51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AOCI</w:t>
            </w:r>
          </w:p>
        </w:tc>
        <w:tc>
          <w:tcPr>
            <w:tcW w:type="dxa" w:w="13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(10,592)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7,480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(3,112) </w:t>
            </w:r>
          </w:p>
        </w:tc>
      </w:tr>
    </w:tbl>
    <w:p>
      <w:pPr>
        <w:autoSpaceDN w:val="0"/>
        <w:autoSpaceDE w:val="0"/>
        <w:widowControl/>
        <w:spacing w:line="222" w:lineRule="exact" w:before="5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I1.1</w:t>
      </w:r>
    </w:p>
    <w:p>
      <w:pPr>
        <w:autoSpaceDN w:val="0"/>
        <w:autoSpaceDE w:val="0"/>
        <w:widowControl/>
        <w:spacing w:line="178" w:lineRule="exact" w:before="130" w:after="0"/>
        <w:ind w:left="3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p>
      <w:pPr>
        <w:autoSpaceDN w:val="0"/>
        <w:autoSpaceDE w:val="0"/>
        <w:widowControl/>
        <w:spacing w:line="178" w:lineRule="exact" w:before="62" w:after="0"/>
        <w:ind w:left="0" w:right="202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2024</w:t>
      </w:r>
    </w:p>
    <w:p>
      <w:pPr>
        <w:autoSpaceDN w:val="0"/>
        <w:autoSpaceDE w:val="0"/>
        <w:widowControl/>
        <w:spacing w:line="180" w:lineRule="exact" w:before="82" w:after="6"/>
        <w:ind w:left="0" w:right="331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Balance,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186"/>
        </w:trPr>
        <w:tc>
          <w:tcPr>
            <w:tcW w:type="dxa" w:w="511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beginning of the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Changes </w:t>
            </w:r>
          </w:p>
        </w:tc>
        <w:tc>
          <w:tcPr>
            <w:tcW w:type="dxa" w:w="14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end of </w:t>
            </w:r>
          </w:p>
        </w:tc>
      </w:tr>
      <w:tr>
        <w:trPr>
          <w:trHeight w:hRule="exact" w:val="220"/>
        </w:trPr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3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fiscal year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AOCI</w:t>
            </w:r>
          </w:p>
        </w:tc>
        <w:tc>
          <w:tcPr>
            <w:tcW w:type="dxa" w:w="14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3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the fiscal year</w:t>
            </w:r>
          </w:p>
        </w:tc>
      </w:tr>
      <w:tr>
        <w:trPr>
          <w:trHeight w:hRule="exact" w:val="200"/>
        </w:trPr>
        <w:tc>
          <w:tcPr>
            <w:tcW w:type="dxa" w:w="51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translation adjustments on functional currencies</w:t>
            </w:r>
          </w:p>
        </w:tc>
        <w:tc>
          <w:tcPr>
            <w:tcW w:type="dxa" w:w="2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(8,915) </w:t>
            </w:r>
          </w:p>
        </w:tc>
        <w:tc>
          <w:tcPr>
            <w:tcW w:type="dxa" w:w="4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(1,652)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(10,567) </w:t>
            </w:r>
          </w:p>
        </w:tc>
      </w:tr>
      <w:tr>
        <w:trPr>
          <w:trHeight w:hRule="exact" w:val="250"/>
        </w:trPr>
        <w:tc>
          <w:tcPr>
            <w:tcW w:type="dxa" w:w="51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DVA on Fair Value option elected liabilities</w:t>
            </w:r>
          </w:p>
        </w:tc>
        <w:tc>
          <w:tcPr>
            <w:tcW w:type="dxa" w:w="13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(31)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14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(25) </w:t>
            </w:r>
          </w:p>
        </w:tc>
      </w:tr>
      <w:tr>
        <w:trPr>
          <w:trHeight w:hRule="exact" w:val="220"/>
        </w:trPr>
        <w:tc>
          <w:tcPr>
            <w:tcW w:type="dxa" w:w="51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AOCI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(8,946)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(1,646)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(10,592) </w:t>
            </w:r>
          </w:p>
        </w:tc>
      </w:tr>
    </w:tbl>
    <w:p>
      <w:pPr>
        <w:autoSpaceDN w:val="0"/>
        <w:autoSpaceDE w:val="0"/>
        <w:widowControl/>
        <w:spacing w:line="224" w:lineRule="exact" w:before="46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I1.2</w:t>
      </w:r>
    </w:p>
    <w:p>
      <w:pPr>
        <w:autoSpaceDN w:val="0"/>
        <w:autoSpaceDE w:val="0"/>
        <w:widowControl/>
        <w:spacing w:line="180" w:lineRule="exact" w:before="128" w:after="0"/>
        <w:ind w:left="3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p>
      <w:pPr>
        <w:autoSpaceDN w:val="0"/>
        <w:autoSpaceDE w:val="0"/>
        <w:widowControl/>
        <w:spacing w:line="180" w:lineRule="exact" w:before="60" w:after="0"/>
        <w:ind w:left="0" w:right="202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2023</w:t>
      </w:r>
    </w:p>
    <w:p>
      <w:pPr>
        <w:autoSpaceDN w:val="0"/>
        <w:autoSpaceDE w:val="0"/>
        <w:widowControl/>
        <w:spacing w:line="178" w:lineRule="exact" w:before="82" w:after="8"/>
        <w:ind w:left="0" w:right="331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Balance,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190"/>
        </w:trPr>
        <w:tc>
          <w:tcPr>
            <w:tcW w:type="dxa" w:w="4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2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beginning of the </w:t>
            </w:r>
          </w:p>
        </w:tc>
        <w:tc>
          <w:tcPr>
            <w:tcW w:type="dxa" w:w="137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7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Changes </w:t>
            </w:r>
          </w:p>
        </w:tc>
        <w:tc>
          <w:tcPr>
            <w:tcW w:type="dxa" w:w="14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7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end of </w:t>
            </w:r>
          </w:p>
        </w:tc>
      </w:tr>
      <w:tr>
        <w:trPr>
          <w:trHeight w:hRule="exact" w:val="216"/>
        </w:trPr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21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7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fiscal year</w:t>
            </w:r>
          </w:p>
        </w:tc>
        <w:tc>
          <w:tcPr>
            <w:tcW w:type="dxa" w:w="10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AOCI</w:t>
            </w:r>
          </w:p>
        </w:tc>
        <w:tc>
          <w:tcPr>
            <w:tcW w:type="dxa" w:w="179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7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the fiscal year</w:t>
            </w:r>
          </w:p>
        </w:tc>
      </w:tr>
      <w:tr>
        <w:trPr>
          <w:trHeight w:hRule="exact" w:val="204"/>
        </w:trPr>
        <w:tc>
          <w:tcPr>
            <w:tcW w:type="dxa" w:w="44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translation adjustments on functional currencies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DVA on Fair Value option elected liabilities</w:t>
            </w:r>
          </w:p>
        </w:tc>
        <w:tc>
          <w:tcPr>
            <w:tcW w:type="dxa" w:w="10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(9,139) </w:t>
            </w:r>
          </w:p>
        </w:tc>
        <w:tc>
          <w:tcPr>
            <w:tcW w:type="dxa" w:w="5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224 </w:t>
            </w:r>
          </w:p>
        </w:tc>
        <w:tc>
          <w:tcPr>
            <w:tcW w:type="dxa" w:w="77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1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(8,915) </w:t>
            </w:r>
          </w:p>
        </w:tc>
      </w:tr>
      <w:tr>
        <w:trPr>
          <w:trHeight w:hRule="exact" w:val="246"/>
        </w:trPr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1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4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(13) </w:t>
            </w:r>
          </w:p>
        </w:tc>
        <w:tc>
          <w:tcPr>
            <w:tcW w:type="dxa" w:w="10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(18) </w:t>
            </w:r>
          </w:p>
        </w:tc>
        <w:tc>
          <w:tcPr>
            <w:tcW w:type="dxa" w:w="179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(31) </w:t>
            </w:r>
          </w:p>
        </w:tc>
      </w:tr>
      <w:tr>
        <w:trPr>
          <w:trHeight w:hRule="exact" w:val="220"/>
        </w:trPr>
        <w:tc>
          <w:tcPr>
            <w:tcW w:type="dxa" w:w="4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AOCI</w:t>
            </w:r>
          </w:p>
        </w:tc>
        <w:tc>
          <w:tcPr>
            <w:tcW w:type="dxa" w:w="1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(9,152) </w:t>
            </w:r>
          </w:p>
        </w:tc>
        <w:tc>
          <w:tcPr>
            <w:tcW w:type="dxa" w:w="5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7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206 </w:t>
            </w:r>
          </w:p>
        </w:tc>
        <w:tc>
          <w:tcPr>
            <w:tcW w:type="dxa" w:w="77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12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(8,946) </w:t>
            </w:r>
          </w:p>
        </w:tc>
      </w:tr>
      <w:tr>
        <w:trPr>
          <w:trHeight w:hRule="exact" w:val="3274"/>
        </w:trPr>
        <w:tc>
          <w:tcPr>
            <w:tcW w:type="dxa" w:w="4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0"/>
            <w:gridSpan w:val="7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60" w:after="0"/>
              <w:ind w:left="3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IDA Financial Statements: June 30, 2025 </w:t>
            </w:r>
          </w:p>
        </w:tc>
        <w:tc>
          <w:tcPr>
            <w:tcW w:type="dxa" w:w="5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60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2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NOTE J— FAIR VALUE DISCLOSURES</w:t>
      </w:r>
    </w:p>
    <w:p>
      <w:pPr>
        <w:autoSpaceDN w:val="0"/>
        <w:autoSpaceDE w:val="0"/>
        <w:widowControl/>
        <w:spacing w:line="268" w:lineRule="exact" w:before="15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Valuation Methods and Assumptions 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and June 30, 2024, IDA had no financial assets or liabilities measured at fair value </w:t>
      </w:r>
      <w:r>
        <w:rPr>
          <w:rFonts w:ascii="ArialMT" w:hAnsi="ArialMT" w:eastAsia="ArialMT"/>
          <w:b w:val="0"/>
          <w:i w:val="0"/>
          <w:color w:val="000000"/>
          <w:sz w:val="20"/>
        </w:rPr>
        <w:t>on a non–recurring basis.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Due from Banks </w:t>
      </w:r>
    </w:p>
    <w:p>
      <w:pPr>
        <w:autoSpaceDN w:val="0"/>
        <w:autoSpaceDE w:val="0"/>
        <w:widowControl/>
        <w:spacing w:line="240" w:lineRule="exact" w:before="12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carrying amount of unrestricted and restricted cash is considered a reasonable estimate of the fair </w:t>
      </w:r>
      <w:r>
        <w:rPr>
          <w:rFonts w:ascii="ArialMT" w:hAnsi="ArialMT" w:eastAsia="ArialMT"/>
          <w:b w:val="0"/>
          <w:i w:val="0"/>
          <w:color w:val="000000"/>
          <w:sz w:val="20"/>
        </w:rPr>
        <w:t>value of these positions.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Loans and Loan commitments</w:t>
      </w:r>
    </w:p>
    <w:p>
      <w:pPr>
        <w:autoSpaceDN w:val="0"/>
        <w:autoSpaceDE w:val="0"/>
        <w:widowControl/>
        <w:spacing w:line="240" w:lineRule="exact" w:before="12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There were no loans carried at fair value as of June 30, 2025 and June 30, 2024. IDA’s loans and loan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commitments would be classified as Level 3 within the fair value hierarchy.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Summarized below are the techniques applied in determining the fair values of IDA’s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>instruments.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Investment securities</w:t>
      </w:r>
    </w:p>
    <w:p>
      <w:pPr>
        <w:autoSpaceDN w:val="0"/>
        <w:autoSpaceDE w:val="0"/>
        <w:widowControl/>
        <w:spacing w:line="240" w:lineRule="exact" w:before="126" w:after="0"/>
        <w:ind w:left="0" w:right="2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Where available, quoted market prices are used to determine the fair value of trading securities.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instruments for which market quotations are not available, fair values are determined using model-based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valuation techniques, whether internally-generated or vendor-supplied, that include the standard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discounted cash flow method using observable market inputs such as yield curves, credit spreads,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constant prepayment spreads. Where applicable, unobservable inputs such as conditional prepayment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>rates, probability of default, and loss severity are used.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Unless quoted prices are available, time deposits are reported at face value, which approximates fair </w:t>
      </w:r>
      <w:r>
        <w:rPr>
          <w:rFonts w:ascii="ArialMT" w:hAnsi="ArialMT" w:eastAsia="ArialMT"/>
          <w:b w:val="0"/>
          <w:i w:val="0"/>
          <w:color w:val="000000"/>
          <w:sz w:val="20"/>
        </w:rPr>
        <w:t>value, as they are short term in nature.</w:t>
      </w:r>
    </w:p>
    <w:p>
      <w:pPr>
        <w:autoSpaceDN w:val="0"/>
        <w:autoSpaceDE w:val="0"/>
        <w:widowControl/>
        <w:spacing w:line="264" w:lineRule="exact" w:before="1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 xml:space="preserve">Securities purchased under resale agreements, securities sold under repurchase </w:t>
      </w:r>
      <w:r>
        <w:rPr>
          <w:rFonts w:ascii="Arial" w:hAnsi="Arial" w:eastAsia="Arial"/>
          <w:b/>
          <w:i w:val="0"/>
          <w:color w:val="004972"/>
          <w:sz w:val="22"/>
        </w:rPr>
        <w:t>agreements, and securities lent under securities lending agreements</w:t>
      </w:r>
    </w:p>
    <w:p>
      <w:pPr>
        <w:autoSpaceDN w:val="0"/>
        <w:autoSpaceDE w:val="0"/>
        <w:widowControl/>
        <w:spacing w:line="224" w:lineRule="exact" w:before="1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These securities are of a short-term nature and are reported at face value, which approximates fair value.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Borrowings</w:t>
      </w:r>
    </w:p>
    <w:p>
      <w:pPr>
        <w:autoSpaceDN w:val="0"/>
        <w:autoSpaceDE w:val="0"/>
        <w:widowControl/>
        <w:spacing w:line="240" w:lineRule="exact" w:before="126" w:after="0"/>
        <w:ind w:left="0" w:right="2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fair value of IDA’s market borrowings at fair value is calculated using a discounted cash flow method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relies on observable market inputs such as yield curves, foreign exchange rates, basis spreads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funding spreads.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and June 30, 2024, the fair value of borrowings measured at amortized cost would </w:t>
      </w:r>
      <w:r>
        <w:rPr>
          <w:rFonts w:ascii="ArialMT" w:hAnsi="ArialMT" w:eastAsia="ArialMT"/>
          <w:b w:val="0"/>
          <w:i w:val="0"/>
          <w:color w:val="000000"/>
          <w:sz w:val="20"/>
        </w:rPr>
        <w:t>be classified as Level 2 within the fair value hierarchy.</w:t>
      </w:r>
    </w:p>
    <w:p>
      <w:pPr>
        <w:autoSpaceDN w:val="0"/>
        <w:autoSpaceDE w:val="0"/>
        <w:widowControl/>
        <w:spacing w:line="246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Derivative instruments</w:t>
      </w:r>
    </w:p>
    <w:p>
      <w:pPr>
        <w:autoSpaceDN w:val="0"/>
        <w:autoSpaceDE w:val="0"/>
        <w:widowControl/>
        <w:spacing w:line="240" w:lineRule="exact" w:before="126" w:after="0"/>
        <w:ind w:left="0" w:right="2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Derivative contracts include forward contracts, TBA securities, swaptions, options and futures contracts,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currency swaps and interest rate swaps. Where available, quoted market prices are used to determine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fair value of trading securities. Examples include options and futures contracts.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For instruments for which market quotations are not available, fair values are determined using model-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valuation techniques, whether internally-generated or vendor-supplied, that include the standard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discounted cash flow method using observable market inputs such as yield curves, foreign exchange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rates, credit spreads, basis spreads, funding spreads and constant prepayment spreads. Where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applicable, unobservable inputs such as constant prepayment rates, probability of default, and loss </w:t>
      </w:r>
      <w:r>
        <w:rPr>
          <w:rFonts w:ascii="ArialMT" w:hAnsi="ArialMT" w:eastAsia="ArialMT"/>
          <w:b w:val="0"/>
          <w:i w:val="0"/>
          <w:color w:val="000000"/>
          <w:sz w:val="20"/>
        </w:rPr>
        <w:t>severity are used.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143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696" w:right="1356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2"/>
        </w:rPr>
        <w:t>Valuation adjustments on fair value option elected liabilities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DVA on fair value option elected liabilities (market borrowings carried at fair value) is measured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revaluing each liability to determine the changes in fair value of that liability arising from changes in IDA’s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cost of funding applicable to the relevant reference rates.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table below presents IDA’s estimates of fair value of its financial assets and liabilities along with their </w:t>
      </w:r>
      <w:r>
        <w:rPr>
          <w:rFonts w:ascii="ArialMT" w:hAnsi="ArialMT" w:eastAsia="ArialMT"/>
          <w:b w:val="0"/>
          <w:i w:val="0"/>
          <w:color w:val="000000"/>
          <w:sz w:val="20"/>
        </w:rPr>
        <w:t>respective carrying amounts.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J1: Fair value and carrying amounts of financial assets and liabilities</w:t>
      </w:r>
    </w:p>
    <w:p>
      <w:pPr>
        <w:autoSpaceDN w:val="0"/>
        <w:autoSpaceDE w:val="0"/>
        <w:widowControl/>
        <w:spacing w:line="178" w:lineRule="exact" w:before="144" w:after="20"/>
        <w:ind w:left="3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1"/>
        <w:gridCol w:w="2361"/>
        <w:gridCol w:w="2361"/>
        <w:gridCol w:w="2361"/>
      </w:tblGrid>
      <w:tr>
        <w:trPr>
          <w:trHeight w:hRule="exact" w:val="240"/>
        </w:trPr>
        <w:tc>
          <w:tcPr>
            <w:tcW w:type="dxa" w:w="681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3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25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40"/>
        </w:trPr>
        <w:tc>
          <w:tcPr>
            <w:tcW w:type="dxa" w:w="55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Carrying Value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Carrying Value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42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Due from banks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1,215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1,215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586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586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Investments (including securities purchased under resale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16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agreements)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47,408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47,408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34,435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34,435 </w:t>
            </w:r>
          </w:p>
        </w:tc>
      </w:tr>
      <w:tr>
        <w:trPr>
          <w:trHeight w:hRule="exact" w:val="240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loans outstanding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223,232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172,530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198,457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151,428 </w:t>
            </w:r>
          </w:p>
        </w:tc>
      </w:tr>
      <w:tr>
        <w:trPr>
          <w:trHeight w:hRule="exact" w:val="240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415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415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363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363 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Liabilities</w:t>
      </w:r>
    </w:p>
    <w:p>
      <w:pPr>
        <w:autoSpaceDN w:val="0"/>
        <w:autoSpaceDE w:val="0"/>
        <w:widowControl/>
        <w:spacing w:line="180" w:lineRule="exact" w:before="60" w:after="30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40"/>
        </w:trPr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 borrowings, at fair value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45,154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45,154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26,425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26,425 </w:t>
            </w:r>
          </w:p>
        </w:tc>
      </w:tr>
      <w:tr>
        <w:trPr>
          <w:trHeight w:hRule="exact" w:val="240"/>
        </w:trPr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 borrowings, at amortized cost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18,127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16,466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11,494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9,920 </w:t>
            </w:r>
          </w:p>
        </w:tc>
      </w:tr>
      <w:tr>
        <w:trPr>
          <w:trHeight w:hRule="exact" w:val="238"/>
        </w:trPr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Concessional partner loans, at amortized cost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7,551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6,161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7,004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6,049 </w:t>
            </w:r>
          </w:p>
        </w:tc>
      </w:tr>
    </w:tbl>
    <w:p>
      <w:pPr>
        <w:autoSpaceDN w:val="0"/>
        <w:autoSpaceDE w:val="0"/>
        <w:widowControl/>
        <w:spacing w:line="178" w:lineRule="exact" w:before="26" w:after="8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Securities sold under repurchase agreements, securities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190"/>
        </w:trPr>
        <w:tc>
          <w:tcPr>
            <w:tcW w:type="dxa" w:w="4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lent under securities lending agreements, and payable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122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122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6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 </w:t>
            </w:r>
          </w:p>
        </w:tc>
        <w:tc>
          <w:tcPr>
            <w:tcW w:type="dxa" w:w="8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6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 </w:t>
            </w:r>
          </w:p>
        </w:tc>
      </w:tr>
      <w:tr>
        <w:trPr>
          <w:trHeight w:hRule="exact" w:val="160"/>
        </w:trPr>
        <w:tc>
          <w:tcPr>
            <w:tcW w:type="dxa" w:w="47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for cash collateral received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1889"/>
            <w:vMerge/>
            <w:tcBorders/>
          </w:tcPr>
          <w:p/>
        </w:tc>
        <w:tc>
          <w:tcPr>
            <w:tcW w:type="dxa" w:w="12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496 </w:t>
            </w:r>
          </w:p>
        </w:tc>
        <w:tc>
          <w:tcPr>
            <w:tcW w:type="dxa" w:w="12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496 </w:t>
            </w:r>
          </w:p>
        </w:tc>
        <w:tc>
          <w:tcPr>
            <w:tcW w:type="dxa" w:w="12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667 </w:t>
            </w:r>
          </w:p>
        </w:tc>
        <w:tc>
          <w:tcPr>
            <w:tcW w:type="dxa" w:w="8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667 </w:t>
            </w:r>
          </w:p>
        </w:tc>
      </w:tr>
      <w:tr>
        <w:trPr>
          <w:trHeight w:hRule="exact" w:val="462"/>
        </w:trPr>
        <w:tc>
          <w:tcPr>
            <w:tcW w:type="dxa" w:w="4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6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IDA’s signed loan commitments were $74.5 billion ($68.9 billion — June 30, 2024) </w:t>
      </w:r>
      <w:r>
        <w:rPr>
          <w:rFonts w:ascii="ArialMT" w:hAnsi="ArialMT" w:eastAsia="ArialMT"/>
          <w:b w:val="0"/>
          <w:i w:val="0"/>
          <w:color w:val="000000"/>
          <w:sz w:val="20"/>
        </w:rPr>
        <w:t>and had a fair value of $(15.3) billion ($(12.8) billion—June 30, 2024).</w:t>
      </w:r>
    </w:p>
    <w:p>
      <w:pPr>
        <w:autoSpaceDN w:val="0"/>
        <w:tabs>
          <w:tab w:pos="9036" w:val="left"/>
        </w:tabs>
        <w:autoSpaceDE w:val="0"/>
        <w:widowControl/>
        <w:spacing w:line="224" w:lineRule="exact" w:before="6304" w:after="0"/>
        <w:ind w:left="47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rPr>
          <w:rFonts w:ascii="ArialMT" w:hAnsi="ArialMT" w:eastAsia="ArialMT"/>
          <w:b w:val="0"/>
          <w:i w:val="0"/>
          <w:color w:val="000000"/>
          <w:sz w:val="20"/>
        </w:rPr>
        <w:t>123</w:t>
      </w:r>
    </w:p>
    <w:p>
      <w:pPr>
        <w:sectPr>
          <w:pgSz w:w="12240" w:h="15840"/>
          <w:pgMar w:top="700" w:right="1366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tables present IDA’s fair value hierarchy for assets and liabilities measured at fair value on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recurring basis. 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J2: Fair value hierarchy of IDA’s assets and liabilities</w:t>
      </w:r>
    </w:p>
    <w:p>
      <w:pPr>
        <w:autoSpaceDN w:val="0"/>
        <w:tabs>
          <w:tab w:pos="5606" w:val="left"/>
          <w:tab w:pos="6574" w:val="left"/>
        </w:tabs>
        <w:autoSpaceDE w:val="0"/>
        <w:widowControl/>
        <w:spacing w:line="240" w:lineRule="exact" w:before="82" w:after="20"/>
        <w:ind w:left="62" w:right="432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Fair Value Measurements on a Recurring Basis </w:t>
      </w:r>
      <w:r>
        <w:tab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As of 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90.0" w:type="dxa"/>
      </w:tblPr>
      <w:tblGrid>
        <w:gridCol w:w="2361"/>
        <w:gridCol w:w="2361"/>
        <w:gridCol w:w="2361"/>
        <w:gridCol w:w="2361"/>
      </w:tblGrid>
      <w:tr>
        <w:trPr>
          <w:trHeight w:hRule="exact" w:val="240"/>
        </w:trPr>
        <w:tc>
          <w:tcPr>
            <w:tcW w:type="dxa" w:w="9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Level 1</w:t>
            </w:r>
          </w:p>
        </w:tc>
        <w:tc>
          <w:tcPr>
            <w:tcW w:type="dxa" w:w="10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Level 2</w:t>
            </w:r>
          </w:p>
        </w:tc>
        <w:tc>
          <w:tcPr>
            <w:tcW w:type="dxa" w:w="10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Level 3</w:t>
            </w:r>
          </w:p>
        </w:tc>
        <w:tc>
          <w:tcPr>
            <w:tcW w:type="dxa" w:w="10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tabs>
          <w:tab w:pos="152" w:val="left"/>
        </w:tabs>
        <w:autoSpaceDE w:val="0"/>
        <w:widowControl/>
        <w:spacing w:line="220" w:lineRule="exact" w:before="0" w:after="32"/>
        <w:ind w:left="62" w:right="7632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Assets: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Investments—Trading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38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Government, agency and corporate obligations</w:t>
            </w:r>
          </w:p>
        </w:tc>
        <w:tc>
          <w:tcPr>
            <w:tcW w:type="dxa" w:w="2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14,104 </w:t>
            </w:r>
          </w:p>
        </w:tc>
        <w:tc>
          <w:tcPr>
            <w:tcW w:type="dxa" w:w="2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12,325 </w:t>
            </w:r>
          </w:p>
        </w:tc>
        <w:tc>
          <w:tcPr>
            <w:tcW w:type="dxa" w:w="5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26,429 </w:t>
            </w:r>
          </w:p>
        </w:tc>
      </w:tr>
      <w:tr>
        <w:trPr>
          <w:trHeight w:hRule="exact" w:val="240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1,341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19,300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20,641 </w:t>
            </w:r>
          </w:p>
        </w:tc>
      </w:tr>
      <w:tr>
        <w:trPr>
          <w:trHeight w:hRule="exact" w:val="240"/>
        </w:trPr>
        <w:tc>
          <w:tcPr>
            <w:tcW w:type="dxa" w:w="5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ABS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6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 </w:t>
            </w:r>
          </w:p>
        </w:tc>
      </w:tr>
      <w:tr>
        <w:trPr>
          <w:trHeight w:hRule="exact" w:val="240"/>
        </w:trPr>
        <w:tc>
          <w:tcPr>
            <w:tcW w:type="dxa" w:w="5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Investments—Trading</w:t>
            </w:r>
          </w:p>
        </w:tc>
        <w:tc>
          <w:tcPr>
            <w:tcW w:type="dxa" w:w="2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15,445 </w:t>
            </w:r>
          </w:p>
        </w:tc>
        <w:tc>
          <w:tcPr>
            <w:tcW w:type="dxa" w:w="2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31,712 </w:t>
            </w:r>
          </w:p>
        </w:tc>
        <w:tc>
          <w:tcPr>
            <w:tcW w:type="dxa" w:w="5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47,157 </w:t>
            </w:r>
          </w:p>
        </w:tc>
      </w:tr>
      <w:tr>
        <w:trPr>
          <w:trHeight w:hRule="exact" w:val="240"/>
        </w:trPr>
        <w:tc>
          <w:tcPr>
            <w:tcW w:type="dxa" w:w="5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Investments—Non-trading</w:t>
            </w:r>
          </w:p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115 </w:t>
            </w:r>
          </w:p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115 </w:t>
            </w:r>
          </w:p>
        </w:tc>
      </w:tr>
      <w:tr>
        <w:trPr>
          <w:trHeight w:hRule="exact" w:val="340"/>
        </w:trPr>
        <w:tc>
          <w:tcPr>
            <w:tcW w:type="dxa" w:w="5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Investments</w:t>
            </w:r>
          </w:p>
        </w:tc>
        <w:tc>
          <w:tcPr>
            <w:tcW w:type="dxa" w:w="2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15,445 </w:t>
            </w:r>
          </w:p>
        </w:tc>
        <w:tc>
          <w:tcPr>
            <w:tcW w:type="dxa" w:w="2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31,827 </w:t>
            </w:r>
          </w:p>
        </w:tc>
        <w:tc>
          <w:tcPr>
            <w:tcW w:type="dxa" w:w="5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47,272 </w:t>
            </w:r>
          </w:p>
        </w:tc>
      </w:tr>
      <w:tr>
        <w:trPr>
          <w:trHeight w:hRule="exact" w:val="396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 purchased under resale agreements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136 </w:t>
            </w:r>
          </w:p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136 </w:t>
            </w:r>
          </w:p>
        </w:tc>
      </w:tr>
    </w:tbl>
    <w:p>
      <w:pPr>
        <w:autoSpaceDN w:val="0"/>
        <w:autoSpaceDE w:val="0"/>
        <w:widowControl/>
        <w:spacing w:line="178" w:lineRule="exact" w:before="226" w:after="32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assets: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28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and forward contracts 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266 </w:t>
            </w:r>
          </w:p>
        </w:tc>
        <w:tc>
          <w:tcPr>
            <w:tcW w:type="dxa" w:w="5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266 </w:t>
            </w:r>
          </w:p>
        </w:tc>
      </w:tr>
      <w:tr>
        <w:trPr>
          <w:trHeight w:hRule="exact" w:val="240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3,035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3,035 </w:t>
            </w:r>
          </w:p>
        </w:tc>
      </w:tr>
      <w:tr>
        <w:trPr>
          <w:trHeight w:hRule="exact" w:val="250"/>
        </w:trPr>
        <w:tc>
          <w:tcPr>
            <w:tcW w:type="dxa" w:w="5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6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5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Gross Total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3,301 </w:t>
            </w:r>
          </w:p>
        </w:tc>
        <w:tc>
          <w:tcPr>
            <w:tcW w:type="dxa" w:w="5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3,301 </w:t>
            </w:r>
          </w:p>
        </w:tc>
      </w:tr>
    </w:tbl>
    <w:p>
      <w:pPr>
        <w:autoSpaceDN w:val="0"/>
        <w:autoSpaceDE w:val="0"/>
        <w:widowControl/>
        <w:spacing w:line="180" w:lineRule="exact" w:before="316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70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 Borrowings, at fair value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45,154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45,154 </w:t>
            </w:r>
          </w:p>
        </w:tc>
      </w:tr>
    </w:tbl>
    <w:p>
      <w:pPr>
        <w:autoSpaceDN w:val="0"/>
        <w:autoSpaceDE w:val="0"/>
        <w:widowControl/>
        <w:spacing w:line="180" w:lineRule="exact" w:before="336" w:after="6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Securities sold under repurchase agreements, securities lent under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172"/>
        </w:trPr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lending agreements, and payable for cash collateral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122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122 </w:t>
            </w:r>
          </w:p>
        </w:tc>
      </w:tr>
      <w:tr>
        <w:trPr>
          <w:trHeight w:hRule="exact" w:val="266"/>
        </w:trPr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received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226" w:after="32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238"/>
        </w:trPr>
        <w:tc>
          <w:tcPr>
            <w:tcW w:type="dxa" w:w="5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forward contracts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810 </w:t>
            </w:r>
          </w:p>
        </w:tc>
        <w:tc>
          <w:tcPr>
            <w:tcW w:type="dxa" w:w="5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810 </w:t>
            </w:r>
          </w:p>
        </w:tc>
      </w:tr>
      <w:tr>
        <w:trPr>
          <w:trHeight w:hRule="exact" w:val="240"/>
        </w:trPr>
        <w:tc>
          <w:tcPr>
            <w:tcW w:type="dxa" w:w="51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6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1,212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50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1,212 </w:t>
            </w:r>
          </w:p>
        </w:tc>
      </w:tr>
      <w:tr>
        <w:trPr>
          <w:trHeight w:hRule="exact" w:val="240"/>
        </w:trPr>
        <w:tc>
          <w:tcPr>
            <w:tcW w:type="dxa" w:w="51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Gross Total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2,022 </w:t>
            </w:r>
          </w:p>
        </w:tc>
        <w:tc>
          <w:tcPr>
            <w:tcW w:type="dxa" w:w="5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2,022 </w:t>
            </w:r>
          </w:p>
        </w:tc>
      </w:tr>
    </w:tbl>
    <w:p>
      <w:pPr>
        <w:autoSpaceDN w:val="0"/>
        <w:autoSpaceDE w:val="0"/>
        <w:widowControl/>
        <w:spacing w:line="240" w:lineRule="exact" w:before="210" w:after="0"/>
        <w:ind w:left="62" w:right="273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These relate to TBA Securities, swaptions, exchange traded options and futures contracts. </w:t>
      </w:r>
      <w:r>
        <w:rPr>
          <w:rFonts w:ascii="Arial" w:hAnsi="Arial" w:eastAsia="Arial"/>
          <w:b w:val="0"/>
          <w:i/>
          <w:color w:val="000000"/>
          <w:sz w:val="16"/>
        </w:rPr>
        <w:t>b. Excludes amount payable for cash collateral received of $1,266 million.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418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702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J2.1</w:t>
      </w:r>
    </w:p>
    <w:p>
      <w:pPr>
        <w:autoSpaceDN w:val="0"/>
        <w:autoSpaceDE w:val="0"/>
        <w:widowControl/>
        <w:spacing w:line="180" w:lineRule="exact" w:before="128" w:after="0"/>
        <w:ind w:left="1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46" w:after="0"/>
        <w:ind w:left="0" w:right="48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Fair Value Measurements on a Recurring Basis</w:t>
      </w:r>
    </w:p>
    <w:p>
      <w:pPr>
        <w:autoSpaceDN w:val="0"/>
        <w:autoSpaceDE w:val="0"/>
        <w:widowControl/>
        <w:spacing w:line="180" w:lineRule="exact" w:before="46" w:after="18"/>
        <w:ind w:left="0" w:right="144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As of 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90.0" w:type="dxa"/>
      </w:tblPr>
      <w:tblGrid>
        <w:gridCol w:w="2361"/>
        <w:gridCol w:w="2361"/>
        <w:gridCol w:w="2361"/>
        <w:gridCol w:w="2361"/>
      </w:tblGrid>
      <w:tr>
        <w:trPr>
          <w:trHeight w:hRule="exact" w:val="226"/>
        </w:trPr>
        <w:tc>
          <w:tcPr>
            <w:tcW w:type="dxa" w:w="9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Level 1</w:t>
            </w:r>
          </w:p>
        </w:tc>
        <w:tc>
          <w:tcPr>
            <w:tcW w:type="dxa" w:w="12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Level 2</w:t>
            </w:r>
          </w:p>
        </w:tc>
        <w:tc>
          <w:tcPr>
            <w:tcW w:type="dxa" w:w="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Level 3</w:t>
            </w:r>
          </w:p>
        </w:tc>
        <w:tc>
          <w:tcPr>
            <w:tcW w:type="dxa" w:w="10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80" w:lineRule="exact" w:before="6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Assets:</w:t>
      </w:r>
    </w:p>
    <w:p>
      <w:pPr>
        <w:autoSpaceDN w:val="0"/>
        <w:autoSpaceDE w:val="0"/>
        <w:widowControl/>
        <w:spacing w:line="178" w:lineRule="exact" w:before="54" w:after="20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Investments—Trading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92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 and agency obligations</w:t>
            </w:r>
          </w:p>
        </w:tc>
        <w:tc>
          <w:tcPr>
            <w:tcW w:type="dxa" w:w="2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12,806 </w:t>
            </w:r>
          </w:p>
        </w:tc>
        <w:tc>
          <w:tcPr>
            <w:tcW w:type="dxa" w:w="4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6,574 </w:t>
            </w:r>
          </w:p>
        </w:tc>
        <w:tc>
          <w:tcPr>
            <w:tcW w:type="dxa" w:w="5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19,380 </w:t>
            </w:r>
          </w:p>
        </w:tc>
      </w:tr>
      <w:tr>
        <w:trPr>
          <w:trHeight w:hRule="exact" w:val="220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2,032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12,683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14,715 </w:t>
            </w:r>
          </w:p>
        </w:tc>
      </w:tr>
      <w:tr>
        <w:trPr>
          <w:trHeight w:hRule="exact" w:val="266"/>
        </w:trPr>
        <w:tc>
          <w:tcPr>
            <w:tcW w:type="dxa" w:w="5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ABS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</w:tr>
      <w:tr>
        <w:trPr>
          <w:trHeight w:hRule="exact" w:val="194"/>
        </w:trPr>
        <w:tc>
          <w:tcPr>
            <w:tcW w:type="dxa" w:w="5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Investments—Trading</w:t>
            </w:r>
          </w:p>
        </w:tc>
        <w:tc>
          <w:tcPr>
            <w:tcW w:type="dxa" w:w="2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14,838 </w:t>
            </w:r>
          </w:p>
        </w:tc>
        <w:tc>
          <w:tcPr>
            <w:tcW w:type="dxa" w:w="4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19,368 </w:t>
            </w:r>
          </w:p>
        </w:tc>
        <w:tc>
          <w:tcPr>
            <w:tcW w:type="dxa" w:w="5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34,206 </w:t>
            </w:r>
          </w:p>
        </w:tc>
      </w:tr>
      <w:tr>
        <w:trPr>
          <w:trHeight w:hRule="exact" w:val="254"/>
        </w:trPr>
        <w:tc>
          <w:tcPr>
            <w:tcW w:type="dxa" w:w="5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Investments—Non-trading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</w:tr>
      <w:tr>
        <w:trPr>
          <w:trHeight w:hRule="exact" w:val="186"/>
        </w:trPr>
        <w:tc>
          <w:tcPr>
            <w:tcW w:type="dxa" w:w="5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Investments</w:t>
            </w:r>
          </w:p>
        </w:tc>
        <w:tc>
          <w:tcPr>
            <w:tcW w:type="dxa" w:w="2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14,838 </w:t>
            </w:r>
          </w:p>
        </w:tc>
        <w:tc>
          <w:tcPr>
            <w:tcW w:type="dxa" w:w="4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19,539 </w:t>
            </w:r>
          </w:p>
        </w:tc>
        <w:tc>
          <w:tcPr>
            <w:tcW w:type="dxa" w:w="5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34,377 </w:t>
            </w:r>
          </w:p>
        </w:tc>
      </w:tr>
      <w:tr>
        <w:trPr>
          <w:trHeight w:hRule="exact" w:val="536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 purchased under resale agreements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 </w:t>
            </w:r>
          </w:p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 </w:t>
            </w:r>
          </w:p>
        </w:tc>
      </w:tr>
    </w:tbl>
    <w:p>
      <w:pPr>
        <w:autoSpaceDN w:val="0"/>
        <w:autoSpaceDE w:val="0"/>
        <w:widowControl/>
        <w:spacing w:line="178" w:lineRule="exact" w:before="218" w:after="20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assets: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88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and forward contracts 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767 </w:t>
            </w:r>
          </w:p>
        </w:tc>
        <w:tc>
          <w:tcPr>
            <w:tcW w:type="dxa" w:w="5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767 </w:t>
            </w:r>
          </w:p>
        </w:tc>
      </w:tr>
      <w:tr>
        <w:trPr>
          <w:trHeight w:hRule="exact" w:val="239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2,250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2,250 </w:t>
            </w:r>
          </w:p>
        </w:tc>
      </w:tr>
      <w:tr>
        <w:trPr>
          <w:trHeight w:hRule="exact" w:val="267"/>
        </w:trPr>
        <w:tc>
          <w:tcPr>
            <w:tcW w:type="dxa" w:w="5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24"/>
        </w:trPr>
        <w:tc>
          <w:tcPr>
            <w:tcW w:type="dxa" w:w="5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Gross Total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3,017 </w:t>
            </w:r>
          </w:p>
        </w:tc>
        <w:tc>
          <w:tcPr>
            <w:tcW w:type="dxa" w:w="5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3,020 </w:t>
            </w:r>
          </w:p>
        </w:tc>
      </w:tr>
    </w:tbl>
    <w:p>
      <w:pPr>
        <w:autoSpaceDN w:val="0"/>
        <w:autoSpaceDE w:val="0"/>
        <w:widowControl/>
        <w:spacing w:line="178" w:lineRule="exact" w:before="242" w:after="2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70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 Borrowings, at fair value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26,425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26,425 </w:t>
            </w:r>
          </w:p>
        </w:tc>
      </w:tr>
    </w:tbl>
    <w:p>
      <w:pPr>
        <w:autoSpaceDN w:val="0"/>
        <w:autoSpaceDE w:val="0"/>
        <w:widowControl/>
        <w:spacing w:line="180" w:lineRule="exact" w:before="240" w:after="6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Securities sold under repurchase agreements, securities lent under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72"/>
        </w:trPr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lending agreements, and payable for cash collateral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2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 </w:t>
            </w:r>
          </w:p>
        </w:tc>
      </w:tr>
      <w:tr>
        <w:trPr>
          <w:trHeight w:hRule="exact" w:val="266"/>
        </w:trPr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received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218" w:after="20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98"/>
        </w:trPr>
        <w:tc>
          <w:tcPr>
            <w:tcW w:type="dxa" w:w="5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currency forward contracts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665 </w:t>
            </w:r>
          </w:p>
        </w:tc>
        <w:tc>
          <w:tcPr>
            <w:tcW w:type="dxa" w:w="5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665 </w:t>
            </w:r>
          </w:p>
        </w:tc>
      </w:tr>
      <w:tr>
        <w:trPr>
          <w:trHeight w:hRule="exact" w:val="254"/>
        </w:trPr>
        <w:tc>
          <w:tcPr>
            <w:tcW w:type="dxa" w:w="51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1,694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1,694 </w:t>
            </w:r>
          </w:p>
        </w:tc>
      </w:tr>
      <w:tr>
        <w:trPr>
          <w:trHeight w:hRule="exact" w:val="226"/>
        </w:trPr>
        <w:tc>
          <w:tcPr>
            <w:tcW w:type="dxa" w:w="51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Gross Total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2,359 </w:t>
            </w:r>
          </w:p>
        </w:tc>
        <w:tc>
          <w:tcPr>
            <w:tcW w:type="dxa" w:w="5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2,359 </w:t>
            </w:r>
          </w:p>
        </w:tc>
      </w:tr>
    </w:tbl>
    <w:p>
      <w:pPr>
        <w:autoSpaceDN w:val="0"/>
        <w:autoSpaceDE w:val="0"/>
        <w:widowControl/>
        <w:spacing w:line="180" w:lineRule="exact" w:before="25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These relate to TBA Securities, swaptions, exchange traded options and futures contracts.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Excludes amount payable for cash collateral received of $893 million.</w:t>
      </w:r>
    </w:p>
    <w:p>
      <w:pPr>
        <w:autoSpaceDN w:val="0"/>
        <w:autoSpaceDE w:val="0"/>
        <w:widowControl/>
        <w:spacing w:line="240" w:lineRule="exact" w:before="19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Presented below is the difference between the aggregate fair value and aggregate contractual principal </w:t>
      </w:r>
      <w:r>
        <w:rPr>
          <w:rFonts w:ascii="ArialMT" w:hAnsi="ArialMT" w:eastAsia="ArialMT"/>
          <w:b w:val="0"/>
          <w:i w:val="0"/>
          <w:color w:val="000000"/>
          <w:sz w:val="20"/>
        </w:rPr>
        <w:t>balance of non-trading securities in the investment portfolio: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J3: Investment portfolio-Non-trading security </w:t>
      </w:r>
    </w:p>
    <w:p>
      <w:pPr>
        <w:autoSpaceDN w:val="0"/>
        <w:autoSpaceDE w:val="0"/>
        <w:widowControl/>
        <w:spacing w:line="180" w:lineRule="exact" w:before="144" w:after="20"/>
        <w:ind w:left="1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40"/>
        </w:trPr>
        <w:tc>
          <w:tcPr>
            <w:tcW w:type="dxa" w:w="2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  <w:tc>
          <w:tcPr>
            <w:tcW w:type="dxa" w:w="263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8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Principal amount due</w:t>
            </w:r>
          </w:p>
        </w:tc>
        <w:tc>
          <w:tcPr>
            <w:tcW w:type="dxa" w:w="17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Difference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4"/>
        </w:trPr>
        <w:tc>
          <w:tcPr>
            <w:tcW w:type="dxa" w:w="2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2025</w:t>
            </w:r>
          </w:p>
        </w:tc>
        <w:tc>
          <w:tcPr>
            <w:tcW w:type="dxa" w:w="3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115 </w:t>
            </w:r>
          </w:p>
        </w:tc>
        <w:tc>
          <w:tcPr>
            <w:tcW w:type="dxa" w:w="1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124 </w:t>
            </w:r>
          </w:p>
        </w:tc>
        <w:tc>
          <w:tcPr>
            <w:tcW w:type="dxa" w:w="10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(9) </w:t>
            </w:r>
          </w:p>
        </w:tc>
        <w:tc>
          <w:tcPr>
            <w:tcW w:type="dxa" w:w="4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6"/>
        </w:trPr>
        <w:tc>
          <w:tcPr>
            <w:tcW w:type="dxa" w:w="2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2024</w:t>
            </w:r>
          </w:p>
        </w:tc>
        <w:tc>
          <w:tcPr>
            <w:tcW w:type="dxa" w:w="3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  <w:tc>
          <w:tcPr>
            <w:tcW w:type="dxa" w:w="12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185 </w:t>
            </w:r>
          </w:p>
        </w:tc>
        <w:tc>
          <w:tcPr>
            <w:tcW w:type="dxa" w:w="1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(14) </w:t>
            </w:r>
          </w:p>
        </w:tc>
        <w:tc>
          <w:tcPr>
            <w:tcW w:type="dxa" w:w="1180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134"/>
        </w:trPr>
        <w:tc>
          <w:tcPr>
            <w:tcW w:type="dxa" w:w="2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50"/>
            <w:gridSpan w:val="4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920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IDA Financial Statements: June 30, 2025 </w:t>
            </w:r>
          </w:p>
        </w:tc>
        <w:tc>
          <w:tcPr>
            <w:tcW w:type="dxa" w:w="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92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2" w:right="1366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Presented below is the difference between the aggregate fair value and aggregate contractual principal </w:t>
      </w:r>
      <w:r>
        <w:rPr>
          <w:rFonts w:ascii="ArialMT" w:hAnsi="ArialMT" w:eastAsia="ArialMT"/>
          <w:b w:val="0"/>
          <w:i w:val="0"/>
          <w:color w:val="000000"/>
          <w:sz w:val="20"/>
        </w:rPr>
        <w:t>balance of market borrowings at fair value: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J4: Market Borrowings at fair value</w:t>
      </w:r>
    </w:p>
    <w:p>
      <w:pPr>
        <w:autoSpaceDN w:val="0"/>
        <w:autoSpaceDE w:val="0"/>
        <w:widowControl/>
        <w:spacing w:line="178" w:lineRule="exact" w:before="144" w:after="0"/>
        <w:ind w:left="3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4" w:after="6"/>
        <w:ind w:left="0" w:right="245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Principal Due Upon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4"/>
        </w:trPr>
        <w:tc>
          <w:tcPr>
            <w:tcW w:type="dxa" w:w="31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7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  <w:tc>
          <w:tcPr>
            <w:tcW w:type="dxa" w:w="3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Maturity</w:t>
            </w:r>
          </w:p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7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Difference</w:t>
            </w:r>
          </w:p>
        </w:tc>
      </w:tr>
      <w:tr>
        <w:trPr>
          <w:trHeight w:hRule="exact" w:val="226"/>
        </w:trPr>
        <w:tc>
          <w:tcPr>
            <w:tcW w:type="dxa" w:w="31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2025</w:t>
            </w:r>
          </w:p>
        </w:tc>
        <w:tc>
          <w:tcPr>
            <w:tcW w:type="dxa" w:w="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8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45,154 </w:t>
            </w:r>
          </w:p>
        </w:tc>
        <w:tc>
          <w:tcPr>
            <w:tcW w:type="dxa" w:w="3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46,059 </w:t>
            </w:r>
          </w:p>
        </w:tc>
        <w:tc>
          <w:tcPr>
            <w:tcW w:type="dxa" w:w="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(905) </w:t>
            </w:r>
          </w:p>
        </w:tc>
      </w:tr>
      <w:tr>
        <w:trPr>
          <w:trHeight w:hRule="exact" w:val="494"/>
        </w:trPr>
        <w:tc>
          <w:tcPr>
            <w:tcW w:type="dxa" w:w="31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2024</w:t>
            </w:r>
          </w:p>
        </w:tc>
        <w:tc>
          <w:tcPr>
            <w:tcW w:type="dxa" w:w="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8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26,425 </w:t>
            </w:r>
          </w:p>
        </w:tc>
        <w:tc>
          <w:tcPr>
            <w:tcW w:type="dxa" w:w="3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27,886 </w:t>
            </w:r>
          </w:p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(1,461) </w:t>
            </w:r>
          </w:p>
        </w:tc>
      </w:tr>
    </w:tbl>
    <w:p>
      <w:pPr>
        <w:autoSpaceDN w:val="0"/>
        <w:autoSpaceDE w:val="0"/>
        <w:widowControl/>
        <w:spacing w:line="240" w:lineRule="exact" w:before="168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fiscal year ended June 30, 2025, IDA recorded unrealized mark-to-market gains of $33 million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($6 million gains – fiscal year ended June 30, 2024) in Other Comprehensive Income, in relation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changes in its own credit (DVA) on fair value option elected liabilities.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of June 30, 2025, IDA’s Balance Sheets included a DVA of $8 million cumulative gains ($25 million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cumulative loss—June 30, 2024) in Accumulated other comprehensive loss, associated with the changes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IDA’s own credit for its market borrowings reported at fair value.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tables reflect the components of the unrealized mark-to-market gains or losses on IDA’s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trading and non-trading portfolios, net (for details see Note F—Derivative Instruments).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J5: Unrealized mark-to-market gains (losses) on trading and non-trading portfolios, net </w:t>
      </w:r>
    </w:p>
    <w:p>
      <w:pPr>
        <w:autoSpaceDN w:val="0"/>
        <w:autoSpaceDE w:val="0"/>
        <w:widowControl/>
        <w:spacing w:line="180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18"/>
        <w:ind w:left="0" w:right="199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Fiscal Year Ended 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326"/>
        </w:trPr>
        <w:tc>
          <w:tcPr>
            <w:tcW w:type="dxa" w:w="33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04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Realized gains (losses)</w:t>
            </w:r>
          </w:p>
        </w:tc>
        <w:tc>
          <w:tcPr>
            <w:tcW w:type="dxa" w:w="3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44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gains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(losses) excluding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39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8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gains </w:t>
            </w:r>
          </w:p>
        </w:tc>
      </w:tr>
      <w:tr>
        <w:trPr>
          <w:trHeight w:hRule="exact" w:val="230"/>
        </w:trPr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69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</w:tr>
      <w:tr>
        <w:trPr>
          <w:trHeight w:hRule="exact" w:val="220"/>
        </w:trPr>
        <w:tc>
          <w:tcPr>
            <w:tcW w:type="dxa" w:w="3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Investments, Trading, net</w:t>
            </w:r>
          </w:p>
        </w:tc>
        <w:tc>
          <w:tcPr>
            <w:tcW w:type="dxa" w:w="7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(31) 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371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340 </w:t>
            </w:r>
          </w:p>
        </w:tc>
      </w:tr>
    </w:tbl>
    <w:p>
      <w:pPr>
        <w:autoSpaceDN w:val="0"/>
        <w:autoSpaceDE w:val="0"/>
        <w:widowControl/>
        <w:spacing w:line="178" w:lineRule="exact" w:before="282" w:after="2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Non-trading portfolios,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361"/>
        <w:gridCol w:w="2361"/>
        <w:gridCol w:w="2361"/>
        <w:gridCol w:w="2361"/>
      </w:tblGrid>
      <w:tr>
        <w:trPr>
          <w:trHeight w:hRule="exact" w:val="252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Asset-liability management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484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484 </w:t>
            </w:r>
          </w:p>
        </w:tc>
      </w:tr>
    </w:tbl>
    <w:p>
      <w:pPr>
        <w:autoSpaceDN w:val="0"/>
        <w:autoSpaceDE w:val="0"/>
        <w:widowControl/>
        <w:spacing w:line="178" w:lineRule="exact" w:before="30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Other Non-trading portfolios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28"/>
        </w:trPr>
        <w:tc>
          <w:tcPr>
            <w:tcW w:type="dxa" w:w="45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 portfolio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6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2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48" w:after="0"/>
              <w:ind w:left="0" w:right="0" w:firstLine="0"/>
              <w:jc w:val="center"/>
            </w:pP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</w:tr>
      <w:tr>
        <w:trPr>
          <w:trHeight w:hRule="exact" w:val="240"/>
        </w:trPr>
        <w:tc>
          <w:tcPr>
            <w:tcW w:type="dxa" w:w="45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Borrowings, including derivatives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45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Loan-related derivatives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(5)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50"/>
        </w:trPr>
        <w:tc>
          <w:tcPr>
            <w:tcW w:type="dxa" w:w="45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2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(12)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0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(12)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9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469 </w:t>
            </w:r>
          </w:p>
        </w:tc>
        <w:tc>
          <w:tcPr>
            <w:tcW w:type="dxa" w:w="6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470 </w:t>
            </w:r>
          </w:p>
        </w:tc>
        <w:tc>
          <w:tcPr>
            <w:tcW w:type="dxa" w:w="2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50"/>
        </w:trPr>
        <w:tc>
          <w:tcPr>
            <w:tcW w:type="dxa" w:w="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936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126 </w:t>
            </w:r>
          </w:p>
        </w:tc>
        <w:tc>
          <w:tcPr>
            <w:tcW w:type="dxa" w:w="40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9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IDA Financial Statements: June 30, 2025</w:t>
            </w:r>
          </w:p>
        </w:tc>
        <w:tc>
          <w:tcPr>
            <w:tcW w:type="dxa" w:w="6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2" w:right="1366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J5.1</w:t>
      </w:r>
    </w:p>
    <w:p>
      <w:pPr>
        <w:autoSpaceDN w:val="0"/>
        <w:autoSpaceDE w:val="0"/>
        <w:widowControl/>
        <w:spacing w:line="178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199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Fiscal Year Ended 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340"/>
        </w:trPr>
        <w:tc>
          <w:tcPr>
            <w:tcW w:type="dxa" w:w="33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04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Realized gains (losses)</w:t>
            </w:r>
          </w:p>
        </w:tc>
        <w:tc>
          <w:tcPr>
            <w:tcW w:type="dxa" w:w="3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44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gains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(losses) excluding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39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4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gains </w:t>
            </w:r>
          </w:p>
        </w:tc>
      </w:tr>
      <w:tr>
        <w:trPr>
          <w:trHeight w:hRule="exact" w:val="214"/>
        </w:trPr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69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3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</w:tr>
      <w:tr>
        <w:trPr>
          <w:trHeight w:hRule="exact" w:val="220"/>
        </w:trPr>
        <w:tc>
          <w:tcPr>
            <w:tcW w:type="dxa" w:w="3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Investments, Trading, net</w:t>
            </w:r>
          </w:p>
        </w:tc>
        <w:tc>
          <w:tcPr>
            <w:tcW w:type="dxa" w:w="7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 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281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316 </w:t>
            </w:r>
          </w:p>
        </w:tc>
      </w:tr>
    </w:tbl>
    <w:p>
      <w:pPr>
        <w:autoSpaceDN w:val="0"/>
        <w:autoSpaceDE w:val="0"/>
        <w:widowControl/>
        <w:spacing w:line="180" w:lineRule="exact" w:before="282" w:after="1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Non-trading portfolios,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361"/>
        <w:gridCol w:w="2361"/>
        <w:gridCol w:w="2361"/>
        <w:gridCol w:w="2361"/>
      </w:tblGrid>
      <w:tr>
        <w:trPr>
          <w:trHeight w:hRule="exact" w:val="252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Asset-liability management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393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393 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Other Non-trading portfolios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24"/>
        </w:trPr>
        <w:tc>
          <w:tcPr>
            <w:tcW w:type="dxa" w:w="3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 portfolio</w:t>
            </w:r>
          </w:p>
        </w:tc>
        <w:tc>
          <w:tcPr>
            <w:tcW w:type="dxa" w:w="78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8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2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248" w:after="0"/>
              <w:ind w:left="0" w:right="0" w:firstLine="0"/>
              <w:jc w:val="center"/>
            </w:pP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</w:tr>
      <w:tr>
        <w:trPr>
          <w:trHeight w:hRule="exact" w:val="240"/>
        </w:trPr>
        <w:tc>
          <w:tcPr>
            <w:tcW w:type="dxa" w:w="3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 portfolio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Loan-related derivatives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54"/>
        </w:trPr>
        <w:tc>
          <w:tcPr>
            <w:tcW w:type="dxa" w:w="34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0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(24)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(24)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34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405 </w:t>
            </w:r>
          </w:p>
        </w:tc>
        <w:tc>
          <w:tcPr>
            <w:tcW w:type="dxa" w:w="8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405 </w:t>
            </w:r>
          </w:p>
        </w:tc>
        <w:tc>
          <w:tcPr>
            <w:tcW w:type="dxa" w:w="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2" w:lineRule="exact" w:before="44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J5.2</w:t>
      </w:r>
    </w:p>
    <w:p>
      <w:pPr>
        <w:autoSpaceDN w:val="0"/>
        <w:autoSpaceDE w:val="0"/>
        <w:widowControl/>
        <w:spacing w:line="180" w:lineRule="exact" w:before="14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18"/>
        <w:ind w:left="0" w:right="199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Fiscal Year Ended June 30, 2023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326"/>
        </w:trPr>
        <w:tc>
          <w:tcPr>
            <w:tcW w:type="dxa" w:w="33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04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Realized gains (losses)</w:t>
            </w:r>
          </w:p>
        </w:tc>
        <w:tc>
          <w:tcPr>
            <w:tcW w:type="dxa" w:w="3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288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gains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(losses) excluding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2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8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gains </w:t>
            </w:r>
          </w:p>
        </w:tc>
      </w:tr>
      <w:tr>
        <w:trPr>
          <w:trHeight w:hRule="exact" w:val="230"/>
        </w:trPr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69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</w:tr>
      <w:tr>
        <w:trPr>
          <w:trHeight w:hRule="exact" w:val="220"/>
        </w:trPr>
        <w:tc>
          <w:tcPr>
            <w:tcW w:type="dxa" w:w="3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Investments, Trading, net</w:t>
            </w:r>
          </w:p>
        </w:tc>
        <w:tc>
          <w:tcPr>
            <w:tcW w:type="dxa" w:w="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(254) 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225 </w:t>
            </w:r>
          </w:p>
        </w:tc>
        <w:tc>
          <w:tcPr>
            <w:tcW w:type="dxa" w:w="2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(29) </w:t>
            </w:r>
          </w:p>
        </w:tc>
      </w:tr>
    </w:tbl>
    <w:p>
      <w:pPr>
        <w:autoSpaceDN w:val="0"/>
        <w:autoSpaceDE w:val="0"/>
        <w:widowControl/>
        <w:spacing w:line="178" w:lineRule="exact" w:before="282" w:after="2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Non-trading portfolios,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361"/>
        <w:gridCol w:w="2361"/>
        <w:gridCol w:w="2361"/>
        <w:gridCol w:w="2361"/>
      </w:tblGrid>
      <w:tr>
        <w:trPr>
          <w:trHeight w:hRule="exact" w:val="252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Asset-liability management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143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143 </w:t>
            </w:r>
          </w:p>
        </w:tc>
      </w:tr>
    </w:tbl>
    <w:p>
      <w:pPr>
        <w:autoSpaceDN w:val="0"/>
        <w:autoSpaceDE w:val="0"/>
        <w:widowControl/>
        <w:spacing w:line="178" w:lineRule="exact" w:before="30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Other Non-trading portfolios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28"/>
        </w:trPr>
        <w:tc>
          <w:tcPr>
            <w:tcW w:type="dxa" w:w="3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 portfolio</w:t>
            </w:r>
          </w:p>
        </w:tc>
        <w:tc>
          <w:tcPr>
            <w:tcW w:type="dxa" w:w="7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(5) </w:t>
            </w:r>
          </w:p>
        </w:tc>
        <w:tc>
          <w:tcPr>
            <w:tcW w:type="dxa" w:w="8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(5) </w:t>
            </w:r>
          </w:p>
        </w:tc>
        <w:tc>
          <w:tcPr>
            <w:tcW w:type="dxa" w:w="2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48" w:after="0"/>
              <w:ind w:left="0" w:right="0" w:firstLine="0"/>
              <w:jc w:val="center"/>
            </w:pP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</w:tr>
      <w:tr>
        <w:trPr>
          <w:trHeight w:hRule="exact" w:val="240"/>
        </w:trPr>
        <w:tc>
          <w:tcPr>
            <w:tcW w:type="dxa" w:w="3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 portfolio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Loan-related derivatives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50"/>
        </w:trPr>
        <w:tc>
          <w:tcPr>
            <w:tcW w:type="dxa" w:w="34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2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0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(36)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(37)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34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  <w:tc>
          <w:tcPr>
            <w:tcW w:type="dxa" w:w="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135 </w:t>
            </w:r>
          </w:p>
        </w:tc>
        <w:tc>
          <w:tcPr>
            <w:tcW w:type="dxa" w:w="8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134 </w:t>
            </w:r>
          </w:p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29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Adjusted to exclude amounts reclassified to realized gains (losses).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2" w:after="0"/>
        <w:ind w:left="62" w:right="72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Includes mark-to-market gains (losses) on the Capital Value Protection program (CVP) portfolio and other Asset-liability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management portfolios.</w:t>
      </w:r>
    </w:p>
    <w:p>
      <w:pPr>
        <w:autoSpaceDN w:val="0"/>
        <w:autoSpaceDE w:val="0"/>
        <w:widowControl/>
        <w:spacing w:line="192" w:lineRule="exact" w:before="68" w:after="0"/>
        <w:ind w:left="242" w:right="144" w:hanging="18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Includes $915 million of unrealized mark-to-market gains related to derivatives associated with borrowings for the fiscal year </w:t>
      </w:r>
      <w:r>
        <w:rPr>
          <w:rFonts w:ascii="Arial" w:hAnsi="Arial" w:eastAsia="Arial"/>
          <w:b w:val="0"/>
          <w:i/>
          <w:color w:val="000000"/>
          <w:sz w:val="16"/>
        </w:rPr>
        <w:t>ended June 30, 2025 (unrealized mark-to-market gains of $723 million—fiscal year ended June 30, 2024 and unrealized mark-</w:t>
      </w:r>
      <w:r>
        <w:rPr>
          <w:rFonts w:ascii="Arial" w:hAnsi="Arial" w:eastAsia="Arial"/>
          <w:b w:val="0"/>
          <w:i/>
          <w:color w:val="000000"/>
          <w:sz w:val="16"/>
        </w:rPr>
        <w:t>to-market losses of $573 million—fiscal year ended June 30, 2023).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d. Represents mark-to-market gains (losses) on interest rate and currency swaps related to the PSW. </w:t>
      </w:r>
    </w:p>
    <w:p>
      <w:pPr>
        <w:autoSpaceDN w:val="0"/>
        <w:autoSpaceDE w:val="0"/>
        <w:widowControl/>
        <w:spacing w:line="314" w:lineRule="exact" w:before="3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NOTE K—TRUST FUNDS ADMINISTRATION</w:t>
      </w:r>
    </w:p>
    <w:p>
      <w:pPr>
        <w:autoSpaceDN w:val="0"/>
        <w:autoSpaceDE w:val="0"/>
        <w:widowControl/>
        <w:spacing w:line="240" w:lineRule="exact" w:before="14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IDA, alone or jointly with one or more of its affiliated organizations, administers on behalf of the donors,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including members, their agencies and other entities, funds restricted for specific uses in accordance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>administration agreements with the donors. Specified uses of the funds include, among others, co-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financing of IDA lending projects, debt reduction operations for IDA members, technical assistance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borrowers including feasibility studies and project preparation, global and regional programs,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research and training programs. These funds are held in trust by IDA and/or IBRD, and are held in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separate investment portfolio which is not commingled with IDA and/or IBRD funds.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Trust fund execution may be carried out in one of two ways: recipient-executed or Bank-executed </w:t>
      </w:r>
      <w:r>
        <w:rPr>
          <w:rFonts w:ascii="ArialMT" w:hAnsi="ArialMT" w:eastAsia="ArialMT"/>
          <w:b w:val="0"/>
          <w:i w:val="0"/>
          <w:color w:val="000000"/>
          <w:sz w:val="20"/>
        </w:rPr>
        <w:t>activities.</w:t>
      </w:r>
    </w:p>
    <w:p>
      <w:pPr>
        <w:autoSpaceDN w:val="0"/>
        <w:tabs>
          <w:tab w:pos="9036" w:val="left"/>
        </w:tabs>
        <w:autoSpaceDE w:val="0"/>
        <w:widowControl/>
        <w:spacing w:line="224" w:lineRule="exact" w:before="702" w:after="0"/>
        <w:ind w:left="47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rPr>
          <w:rFonts w:ascii="ArialMT" w:hAnsi="ArialMT" w:eastAsia="ArialMT"/>
          <w:b w:val="0"/>
          <w:i w:val="0"/>
          <w:color w:val="000000"/>
          <w:sz w:val="20"/>
        </w:rPr>
        <w:t>127</w:t>
      </w:r>
    </w:p>
    <w:p>
      <w:pPr>
        <w:sectPr>
          <w:pgSz w:w="12240" w:h="15840"/>
          <w:pgMar w:top="702" w:right="1366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Recipient-executed activities for trust funds involve activities carried out by a recipient third-party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executing agency. IDA enters into agreements with and disburses funds to such recipients, who then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exercise spending authority to meet the objectives and comply with the terms stipulated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agreements.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Bank-executed activities for trust funds involve execution of activities by IDA as described in relevant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administration agreements with donors, which define the terms and conditions for use of the funds.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Spending authority is exercised by IDA, under the terms of the administration agreements. The executing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agency services provided by IDA include, among others, activity preparation, analytical and advisory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activities and project-related activities, including procurement of goods and services. 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following table summarizes the expenses pertaining to Bank-executed activities for trust funds: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K1: Expenses for Bank-executed activities for trust funds</w:t>
      </w:r>
    </w:p>
    <w:p>
      <w:pPr>
        <w:autoSpaceDN w:val="0"/>
        <w:autoSpaceDE w:val="0"/>
        <w:widowControl/>
        <w:spacing w:line="178" w:lineRule="exact" w:before="144" w:after="0"/>
        <w:ind w:left="1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169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Fiscal Year Ended June 30,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42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5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480"/>
        </w:trPr>
        <w:tc>
          <w:tcPr>
            <w:tcW w:type="dxa" w:w="42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Expenses for Bank-executed activities for trust funds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768 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705 </w:t>
            </w:r>
          </w:p>
        </w:tc>
        <w:tc>
          <w:tcPr>
            <w:tcW w:type="dxa" w:w="5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686 </w:t>
            </w:r>
          </w:p>
        </w:tc>
      </w:tr>
    </w:tbl>
    <w:p>
      <w:pPr>
        <w:autoSpaceDN w:val="0"/>
        <w:autoSpaceDE w:val="0"/>
        <w:widowControl/>
        <w:spacing w:line="240" w:lineRule="exact" w:before="158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amounts are included in Administrative expenses and the corresponding revenue is included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Revenue from externally funded activities in the Statements of Income. Administrative expenses primarily </w:t>
      </w:r>
      <w:r>
        <w:rPr>
          <w:rFonts w:ascii="ArialMT" w:hAnsi="ArialMT" w:eastAsia="ArialMT"/>
          <w:b w:val="0"/>
          <w:i w:val="0"/>
          <w:color w:val="000000"/>
          <w:sz w:val="20"/>
        </w:rPr>
        <w:t>relate to staff cost, travel and consultant fees.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table summarizes undisbursed contributions made by third party donors to Bank-executed </w:t>
      </w:r>
      <w:r>
        <w:rPr>
          <w:rFonts w:ascii="ArialMT" w:hAnsi="ArialMT" w:eastAsia="ArialMT"/>
          <w:b w:val="0"/>
          <w:i w:val="0"/>
          <w:color w:val="000000"/>
          <w:sz w:val="20"/>
        </w:rPr>
        <w:t>activities for trust funds, recognized on the Balance Sheets:</w:t>
      </w:r>
    </w:p>
    <w:p>
      <w:pPr>
        <w:autoSpaceDN w:val="0"/>
        <w:autoSpaceDE w:val="0"/>
        <w:widowControl/>
        <w:spacing w:line="240" w:lineRule="exact" w:before="120" w:after="0"/>
        <w:ind w:left="1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K2: Undisbursed contributions made by third party donors to Bank-executed activities for </w:t>
      </w:r>
      <w:r>
        <w:rPr>
          <w:rFonts w:ascii="Arial" w:hAnsi="Arial" w:eastAsia="Arial"/>
          <w:b/>
          <w:i w:val="0"/>
          <w:color w:val="000000"/>
          <w:sz w:val="20"/>
        </w:rPr>
        <w:t>trust funds</w:t>
      </w:r>
    </w:p>
    <w:p>
      <w:pPr>
        <w:autoSpaceDN w:val="0"/>
        <w:autoSpaceDE w:val="0"/>
        <w:widowControl/>
        <w:spacing w:line="178" w:lineRule="exact" w:before="144" w:after="20"/>
        <w:ind w:left="1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40"/>
        </w:trPr>
        <w:tc>
          <w:tcPr>
            <w:tcW w:type="dxa" w:w="547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2025</w:t>
            </w:r>
          </w:p>
        </w:tc>
        <w:tc>
          <w:tcPr>
            <w:tcW w:type="dxa" w:w="5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480"/>
        </w:trPr>
        <w:tc>
          <w:tcPr>
            <w:tcW w:type="dxa" w:w="547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Bank-executed activities for trust funds</w:t>
            </w:r>
          </w:p>
        </w:tc>
        <w:tc>
          <w:tcPr>
            <w:tcW w:type="dxa" w:w="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734 </w:t>
            </w:r>
          </w:p>
        </w:tc>
        <w:tc>
          <w:tcPr>
            <w:tcW w:type="dxa" w:w="5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735 </w:t>
            </w:r>
          </w:p>
        </w:tc>
      </w:tr>
    </w:tbl>
    <w:p>
      <w:pPr>
        <w:autoSpaceDN w:val="0"/>
        <w:autoSpaceDE w:val="0"/>
        <w:widowControl/>
        <w:spacing w:line="240" w:lineRule="exact" w:before="15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amounts are included in Other Assets and the corresponding liabilities are included in Accounts </w:t>
      </w:r>
      <w:r>
        <w:rPr>
          <w:rFonts w:ascii="ArialMT" w:hAnsi="ArialMT" w:eastAsia="ArialMT"/>
          <w:b w:val="0"/>
          <w:i w:val="0"/>
          <w:color w:val="000000"/>
          <w:sz w:val="20"/>
        </w:rPr>
        <w:t>payable and miscellaneous liabilities on the Balance Sheets.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Revenues </w:t>
      </w:r>
    </w:p>
    <w:p>
      <w:pPr>
        <w:autoSpaceDN w:val="0"/>
        <w:autoSpaceDE w:val="0"/>
        <w:widowControl/>
        <w:spacing w:line="224" w:lineRule="exact" w:before="14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IDA’s revenues for the administration of trust fund operations were as follows:</w:t>
      </w:r>
    </w:p>
    <w:p>
      <w:pPr>
        <w:autoSpaceDN w:val="0"/>
        <w:autoSpaceDE w:val="0"/>
        <w:widowControl/>
        <w:spacing w:line="224" w:lineRule="exact" w:before="9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K3: IDA’s revenues for the administration of trust fund operations</w:t>
      </w:r>
    </w:p>
    <w:p>
      <w:pPr>
        <w:autoSpaceDN w:val="0"/>
        <w:autoSpaceDE w:val="0"/>
        <w:widowControl/>
        <w:spacing w:line="178" w:lineRule="exact" w:before="104" w:after="0"/>
        <w:ind w:left="1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175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Fiscal Year Ended June 30,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40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7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480"/>
        </w:trPr>
        <w:tc>
          <w:tcPr>
            <w:tcW w:type="dxa" w:w="40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Revenues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 </w:t>
            </w:r>
          </w:p>
        </w:tc>
        <w:tc>
          <w:tcPr>
            <w:tcW w:type="dxa" w:w="7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 </w:t>
            </w:r>
          </w:p>
        </w:tc>
      </w:tr>
    </w:tbl>
    <w:p>
      <w:pPr>
        <w:autoSpaceDN w:val="0"/>
        <w:autoSpaceDE w:val="0"/>
        <w:widowControl/>
        <w:spacing w:line="224" w:lineRule="exact" w:before="17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These amounts are included in Revenue from externally funded activities in the Statements of Income.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Amounts collected from donor contributions for administration activities, but not yet earned, totaling $66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at June 30, 2025 ($74 million—June 30, 2024) are included in Other Assets and in Accounts </w:t>
      </w:r>
      <w:r>
        <w:rPr>
          <w:rFonts w:ascii="ArialMT" w:hAnsi="ArialMT" w:eastAsia="ArialMT"/>
          <w:b w:val="0"/>
          <w:i w:val="0"/>
          <w:color w:val="000000"/>
          <w:sz w:val="20"/>
        </w:rPr>
        <w:t>payable and miscellaneous liabilities, respectively, on the Balance Sheets.</w:t>
      </w:r>
    </w:p>
    <w:p>
      <w:pPr>
        <w:autoSpaceDN w:val="0"/>
        <w:autoSpaceDE w:val="0"/>
        <w:widowControl/>
        <w:spacing w:line="268" w:lineRule="exact" w:before="1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Transfers Received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the agreements governing the administration of certain trust funds, IDA may receive any surplus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assets as transfers upon the termination of these trust funds. In addition, as loans are repaid to trust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funds, in certain cases, the repayments are transferred to IDA. During the fiscal year ended June 30,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53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Financial Statements: June 30, 2025</w:t>
      </w:r>
    </w:p>
    <w:p>
      <w:pPr>
        <w:sectPr>
          <w:pgSz w:w="12240" w:h="15840"/>
          <w:pgMar w:top="702" w:right="136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2025 no funds were recorded as transfers from affiliated organizations under these arrangements (Nil—</w:t>
      </w:r>
      <w:r>
        <w:rPr>
          <w:rFonts w:ascii="ArialMT" w:hAnsi="ArialMT" w:eastAsia="ArialMT"/>
          <w:b w:val="0"/>
          <w:i w:val="0"/>
          <w:color w:val="000000"/>
          <w:sz w:val="20"/>
        </w:rPr>
        <w:t>for each of the fiscal years ended June 30, 2024 and June 30, 2023).</w:t>
      </w:r>
    </w:p>
    <w:p>
      <w:pPr>
        <w:autoSpaceDN w:val="0"/>
        <w:autoSpaceDE w:val="0"/>
        <w:widowControl/>
        <w:spacing w:line="314" w:lineRule="exact" w:before="24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NOTE L—SEGMENT REPORTING</w:t>
      </w:r>
    </w:p>
    <w:p>
      <w:pPr>
        <w:autoSpaceDN w:val="0"/>
        <w:autoSpaceDE w:val="0"/>
        <w:widowControl/>
        <w:spacing w:line="240" w:lineRule="exact" w:before="14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has determined that it has a single reportable operating segment. The President is the Chief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Operating Decision Maker (CODM), who regularly reviews operational performance and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>measures of IDA to assess performance and allocate resources.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Administrative budget for IBRD and IDA is approved and managed as a single resource. The CODM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receives expense information on the combined basis for IBRD and IDA. As a result, no significant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segment expense amounts are presented separately for IDA to the CODM. The measure of segment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profit or loss is at the entity level and is reported on the Statements of Income as Net income (loss). 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measure of segment assets is reported on the Balance Sheets as Total assets.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following table presents IDA’s revenues by products/services: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 L1: Revenue by products/services</w:t>
      </w:r>
    </w:p>
    <w:p>
      <w:pPr>
        <w:autoSpaceDN w:val="0"/>
        <w:autoSpaceDE w:val="0"/>
        <w:widowControl/>
        <w:spacing w:line="178" w:lineRule="exact" w:before="144" w:after="20"/>
        <w:ind w:left="12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39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Revenue</w:t>
            </w:r>
          </w:p>
        </w:tc>
        <w:tc>
          <w:tcPr>
            <w:tcW w:type="dxa" w:w="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8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Fiscal Year Ended June 30,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9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218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224"/>
        </w:trPr>
        <w:tc>
          <w:tcPr>
            <w:tcW w:type="dxa" w:w="39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 revenue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35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3,029 </w:t>
            </w:r>
          </w:p>
        </w:tc>
        <w:tc>
          <w:tcPr>
            <w:tcW w:type="dxa" w:w="6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2,646 </w:t>
            </w:r>
          </w:p>
        </w:tc>
        <w:tc>
          <w:tcPr>
            <w:tcW w:type="dxa" w:w="3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2,277 </w:t>
            </w:r>
          </w:p>
        </w:tc>
      </w:tr>
      <w:tr>
        <w:trPr>
          <w:trHeight w:hRule="exact" w:val="240"/>
        </w:trPr>
        <w:tc>
          <w:tcPr>
            <w:tcW w:type="dxa" w:w="3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Revenue from externally funded activities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1,098 </w:t>
            </w:r>
          </w:p>
        </w:tc>
        <w:tc>
          <w:tcPr>
            <w:tcW w:type="dxa" w:w="21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1,031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3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966 </w:t>
            </w:r>
          </w:p>
        </w:tc>
      </w:tr>
      <w:tr>
        <w:trPr>
          <w:trHeight w:hRule="exact" w:val="256"/>
        </w:trPr>
        <w:tc>
          <w:tcPr>
            <w:tcW w:type="dxa" w:w="3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Guarantee fees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6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 </w:t>
            </w:r>
          </w:p>
        </w:tc>
        <w:tc>
          <w:tcPr>
            <w:tcW w:type="dxa" w:w="218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9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6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</w:tr>
      <w:tr>
        <w:trPr>
          <w:trHeight w:hRule="exact" w:val="220"/>
        </w:trPr>
        <w:tc>
          <w:tcPr>
            <w:tcW w:type="dxa" w:w="39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4,165 </w:t>
            </w:r>
          </w:p>
        </w:tc>
        <w:tc>
          <w:tcPr>
            <w:tcW w:type="dxa" w:w="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3,698 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3,264 </w:t>
            </w:r>
          </w:p>
        </w:tc>
      </w:tr>
    </w:tbl>
    <w:p>
      <w:pPr>
        <w:autoSpaceDN w:val="0"/>
        <w:autoSpaceDE w:val="0"/>
        <w:widowControl/>
        <w:spacing w:line="192" w:lineRule="exact" w:before="278" w:after="0"/>
        <w:ind w:left="242" w:right="86" w:hanging="180"/>
        <w:jc w:val="both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Excludes $15 million of interest rate swap income from loan-related derivatives for the fiscal year ended June 30, 2025 ($19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million of interest rate swap income - fiscal year ended June 30, 2024 and $6 million of interest rate swap income - fiscal year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ended June 30, 2023). Includes net commitment charges of $23 million for the fiscal year ended June 30, 2025 ($26 million – </w:t>
      </w:r>
      <w:r>
        <w:rPr>
          <w:rFonts w:ascii="Arial" w:hAnsi="Arial" w:eastAsia="Arial"/>
          <w:b w:val="0"/>
          <w:i/>
          <w:color w:val="000000"/>
          <w:sz w:val="16"/>
        </w:rPr>
        <w:t>fiscal year ended June 30, 2024, and $27 million - fiscal year ended June 30, 2023).</w:t>
      </w:r>
    </w:p>
    <w:p>
      <w:pPr>
        <w:autoSpaceDN w:val="0"/>
        <w:autoSpaceDE w:val="0"/>
        <w:widowControl/>
        <w:spacing w:line="192" w:lineRule="exact" w:before="68" w:after="0"/>
        <w:ind w:left="242" w:right="84" w:hanging="180"/>
        <w:jc w:val="both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Included in Non-interest revenue - other in the Statements of Income and excludes other miscellaneous expense of  $2 million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for the fiscal year ended June 30, 2025 (other miscellaneous income of $4 million and $10 million -– fiscal year ended June 30, </w:t>
      </w:r>
      <w:r>
        <w:rPr>
          <w:rFonts w:ascii="Arial" w:hAnsi="Arial" w:eastAsia="Arial"/>
          <w:b w:val="0"/>
          <w:i/>
          <w:color w:val="000000"/>
          <w:sz w:val="16"/>
        </w:rPr>
        <w:t>2024 and fiscal year ended June 30, 2023, respectively).</w:t>
      </w:r>
    </w:p>
    <w:p>
      <w:pPr>
        <w:autoSpaceDN w:val="0"/>
        <w:autoSpaceDE w:val="0"/>
        <w:widowControl/>
        <w:spacing w:line="314" w:lineRule="exact" w:before="32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4972"/>
          <w:sz w:val="28"/>
        </w:rPr>
        <w:t>NOTE M—CONTINGENCIES</w:t>
      </w:r>
    </w:p>
    <w:p>
      <w:pPr>
        <w:autoSpaceDN w:val="0"/>
        <w:autoSpaceDE w:val="0"/>
        <w:widowControl/>
        <w:spacing w:line="240" w:lineRule="exact" w:before="140" w:after="0"/>
        <w:ind w:left="1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time to time, IDA may be named as a defendant or co-defendant in legal actions on different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grounds in various jurisdictions. The outcome of any existing legal action, in which IDA has been named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a defendant or co-defendant, as of and for the fiscal year ended June 30, 2025, is not expected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>have a material adverse effect on IDA's financial position, results of operations or cash flows.</w:t>
      </w:r>
    </w:p>
    <w:p>
      <w:pPr>
        <w:autoSpaceDN w:val="0"/>
        <w:tabs>
          <w:tab w:pos="9036" w:val="left"/>
        </w:tabs>
        <w:autoSpaceDE w:val="0"/>
        <w:widowControl/>
        <w:spacing w:line="224" w:lineRule="exact" w:before="4366" w:after="0"/>
        <w:ind w:left="47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Financial Statements: June 30, 2025 </w:t>
      </w:r>
      <w:r>
        <w:rPr>
          <w:rFonts w:ascii="ArialMT" w:hAnsi="ArialMT" w:eastAsia="ArialMT"/>
          <w:b w:val="0"/>
          <w:i w:val="0"/>
          <w:color w:val="000000"/>
          <w:sz w:val="20"/>
        </w:rPr>
        <w:t>129</w:t>
      </w:r>
    </w:p>
    <w:sectPr w:rsidR="00FC693F" w:rsidRPr="0006063C" w:rsidSect="00034616">
      <w:pgSz w:w="12240" w:h="15840"/>
      <w:pgMar w:top="702" w:right="1364" w:bottom="360" w:left="14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