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54"/>
        <w:ind w:left="0" w:right="0"/>
      </w:pPr>
    </w:p>
    <w:p>
      <w:pPr>
        <w:autoSpaceDN w:val="0"/>
        <w:tabs>
          <w:tab w:pos="3388" w:val="left"/>
        </w:tabs>
        <w:autoSpaceDE w:val="0"/>
        <w:widowControl/>
        <w:spacing w:line="552" w:lineRule="exact" w:before="0" w:after="0"/>
        <w:ind w:left="628" w:right="43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48"/>
        </w:rPr>
        <w:t xml:space="preserve">International Bank for Reconstruction and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Development</w:t>
      </w:r>
    </w:p>
    <w:p>
      <w:pPr>
        <w:autoSpaceDN w:val="0"/>
        <w:autoSpaceDE w:val="0"/>
        <w:widowControl/>
        <w:spacing w:line="240" w:lineRule="auto" w:before="9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43200" cy="2743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696" w:lineRule="exact" w:before="656" w:after="0"/>
        <w:ind w:left="864" w:right="864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48"/>
        </w:rPr>
        <w:t xml:space="preserve">Management’s Discussion &amp; Analysis </w:t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 xml:space="preserve">and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 xml:space="preserve">Financial Statements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June 30, 2024</w:t>
      </w:r>
    </w:p>
    <w:p>
      <w:pPr>
        <w:sectPr>
          <w:pgSz w:w="12240" w:h="15840"/>
          <w:pgMar w:top="672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88"/>
      </w:tblGrid>
      <w:tr>
        <w:trPr>
          <w:trHeight w:hRule="exact" w:val="286"/>
        </w:trPr>
        <w:tc>
          <w:tcPr>
            <w:tcW w:type="dxa" w:w="9368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9368"/>
            </w:tblGrid>
            <w:tr>
              <w:trPr>
                <w:trHeight w:hRule="exact" w:val="264"/>
              </w:trPr>
              <w:tc>
                <w:tcPr>
                  <w:tcW w:type="dxa" w:w="3960"/>
                  <w:tcBorders/>
                  <w:shd w:fill="7f7f7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42" w:after="0"/>
                    <w:ind w:left="108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8"/>
                    </w:rPr>
                    <w:t>Management’s Discussion and Analysis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14" w:lineRule="exact" w:before="216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Contents</w:t>
      </w:r>
    </w:p>
    <w:p>
      <w:pPr>
        <w:autoSpaceDN w:val="0"/>
        <w:tabs>
          <w:tab w:pos="3852" w:val="left"/>
          <w:tab w:pos="9148" w:val="left"/>
        </w:tabs>
        <w:autoSpaceDE w:val="0"/>
        <w:widowControl/>
        <w:spacing w:line="178" w:lineRule="exact" w:before="160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Section I: Executive Summary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Summary Financial Results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6</w:t>
      </w:r>
    </w:p>
    <w:p>
      <w:pPr>
        <w:autoSpaceDN w:val="0"/>
        <w:tabs>
          <w:tab w:pos="3852" w:val="left"/>
          <w:tab w:pos="9148" w:val="left"/>
        </w:tabs>
        <w:autoSpaceDE w:val="0"/>
        <w:widowControl/>
        <w:spacing w:line="178" w:lineRule="exact" w:before="16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Section II: Overview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Introduction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8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6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Financial Business Model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8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8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Basis of Reporting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9</w:t>
      </w:r>
    </w:p>
    <w:p>
      <w:pPr>
        <w:autoSpaceDN w:val="0"/>
        <w:tabs>
          <w:tab w:pos="3852" w:val="left"/>
          <w:tab w:pos="9070" w:val="left"/>
        </w:tabs>
        <w:autoSpaceDE w:val="0"/>
        <w:widowControl/>
        <w:spacing w:line="178" w:lineRule="exact" w:before="16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Section III: Financial Results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Financial Results and Portfolio Performance </w:t>
      </w:r>
      <w:r>
        <w:rPr>
          <w:rFonts w:ascii="ArialMT" w:hAnsi="ArialMT" w:eastAsia="ArialMT"/>
          <w:b w:val="0"/>
          <w:i w:val="0"/>
          <w:color w:val="000000"/>
          <w:sz w:val="16"/>
        </w:rPr>
        <w:t>11</w:t>
      </w:r>
    </w:p>
    <w:p>
      <w:pPr>
        <w:autoSpaceDN w:val="0"/>
        <w:tabs>
          <w:tab w:pos="9058" w:val="left"/>
        </w:tabs>
        <w:autoSpaceDE w:val="0"/>
        <w:widowControl/>
        <w:spacing w:line="178" w:lineRule="exact" w:before="48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Net Income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12</w:t>
      </w:r>
    </w:p>
    <w:p>
      <w:pPr>
        <w:autoSpaceDN w:val="0"/>
        <w:tabs>
          <w:tab w:pos="9058" w:val="left"/>
        </w:tabs>
        <w:autoSpaceDE w:val="0"/>
        <w:widowControl/>
        <w:spacing w:line="178" w:lineRule="exact" w:before="46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Net Income Allocation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18</w:t>
      </w:r>
    </w:p>
    <w:p>
      <w:pPr>
        <w:autoSpaceDN w:val="0"/>
        <w:tabs>
          <w:tab w:pos="3852" w:val="left"/>
          <w:tab w:pos="9058" w:val="left"/>
        </w:tabs>
        <w:autoSpaceDE w:val="0"/>
        <w:widowControl/>
        <w:spacing w:line="178" w:lineRule="exact" w:before="16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Section IV: Lending Activities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Net Lending Commitments and Gross Disbursements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21</w:t>
      </w:r>
    </w:p>
    <w:p>
      <w:pPr>
        <w:autoSpaceDN w:val="0"/>
        <w:tabs>
          <w:tab w:pos="9058" w:val="left"/>
        </w:tabs>
        <w:autoSpaceDE w:val="0"/>
        <w:widowControl/>
        <w:spacing w:line="178" w:lineRule="exact" w:before="46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Lending Categories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22</w:t>
      </w:r>
    </w:p>
    <w:p>
      <w:pPr>
        <w:autoSpaceDN w:val="0"/>
        <w:tabs>
          <w:tab w:pos="9058" w:val="left"/>
        </w:tabs>
        <w:autoSpaceDE w:val="0"/>
        <w:widowControl/>
        <w:spacing w:line="178" w:lineRule="exact" w:before="48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Currently Available Lending Products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23</w:t>
      </w:r>
    </w:p>
    <w:p>
      <w:pPr>
        <w:autoSpaceDN w:val="0"/>
        <w:tabs>
          <w:tab w:pos="9058" w:val="left"/>
        </w:tabs>
        <w:autoSpaceDE w:val="0"/>
        <w:widowControl/>
        <w:spacing w:line="178" w:lineRule="exact" w:before="46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Discontinued Lending Products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25</w:t>
      </w:r>
    </w:p>
    <w:p>
      <w:pPr>
        <w:autoSpaceDN w:val="0"/>
        <w:tabs>
          <w:tab w:pos="9058" w:val="left"/>
        </w:tabs>
        <w:autoSpaceDE w:val="0"/>
        <w:widowControl/>
        <w:spacing w:line="178" w:lineRule="exact" w:before="48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Waivers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26</w:t>
      </w:r>
    </w:p>
    <w:p>
      <w:pPr>
        <w:autoSpaceDN w:val="0"/>
        <w:tabs>
          <w:tab w:pos="3852" w:val="left"/>
          <w:tab w:pos="9058" w:val="left"/>
        </w:tabs>
        <w:autoSpaceDE w:val="0"/>
        <w:widowControl/>
        <w:spacing w:line="178" w:lineRule="exact" w:before="16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Section V: Other Development Activities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Guarantees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27</w:t>
      </w:r>
    </w:p>
    <w:p>
      <w:pPr>
        <w:autoSpaceDN w:val="0"/>
        <w:tabs>
          <w:tab w:pos="9058" w:val="left"/>
        </w:tabs>
        <w:autoSpaceDE w:val="0"/>
        <w:widowControl/>
        <w:spacing w:line="178" w:lineRule="exact" w:before="48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Grant Making Facilities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29</w:t>
      </w:r>
    </w:p>
    <w:p>
      <w:pPr>
        <w:autoSpaceDN w:val="0"/>
        <w:tabs>
          <w:tab w:pos="9058" w:val="left"/>
        </w:tabs>
        <w:autoSpaceDE w:val="0"/>
        <w:widowControl/>
        <w:spacing w:line="178" w:lineRule="exact" w:before="46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Externally-Funded Activities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29</w:t>
      </w:r>
    </w:p>
    <w:p>
      <w:pPr>
        <w:autoSpaceDN w:val="0"/>
        <w:tabs>
          <w:tab w:pos="3852" w:val="left"/>
          <w:tab w:pos="9058" w:val="left"/>
        </w:tabs>
        <w:autoSpaceDE w:val="0"/>
        <w:widowControl/>
        <w:spacing w:line="178" w:lineRule="exact" w:before="16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Section VI: Investment Activities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Liquid Asset Portfolio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32</w:t>
      </w:r>
    </w:p>
    <w:p>
      <w:pPr>
        <w:autoSpaceDN w:val="0"/>
        <w:tabs>
          <w:tab w:pos="9058" w:val="left"/>
        </w:tabs>
        <w:autoSpaceDE w:val="0"/>
        <w:widowControl/>
        <w:spacing w:line="178" w:lineRule="exact" w:before="46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Other Investments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34</w:t>
      </w:r>
    </w:p>
    <w:p>
      <w:pPr>
        <w:autoSpaceDN w:val="0"/>
        <w:tabs>
          <w:tab w:pos="3852" w:val="left"/>
          <w:tab w:pos="9058" w:val="left"/>
        </w:tabs>
        <w:autoSpaceDE w:val="0"/>
        <w:widowControl/>
        <w:spacing w:line="178" w:lineRule="exact" w:before="16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Section VII: Borrowing Activities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Borrowing Portfolio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35</w:t>
      </w:r>
    </w:p>
    <w:p>
      <w:pPr>
        <w:autoSpaceDN w:val="0"/>
        <w:tabs>
          <w:tab w:pos="9058" w:val="left"/>
        </w:tabs>
        <w:autoSpaceDE w:val="0"/>
        <w:widowControl/>
        <w:spacing w:line="178" w:lineRule="exact" w:before="46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Short-Term Borrowings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36</w:t>
      </w:r>
    </w:p>
    <w:p>
      <w:pPr>
        <w:autoSpaceDN w:val="0"/>
        <w:tabs>
          <w:tab w:pos="9058" w:val="left"/>
        </w:tabs>
        <w:autoSpaceDE w:val="0"/>
        <w:widowControl/>
        <w:spacing w:line="178" w:lineRule="exact" w:before="48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Medium- and Long-Term Borrowings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37</w:t>
      </w:r>
    </w:p>
    <w:p>
      <w:pPr>
        <w:autoSpaceDN w:val="0"/>
        <w:tabs>
          <w:tab w:pos="3852" w:val="left"/>
          <w:tab w:pos="9058" w:val="left"/>
        </w:tabs>
        <w:autoSpaceDE w:val="0"/>
        <w:widowControl/>
        <w:spacing w:line="178" w:lineRule="exact" w:before="16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Section VIII: Capital Activities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Capital Structure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38</w:t>
      </w:r>
    </w:p>
    <w:p>
      <w:pPr>
        <w:autoSpaceDN w:val="0"/>
        <w:tabs>
          <w:tab w:pos="9058" w:val="left"/>
        </w:tabs>
        <w:autoSpaceDE w:val="0"/>
        <w:widowControl/>
        <w:spacing w:line="178" w:lineRule="exact" w:before="48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Usable Equity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40</w:t>
      </w:r>
    </w:p>
    <w:p>
      <w:pPr>
        <w:autoSpaceDN w:val="0"/>
        <w:tabs>
          <w:tab w:pos="3852" w:val="left"/>
          <w:tab w:pos="9058" w:val="left"/>
        </w:tabs>
        <w:autoSpaceDE w:val="0"/>
        <w:widowControl/>
        <w:spacing w:line="178" w:lineRule="exact" w:before="16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Section IX: Risk Management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Risk Governance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41</w:t>
      </w:r>
    </w:p>
    <w:p>
      <w:pPr>
        <w:autoSpaceDN w:val="0"/>
        <w:tabs>
          <w:tab w:pos="9058" w:val="left"/>
        </w:tabs>
        <w:autoSpaceDE w:val="0"/>
        <w:widowControl/>
        <w:spacing w:line="178" w:lineRule="exact" w:before="48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Risk Oversight and Coverage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41</w:t>
      </w:r>
    </w:p>
    <w:p>
      <w:pPr>
        <w:autoSpaceDN w:val="0"/>
        <w:tabs>
          <w:tab w:pos="9058" w:val="left"/>
        </w:tabs>
        <w:autoSpaceDE w:val="0"/>
        <w:widowControl/>
        <w:spacing w:line="178" w:lineRule="exact" w:before="46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Management of IBRD’s Risks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44</w:t>
      </w:r>
    </w:p>
    <w:p>
      <w:pPr>
        <w:autoSpaceDN w:val="0"/>
        <w:tabs>
          <w:tab w:pos="9058" w:val="left"/>
        </w:tabs>
        <w:autoSpaceDE w:val="0"/>
        <w:widowControl/>
        <w:spacing w:line="178" w:lineRule="exact" w:before="48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Capital Adequacy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44</w:t>
      </w:r>
    </w:p>
    <w:p>
      <w:pPr>
        <w:autoSpaceDN w:val="0"/>
        <w:tabs>
          <w:tab w:pos="9058" w:val="left"/>
        </w:tabs>
        <w:autoSpaceDE w:val="0"/>
        <w:widowControl/>
        <w:spacing w:line="178" w:lineRule="exact" w:before="46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Credit Risk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45</w:t>
      </w:r>
    </w:p>
    <w:p>
      <w:pPr>
        <w:autoSpaceDN w:val="0"/>
        <w:tabs>
          <w:tab w:pos="9058" w:val="left"/>
        </w:tabs>
        <w:autoSpaceDE w:val="0"/>
        <w:widowControl/>
        <w:spacing w:line="178" w:lineRule="exact" w:before="48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Market Risk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52</w:t>
      </w:r>
    </w:p>
    <w:p>
      <w:pPr>
        <w:autoSpaceDN w:val="0"/>
        <w:tabs>
          <w:tab w:pos="9058" w:val="left"/>
        </w:tabs>
        <w:autoSpaceDE w:val="0"/>
        <w:widowControl/>
        <w:spacing w:line="178" w:lineRule="exact" w:before="46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Operational Risk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55</w:t>
      </w:r>
    </w:p>
    <w:p>
      <w:pPr>
        <w:autoSpaceDN w:val="0"/>
        <w:tabs>
          <w:tab w:pos="3852" w:val="left"/>
          <w:tab w:pos="9058" w:val="left"/>
        </w:tabs>
        <w:autoSpaceDE w:val="0"/>
        <w:widowControl/>
        <w:spacing w:line="178" w:lineRule="exact" w:before="16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Section X: Contractual Obligations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Contractual Obligations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57</w:t>
      </w:r>
    </w:p>
    <w:p>
      <w:pPr>
        <w:autoSpaceDN w:val="0"/>
        <w:tabs>
          <w:tab w:pos="3852" w:val="left"/>
          <w:tab w:pos="9058" w:val="left"/>
        </w:tabs>
        <w:autoSpaceDE w:val="0"/>
        <w:widowControl/>
        <w:spacing w:line="178" w:lineRule="exact" w:before="174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Section XI: Pension and Other Post-Retirement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Governance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58</w:t>
      </w:r>
    </w:p>
    <w:p>
      <w:pPr>
        <w:autoSpaceDN w:val="0"/>
        <w:tabs>
          <w:tab w:pos="3852" w:val="left"/>
          <w:tab w:pos="9058" w:val="left"/>
        </w:tabs>
        <w:autoSpaceDE w:val="0"/>
        <w:widowControl/>
        <w:spacing w:line="178" w:lineRule="exact" w:before="54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Benefits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Funding and Investment Policies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58</w:t>
      </w:r>
    </w:p>
    <w:p>
      <w:pPr>
        <w:autoSpaceDN w:val="0"/>
        <w:tabs>
          <w:tab w:pos="9058" w:val="left"/>
        </w:tabs>
        <w:autoSpaceDE w:val="0"/>
        <w:widowControl/>
        <w:spacing w:line="178" w:lineRule="exact" w:before="48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Environmental, Social and Governance (ESG) Policies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59</w:t>
      </w:r>
    </w:p>
    <w:p>
      <w:pPr>
        <w:autoSpaceDN w:val="0"/>
        <w:tabs>
          <w:tab w:pos="9058" w:val="left"/>
        </w:tabs>
        <w:autoSpaceDE w:val="0"/>
        <w:widowControl/>
        <w:spacing w:line="178" w:lineRule="exact" w:before="46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Projected Benefit Obligations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59</w:t>
      </w:r>
    </w:p>
    <w:p>
      <w:pPr>
        <w:autoSpaceDN w:val="0"/>
        <w:tabs>
          <w:tab w:pos="3852" w:val="left"/>
          <w:tab w:pos="9058" w:val="left"/>
        </w:tabs>
        <w:autoSpaceDE w:val="0"/>
        <w:widowControl/>
        <w:spacing w:line="178" w:lineRule="exact" w:before="16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Section XII: Critical Accounting Policies and the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Fair Value of Financial Instruments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60</w:t>
      </w:r>
    </w:p>
    <w:p>
      <w:pPr>
        <w:autoSpaceDN w:val="0"/>
        <w:tabs>
          <w:tab w:pos="3852" w:val="left"/>
          <w:tab w:pos="9058" w:val="left"/>
        </w:tabs>
        <w:autoSpaceDE w:val="0"/>
        <w:widowControl/>
        <w:spacing w:line="178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Use of Estimates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Provision for Losses on Loans and Other Exposures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61</w:t>
      </w:r>
    </w:p>
    <w:p>
      <w:pPr>
        <w:autoSpaceDN w:val="0"/>
        <w:tabs>
          <w:tab w:pos="9058" w:val="left"/>
        </w:tabs>
        <w:autoSpaceDE w:val="0"/>
        <w:widowControl/>
        <w:spacing w:line="178" w:lineRule="exact" w:before="48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Pension and Other Post-Retirement Benefits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61</w:t>
      </w:r>
    </w:p>
    <w:p>
      <w:pPr>
        <w:autoSpaceDN w:val="0"/>
        <w:tabs>
          <w:tab w:pos="3852" w:val="left"/>
          <w:tab w:pos="9058" w:val="left"/>
        </w:tabs>
        <w:autoSpaceDE w:val="0"/>
        <w:widowControl/>
        <w:spacing w:line="178" w:lineRule="exact" w:before="16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Section XIII: Governance and Controls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Business Conduct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62</w:t>
      </w:r>
    </w:p>
    <w:p>
      <w:pPr>
        <w:autoSpaceDN w:val="0"/>
        <w:tabs>
          <w:tab w:pos="9058" w:val="left"/>
        </w:tabs>
        <w:autoSpaceDE w:val="0"/>
        <w:widowControl/>
        <w:spacing w:line="178" w:lineRule="exact" w:before="48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General Governance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62</w:t>
      </w:r>
    </w:p>
    <w:p>
      <w:pPr>
        <w:autoSpaceDN w:val="0"/>
        <w:tabs>
          <w:tab w:pos="9058" w:val="left"/>
        </w:tabs>
        <w:autoSpaceDE w:val="0"/>
        <w:widowControl/>
        <w:spacing w:line="178" w:lineRule="exact" w:before="46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Executive Directors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62</w:t>
      </w:r>
    </w:p>
    <w:p>
      <w:pPr>
        <w:autoSpaceDN w:val="0"/>
        <w:tabs>
          <w:tab w:pos="9058" w:val="left"/>
        </w:tabs>
        <w:autoSpaceDE w:val="0"/>
        <w:widowControl/>
        <w:spacing w:line="178" w:lineRule="exact" w:before="48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Audit Committee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63</w:t>
      </w:r>
    </w:p>
    <w:p>
      <w:pPr>
        <w:autoSpaceDN w:val="0"/>
        <w:tabs>
          <w:tab w:pos="9058" w:val="left"/>
        </w:tabs>
        <w:autoSpaceDE w:val="0"/>
        <w:widowControl/>
        <w:spacing w:line="178" w:lineRule="exact" w:before="46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Auditor Independence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64</w:t>
      </w:r>
    </w:p>
    <w:p>
      <w:pPr>
        <w:autoSpaceDN w:val="0"/>
        <w:tabs>
          <w:tab w:pos="9058" w:val="left"/>
        </w:tabs>
        <w:autoSpaceDE w:val="0"/>
        <w:widowControl/>
        <w:spacing w:line="178" w:lineRule="exact" w:before="48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External Auditors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64</w:t>
      </w:r>
    </w:p>
    <w:p>
      <w:pPr>
        <w:autoSpaceDN w:val="0"/>
        <w:tabs>
          <w:tab w:pos="9058" w:val="left"/>
        </w:tabs>
        <w:autoSpaceDE w:val="0"/>
        <w:widowControl/>
        <w:spacing w:line="178" w:lineRule="exact" w:before="46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Senior Management Changes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64</w:t>
      </w:r>
    </w:p>
    <w:p>
      <w:pPr>
        <w:autoSpaceDN w:val="0"/>
        <w:tabs>
          <w:tab w:pos="9058" w:val="left"/>
        </w:tabs>
        <w:autoSpaceDE w:val="0"/>
        <w:widowControl/>
        <w:spacing w:line="178" w:lineRule="exact" w:before="48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Internal Control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65</w:t>
      </w:r>
    </w:p>
    <w:p>
      <w:pPr>
        <w:autoSpaceDN w:val="0"/>
        <w:tabs>
          <w:tab w:pos="3852" w:val="left"/>
          <w:tab w:pos="9058" w:val="left"/>
        </w:tabs>
        <w:autoSpaceDE w:val="0"/>
        <w:widowControl/>
        <w:spacing w:line="178" w:lineRule="exact" w:before="16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Appendix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Glossary of Terms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66</w:t>
      </w:r>
    </w:p>
    <w:p>
      <w:pPr>
        <w:autoSpaceDN w:val="0"/>
        <w:tabs>
          <w:tab w:pos="9058" w:val="left"/>
        </w:tabs>
        <w:autoSpaceDE w:val="0"/>
        <w:widowControl/>
        <w:spacing w:line="178" w:lineRule="exact" w:before="48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Abbreviations and Acronyms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67</w:t>
      </w:r>
    </w:p>
    <w:p>
      <w:pPr>
        <w:autoSpaceDN w:val="0"/>
        <w:tabs>
          <w:tab w:pos="9058" w:val="left"/>
        </w:tabs>
        <w:autoSpaceDE w:val="0"/>
        <w:widowControl/>
        <w:spacing w:line="178" w:lineRule="exact" w:before="46" w:after="0"/>
        <w:ind w:left="38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Eligible Borrowing Member Countries by Region as of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68</w:t>
      </w:r>
    </w:p>
    <w:p>
      <w:pPr>
        <w:autoSpaceDN w:val="0"/>
        <w:tabs>
          <w:tab w:pos="9200" w:val="left"/>
        </w:tabs>
        <w:autoSpaceDE w:val="0"/>
        <w:widowControl/>
        <w:spacing w:line="224" w:lineRule="exact" w:before="1294" w:after="0"/>
        <w:ind w:left="32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2024 </w:t>
      </w:r>
      <w:r>
        <w:rPr>
          <w:rFonts w:ascii="ArialMT" w:hAnsi="ArialMT" w:eastAsia="ArialMT"/>
          <w:b w:val="0"/>
          <w:i w:val="0"/>
          <w:color w:val="000000"/>
          <w:sz w:val="20"/>
        </w:rPr>
        <w:t>1</w:t>
      </w:r>
    </w:p>
    <w:p>
      <w:pPr>
        <w:sectPr>
          <w:pgSz w:w="12240" w:h="15840"/>
          <w:pgMar w:top="264" w:right="1416" w:bottom="24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88"/>
      </w:tblGrid>
      <w:tr>
        <w:trPr>
          <w:trHeight w:hRule="exact" w:val="286"/>
        </w:trPr>
        <w:tc>
          <w:tcPr>
            <w:tcW w:type="dxa" w:w="9368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9368"/>
            </w:tblGrid>
            <w:tr>
              <w:trPr>
                <w:trHeight w:hRule="exact" w:val="264"/>
              </w:trPr>
              <w:tc>
                <w:tcPr>
                  <w:tcW w:type="dxa" w:w="3960"/>
                  <w:tcBorders/>
                  <w:shd w:fill="7f7f7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42" w:after="0"/>
                    <w:ind w:left="108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8"/>
                    </w:rPr>
                    <w:t>Management’s Discussion and Analysis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14" w:lineRule="exact" w:before="216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List of Tables, Figures and Boxes</w:t>
      </w:r>
    </w:p>
    <w:p>
      <w:pPr>
        <w:autoSpaceDN w:val="0"/>
        <w:autoSpaceDE w:val="0"/>
        <w:widowControl/>
        <w:spacing w:line="224" w:lineRule="exact" w:before="156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Tables</w:t>
      </w:r>
    </w:p>
    <w:p>
      <w:pPr>
        <w:autoSpaceDN w:val="0"/>
        <w:tabs>
          <w:tab w:pos="9238" w:val="left"/>
        </w:tabs>
        <w:autoSpaceDE w:val="0"/>
        <w:widowControl/>
        <w:spacing w:line="186" w:lineRule="exact" w:before="18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1: Selected Financial Data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</w:t>
      </w:r>
    </w:p>
    <w:p>
      <w:pPr>
        <w:autoSpaceDN w:val="0"/>
        <w:tabs>
          <w:tab w:pos="9160" w:val="left"/>
        </w:tabs>
        <w:autoSpaceDE w:val="0"/>
        <w:widowControl/>
        <w:spacing w:line="178" w:lineRule="exact" w:before="54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2: Condensed Statements of Income </w:t>
      </w:r>
      <w:r>
        <w:rPr>
          <w:rFonts w:ascii="ArialMT" w:hAnsi="ArialMT" w:eastAsia="ArialMT"/>
          <w:b w:val="0"/>
          <w:i w:val="0"/>
          <w:color w:val="000000"/>
          <w:sz w:val="16"/>
        </w:rPr>
        <w:t>11</w:t>
      </w:r>
    </w:p>
    <w:p>
      <w:pPr>
        <w:autoSpaceDN w:val="0"/>
        <w:tabs>
          <w:tab w:pos="9160" w:val="left"/>
        </w:tabs>
        <w:autoSpaceDE w:val="0"/>
        <w:widowControl/>
        <w:spacing w:line="178" w:lineRule="exact" w:before="4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3: Condensed Balance Sheets </w:t>
      </w:r>
      <w:r>
        <w:rPr>
          <w:rFonts w:ascii="ArialMT" w:hAnsi="ArialMT" w:eastAsia="ArialMT"/>
          <w:b w:val="0"/>
          <w:i w:val="0"/>
          <w:color w:val="000000"/>
          <w:sz w:val="16"/>
        </w:rPr>
        <w:t>11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4: Net Other Revenue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14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5: Net Non-Interest Expenses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15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6: Budget Anchor Ratio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16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7: Unrealized Mark-to-Market gains/ (losses) on non-trading portfolios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16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8: Allocable Income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18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9: Net Commitments by Region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21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10: Gross Disbursements by Region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22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11: Net Commitments by Maturity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23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12: Country Pricing Group and Maturity Premium (in basis points)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24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13: Loan Terms Available During Fiscal Year Ended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25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14: Loans outstanding by interest rate structure, excluding derivatives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26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15: Pricing for IBRD Project-Based and Policy-Based Guarantees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27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16: Guarantees Exposure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28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17: Exposure Exchange Agreements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28</w:t>
      </w:r>
    </w:p>
    <w:p>
      <w:pPr>
        <w:autoSpaceDN w:val="0"/>
        <w:tabs>
          <w:tab w:pos="9148" w:val="left"/>
        </w:tabs>
        <w:autoSpaceDE w:val="0"/>
        <w:widowControl/>
        <w:spacing w:line="186" w:lineRule="exact" w:before="3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18: Credit Enhancements Received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29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54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19: RAMP – Assets and Revenues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31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20: Funds Held in Trust by IBRD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31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21: Liquid Asset Portfolio Composition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33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22: Liquid Asset Portfolio - Average Balances and Returns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33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23: Net Carrying Value of Other Investments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34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24: Short-Term Borrowings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36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25: Funding Operations Indicators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37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26: Maturity Profile of Medium and Long-Term Debt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37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27: Breakdown of IBRD Subscribed Capital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38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28: Usable Paid-In Capital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39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29: Usable Equity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40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30: Equity-to-Loans Ratio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45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31: Commercial Credit Exposure, Net of Collateral Held, by Counterparty Rating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50</w:t>
      </w:r>
    </w:p>
    <w:p>
      <w:pPr>
        <w:autoSpaceDN w:val="0"/>
        <w:tabs>
          <w:tab w:pos="9148" w:val="left"/>
        </w:tabs>
        <w:autoSpaceDE w:val="0"/>
        <w:widowControl/>
        <w:spacing w:line="186" w:lineRule="exact" w:before="40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32: Non-Commercial Counterparty Credit Risk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51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54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33: Liquidity Levels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55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34: Contractual Obligations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57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35: Funded Status of the Plans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59</w:t>
      </w:r>
    </w:p>
    <w:p>
      <w:pPr>
        <w:autoSpaceDN w:val="0"/>
        <w:tabs>
          <w:tab w:pos="9148" w:val="left"/>
        </w:tabs>
        <w:autoSpaceDE w:val="0"/>
        <w:widowControl/>
        <w:spacing w:line="178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Table 36: Fair Value Level 3 Summary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60</w:t>
      </w:r>
    </w:p>
    <w:p>
      <w:pPr>
        <w:autoSpaceDN w:val="0"/>
        <w:tabs>
          <w:tab w:pos="656" w:val="left"/>
        </w:tabs>
        <w:autoSpaceDE w:val="0"/>
        <w:widowControl/>
        <w:spacing w:line="224" w:lineRule="exact" w:before="5094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2024</w:t>
      </w:r>
    </w:p>
    <w:p>
      <w:pPr>
        <w:sectPr>
          <w:pgSz w:w="12240" w:h="15840"/>
          <w:pgMar w:top="264" w:right="1416" w:bottom="25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88"/>
      </w:tblGrid>
      <w:tr>
        <w:trPr>
          <w:trHeight w:hRule="exact" w:val="286"/>
        </w:trPr>
        <w:tc>
          <w:tcPr>
            <w:tcW w:type="dxa" w:w="9368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9368"/>
            </w:tblGrid>
            <w:tr>
              <w:trPr>
                <w:trHeight w:hRule="exact" w:val="264"/>
              </w:trPr>
              <w:tc>
                <w:tcPr>
                  <w:tcW w:type="dxa" w:w="3960"/>
                  <w:tcBorders/>
                  <w:shd w:fill="7f7f7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42" w:after="0"/>
                    <w:ind w:left="108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8"/>
                    </w:rPr>
                    <w:t>Management’s Discussion and Analysis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24" w:lineRule="exact" w:before="470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Figures</w:t>
      </w:r>
    </w:p>
    <w:p>
      <w:pPr>
        <w:autoSpaceDN w:val="0"/>
        <w:tabs>
          <w:tab w:pos="9222" w:val="left"/>
        </w:tabs>
        <w:autoSpaceDE w:val="0"/>
        <w:widowControl/>
        <w:spacing w:line="186" w:lineRule="exact" w:before="18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1: Sources and Uses of Revenue </w:t>
      </w:r>
      <w:r>
        <w:rPr>
          <w:rFonts w:ascii="ArialMT" w:hAnsi="ArialMT" w:eastAsia="ArialMT"/>
          <w:b w:val="0"/>
          <w:i w:val="0"/>
          <w:color w:val="000000"/>
          <w:sz w:val="16"/>
        </w:rPr>
        <w:t>9</w:t>
      </w:r>
    </w:p>
    <w:p>
      <w:pPr>
        <w:autoSpaceDN w:val="0"/>
        <w:tabs>
          <w:tab w:pos="9134" w:val="left"/>
        </w:tabs>
        <w:autoSpaceDE w:val="0"/>
        <w:widowControl/>
        <w:spacing w:line="186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2: Loan interest revenue and funding cost (including related derivatives)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12</w:t>
      </w:r>
    </w:p>
    <w:p>
      <w:pPr>
        <w:autoSpaceDN w:val="0"/>
        <w:tabs>
          <w:tab w:pos="9134" w:val="left"/>
        </w:tabs>
        <w:autoSpaceDE w:val="0"/>
        <w:widowControl/>
        <w:spacing w:line="186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3: Loan Interest Revenue, net of funding costs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12</w:t>
      </w:r>
    </w:p>
    <w:p>
      <w:pPr>
        <w:autoSpaceDN w:val="0"/>
        <w:tabs>
          <w:tab w:pos="9134" w:val="left"/>
        </w:tabs>
        <w:autoSpaceDE w:val="0"/>
        <w:widowControl/>
        <w:spacing w:line="186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4: Change in Net Loans Outstanding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13</w:t>
      </w:r>
    </w:p>
    <w:p>
      <w:pPr>
        <w:autoSpaceDN w:val="0"/>
        <w:tabs>
          <w:tab w:pos="9134" w:val="left"/>
        </w:tabs>
        <w:autoSpaceDE w:val="0"/>
        <w:widowControl/>
        <w:spacing w:line="186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5: Net Loans Outstanding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13</w:t>
      </w:r>
    </w:p>
    <w:p>
      <w:pPr>
        <w:autoSpaceDN w:val="0"/>
        <w:tabs>
          <w:tab w:pos="9134" w:val="left"/>
        </w:tabs>
        <w:autoSpaceDE w:val="0"/>
        <w:widowControl/>
        <w:spacing w:line="186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6: Net Investment Portfolio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14</w:t>
      </w:r>
    </w:p>
    <w:p>
      <w:pPr>
        <w:autoSpaceDN w:val="0"/>
        <w:tabs>
          <w:tab w:pos="9134" w:val="left"/>
        </w:tabs>
        <w:autoSpaceDE w:val="0"/>
        <w:widowControl/>
        <w:spacing w:line="186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7: Investment Revenue, net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14</w:t>
      </w:r>
    </w:p>
    <w:p>
      <w:pPr>
        <w:autoSpaceDN w:val="0"/>
        <w:tabs>
          <w:tab w:pos="9134" w:val="left"/>
        </w:tabs>
        <w:autoSpaceDE w:val="0"/>
        <w:widowControl/>
        <w:spacing w:line="186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8: Borrowing Portfolio (original maturities)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14</w:t>
      </w:r>
    </w:p>
    <w:p>
      <w:pPr>
        <w:autoSpaceDN w:val="0"/>
        <w:tabs>
          <w:tab w:pos="9134" w:val="left"/>
        </w:tabs>
        <w:autoSpaceDE w:val="0"/>
        <w:widowControl/>
        <w:spacing w:line="186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9: Net Non-Interest Expenses (GAAP basis)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15</w:t>
      </w:r>
    </w:p>
    <w:p>
      <w:pPr>
        <w:autoSpaceDN w:val="0"/>
        <w:tabs>
          <w:tab w:pos="9134" w:val="left"/>
        </w:tabs>
        <w:autoSpaceDE w:val="0"/>
        <w:widowControl/>
        <w:spacing w:line="186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10: FY24 Allocable Income and Income Allocation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20</w:t>
      </w:r>
    </w:p>
    <w:p>
      <w:pPr>
        <w:autoSpaceDN w:val="0"/>
        <w:tabs>
          <w:tab w:pos="9134" w:val="left"/>
        </w:tabs>
        <w:autoSpaceDE w:val="0"/>
        <w:widowControl/>
        <w:spacing w:line="186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11: Percentage Share of Lending Categories for Annual Net Commitments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22</w:t>
      </w:r>
    </w:p>
    <w:p>
      <w:pPr>
        <w:autoSpaceDN w:val="0"/>
        <w:tabs>
          <w:tab w:pos="9134" w:val="left"/>
        </w:tabs>
        <w:autoSpaceDE w:val="0"/>
        <w:widowControl/>
        <w:spacing w:line="186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12: Undisbursed Balances by Loan Terms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26</w:t>
      </w:r>
    </w:p>
    <w:p>
      <w:pPr>
        <w:autoSpaceDN w:val="0"/>
        <w:tabs>
          <w:tab w:pos="9134" w:val="left"/>
        </w:tabs>
        <w:autoSpaceDE w:val="0"/>
        <w:widowControl/>
        <w:spacing w:line="186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13: Liquid Asset Portfolio by Asset Class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32</w:t>
      </w:r>
    </w:p>
    <w:p>
      <w:pPr>
        <w:autoSpaceDN w:val="0"/>
        <w:tabs>
          <w:tab w:pos="9134" w:val="left"/>
        </w:tabs>
        <w:autoSpaceDE w:val="0"/>
        <w:widowControl/>
        <w:spacing w:line="186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14: Effect of Derivatives on Currency Composition of the Borrowing Portfolio –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35</w:t>
      </w:r>
    </w:p>
    <w:p>
      <w:pPr>
        <w:autoSpaceDN w:val="0"/>
        <w:tabs>
          <w:tab w:pos="9134" w:val="left"/>
        </w:tabs>
        <w:autoSpaceDE w:val="0"/>
        <w:widowControl/>
        <w:spacing w:line="186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15: Medium- and Long-Term Borrowings Raised by Currency during the year, Excluding Derivatives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37</w:t>
      </w:r>
    </w:p>
    <w:p>
      <w:pPr>
        <w:autoSpaceDN w:val="0"/>
        <w:tabs>
          <w:tab w:pos="9134" w:val="left"/>
        </w:tabs>
        <w:autoSpaceDE w:val="0"/>
        <w:widowControl/>
        <w:spacing w:line="186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16: Voting Power of Top Six Members as of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38</w:t>
      </w:r>
    </w:p>
    <w:p>
      <w:pPr>
        <w:autoSpaceDN w:val="0"/>
        <w:tabs>
          <w:tab w:pos="9134" w:val="left"/>
        </w:tabs>
        <w:autoSpaceDE w:val="0"/>
        <w:widowControl/>
        <w:spacing w:line="186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17: Percentage of Votes held by Member Countries, as of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38</w:t>
      </w:r>
    </w:p>
    <w:p>
      <w:pPr>
        <w:autoSpaceDN w:val="0"/>
        <w:tabs>
          <w:tab w:pos="9134" w:val="left"/>
        </w:tabs>
        <w:autoSpaceDE w:val="0"/>
        <w:widowControl/>
        <w:spacing w:line="186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18: Management Risk Committee Structure for Financial and Operational Risks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42</w:t>
      </w:r>
    </w:p>
    <w:p>
      <w:pPr>
        <w:autoSpaceDN w:val="0"/>
        <w:tabs>
          <w:tab w:pos="9134" w:val="left"/>
        </w:tabs>
        <w:autoSpaceDE w:val="0"/>
        <w:widowControl/>
        <w:spacing w:line="186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19: Equity-to-Loans Ratio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44</w:t>
      </w:r>
    </w:p>
    <w:p>
      <w:pPr>
        <w:autoSpaceDN w:val="0"/>
        <w:tabs>
          <w:tab w:pos="9134" w:val="left"/>
        </w:tabs>
        <w:autoSpaceDE w:val="0"/>
        <w:widowControl/>
        <w:spacing w:line="186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20: Country Exposures as of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47</w:t>
      </w:r>
    </w:p>
    <w:p>
      <w:pPr>
        <w:autoSpaceDN w:val="0"/>
        <w:tabs>
          <w:tab w:pos="9134" w:val="left"/>
        </w:tabs>
        <w:autoSpaceDE w:val="0"/>
        <w:widowControl/>
        <w:spacing w:line="186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21: Use of Derivatives for Loans and Borrowings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53</w:t>
      </w:r>
    </w:p>
    <w:p>
      <w:pPr>
        <w:autoSpaceDN w:val="0"/>
        <w:tabs>
          <w:tab w:pos="9134" w:val="left"/>
        </w:tabs>
        <w:autoSpaceDE w:val="0"/>
        <w:widowControl/>
        <w:spacing w:line="186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22: Use of Derivatives for Investments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53</w:t>
      </w:r>
    </w:p>
    <w:p>
      <w:pPr>
        <w:autoSpaceDN w:val="0"/>
        <w:tabs>
          <w:tab w:pos="9134" w:val="left"/>
        </w:tabs>
        <w:autoSpaceDE w:val="0"/>
        <w:widowControl/>
        <w:spacing w:line="186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23: Use of Derivatives for Other ALM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53</w:t>
      </w:r>
    </w:p>
    <w:p>
      <w:pPr>
        <w:autoSpaceDN w:val="0"/>
        <w:tabs>
          <w:tab w:pos="9134" w:val="left"/>
        </w:tabs>
        <w:autoSpaceDE w:val="0"/>
        <w:widowControl/>
        <w:spacing w:line="178" w:lineRule="exact" w:before="6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24: Currency Composition of Loan and Borrowing Portfolios as of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55</w:t>
      </w:r>
    </w:p>
    <w:p>
      <w:pPr>
        <w:autoSpaceDN w:val="0"/>
        <w:tabs>
          <w:tab w:pos="9134" w:val="left"/>
        </w:tabs>
        <w:autoSpaceDE w:val="0"/>
        <w:widowControl/>
        <w:spacing w:line="178" w:lineRule="exact" w:before="6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Figure 25: Governance Structure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62</w:t>
      </w:r>
    </w:p>
    <w:p>
      <w:pPr>
        <w:autoSpaceDN w:val="0"/>
        <w:autoSpaceDE w:val="0"/>
        <w:widowControl/>
        <w:spacing w:line="224" w:lineRule="exact" w:before="214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Boxes</w:t>
      </w:r>
    </w:p>
    <w:p>
      <w:pPr>
        <w:autoSpaceDN w:val="0"/>
        <w:tabs>
          <w:tab w:pos="9134" w:val="left"/>
        </w:tabs>
        <w:autoSpaceDE w:val="0"/>
        <w:widowControl/>
        <w:spacing w:line="186" w:lineRule="exact" w:before="14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Box 1: Components of Loan spread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23</w:t>
      </w:r>
    </w:p>
    <w:p>
      <w:pPr>
        <w:autoSpaceDN w:val="0"/>
        <w:tabs>
          <w:tab w:pos="9134" w:val="left"/>
        </w:tabs>
        <w:autoSpaceDE w:val="0"/>
        <w:widowControl/>
        <w:spacing w:line="186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Box 2: Other Lending Products as of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24</w:t>
      </w:r>
    </w:p>
    <w:p>
      <w:pPr>
        <w:autoSpaceDN w:val="0"/>
        <w:tabs>
          <w:tab w:pos="9134" w:val="left"/>
        </w:tabs>
        <w:autoSpaceDE w:val="0"/>
        <w:widowControl/>
        <w:spacing w:line="186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Box 3: Types of Guarantees Provided by IBRD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27</w:t>
      </w:r>
    </w:p>
    <w:p>
      <w:pPr>
        <w:autoSpaceDN w:val="0"/>
        <w:tabs>
          <w:tab w:pos="9134" w:val="left"/>
        </w:tabs>
        <w:autoSpaceDE w:val="0"/>
        <w:widowControl/>
        <w:spacing w:line="186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Box 4: Financing Instruments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30</w:t>
      </w:r>
    </w:p>
    <w:p>
      <w:pPr>
        <w:autoSpaceDN w:val="0"/>
        <w:tabs>
          <w:tab w:pos="9134" w:val="left"/>
        </w:tabs>
        <w:autoSpaceDE w:val="0"/>
        <w:widowControl/>
        <w:spacing w:line="186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Box 5: Summary of IBRD's Specific Risk Categories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43</w:t>
      </w:r>
    </w:p>
    <w:p>
      <w:pPr>
        <w:autoSpaceDN w:val="0"/>
        <w:tabs>
          <w:tab w:pos="9134" w:val="left"/>
        </w:tabs>
        <w:autoSpaceDE w:val="0"/>
        <w:widowControl/>
        <w:spacing w:line="186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Box 6: Treatment of Overdue Payments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48</w:t>
      </w:r>
    </w:p>
    <w:p>
      <w:pPr>
        <w:autoSpaceDN w:val="0"/>
        <w:tabs>
          <w:tab w:pos="9134" w:val="left"/>
        </w:tabs>
        <w:autoSpaceDE w:val="0"/>
        <w:widowControl/>
        <w:spacing w:line="186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Box 7: Eligibility Criteria for IBRD's Investments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50</w:t>
      </w:r>
    </w:p>
    <w:p>
      <w:pPr>
        <w:autoSpaceDN w:val="0"/>
        <w:tabs>
          <w:tab w:pos="9200" w:val="left"/>
        </w:tabs>
        <w:autoSpaceDE w:val="0"/>
        <w:widowControl/>
        <w:spacing w:line="224" w:lineRule="exact" w:before="5256" w:after="0"/>
        <w:ind w:left="32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2024 </w:t>
      </w:r>
      <w:r>
        <w:rPr>
          <w:rFonts w:ascii="ArialMT" w:hAnsi="ArialMT" w:eastAsia="ArialMT"/>
          <w:b w:val="0"/>
          <w:i w:val="0"/>
          <w:color w:val="000000"/>
          <w:sz w:val="20"/>
        </w:rPr>
        <w:t>3</w:t>
      </w:r>
    </w:p>
    <w:p>
      <w:pPr>
        <w:sectPr>
          <w:pgSz w:w="12240" w:h="15840"/>
          <w:pgMar w:top="264" w:right="1416" w:bottom="24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4720"/>
        <w:gridCol w:w="4720"/>
      </w:tblGrid>
      <w:tr>
        <w:trPr>
          <w:trHeight w:hRule="exact" w:val="272"/>
        </w:trPr>
        <w:tc>
          <w:tcPr>
            <w:tcW w:type="dxa" w:w="3916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I: Executive Summary</w:t>
            </w:r>
          </w:p>
        </w:tc>
      </w:tr>
    </w:tbl>
    <w:p>
      <w:pPr>
        <w:autoSpaceDN w:val="0"/>
        <w:autoSpaceDE w:val="0"/>
        <w:widowControl/>
        <w:spacing w:line="314" w:lineRule="exact" w:before="55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Section I: Executive Summary</w:t>
      </w:r>
    </w:p>
    <w:p>
      <w:pPr>
        <w:autoSpaceDN w:val="0"/>
        <w:autoSpaceDE w:val="0"/>
        <w:widowControl/>
        <w:spacing w:line="240" w:lineRule="exact" w:before="20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This Management’s Discussion and Analysis (MD&amp;A) discusses the financial results of the International Bank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Reconstruction and Development (IBRD) for the fiscal year ended June 30, 2024 (FY24). IBRD undertakes no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obligation to update any forward-looking statements. Certain reclassifications of prior years’ information have been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made to conform with the current year’s presentation. For discussion of IBRD’s financial results for the year ended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June 30, 2023, as compared to the year ended June 30, 2022, see Section III: Financial Results in IBRD’s MD&amp;A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and Financial Statements for the fiscal year ended June 30, 2023 (FY23).</w:t>
      </w:r>
    </w:p>
    <w:p>
      <w:pPr>
        <w:autoSpaceDN w:val="0"/>
        <w:tabs>
          <w:tab w:pos="5186" w:val="left"/>
        </w:tabs>
        <w:autoSpaceDE w:val="0"/>
        <w:widowControl/>
        <w:spacing w:line="206" w:lineRule="exact" w:before="142" w:after="24"/>
        <w:ind w:left="10" w:right="1008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Table 1: Selected Financial Data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dollars, except ratios which are in percentages </w:t>
      </w:r>
      <w:r>
        <w:br/>
      </w:r>
      <w:r>
        <w:tab/>
      </w:r>
      <w:r>
        <w:rPr>
          <w:rFonts w:ascii="Arial" w:hAnsi="Arial" w:eastAsia="Arial"/>
          <w:b w:val="0"/>
          <w:i/>
          <w:color w:val="808080"/>
          <w:sz w:val="16"/>
        </w:rPr>
        <w:t>As of and for the fiscal years ended June 30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10.0" w:type="dxa"/>
      </w:tblPr>
      <w:tblGrid>
        <w:gridCol w:w="3147"/>
        <w:gridCol w:w="3147"/>
        <w:gridCol w:w="3147"/>
      </w:tblGrid>
      <w:tr>
        <w:trPr>
          <w:trHeight w:hRule="exact" w:val="240"/>
        </w:trPr>
        <w:tc>
          <w:tcPr>
            <w:tcW w:type="dxa" w:w="178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2024</w:t>
            </w:r>
          </w:p>
        </w:tc>
        <w:tc>
          <w:tcPr>
            <w:tcW w:type="dxa" w:w="180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2023</w:t>
            </w:r>
          </w:p>
        </w:tc>
        <w:tc>
          <w:tcPr>
            <w:tcW w:type="dxa" w:w="1690"/>
            <w:tcBorders>
              <w:top w:sz="8.0" w:val="single" w:color="#929292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2022</w:t>
            </w:r>
          </w:p>
        </w:tc>
      </w:tr>
    </w:tbl>
    <w:p>
      <w:pPr>
        <w:autoSpaceDN w:val="0"/>
        <w:autoSpaceDE w:val="0"/>
        <w:widowControl/>
        <w:spacing w:line="178" w:lineRule="exact" w:before="18" w:after="2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Lending Highlights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(Section IV)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18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commitments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4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37,568 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3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38,572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3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33,072 </w:t>
            </w:r>
          </w:p>
        </w:tc>
      </w:tr>
      <w:tr>
        <w:trPr>
          <w:trHeight w:hRule="exact" w:val="240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Gross disbursements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33,450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25,504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28,168 </w:t>
            </w:r>
          </w:p>
        </w:tc>
      </w:tr>
      <w:tr>
        <w:trPr>
          <w:trHeight w:hRule="exact" w:val="306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disbursements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20,115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12,736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14,876 </w:t>
            </w:r>
          </w:p>
        </w:tc>
      </w:tr>
    </w:tbl>
    <w:p>
      <w:pPr>
        <w:autoSpaceDN w:val="0"/>
        <w:autoSpaceDE w:val="0"/>
        <w:widowControl/>
        <w:spacing w:line="178" w:lineRule="exact" w:before="448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Income Statement </w:t>
      </w:r>
      <w:r>
        <w:rPr>
          <w:rFonts w:ascii="ArialMT" w:hAnsi="ArialMT" w:eastAsia="ArialMT"/>
          <w:b w:val="0"/>
          <w:i w:val="0"/>
          <w:color w:val="000000"/>
          <w:sz w:val="16"/>
        </w:rPr>
        <w:t>(Section III)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198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Board of Governors-approved and other transfers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(371) 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(221)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(354) </w:t>
            </w:r>
          </w:p>
        </w:tc>
      </w:tr>
      <w:tr>
        <w:trPr>
          <w:trHeight w:hRule="exact" w:val="316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income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2,142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1,144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3,990 </w:t>
            </w:r>
          </w:p>
        </w:tc>
      </w:tr>
    </w:tbl>
    <w:p>
      <w:pPr>
        <w:autoSpaceDN w:val="0"/>
        <w:autoSpaceDE w:val="0"/>
        <w:widowControl/>
        <w:spacing w:line="180" w:lineRule="exact" w:before="222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Balance Sheet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(Section III)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12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assets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356,612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332,641 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317,542 </w:t>
            </w:r>
          </w:p>
        </w:tc>
      </w:tr>
      <w:tr>
        <w:trPr>
          <w:trHeight w:hRule="exact" w:val="240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investment portfolio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82,680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79,195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82,057 </w:t>
            </w:r>
          </w:p>
        </w:tc>
      </w:tr>
      <w:tr>
        <w:trPr>
          <w:trHeight w:hRule="exact" w:val="240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loans outstanding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260,236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241,041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227,092 </w:t>
            </w:r>
          </w:p>
        </w:tc>
      </w:tr>
      <w:tr>
        <w:trPr>
          <w:trHeight w:hRule="exact" w:val="240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Borrowing portfolio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287,117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266,828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256,909 </w:t>
            </w:r>
          </w:p>
        </w:tc>
      </w:tr>
      <w:tr>
        <w:trPr>
          <w:trHeight w:hRule="exact" w:val="302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equity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63,484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60,382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55,320 </w:t>
            </w:r>
          </w:p>
        </w:tc>
      </w:tr>
    </w:tbl>
    <w:p>
      <w:pPr>
        <w:autoSpaceDN w:val="0"/>
        <w:autoSpaceDE w:val="0"/>
        <w:widowControl/>
        <w:spacing w:line="178" w:lineRule="exact" w:before="22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Non-GAAP Measures:</w:t>
      </w:r>
    </w:p>
    <w:p>
      <w:pPr>
        <w:autoSpaceDN w:val="0"/>
        <w:autoSpaceDE w:val="0"/>
        <w:widowControl/>
        <w:spacing w:line="178" w:lineRule="exact" w:before="62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Allocable Income </w:t>
      </w:r>
      <w:r>
        <w:rPr>
          <w:rFonts w:ascii="ArialMT" w:hAnsi="ArialMT" w:eastAsia="ArialMT"/>
          <w:b w:val="0"/>
          <w:i w:val="0"/>
          <w:color w:val="000000"/>
          <w:sz w:val="16"/>
        </w:rPr>
        <w:t>(Section III)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32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Allocable income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1,849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1,312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806 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30"/>
        <w:ind w:left="5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Allocated as follows </w:t>
      </w:r>
      <w:r>
        <w:rPr>
          <w:w w:val="103.99999618530273"/>
          <w:rFonts w:ascii="ArialMT" w:hAnsi="ArialMT" w:eastAsia="ArialMT"/>
          <w:b w:val="0"/>
          <w:i w:val="0"/>
          <w:color w:val="000000"/>
          <w:sz w:val="10"/>
        </w:rPr>
        <w:t>d</w:t>
      </w:r>
      <w:r>
        <w:rPr>
          <w:rFonts w:ascii="ArialMT" w:hAnsi="ArialMT" w:eastAsia="ArialMT"/>
          <w:b w:val="0"/>
          <w:i w:val="0"/>
          <w:color w:val="000000"/>
          <w:sz w:val="16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08"/>
        </w:trPr>
        <w:tc>
          <w:tcPr>
            <w:tcW w:type="dxa" w:w="3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7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General Reserve </w:t>
            </w:r>
          </w:p>
        </w:tc>
        <w:tc>
          <w:tcPr>
            <w:tcW w:type="dxa" w:w="94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834 </w:t>
            </w:r>
          </w:p>
        </w:tc>
        <w:tc>
          <w:tcPr>
            <w:tcW w:type="dxa" w:w="58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921 </w:t>
            </w:r>
          </w:p>
        </w:tc>
        <w:tc>
          <w:tcPr>
            <w:tcW w:type="dxa" w:w="62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589 </w:t>
            </w:r>
          </w:p>
        </w:tc>
      </w:tr>
      <w:tr>
        <w:trPr>
          <w:trHeight w:hRule="exact" w:val="240"/>
        </w:trPr>
        <w:tc>
          <w:tcPr>
            <w:tcW w:type="dxa" w:w="3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7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International Development Association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515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291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117 </w:t>
            </w:r>
          </w:p>
        </w:tc>
      </w:tr>
      <w:tr>
        <w:trPr>
          <w:trHeight w:hRule="exact" w:val="240"/>
        </w:trPr>
        <w:tc>
          <w:tcPr>
            <w:tcW w:type="dxa" w:w="3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7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Surplus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500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 </w:t>
            </w:r>
          </w:p>
        </w:tc>
      </w:tr>
      <w:tr>
        <w:trPr>
          <w:trHeight w:hRule="exact" w:val="460"/>
        </w:trPr>
        <w:tc>
          <w:tcPr>
            <w:tcW w:type="dxa" w:w="3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Usable Equity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e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 xml:space="preserve">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(Section VIII)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54,655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53,105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50,481 </w:t>
            </w:r>
          </w:p>
        </w:tc>
      </w:tr>
      <w:tr>
        <w:trPr>
          <w:trHeight w:hRule="exact" w:val="910"/>
        </w:trPr>
        <w:tc>
          <w:tcPr>
            <w:tcW w:type="dxa" w:w="379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Equity-to-Loans ratio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g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(Section IX)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24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8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21.5 %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14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8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22.0 %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07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22.0 %</w:t>
            </w:r>
          </w:p>
        </w:tc>
      </w:tr>
    </w:tbl>
    <w:p>
      <w:pPr>
        <w:autoSpaceDN w:val="0"/>
        <w:autoSpaceDE w:val="0"/>
        <w:widowControl/>
        <w:spacing w:line="192" w:lineRule="exact" w:before="26" w:after="0"/>
        <w:ind w:left="242" w:right="78" w:hanging="180"/>
        <w:jc w:val="both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Amounts include guarantee commitments and guarantee facilities that have been approved by the Executive Directors (referred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to as “the Board” in this document), and are net of full terminations and cancellations relating to commitments approved in the </w:t>
      </w:r>
      <w:r>
        <w:rPr>
          <w:rFonts w:ascii="Arial" w:hAnsi="Arial" w:eastAsia="Arial"/>
          <w:b w:val="0"/>
          <w:i/>
          <w:color w:val="000000"/>
          <w:sz w:val="16"/>
        </w:rPr>
        <w:t>same fiscal year.</w:t>
      </w:r>
    </w:p>
    <w:p>
      <w:pPr>
        <w:autoSpaceDN w:val="0"/>
        <w:autoSpaceDE w:val="0"/>
        <w:widowControl/>
        <w:spacing w:line="178" w:lineRule="exact" w:before="7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For the composition of the net investment portfolio, see Notes to the Financial Statements, Note C - Investments - Table C3.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Includes associated derivatives.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d. The June 30, 2024 amounts represent transfers from FY24 net income that were approved by the Board on August 6, 2024.</w:t>
      </w:r>
    </w:p>
    <w:p>
      <w:pPr>
        <w:autoSpaceDN w:val="0"/>
        <w:tabs>
          <w:tab w:pos="196" w:val="left"/>
        </w:tabs>
        <w:autoSpaceDE w:val="0"/>
        <w:widowControl/>
        <w:spacing w:line="192" w:lineRule="exact" w:before="50" w:after="0"/>
        <w:ind w:left="62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e. Excludes amounts associated with unrealized mark-to-market gains/losses on non-trading portfolios, net and related cumulative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 translation adjustments.</w:t>
      </w:r>
    </w:p>
    <w:p>
      <w:pPr>
        <w:autoSpaceDN w:val="0"/>
        <w:tabs>
          <w:tab w:pos="152" w:val="left"/>
        </w:tabs>
        <w:autoSpaceDE w:val="0"/>
        <w:widowControl/>
        <w:spacing w:line="192" w:lineRule="exact" w:before="52" w:after="0"/>
        <w:ind w:left="62" w:right="576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f. Usable Equity includes the transfer to the General Reserve from FY24 net income, which was approved by the Board on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 August 6, 2024. See Table 29: Usable Equity.</w:t>
      </w:r>
    </w:p>
    <w:p>
      <w:pPr>
        <w:autoSpaceDN w:val="0"/>
        <w:autoSpaceDE w:val="0"/>
        <w:widowControl/>
        <w:spacing w:line="178" w:lineRule="exact" w:before="10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g. As defined in Table 30: Equity-to-Loans Ratio.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1162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2024</w:t>
      </w:r>
    </w:p>
    <w:p>
      <w:pPr>
        <w:sectPr>
          <w:pgSz w:w="12240" w:h="15840"/>
          <w:pgMar w:top="302" w:right="1370" w:bottom="252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I: Executive Summary</w:t>
            </w:r>
          </w:p>
        </w:tc>
      </w:tr>
    </w:tbl>
    <w:p>
      <w:pPr>
        <w:autoSpaceDN w:val="0"/>
        <w:autoSpaceDE w:val="0"/>
        <w:widowControl/>
        <w:spacing w:line="240" w:lineRule="exact" w:before="49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IBRD's mission is to end extreme poverty and boost shared prosperity on a livable planet by providing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countries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with loans, guarantees, advisory services, analytical support and other products.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and its affiliated institutions seek to help countries in reducing poverty and inequality, achieve improvements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economic growth, job creation, governance, the environment, climate adaptation, mitigation and resilience,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human capital, infrastructure and debt transparency, among others. To meet its development goals, the World Bank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Group (WBG</w:t>
      </w:r>
      <w:r>
        <w:rPr>
          <w:rFonts w:ascii="TimesNewRoman" w:hAnsi="TimesNewRoman" w:eastAsia="TimesNewRoman"/>
          <w:b w:val="0"/>
          <w:i w:val="0"/>
          <w:color w:val="000000"/>
          <w:sz w:val="13"/>
        </w:rPr>
        <w:t>1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) supports client countries' efforts to implement programs to improve growth and development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outcomes with a vision to create a world free of poverty on a livable planet. Further, new and ongoing challenges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continue to influence the global outlook. The Board endorsed the following global challenges: climate change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adaptation and mitigation; fragility and conflict; pandemic prevention and preparedness; energy access; food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nutrition security; water security and access; enabling digitalization; and protecting biodiversity and nature. IBRD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continues to work with partners at global and country levels to support its borrowing countries in addressing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impact of these multiple challenges, to enhance resilience, and lay the groundwork for rebuilding better. To further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support these efforts, the Board and Management have been working on evolving the WBG to better address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scale of development challenges. As part of this evolution, in October 2023, the Board of Governors endorsed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new vision and mission, as well as initiatives to increase impact, modernize the approach to delivery, and increase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financing capacity. Since then, IBRD has started the implementation of the evolution process to address countries’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most pressing development challenges. In particular, in FY24, the Board approved a portfolio guarantee platform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with shareholders to make more financing available to clients, as well as raising hybrid capital, giving shareholders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other partners an opportunity to make investments with strong leverage potential. </w:t>
      </w:r>
    </w:p>
    <w:p>
      <w:pPr>
        <w:autoSpaceDN w:val="0"/>
        <w:autoSpaceDE w:val="0"/>
        <w:widowControl/>
        <w:spacing w:line="182" w:lineRule="exact" w:before="7772" w:after="0"/>
        <w:ind w:left="190" w:right="22" w:hanging="9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13"/>
        </w:rPr>
        <w:t>1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 The other WBG institutions are the International Development Association (IDA), the International Finance Corporation (IFC), the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Multilateral Investment Guarantee Agency (MIGA), and the International Centre for Settlement of Investment Disputes (ICSID). </w:t>
      </w:r>
      <w:r>
        <w:rPr>
          <w:rFonts w:ascii="Arial" w:hAnsi="Arial" w:eastAsia="Arial"/>
          <w:b w:val="0"/>
          <w:i/>
          <w:color w:val="000000"/>
          <w:sz w:val="16"/>
        </w:rPr>
        <w:t>The World Bank consists of IBRD and IDA.</w:t>
      </w:r>
    </w:p>
    <w:p>
      <w:pPr>
        <w:autoSpaceDN w:val="0"/>
        <w:tabs>
          <w:tab w:pos="9206" w:val="left"/>
        </w:tabs>
        <w:autoSpaceDE w:val="0"/>
        <w:widowControl/>
        <w:spacing w:line="224" w:lineRule="exact" w:before="746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2024 </w:t>
      </w:r>
      <w:r>
        <w:rPr>
          <w:rFonts w:ascii="ArialMT" w:hAnsi="ArialMT" w:eastAsia="ArialMT"/>
          <w:b w:val="0"/>
          <w:i w:val="0"/>
          <w:color w:val="000000"/>
          <w:sz w:val="20"/>
        </w:rPr>
        <w:t>5</w:t>
      </w:r>
    </w:p>
    <w:p>
      <w:pPr>
        <w:sectPr>
          <w:pgSz w:w="12240" w:h="15840"/>
          <w:pgMar w:top="302" w:right="1370" w:bottom="244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I: Executive Summary</w:t>
            </w:r>
          </w:p>
        </w:tc>
      </w:tr>
    </w:tbl>
    <w:p>
      <w:pPr>
        <w:autoSpaceDN w:val="0"/>
        <w:autoSpaceDE w:val="0"/>
        <w:widowControl/>
        <w:spacing w:line="268" w:lineRule="exact" w:before="508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Summary Financial Results</w:t>
      </w:r>
    </w:p>
    <w:p>
      <w:pPr>
        <w:autoSpaceDN w:val="0"/>
        <w:autoSpaceDE w:val="0"/>
        <w:widowControl/>
        <w:spacing w:line="244" w:lineRule="exact" w:before="134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Net Income</w:t>
      </w:r>
    </w:p>
    <w:p>
      <w:pPr>
        <w:autoSpaceDN w:val="0"/>
        <w:autoSpaceDE w:val="0"/>
        <w:widowControl/>
        <w:spacing w:line="240" w:lineRule="exact" w:before="13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recorded net income of $2,142 million for the fiscal year ended June 30, 2024, an increase of $998 million,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compared with net income of $1,144 million for the fiscal year ended June 30, 2023. The increase in FY24 was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primarily due to the lower provision expense for losses on loans and other exposures, and unrealized mark-to-market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gains on non-trading portfolio in FY24, compared to unrealized mark-to-market losses in FY23. Given IBRD’s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intention to maintain its non-trading portfolio positions to maturity, unrealized mark-to-market gains and losses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not included in IBRD’s allocable income.</w:t>
      </w:r>
    </w:p>
    <w:p>
      <w:pPr>
        <w:autoSpaceDN w:val="0"/>
        <w:autoSpaceDE w:val="0"/>
        <w:widowControl/>
        <w:spacing w:line="244" w:lineRule="exact" w:before="250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Allocable Income</w:t>
      </w:r>
    </w:p>
    <w:p>
      <w:pPr>
        <w:autoSpaceDN w:val="0"/>
        <w:autoSpaceDE w:val="0"/>
        <w:widowControl/>
        <w:spacing w:line="240" w:lineRule="exact" w:before="112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Allocable income is the measure IBRD uses for making net income allocation decisions. For the fiscal year ended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June 30, 2024, allocable income was $1,849 million, compared with $1,312 million for the fiscal year ended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June 30, 2023. The increase was primarily due to lower provision expenses for losses on loans and other exposures.</w:t>
      </w:r>
    </w:p>
    <w:p>
      <w:pPr>
        <w:autoSpaceDN w:val="0"/>
        <w:autoSpaceDE w:val="0"/>
        <w:widowControl/>
        <w:spacing w:line="178" w:lineRule="exact" w:before="270" w:after="0"/>
        <w:ind w:left="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64" w:lineRule="exact" w:before="234" w:after="0"/>
        <w:ind w:left="1040" w:right="5370" w:firstLine="0"/>
        <w:jc w:val="both"/>
      </w:pPr>
      <w:r>
        <w:rPr>
          <w:rFonts w:ascii="ArialMT" w:hAnsi="ArialMT" w:eastAsia="ArialMT"/>
          <w:b w:val="0"/>
          <w:i w:val="0"/>
          <w:color w:val="595959"/>
          <w:sz w:val="14"/>
        </w:rPr>
        <w:t xml:space="preserve">Allocable income </w:t>
      </w:r>
      <w:r>
        <w:br/>
      </w:r>
      <w:r>
        <w:rPr>
          <w:rFonts w:ascii="ArialMT" w:hAnsi="ArialMT" w:eastAsia="ArialMT"/>
          <w:b w:val="0"/>
          <w:i w:val="0"/>
          <w:color w:val="595959"/>
          <w:sz w:val="14"/>
        </w:rPr>
        <w:t xml:space="preserve">Net Income/Loss </w:t>
      </w:r>
      <w:r>
        <w:br/>
      </w:r>
      <w:r>
        <w:rPr>
          <w:rFonts w:ascii="ArialMT" w:hAnsi="ArialMT" w:eastAsia="ArialMT"/>
          <w:b w:val="0"/>
          <w:i w:val="0"/>
          <w:color w:val="595959"/>
          <w:sz w:val="14"/>
        </w:rPr>
        <w:t>Unrealized gains/losses on non-trading portfolios</w:t>
      </w:r>
    </w:p>
    <w:p>
      <w:pPr>
        <w:autoSpaceDN w:val="0"/>
        <w:autoSpaceDE w:val="0"/>
        <w:widowControl/>
        <w:spacing w:line="156" w:lineRule="exact" w:before="84" w:after="100"/>
        <w:ind w:left="254" w:right="0" w:firstLine="0"/>
        <w:jc w:val="left"/>
      </w:pPr>
      <w:r>
        <w:rPr>
          <w:rFonts w:ascii="ArialMT" w:hAnsi="ArialMT" w:eastAsia="ArialMT"/>
          <w:b w:val="0"/>
          <w:i w:val="0"/>
          <w:color w:val="595959"/>
          <w:sz w:val="14"/>
        </w:rPr>
        <w:t>6,000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4717"/>
        <w:gridCol w:w="4717"/>
      </w:tblGrid>
      <w:tr>
        <w:trPr>
          <w:trHeight w:hRule="exact" w:val="100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4,000 </w:t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2,000 </w:t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0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184400" cy="5461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54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56" w:lineRule="exact" w:before="34" w:after="20"/>
        <w:ind w:left="208" w:right="0" w:firstLine="0"/>
        <w:jc w:val="left"/>
      </w:pPr>
      <w:r>
        <w:rPr>
          <w:rFonts w:ascii="ArialMT" w:hAnsi="ArialMT" w:eastAsia="ArialMT"/>
          <w:b w:val="0"/>
          <w:i w:val="0"/>
          <w:color w:val="595959"/>
          <w:sz w:val="14"/>
        </w:rPr>
        <w:t>-2,000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4.00000000000006" w:type="dxa"/>
      </w:tblPr>
      <w:tblGrid>
        <w:gridCol w:w="1887"/>
        <w:gridCol w:w="1887"/>
        <w:gridCol w:w="1887"/>
        <w:gridCol w:w="1887"/>
        <w:gridCol w:w="1887"/>
      </w:tblGrid>
      <w:tr>
        <w:trPr>
          <w:trHeight w:hRule="exact" w:val="236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FY20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FY21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FY22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FY23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1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FY24</w:t>
            </w:r>
          </w:p>
        </w:tc>
      </w:tr>
    </w:tbl>
    <w:p>
      <w:pPr>
        <w:autoSpaceDN w:val="0"/>
        <w:autoSpaceDE w:val="0"/>
        <w:widowControl/>
        <w:spacing w:line="244" w:lineRule="exact" w:before="326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Lending Operations</w:t>
      </w:r>
    </w:p>
    <w:p>
      <w:pPr>
        <w:autoSpaceDN w:val="0"/>
        <w:autoSpaceDE w:val="0"/>
        <w:widowControl/>
        <w:spacing w:line="240" w:lineRule="exact" w:before="13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lending operations during the fiscal year ended June 30, 2024 provided $37.6 billion of net commitments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$33.5 billion of gross loan disbursements. Net disbursements of $20.1 billion were the key driver for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increase in net loans outstanding from $241.0 billion as of June 30, 2023 to $260.2 billion as of June 30, 2024.</w:t>
      </w:r>
    </w:p>
    <w:p>
      <w:pPr>
        <w:autoSpaceDN w:val="0"/>
        <w:autoSpaceDE w:val="0"/>
        <w:widowControl/>
        <w:spacing w:line="180" w:lineRule="exact" w:before="252" w:after="182"/>
        <w:ind w:left="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billions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</w:tblGrid>
      <w:tr>
        <w:trPr>
          <w:trHeight w:hRule="exact" w:val="242"/>
        </w:trPr>
        <w:tc>
          <w:tcPr>
            <w:tcW w:type="dxa" w:w="482"/>
            <w:tcBorders>
              <w:bottom w:sz="6.000027656555176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0"/>
            <w:gridSpan w:val="2"/>
            <w:tcBorders>
              <w:bottom w:sz="6.000027656555176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0" w:after="0"/>
              <w:ind w:left="3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595959"/>
                <w:sz w:val="14"/>
              </w:rPr>
              <w:t>Net Commitments</w:t>
            </w:r>
          </w:p>
        </w:tc>
        <w:tc>
          <w:tcPr>
            <w:tcW w:type="dxa" w:w="880"/>
            <w:tcBorders>
              <w:bottom w:sz="6.000027656555176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0"/>
            <w:gridSpan w:val="4"/>
            <w:tcBorders>
              <w:bottom w:sz="6.000027656555176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0" w:after="0"/>
              <w:ind w:left="4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595959"/>
                <w:sz w:val="14"/>
              </w:rPr>
              <w:t>Disbursements</w:t>
            </w:r>
          </w:p>
        </w:tc>
        <w:tc>
          <w:tcPr>
            <w:tcW w:type="dxa" w:w="830"/>
            <w:tcBorders>
              <w:bottom w:sz="6.000027656555176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46"/>
            <w:tcBorders>
              <w:bottom w:sz="6.000027656555176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0" w:after="0"/>
              <w:ind w:left="2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595959"/>
                <w:sz w:val="14"/>
              </w:rPr>
              <w:t>Net Loans outstanding</w:t>
            </w:r>
          </w:p>
        </w:tc>
      </w:tr>
      <w:tr>
        <w:trPr>
          <w:trHeight w:hRule="exact" w:val="52"/>
        </w:trPr>
        <w:tc>
          <w:tcPr>
            <w:tcW w:type="dxa" w:w="482"/>
            <w:tcBorders>
              <w:top w:sz="6.000027656555176" w:val="single" w:color="#E5E6E5"/>
              <w:bottom w:sz="12.00002670288086" w:val="single" w:color="#BEBFB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0"/>
            <w:gridSpan w:val="2"/>
            <w:vMerge w:val="restart"/>
            <w:tcBorders>
              <w:top w:sz="6.000027656555176" w:val="single" w:color="#E5E6E5"/>
              <w:bottom w:sz="6.00001335144043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9700" cy="2921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292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0"/>
            <w:tcBorders>
              <w:top w:sz="6.000027656555176" w:val="single" w:color="#E5E6E5"/>
              <w:bottom w:sz="12.00002670288086" w:val="single" w:color="#BEBFB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8"/>
            <w:gridSpan w:val="2"/>
            <w:vMerge w:val="restart"/>
            <w:tcBorders>
              <w:top w:sz="6.000027656555176" w:val="single" w:color="#E5E6E5"/>
              <w:bottom w:sz="6.00001335144043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0" w:right="14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595959"/>
                <w:sz w:val="12"/>
              </w:rPr>
              <w:t>Gross</w:t>
            </w:r>
          </w:p>
        </w:tc>
        <w:tc>
          <w:tcPr>
            <w:tcW w:type="dxa" w:w="1102"/>
            <w:gridSpan w:val="2"/>
            <w:vMerge w:val="restart"/>
            <w:tcBorders>
              <w:top w:sz="6.000027656555176" w:val="single" w:color="#E5E6E5"/>
              <w:bottom w:sz="6.00001335144043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595959"/>
                <w:sz w:val="12"/>
              </w:rPr>
              <w:t>Net</w:t>
            </w:r>
          </w:p>
        </w:tc>
        <w:tc>
          <w:tcPr>
            <w:tcW w:type="dxa" w:w="830"/>
            <w:tcBorders>
              <w:top w:sz="6.000027656555176" w:val="single" w:color="#E5E6E5"/>
              <w:bottom w:sz="12.00002670288086" w:val="single" w:color="#BEBFB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46"/>
            <w:tcBorders>
              <w:top w:sz="6.000027656555176" w:val="single" w:color="#E5E6E5"/>
              <w:bottom w:sz="12.00002670288086" w:val="single" w:color="#BEBFBE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"/>
        </w:trPr>
        <w:tc>
          <w:tcPr>
            <w:tcW w:type="dxa" w:w="482"/>
            <w:vMerge w:val="restart"/>
            <w:tcBorders>
              <w:top w:sz="12.00002670288086" w:val="single" w:color="#BEBFBE"/>
              <w:bottom w:sz="6.00001335144043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86"/>
            <w:gridSpan w:val="2"/>
            <w:vMerge/>
            <w:tcBorders>
              <w:top w:sz="6.000027656555176" w:val="single" w:color="#E5E6E5"/>
              <w:bottom w:sz="6.00001335144043" w:val="single" w:color="#E5E6E5"/>
            </w:tcBorders>
          </w:tcPr>
          <w:p/>
        </w:tc>
        <w:tc>
          <w:tcPr>
            <w:tcW w:type="dxa" w:w="880"/>
            <w:vMerge w:val="restart"/>
            <w:tcBorders>
              <w:top w:sz="12.00002670288086" w:val="single" w:color="#BEBFBE"/>
              <w:bottom w:sz="6.00001335144043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86"/>
            <w:gridSpan w:val="2"/>
            <w:vMerge/>
            <w:tcBorders>
              <w:top w:sz="6.000027656555176" w:val="single" w:color="#E5E6E5"/>
              <w:bottom w:sz="6.00001335144043" w:val="single" w:color="#E5E6E5"/>
            </w:tcBorders>
          </w:tcPr>
          <w:p/>
        </w:tc>
        <w:tc>
          <w:tcPr>
            <w:tcW w:type="dxa" w:w="1886"/>
            <w:gridSpan w:val="2"/>
            <w:vMerge/>
            <w:tcBorders>
              <w:top w:sz="6.000027656555176" w:val="single" w:color="#E5E6E5"/>
              <w:bottom w:sz="6.00001335144043" w:val="single" w:color="#E5E6E5"/>
            </w:tcBorders>
          </w:tcPr>
          <w:p/>
        </w:tc>
        <w:tc>
          <w:tcPr>
            <w:tcW w:type="dxa" w:w="830"/>
            <w:tcBorders>
              <w:top w:sz="12.00002670288086" w:val="single" w:color="#BEBFB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46"/>
            <w:vMerge w:val="restart"/>
            <w:tcBorders>
              <w:top w:sz="12.00002670288086" w:val="single" w:color="#BEBFBE"/>
              <w:bottom w:sz="6.00001335144043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2"/>
        </w:trPr>
        <w:tc>
          <w:tcPr>
            <w:tcW w:type="dxa" w:w="943"/>
            <w:vMerge/>
            <w:tcBorders>
              <w:top w:sz="12.00002670288086" w:val="single" w:color="#BEBFBE"/>
              <w:bottom w:sz="6.00001335144043" w:val="single" w:color="#E5E6E5"/>
            </w:tcBorders>
          </w:tcPr>
          <w:p/>
        </w:tc>
        <w:tc>
          <w:tcPr>
            <w:tcW w:type="dxa" w:w="1886"/>
            <w:gridSpan w:val="2"/>
            <w:vMerge/>
            <w:tcBorders>
              <w:top w:sz="6.000027656555176" w:val="single" w:color="#E5E6E5"/>
              <w:bottom w:sz="6.00001335144043" w:val="single" w:color="#E5E6E5"/>
            </w:tcBorders>
          </w:tcPr>
          <w:p/>
        </w:tc>
        <w:tc>
          <w:tcPr>
            <w:tcW w:type="dxa" w:w="943"/>
            <w:vMerge/>
            <w:tcBorders>
              <w:top w:sz="12.00002670288086" w:val="single" w:color="#BEBFBE"/>
              <w:bottom w:sz="6.00001335144043" w:val="single" w:color="#E5E6E5"/>
            </w:tcBorders>
          </w:tcPr>
          <w:p/>
        </w:tc>
        <w:tc>
          <w:tcPr>
            <w:tcW w:type="dxa" w:w="1886"/>
            <w:gridSpan w:val="2"/>
            <w:vMerge/>
            <w:tcBorders>
              <w:top w:sz="6.000027656555176" w:val="single" w:color="#E5E6E5"/>
              <w:bottom w:sz="6.00001335144043" w:val="single" w:color="#E5E6E5"/>
            </w:tcBorders>
          </w:tcPr>
          <w:p/>
        </w:tc>
        <w:tc>
          <w:tcPr>
            <w:tcW w:type="dxa" w:w="1886"/>
            <w:gridSpan w:val="2"/>
            <w:vMerge/>
            <w:tcBorders>
              <w:top w:sz="6.000027656555176" w:val="single" w:color="#E5E6E5"/>
              <w:bottom w:sz="6.00001335144043" w:val="single" w:color="#E5E6E5"/>
            </w:tcBorders>
          </w:tcPr>
          <w:p/>
        </w:tc>
        <w:tc>
          <w:tcPr>
            <w:tcW w:type="dxa" w:w="830"/>
            <w:tcBorders>
              <w:bottom w:sz="6.00001335144043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3"/>
            <w:vMerge/>
            <w:tcBorders>
              <w:top w:sz="12.00002670288086" w:val="single" w:color="#BEBFBE"/>
              <w:bottom w:sz="6.00001335144043" w:val="single" w:color="#E5E6E5"/>
            </w:tcBorders>
          </w:tcPr>
          <w:p/>
        </w:tc>
      </w:tr>
      <w:tr>
        <w:trPr>
          <w:trHeight w:hRule="exact" w:val="108"/>
        </w:trPr>
        <w:tc>
          <w:tcPr>
            <w:tcW w:type="dxa" w:w="482"/>
            <w:tcBorders>
              <w:top w:sz="6.00001335144043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32</w:t>
            </w:r>
          </w:p>
        </w:tc>
        <w:tc>
          <w:tcPr>
            <w:tcW w:type="dxa" w:w="1886"/>
            <w:gridSpan w:val="2"/>
            <w:vMerge/>
            <w:tcBorders>
              <w:top w:sz="6.000027656555176" w:val="single" w:color="#E5E6E5"/>
              <w:bottom w:sz="6.00001335144043" w:val="single" w:color="#E5E6E5"/>
            </w:tcBorders>
          </w:tcPr>
          <w:p/>
        </w:tc>
        <w:tc>
          <w:tcPr>
            <w:tcW w:type="dxa" w:w="880"/>
            <w:tcBorders>
              <w:top w:sz="6.00001335144043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40</w:t>
            </w:r>
          </w:p>
        </w:tc>
        <w:tc>
          <w:tcPr>
            <w:tcW w:type="dxa" w:w="2220"/>
            <w:gridSpan w:val="4"/>
            <w:vMerge w:val="restart"/>
            <w:tcBorders>
              <w:top w:sz="6.00001335144043" w:val="single" w:color="#E5E6E5"/>
              <w:bottom w:sz="6.00001335144043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30"/>
            <w:tcBorders>
              <w:top w:sz="6.00001335144043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250</w:t>
            </w:r>
          </w:p>
        </w:tc>
        <w:tc>
          <w:tcPr>
            <w:tcW w:type="dxa" w:w="2446"/>
            <w:vMerge w:val="restart"/>
            <w:tcBorders>
              <w:top w:sz="6.00001335144043" w:val="single" w:color="#E5E6E5"/>
              <w:bottom w:sz="6.00001335144043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49400" cy="203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92"/>
        </w:trPr>
        <w:tc>
          <w:tcPr>
            <w:tcW w:type="dxa" w:w="482"/>
            <w:tcBorders>
              <w:bottom w:sz="6.00001335144043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6"/>
            <w:gridSpan w:val="2"/>
            <w:vMerge/>
            <w:tcBorders>
              <w:top w:sz="6.000027656555176" w:val="single" w:color="#E5E6E5"/>
              <w:bottom w:sz="6.00001335144043" w:val="single" w:color="#E5E6E5"/>
            </w:tcBorders>
          </w:tcPr>
          <w:p/>
        </w:tc>
        <w:tc>
          <w:tcPr>
            <w:tcW w:type="dxa" w:w="880"/>
            <w:tcBorders>
              <w:bottom w:sz="6.00001335144043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32</w:t>
            </w:r>
          </w:p>
        </w:tc>
        <w:tc>
          <w:tcPr>
            <w:tcW w:type="dxa" w:w="3772"/>
            <w:gridSpan w:val="4"/>
            <w:vMerge/>
            <w:tcBorders>
              <w:top w:sz="6.00001335144043" w:val="single" w:color="#E5E6E5"/>
              <w:bottom w:sz="6.00001335144043" w:val="single" w:color="#E5E6E5"/>
            </w:tcBorders>
          </w:tcPr>
          <w:p/>
        </w:tc>
        <w:tc>
          <w:tcPr>
            <w:tcW w:type="dxa" w:w="830"/>
            <w:tcBorders>
              <w:bottom w:sz="6.00001335144043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8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200</w:t>
            </w:r>
          </w:p>
        </w:tc>
        <w:tc>
          <w:tcPr>
            <w:tcW w:type="dxa" w:w="943"/>
            <w:vMerge/>
            <w:tcBorders>
              <w:top w:sz="6.00001335144043" w:val="single" w:color="#E5E6E5"/>
              <w:bottom w:sz="6.00001335144043" w:val="single" w:color="#E5E6E5"/>
            </w:tcBorders>
          </w:tcPr>
          <w:p/>
        </w:tc>
      </w:tr>
      <w:tr>
        <w:trPr>
          <w:trHeight w:hRule="exact" w:val="136"/>
        </w:trPr>
        <w:tc>
          <w:tcPr>
            <w:tcW w:type="dxa" w:w="482"/>
            <w:tcBorders>
              <w:top w:sz="6.00001335144043" w:val="single" w:color="#E5E6E5"/>
              <w:bottom w:sz="6.000027656555176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24</w:t>
            </w:r>
          </w:p>
        </w:tc>
        <w:tc>
          <w:tcPr>
            <w:tcW w:type="dxa" w:w="1738"/>
            <w:tcBorders>
              <w:top w:sz="6.00001335144043" w:val="single" w:color="#E5E6E5"/>
              <w:bottom w:sz="6.000027656555176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2"/>
            <w:tcBorders>
              <w:top w:sz="6.00001335144043" w:val="single" w:color="#E5E6E5"/>
              <w:bottom w:sz="6.000027656555176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6.00001335144043" w:val="single" w:color="#E5E6E5"/>
              <w:bottom w:sz="6.000027656555176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0"/>
            <w:gridSpan w:val="4"/>
            <w:vMerge w:val="restart"/>
            <w:tcBorders>
              <w:top w:sz="6.00001335144043" w:val="single" w:color="#E5E6E5"/>
              <w:bottom w:sz="6.00001335144043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9700" cy="4191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419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0"/>
            <w:tcBorders>
              <w:top w:sz="6.00001335144043" w:val="single" w:color="#E5E6E5"/>
              <w:bottom w:sz="6.000027656555176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46"/>
            <w:tcBorders>
              <w:top w:sz="6.00001335144043" w:val="single" w:color="#E5E6E5"/>
              <w:bottom w:sz="6.000027656555176" w:val="single" w:color="#E5E6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4"/>
        </w:trPr>
        <w:tc>
          <w:tcPr>
            <w:tcW w:type="dxa" w:w="482"/>
            <w:tcBorders>
              <w:top w:sz="6.000027656555176" w:val="single" w:color="#E5E6E5"/>
              <w:bottom w:sz="6.00001335144043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top w:sz="6.000027656555176" w:val="single" w:color="#E5E6E5"/>
              <w:bottom w:sz="6.00001335144043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2"/>
            <w:tcBorders>
              <w:top w:sz="6.000027656555176" w:val="single" w:color="#E5E6E5"/>
              <w:bottom w:sz="6.00001335144043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6.000027656555176" w:val="single" w:color="#E5E6E5"/>
              <w:bottom w:sz="6.00001335144043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24</w:t>
            </w:r>
          </w:p>
        </w:tc>
        <w:tc>
          <w:tcPr>
            <w:tcW w:type="dxa" w:w="3772"/>
            <w:gridSpan w:val="4"/>
            <w:vMerge/>
            <w:tcBorders>
              <w:top w:sz="6.00001335144043" w:val="single" w:color="#E5E6E5"/>
              <w:bottom w:sz="6.00001335144043" w:val="single" w:color="#E5E6E5"/>
            </w:tcBorders>
          </w:tcPr>
          <w:p/>
        </w:tc>
        <w:tc>
          <w:tcPr>
            <w:tcW w:type="dxa" w:w="830"/>
            <w:tcBorders>
              <w:top w:sz="6.000027656555176" w:val="single" w:color="#E5E6E5"/>
              <w:bottom w:sz="6.00001335144043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150</w:t>
            </w:r>
          </w:p>
        </w:tc>
        <w:tc>
          <w:tcPr>
            <w:tcW w:type="dxa" w:w="2446"/>
            <w:tcBorders>
              <w:top w:sz="6.000027656555176" w:val="single" w:color="#E5E6E5"/>
              <w:bottom w:sz="6.00001335144043" w:val="single" w:color="#E5E6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"/>
        </w:trPr>
        <w:tc>
          <w:tcPr>
            <w:tcW w:type="dxa" w:w="482"/>
            <w:tcBorders>
              <w:top w:sz="6.00001335144043" w:val="single" w:color="#E5E6E5"/>
              <w:bottom w:sz="6.000027656555176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16</w:t>
            </w:r>
          </w:p>
        </w:tc>
        <w:tc>
          <w:tcPr>
            <w:tcW w:type="dxa" w:w="1738"/>
            <w:tcBorders>
              <w:top w:sz="6.00001335144043" w:val="single" w:color="#E5E6E5"/>
              <w:bottom w:sz="6.000027656555176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2"/>
            <w:tcBorders>
              <w:top w:sz="6.00001335144043" w:val="single" w:color="#E5E6E5"/>
              <w:bottom w:sz="6.000027656555176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6.00001335144043" w:val="single" w:color="#E5E6E5"/>
              <w:bottom w:sz="6.000027656555176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72"/>
            <w:gridSpan w:val="4"/>
            <w:vMerge/>
            <w:tcBorders>
              <w:top w:sz="6.00001335144043" w:val="single" w:color="#E5E6E5"/>
              <w:bottom w:sz="6.00001335144043" w:val="single" w:color="#E5E6E5"/>
            </w:tcBorders>
          </w:tcPr>
          <w:p/>
        </w:tc>
        <w:tc>
          <w:tcPr>
            <w:tcW w:type="dxa" w:w="830"/>
            <w:tcBorders>
              <w:top w:sz="6.00001335144043" w:val="single" w:color="#E5E6E5"/>
              <w:bottom w:sz="6.000027656555176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46"/>
            <w:tcBorders>
              <w:top w:sz="6.00001335144043" w:val="single" w:color="#E5E6E5"/>
              <w:bottom w:sz="6.000027656555176" w:val="single" w:color="#E5E6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0"/>
        </w:trPr>
        <w:tc>
          <w:tcPr>
            <w:tcW w:type="dxa" w:w="482"/>
            <w:tcBorders>
              <w:top w:sz="6.000027656555176" w:val="single" w:color="#E5E6E5"/>
              <w:bottom w:sz="6.00001335144043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top w:sz="6.000027656555176" w:val="single" w:color="#E5E6E5"/>
              <w:bottom w:sz="6.00001335144043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2"/>
            <w:tcBorders>
              <w:top w:sz="6.000027656555176" w:val="single" w:color="#E5E6E5"/>
              <w:bottom w:sz="6.00001335144043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6.000027656555176" w:val="single" w:color="#E5E6E5"/>
              <w:bottom w:sz="6.00001335144043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16</w:t>
            </w:r>
          </w:p>
        </w:tc>
        <w:tc>
          <w:tcPr>
            <w:tcW w:type="dxa" w:w="3772"/>
            <w:gridSpan w:val="4"/>
            <w:vMerge/>
            <w:tcBorders>
              <w:top w:sz="6.00001335144043" w:val="single" w:color="#E5E6E5"/>
              <w:bottom w:sz="6.00001335144043" w:val="single" w:color="#E5E6E5"/>
            </w:tcBorders>
          </w:tcPr>
          <w:p/>
        </w:tc>
        <w:tc>
          <w:tcPr>
            <w:tcW w:type="dxa" w:w="830"/>
            <w:tcBorders>
              <w:top w:sz="6.000027656555176" w:val="single" w:color="#E5E6E5"/>
              <w:bottom w:sz="6.00001335144043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100</w:t>
            </w:r>
          </w:p>
        </w:tc>
        <w:tc>
          <w:tcPr>
            <w:tcW w:type="dxa" w:w="2446"/>
            <w:tcBorders>
              <w:top w:sz="6.000027656555176" w:val="single" w:color="#E5E6E5"/>
              <w:bottom w:sz="6.00001335144043" w:val="single" w:color="#E5E6E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8"/>
        </w:trPr>
        <w:tc>
          <w:tcPr>
            <w:tcW w:type="dxa" w:w="482"/>
            <w:tcBorders>
              <w:top w:sz="6.00001335144043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8</w:t>
            </w:r>
          </w:p>
        </w:tc>
        <w:tc>
          <w:tcPr>
            <w:tcW w:type="dxa" w:w="1738"/>
            <w:vMerge w:val="restart"/>
            <w:tcBorders>
              <w:top w:sz="6.00001335144043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FY20 FY21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FY23</w:t>
            </w:r>
          </w:p>
        </w:tc>
        <w:tc>
          <w:tcPr>
            <w:tcW w:type="dxa" w:w="482"/>
            <w:vMerge w:val="restart"/>
            <w:tcBorders>
              <w:top w:sz="6.00001335144043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FY24</w:t>
            </w:r>
          </w:p>
        </w:tc>
        <w:tc>
          <w:tcPr>
            <w:tcW w:type="dxa" w:w="880"/>
            <w:tcBorders>
              <w:top w:sz="6.00001335144043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8</w:t>
            </w:r>
          </w:p>
        </w:tc>
        <w:tc>
          <w:tcPr>
            <w:tcW w:type="dxa" w:w="418"/>
            <w:vMerge w:val="restart"/>
            <w:tcBorders>
              <w:top w:sz="6.00001335144043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FY20</w:t>
            </w:r>
          </w:p>
        </w:tc>
        <w:tc>
          <w:tcPr>
            <w:tcW w:type="dxa" w:w="1320"/>
            <w:gridSpan w:val="2"/>
            <w:vMerge w:val="restart"/>
            <w:tcBorders>
              <w:top w:sz="6.00001335144043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FY23</w:t>
            </w:r>
          </w:p>
        </w:tc>
        <w:tc>
          <w:tcPr>
            <w:tcW w:type="dxa" w:w="482"/>
            <w:vMerge w:val="restart"/>
            <w:tcBorders>
              <w:top w:sz="6.00001335144043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FY24</w:t>
            </w:r>
          </w:p>
        </w:tc>
        <w:tc>
          <w:tcPr>
            <w:tcW w:type="dxa" w:w="830"/>
            <w:tcBorders>
              <w:top w:sz="6.00001335144043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50</w:t>
            </w:r>
          </w:p>
        </w:tc>
        <w:tc>
          <w:tcPr>
            <w:tcW w:type="dxa" w:w="2446"/>
            <w:vMerge w:val="restart"/>
            <w:tcBorders>
              <w:top w:sz="6.00001335144043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Jun 20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Jun 21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Jun 22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Jun 23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Jun 24</w:t>
            </w:r>
          </w:p>
        </w:tc>
      </w:tr>
      <w:tr>
        <w:trPr>
          <w:trHeight w:hRule="exact" w:val="452"/>
        </w:trPr>
        <w:tc>
          <w:tcPr>
            <w:tcW w:type="dxa" w:w="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0</w:t>
            </w:r>
          </w:p>
        </w:tc>
        <w:tc>
          <w:tcPr>
            <w:tcW w:type="dxa" w:w="943"/>
            <w:vMerge/>
            <w:tcBorders>
              <w:top w:sz="6.00001335144043" w:val="single" w:color="#E5E6E5"/>
            </w:tcBorders>
          </w:tcPr>
          <w:p/>
        </w:tc>
        <w:tc>
          <w:tcPr>
            <w:tcW w:type="dxa" w:w="943"/>
            <w:vMerge/>
            <w:tcBorders>
              <w:top w:sz="6.00001335144043" w:val="single" w:color="#E5E6E5"/>
            </w:tcBorders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8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0</w:t>
            </w:r>
          </w:p>
        </w:tc>
        <w:tc>
          <w:tcPr>
            <w:tcW w:type="dxa" w:w="943"/>
            <w:vMerge/>
            <w:tcBorders>
              <w:top w:sz="6.00001335144043" w:val="single" w:color="#E5E6E5"/>
            </w:tcBorders>
          </w:tcPr>
          <w:p/>
        </w:tc>
        <w:tc>
          <w:tcPr>
            <w:tcW w:type="dxa" w:w="1886"/>
            <w:gridSpan w:val="2"/>
            <w:vMerge/>
            <w:tcBorders>
              <w:top w:sz="6.00001335144043" w:val="single" w:color="#E5E6E5"/>
            </w:tcBorders>
          </w:tcPr>
          <w:p/>
        </w:tc>
        <w:tc>
          <w:tcPr>
            <w:tcW w:type="dxa" w:w="943"/>
            <w:vMerge/>
            <w:tcBorders>
              <w:top w:sz="6.00001335144043" w:val="single" w:color="#E5E6E5"/>
            </w:tcBorders>
          </w:tcPr>
          <w:p/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8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0</w:t>
            </w:r>
          </w:p>
        </w:tc>
        <w:tc>
          <w:tcPr>
            <w:tcW w:type="dxa" w:w="943"/>
            <w:vMerge/>
            <w:tcBorders>
              <w:top w:sz="6.00001335144043" w:val="single" w:color="#E5E6E5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316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Net commitments were $1.0 billion lower compared with FY23 (Table 9). The regions with the largest share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commitments during FY24 were Latin America and the Caribbean with 25%, and Europe and Central Asia with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25%.</w:t>
      </w:r>
    </w:p>
    <w:p>
      <w:pPr>
        <w:autoSpaceDN w:val="0"/>
        <w:tabs>
          <w:tab w:pos="656" w:val="left"/>
        </w:tabs>
        <w:autoSpaceDE w:val="0"/>
        <w:widowControl/>
        <w:spacing w:line="224" w:lineRule="exact" w:before="2184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2024</w:t>
      </w:r>
    </w:p>
    <w:p>
      <w:pPr>
        <w:sectPr>
          <w:pgSz w:w="12240" w:h="15840"/>
          <w:pgMar w:top="302" w:right="1370" w:bottom="25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73"/>
        <w:gridCol w:w="1173"/>
        <w:gridCol w:w="1173"/>
        <w:gridCol w:w="1173"/>
        <w:gridCol w:w="1173"/>
        <w:gridCol w:w="1173"/>
        <w:gridCol w:w="1173"/>
        <w:gridCol w:w="1173"/>
      </w:tblGrid>
      <w:tr>
        <w:trPr>
          <w:trHeight w:hRule="exact" w:val="284"/>
        </w:trPr>
        <w:tc>
          <w:tcPr>
            <w:tcW w:type="dxa" w:w="3968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0"/>
            <w:gridSpan w:val="7"/>
            <w:tcBorders>
              <w:bottom w:sz="4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I: Executive Summary</w:t>
            </w:r>
          </w:p>
        </w:tc>
      </w:tr>
      <w:tr>
        <w:trPr>
          <w:trHeight w:hRule="exact" w:val="810"/>
        </w:trPr>
        <w:tc>
          <w:tcPr>
            <w:tcW w:type="dxa" w:w="3968"/>
            <w:tcBorders>
              <w:top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96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/>
                <w:i w:val="0"/>
                <w:color w:val="000000"/>
                <w:sz w:val="22"/>
              </w:rPr>
              <w:t>Net Investment Portfolio</w:t>
            </w:r>
          </w:p>
        </w:tc>
        <w:tc>
          <w:tcPr>
            <w:tcW w:type="dxa" w:w="5400"/>
            <w:gridSpan w:val="7"/>
            <w:tcBorders>
              <w:top w:sz="4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16" w:after="0"/>
              <w:ind w:left="107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billions of U.S. dollars</w:t>
            </w:r>
          </w:p>
        </w:tc>
      </w:tr>
      <w:tr>
        <w:trPr>
          <w:trHeight w:hRule="exact" w:val="314"/>
        </w:trPr>
        <w:tc>
          <w:tcPr>
            <w:tcW w:type="dxa" w:w="4804"/>
            <w:gridSpan w:val="2"/>
            <w:tcBorders>
              <w:bottom w:sz="5.99999856948852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IBRD’s net investment portfolio increased by $3.5 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8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120</w:t>
            </w:r>
          </w:p>
        </w:tc>
        <w:tc>
          <w:tcPr>
            <w:tcW w:type="dxa" w:w="3784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32" w:after="0"/>
              <w:ind w:left="5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595959"/>
                <w:sz w:val="14"/>
              </w:rPr>
              <w:t>Net Investment Portfolio</w:t>
            </w:r>
          </w:p>
        </w:tc>
      </w:tr>
      <w:tr>
        <w:trPr>
          <w:trHeight w:hRule="exact" w:val="226"/>
        </w:trPr>
        <w:tc>
          <w:tcPr>
            <w:tcW w:type="dxa" w:w="4804"/>
            <w:gridSpan w:val="2"/>
            <w:tcBorders>
              <w:top w:sz="5.99999856948852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billion, from $79.2 billion as of June 30, 2023, to </w:t>
            </w:r>
          </w:p>
        </w:tc>
        <w:tc>
          <w:tcPr>
            <w:tcW w:type="dxa" w:w="1173"/>
            <w:vMerge/>
            <w:tcBorders/>
          </w:tcPr>
          <w:p/>
        </w:tc>
        <w:tc>
          <w:tcPr>
            <w:tcW w:type="dxa" w:w="5865"/>
            <w:gridSpan w:val="5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48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$82.7 billion as of June 30, 2024. The increase was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90</w:t>
            </w:r>
          </w:p>
        </w:tc>
        <w:tc>
          <w:tcPr>
            <w:tcW w:type="dxa" w:w="37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889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48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primarily due to net new debt  issuances that were </w:t>
            </w:r>
          </w:p>
        </w:tc>
        <w:tc>
          <w:tcPr>
            <w:tcW w:type="dxa" w:w="456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4" w:after="0"/>
              <w:ind w:left="5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60</w:t>
            </w:r>
          </w:p>
        </w:tc>
      </w:tr>
      <w:tr>
        <w:trPr>
          <w:trHeight w:hRule="exact" w:val="280"/>
        </w:trPr>
        <w:tc>
          <w:tcPr>
            <w:tcW w:type="dxa" w:w="48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higher than net loan disbursements during the year 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48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30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4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Jun-20</w:t>
            </w:r>
          </w:p>
        </w:tc>
        <w:tc>
          <w:tcPr>
            <w:tcW w:type="dxa" w:w="580"/>
            <w:vMerge w:val="restart"/>
            <w:tcBorders>
              <w:bottom w:sz="5.99999856948852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vMerge w:val="restart"/>
            <w:tcBorders>
              <w:bottom w:sz="5.99999856948852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vMerge w:val="restart"/>
            <w:tcBorders>
              <w:bottom w:sz="5.99999856948852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84"/>
            <w:vMerge w:val="restart"/>
            <w:tcBorders>
              <w:bottom w:sz="5.99999856948852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6"/>
        </w:trPr>
        <w:tc>
          <w:tcPr>
            <w:tcW w:type="dxa" w:w="4804"/>
            <w:gridSpan w:val="2"/>
            <w:vMerge w:val="restart"/>
            <w:tcBorders>
              <w:bottom w:sz="5.99999856948852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and is consistent with the higher target liquidity level </w:t>
            </w:r>
          </w:p>
        </w:tc>
        <w:tc>
          <w:tcPr>
            <w:tcW w:type="dxa" w:w="1173"/>
            <w:vMerge/>
            <w:tcBorders/>
          </w:tcPr>
          <w:p/>
        </w:tc>
        <w:tc>
          <w:tcPr>
            <w:tcW w:type="dxa" w:w="1173"/>
            <w:vMerge/>
            <w:tcBorders/>
          </w:tcPr>
          <w:p/>
        </w:tc>
        <w:tc>
          <w:tcPr>
            <w:tcW w:type="dxa" w:w="1173"/>
            <w:vMerge/>
            <w:tcBorders>
              <w:bottom w:sz="5.999998569488525" w:val="single" w:color="#E5E6E5"/>
            </w:tcBorders>
          </w:tcPr>
          <w:p/>
        </w:tc>
        <w:tc>
          <w:tcPr>
            <w:tcW w:type="dxa" w:w="1173"/>
            <w:vMerge/>
            <w:tcBorders>
              <w:bottom w:sz="5.999998569488525" w:val="single" w:color="#E5E6E5"/>
            </w:tcBorders>
          </w:tcPr>
          <w:p/>
        </w:tc>
        <w:tc>
          <w:tcPr>
            <w:tcW w:type="dxa" w:w="1173"/>
            <w:vMerge/>
            <w:tcBorders>
              <w:bottom w:sz="5.999998569488525" w:val="single" w:color="#E5E6E5"/>
            </w:tcBorders>
          </w:tcPr>
          <w:p/>
        </w:tc>
        <w:tc>
          <w:tcPr>
            <w:tcW w:type="dxa" w:w="1173"/>
            <w:vMerge/>
            <w:tcBorders>
              <w:bottom w:sz="5.999998569488525" w:val="single" w:color="#E5E6E5"/>
            </w:tcBorders>
          </w:tcPr>
          <w:p/>
        </w:tc>
      </w:tr>
      <w:tr>
        <w:trPr>
          <w:trHeight w:hRule="exact" w:val="132"/>
        </w:trPr>
        <w:tc>
          <w:tcPr>
            <w:tcW w:type="dxa" w:w="2346"/>
            <w:gridSpan w:val="2"/>
            <w:vMerge/>
            <w:tcBorders>
              <w:bottom w:sz="5.999998569488525" w:val="single" w:color="#E5E6E5"/>
            </w:tcBorders>
          </w:tcPr>
          <w:p/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2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0</w:t>
            </w:r>
          </w:p>
        </w:tc>
        <w:tc>
          <w:tcPr>
            <w:tcW w:type="dxa" w:w="1173"/>
            <w:vMerge/>
            <w:tcBorders/>
          </w:tcPr>
          <w:p/>
        </w:tc>
        <w:tc>
          <w:tcPr>
            <w:tcW w:type="dxa" w:w="1173"/>
            <w:vMerge/>
            <w:tcBorders>
              <w:bottom w:sz="5.999998569488525" w:val="single" w:color="#E5E6E5"/>
            </w:tcBorders>
          </w:tcPr>
          <w:p/>
        </w:tc>
        <w:tc>
          <w:tcPr>
            <w:tcW w:type="dxa" w:w="1173"/>
            <w:vMerge/>
            <w:tcBorders>
              <w:bottom w:sz="5.999998569488525" w:val="single" w:color="#E5E6E5"/>
            </w:tcBorders>
          </w:tcPr>
          <w:p/>
        </w:tc>
        <w:tc>
          <w:tcPr>
            <w:tcW w:type="dxa" w:w="1173"/>
            <w:vMerge/>
            <w:tcBorders>
              <w:bottom w:sz="5.999998569488525" w:val="single" w:color="#E5E6E5"/>
            </w:tcBorders>
          </w:tcPr>
          <w:p/>
        </w:tc>
        <w:tc>
          <w:tcPr>
            <w:tcW w:type="dxa" w:w="1173"/>
            <w:vMerge/>
            <w:tcBorders>
              <w:bottom w:sz="5.999998569488525" w:val="single" w:color="#E5E6E5"/>
            </w:tcBorders>
          </w:tcPr>
          <w:p/>
        </w:tc>
      </w:tr>
      <w:tr>
        <w:trPr>
          <w:trHeight w:hRule="exact" w:val="212"/>
        </w:trPr>
        <w:tc>
          <w:tcPr>
            <w:tcW w:type="dxa" w:w="4804"/>
            <w:gridSpan w:val="2"/>
            <w:tcBorders>
              <w:top w:sz="5.99999856948852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in FY24, compared to FY23. 77% of the investments </w:t>
            </w:r>
          </w:p>
        </w:tc>
        <w:tc>
          <w:tcPr>
            <w:tcW w:type="dxa" w:w="1173"/>
            <w:vMerge/>
            <w:tcBorders/>
          </w:tcPr>
          <w:p/>
        </w:tc>
        <w:tc>
          <w:tcPr>
            <w:tcW w:type="dxa" w:w="1173"/>
            <w:vMerge/>
            <w:tcBorders/>
          </w:tcPr>
          <w:p/>
        </w:tc>
        <w:tc>
          <w:tcPr>
            <w:tcW w:type="dxa" w:w="580"/>
            <w:vMerge w:val="restart"/>
            <w:tcBorders>
              <w:top w:sz="5.99999856948852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Jun-21</w:t>
            </w:r>
          </w:p>
        </w:tc>
        <w:tc>
          <w:tcPr>
            <w:tcW w:type="dxa" w:w="560"/>
            <w:vMerge w:val="restart"/>
            <w:tcBorders>
              <w:top w:sz="5.99999856948852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Jun-22</w:t>
            </w:r>
          </w:p>
        </w:tc>
        <w:tc>
          <w:tcPr>
            <w:tcW w:type="dxa" w:w="580"/>
            <w:vMerge w:val="restart"/>
            <w:tcBorders>
              <w:top w:sz="5.99999856948852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Jun-23</w:t>
            </w:r>
          </w:p>
        </w:tc>
        <w:tc>
          <w:tcPr>
            <w:tcW w:type="dxa" w:w="1384"/>
            <w:vMerge w:val="restart"/>
            <w:tcBorders>
              <w:top w:sz="5.99999856948852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6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Jun-24</w:t>
            </w:r>
          </w:p>
        </w:tc>
      </w:tr>
      <w:tr>
        <w:trPr>
          <w:trHeight w:hRule="exact" w:val="256"/>
        </w:trPr>
        <w:tc>
          <w:tcPr>
            <w:tcW w:type="dxa" w:w="48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are rated AA or above (Table 31), reflecting IBRD’s </w:t>
            </w:r>
          </w:p>
        </w:tc>
        <w:tc>
          <w:tcPr>
            <w:tcW w:type="dxa" w:w="1173"/>
            <w:vMerge/>
            <w:tcBorders/>
          </w:tcPr>
          <w:p/>
        </w:tc>
        <w:tc>
          <w:tcPr>
            <w:tcW w:type="dxa" w:w="1173"/>
            <w:vMerge/>
            <w:tcBorders/>
          </w:tcPr>
          <w:p/>
        </w:tc>
        <w:tc>
          <w:tcPr>
            <w:tcW w:type="dxa" w:w="1173"/>
            <w:vMerge/>
            <w:tcBorders>
              <w:top w:sz="5.999998569488525" w:val="single" w:color="#E5E6E5"/>
            </w:tcBorders>
          </w:tcPr>
          <w:p/>
        </w:tc>
        <w:tc>
          <w:tcPr>
            <w:tcW w:type="dxa" w:w="1173"/>
            <w:vMerge/>
            <w:tcBorders>
              <w:top w:sz="5.999998569488525" w:val="single" w:color="#E5E6E5"/>
            </w:tcBorders>
          </w:tcPr>
          <w:p/>
        </w:tc>
        <w:tc>
          <w:tcPr>
            <w:tcW w:type="dxa" w:w="1173"/>
            <w:vMerge/>
            <w:tcBorders>
              <w:top w:sz="5.999998569488525" w:val="single" w:color="#E5E6E5"/>
            </w:tcBorders>
          </w:tcPr>
          <w:p/>
        </w:tc>
        <w:tc>
          <w:tcPr>
            <w:tcW w:type="dxa" w:w="1173"/>
            <w:vMerge/>
            <w:tcBorders>
              <w:top w:sz="5.999998569488525" w:val="single" w:color="#E5E6E5"/>
            </w:tcBorders>
          </w:tcPr>
          <w:p/>
        </w:tc>
      </w:tr>
    </w:tbl>
    <w:p>
      <w:pPr>
        <w:autoSpaceDN w:val="0"/>
        <w:autoSpaceDE w:val="0"/>
        <w:widowControl/>
        <w:spacing w:line="236" w:lineRule="exact" w:before="0" w:after="670"/>
        <w:ind w:left="4" w:right="489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objective of principal protection and its preference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for high-quality investments.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4694"/>
        <w:gridCol w:w="4694"/>
      </w:tblGrid>
      <w:tr>
        <w:trPr>
          <w:trHeight w:hRule="exact" w:val="452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/>
                <w:i w:val="0"/>
                <w:color w:val="000000"/>
                <w:sz w:val="22"/>
              </w:rPr>
              <w:t>Borrowing Portfolio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2" w:after="0"/>
              <w:ind w:left="0" w:right="130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billions of U.S. dollars</w:t>
            </w:r>
          </w:p>
        </w:tc>
      </w:tr>
    </w:tbl>
    <w:p>
      <w:pPr>
        <w:autoSpaceDN w:val="0"/>
        <w:autoSpaceDE w:val="0"/>
        <w:widowControl/>
        <w:spacing w:line="222" w:lineRule="exact" w:before="0" w:after="8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June 30, 2024, the borrowing portfolio was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162"/>
        </w:trPr>
        <w:tc>
          <w:tcPr>
            <w:tcW w:type="dxa" w:w="482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$287.1 billion, $20.3 billion higher than June 30, 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46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300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" w:after="0"/>
              <w:ind w:left="6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595959"/>
                <w:sz w:val="14"/>
              </w:rPr>
              <w:t>Borrowing Portfolio</w:t>
            </w:r>
          </w:p>
        </w:tc>
      </w:tr>
      <w:tr>
        <w:trPr>
          <w:trHeight w:hRule="exact" w:val="60"/>
        </w:trPr>
        <w:tc>
          <w:tcPr>
            <w:tcW w:type="dxa" w:w="6705"/>
            <w:gridSpan w:val="5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  <w:tc>
          <w:tcPr>
            <w:tcW w:type="dxa" w:w="3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1905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20"/>
        </w:trPr>
        <w:tc>
          <w:tcPr>
            <w:tcW w:type="dxa" w:w="482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2023. The increase was mainly due to net new debt 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6705"/>
            <w:gridSpan w:val="5"/>
            <w:vMerge/>
            <w:tcBorders/>
          </w:tcPr>
          <w:p/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240</w:t>
            </w:r>
          </w:p>
        </w:tc>
        <w:tc>
          <w:tcPr>
            <w:tcW w:type="dxa" w:w="1341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482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issuances that financed the growing development and 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6705"/>
            <w:gridSpan w:val="5"/>
            <w:vMerge/>
            <w:tcBorders/>
          </w:tcPr>
          <w:p/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180</w:t>
            </w:r>
          </w:p>
        </w:tc>
        <w:tc>
          <w:tcPr>
            <w:tcW w:type="dxa" w:w="1341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lending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operations 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satisfied 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liquidity 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120</w:t>
            </w:r>
          </w:p>
        </w:tc>
        <w:tc>
          <w:tcPr>
            <w:tcW w:type="dxa" w:w="1341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482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8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requirements. 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</w:tr>
      <w:tr>
        <w:trPr>
          <w:trHeight w:hRule="exact" w:val="242"/>
        </w:trPr>
        <w:tc>
          <w:tcPr>
            <w:tcW w:type="dxa" w:w="6705"/>
            <w:gridSpan w:val="5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60</w:t>
            </w:r>
          </w:p>
        </w:tc>
        <w:tc>
          <w:tcPr>
            <w:tcW w:type="dxa" w:w="134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56" w:lineRule="exact" w:before="42" w:after="18"/>
        <w:ind w:left="0" w:right="3908" w:firstLine="0"/>
        <w:jc w:val="right"/>
      </w:pPr>
      <w:r>
        <w:rPr>
          <w:rFonts w:ascii="ArialMT" w:hAnsi="ArialMT" w:eastAsia="ArialMT"/>
          <w:b w:val="0"/>
          <w:i w:val="0"/>
          <w:color w:val="595959"/>
          <w:sz w:val="14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4.0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236"/>
        </w:trPr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Jun-20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Jun-21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Jun-22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Jun-23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Jun-24</w:t>
            </w:r>
          </w:p>
        </w:tc>
      </w:tr>
    </w:tbl>
    <w:p>
      <w:pPr>
        <w:autoSpaceDN w:val="0"/>
        <w:autoSpaceDE w:val="0"/>
        <w:widowControl/>
        <w:spacing w:line="244" w:lineRule="exact" w:before="446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Equity-to-Loans Ratio</w:t>
      </w:r>
    </w:p>
    <w:p>
      <w:pPr>
        <w:autoSpaceDN w:val="0"/>
        <w:tabs>
          <w:tab w:pos="5044" w:val="left"/>
        </w:tabs>
        <w:autoSpaceDE w:val="0"/>
        <w:widowControl/>
        <w:spacing w:line="282" w:lineRule="exact" w:before="28" w:after="18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Equity-to-Loans ratio decreased from 22.0% as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Ratio in percentages</w:t>
      </w:r>
    </w:p>
    <w:p>
      <w:pPr>
        <w:sectPr>
          <w:pgSz w:w="12240" w:h="15840"/>
          <w:pgMar w:top="302" w:right="1416" w:bottom="24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4" w:right="86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June 30, 2023 to 21.5% as of June 30, 2024,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primarily due to the increase in loan exposures </w:t>
      </w:r>
    </w:p>
    <w:p>
      <w:pPr>
        <w:sectPr>
          <w:type w:val="continuous"/>
          <w:pgSz w:w="12240" w:h="15840"/>
          <w:pgMar w:top="302" w:right="1416" w:bottom="244" w:left="1436" w:header="720" w:footer="720" w:gutter="0"/>
          <w:cols w:num="2" w:equalWidth="0">
            <w:col w:w="5286" w:space="0"/>
            <w:col w:w="4102" w:space="0"/>
          </w:cols>
          <w:docGrid w:linePitch="360"/>
        </w:sectPr>
      </w:pPr>
    </w:p>
    <w:p>
      <w:pPr>
        <w:autoSpaceDN w:val="0"/>
        <w:autoSpaceDE w:val="0"/>
        <w:widowControl/>
        <w:spacing w:line="156" w:lineRule="exact" w:before="0" w:after="204"/>
        <w:ind w:left="914" w:right="0" w:firstLine="0"/>
        <w:jc w:val="left"/>
      </w:pPr>
      <w:r>
        <w:rPr>
          <w:rFonts w:ascii="Arial" w:hAnsi="Arial" w:eastAsia="Arial"/>
          <w:b/>
          <w:i w:val="0"/>
          <w:color w:val="595959"/>
          <w:sz w:val="14"/>
        </w:rPr>
        <w:t>Equity-to-Loans Ratio</w:t>
      </w:r>
    </w:p>
    <w:p>
      <w:pPr>
        <w:sectPr>
          <w:type w:val="nextColumn"/>
          <w:pgSz w:w="12240" w:h="15840"/>
          <w:pgMar w:top="302" w:right="1416" w:bottom="244" w:left="1436" w:header="720" w:footer="720" w:gutter="0"/>
          <w:cols w:num="2" w:equalWidth="0">
            <w:col w:w="5286" w:space="0"/>
            <w:col w:w="41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4694"/>
        <w:gridCol w:w="4694"/>
      </w:tblGrid>
      <w:tr>
        <w:trPr>
          <w:trHeight w:hRule="exact" w:val="230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(Section VIII), and remained above the policy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4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30%</w:t>
            </w:r>
          </w:p>
        </w:tc>
      </w:tr>
    </w:tbl>
    <w:p>
      <w:pPr>
        <w:autoSpaceDN w:val="0"/>
        <w:autoSpaceDE w:val="0"/>
        <w:widowControl/>
        <w:spacing w:line="222" w:lineRule="exact" w:before="10" w:after="8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minimum of 19%. In line with IBRD’s currency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129"/>
        <w:gridCol w:w="3129"/>
        <w:gridCol w:w="3129"/>
      </w:tblGrid>
      <w:tr>
        <w:trPr>
          <w:trHeight w:hRule="exact" w:val="198"/>
        </w:trPr>
        <w:tc>
          <w:tcPr>
            <w:tcW w:type="dxa" w:w="4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management policy, exchange rate movements during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0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20%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4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35100" cy="762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2"/>
        </w:trPr>
        <w:tc>
          <w:tcPr>
            <w:tcW w:type="dxa" w:w="3129"/>
            <w:vMerge/>
            <w:tcBorders/>
          </w:tcPr>
          <w:p/>
        </w:tc>
        <w:tc>
          <w:tcPr>
            <w:tcW w:type="dxa" w:w="3129"/>
            <w:vMerge/>
            <w:tcBorders/>
          </w:tcPr>
          <w:p/>
        </w:tc>
        <w:tc>
          <w:tcPr>
            <w:tcW w:type="dxa" w:w="3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90700" cy="635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the year did not have an impact on IBRD’s Equity-to-</w:t>
            </w:r>
          </w:p>
        </w:tc>
        <w:tc>
          <w:tcPr>
            <w:tcW w:type="dxa" w:w="3129"/>
            <w:vMerge/>
            <w:tcBorders/>
          </w:tcPr>
          <w:p/>
        </w:tc>
        <w:tc>
          <w:tcPr>
            <w:tcW w:type="dxa" w:w="312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2" w:lineRule="exact" w:before="1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Loans ratio.</w:t>
      </w:r>
    </w:p>
    <w:p>
      <w:pPr>
        <w:autoSpaceDN w:val="0"/>
        <w:autoSpaceDE w:val="0"/>
        <w:widowControl/>
        <w:spacing w:line="156" w:lineRule="exact" w:before="78" w:after="12"/>
        <w:ind w:left="0" w:right="3864" w:firstLine="0"/>
        <w:jc w:val="right"/>
      </w:pPr>
      <w:r>
        <w:rPr>
          <w:rFonts w:ascii="ArialMT" w:hAnsi="ArialMT" w:eastAsia="ArialMT"/>
          <w:b w:val="0"/>
          <w:i w:val="0"/>
          <w:color w:val="595959"/>
          <w:sz w:val="14"/>
        </w:rPr>
        <w:t>10%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1565"/>
        <w:gridCol w:w="1565"/>
        <w:gridCol w:w="1565"/>
        <w:gridCol w:w="1565"/>
        <w:gridCol w:w="1565"/>
        <w:gridCol w:w="1565"/>
      </w:tblGrid>
      <w:tr>
        <w:trPr>
          <w:trHeight w:hRule="exact" w:val="240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In FY24, IBRD received $0.6 billion of paid-in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20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21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22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23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24</w:t>
            </w:r>
          </w:p>
        </w:tc>
      </w:tr>
      <w:tr>
        <w:trPr>
          <w:trHeight w:hRule="exact" w:val="240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capital subscribed under the 2018 General and </w:t>
            </w:r>
          </w:p>
        </w:tc>
        <w:tc>
          <w:tcPr>
            <w:tcW w:type="dxa" w:w="23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0" w:after="0"/>
              <w:ind w:left="0" w:right="38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595959"/>
                <w:sz w:val="12"/>
              </w:rPr>
              <w:t>Equity-to-Loans Ratio</w:t>
            </w:r>
          </w:p>
        </w:tc>
        <w:tc>
          <w:tcPr>
            <w:tcW w:type="dxa" w:w="1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0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595959"/>
                <w:sz w:val="12"/>
              </w:rPr>
              <w:t>Policy Minimum</w:t>
            </w:r>
          </w:p>
        </w:tc>
      </w:tr>
      <w:tr>
        <w:trPr>
          <w:trHeight w:hRule="exact" w:val="244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Selective Capital Increases (GCI and SCI), bringing </w:t>
            </w:r>
          </w:p>
        </w:tc>
        <w:tc>
          <w:tcPr>
            <w:tcW w:type="dxa" w:w="4695"/>
            <w:gridSpan w:val="3"/>
            <w:vMerge/>
            <w:tcBorders/>
          </w:tcPr>
          <w:p/>
        </w:tc>
        <w:tc>
          <w:tcPr>
            <w:tcW w:type="dxa" w:w="3130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0" w:after="0"/>
        <w:ind w:left="4" w:right="5014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cumulative amounts received to $6.0 billion,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representing 80% of the total amount expected over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subscription period. The subscription period for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GCI and SCI ends on October 1, 2025.</w:t>
      </w:r>
    </w:p>
    <w:p>
      <w:pPr>
        <w:autoSpaceDN w:val="0"/>
        <w:tabs>
          <w:tab w:pos="9200" w:val="left"/>
        </w:tabs>
        <w:autoSpaceDE w:val="0"/>
        <w:widowControl/>
        <w:spacing w:line="224" w:lineRule="exact" w:before="3192" w:after="0"/>
        <w:ind w:left="32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2024 </w:t>
      </w:r>
      <w:r>
        <w:rPr>
          <w:rFonts w:ascii="ArialMT" w:hAnsi="ArialMT" w:eastAsia="ArialMT"/>
          <w:b w:val="0"/>
          <w:i w:val="0"/>
          <w:color w:val="000000"/>
          <w:sz w:val="20"/>
        </w:rPr>
        <w:t>7</w:t>
      </w:r>
    </w:p>
    <w:p>
      <w:pPr>
        <w:sectPr>
          <w:type w:val="continuous"/>
          <w:pgSz w:w="12240" w:h="15840"/>
          <w:pgMar w:top="302" w:right="1416" w:bottom="24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II: Overview</w:t>
            </w:r>
          </w:p>
        </w:tc>
      </w:tr>
    </w:tbl>
    <w:p>
      <w:pPr>
        <w:autoSpaceDN w:val="0"/>
        <w:autoSpaceDE w:val="0"/>
        <w:widowControl/>
        <w:spacing w:line="314" w:lineRule="exact" w:before="55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Section II: Overview</w:t>
      </w:r>
    </w:p>
    <w:p>
      <w:pPr>
        <w:autoSpaceDN w:val="0"/>
        <w:autoSpaceDE w:val="0"/>
        <w:widowControl/>
        <w:spacing w:line="268" w:lineRule="exact" w:before="2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Introduction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IBRD, an international organization owned by its 189 member countries, is one of the five institutions of the WBG.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Each institution is legally and financially independent, with separate assets and liabilities. IBRD is not liable for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obligations of the other institutions.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is a Multilateral Development Bank that combines knowledge services and financing with a global reach.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value is derived from its ability to help eligible borrowing members address their development challenges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meet their rising demand for innovative products. IBRD provides loans, guarantees, and other financial products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development-focused projects and programs to creditworthy middle-income and lower-income countries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support sustainable development. By operating across a full range of country clients, IBRD maintains a depth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development knowledge, uses its convening power to promote development, and coordinates responses to regional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global challenges.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Member countries use IBRD’s technical advice and analysis and convening power to develop or implement better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policies, programs, and reforms that help sustain development over the long term. The products delivered range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from development data, to reports on key social economic and social issues at the local, country, regional and global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levels. The products also include knowledge-sharing workshops focused on local issues, flagship events and fora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address the most pressing global development challenges. </w:t>
      </w:r>
    </w:p>
    <w:p>
      <w:pPr>
        <w:autoSpaceDN w:val="0"/>
        <w:autoSpaceDE w:val="0"/>
        <w:widowControl/>
        <w:spacing w:line="268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Financial Business Model</w:t>
      </w:r>
    </w:p>
    <w:p>
      <w:pPr>
        <w:autoSpaceDN w:val="0"/>
        <w:autoSpaceDE w:val="0"/>
        <w:widowControl/>
        <w:spacing w:line="240" w:lineRule="exact" w:before="124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objective is not to maximize profits, but to earn adequate income to ensure that it has the long-term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capacity necessary to support its development activities. IBRD seeks to generate sufficient revenue to finance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operations as well as to be able to set aside funds in reserves to strengthen its financial position. 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It also seeks to provide support to IDA and trust funds through income transfers for other developmental purposes.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financial strength rests on the support it receives from its shareholders, and on its array of financial policies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practices. Shareholder support for IBRD is reflected in the capital backing it continues to receive from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members and in the record of its borrowing member countries in meeting their debt service obligations to IBRD.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Sound financial and risk management policies and practices have enabled IBRD to maintain adequate capital,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diversify its funding sources, hold a portfolio of liquid investments to meet its financial commitments, and limit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risks, including credit and market risks.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offers its borrowers, in middle-income and creditworthy low-income countries, long-term loans with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maturities up to 35 years. For some projects, the maximum loan maturity can be extended to up to 50 years (Table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13). Borrowers may customize their repayment terms to meet their debt management or project needs, in multiple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currencies. Borrowers have generally preferred loans denominated in U.S dollars and euros. IBRD also supports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borrowers by providing access to risk management products such as derivative instruments, including currency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interest rate swaps, catastrophe derivatives, and interest rate caps and collars.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meet its development goals, IBRD intermediates funds for lending from the international capital markets.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loans are financed through its equity and from borrowings raised in the capital markets. IBRD is rated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triple-A by the major rating agencies and its bonds are viewed as high-quality securities by investors. IBRD’s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funding strategy is aimed at achieving the best long-term value on a sustainable basis for its borrowing members.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This strategy has enabled IBRD to borrow at favorable market terms and pass the savings on to its borrowing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members. IBRD’s annual funding volumes vary from year to year, and funds raised are used to finance development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projects and programs in member countries. Funds not deployed for lending are maintained in IBRD’s investment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 to supply liquidity for its operations.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uses derivatives to manage its exposure to various market risks from the above activities. These are used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align the interest and currency composition of its assets (loan and investment trading portfolios) with that of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liabilities (borrowing portfolio), and to stabilize earnings on the portion of the loan portfolio funded by equity. See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Section IX: Risk Management for additional details on how IBRD uses derivatives. 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1054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2024</w:t>
      </w:r>
    </w:p>
    <w:p>
      <w:pPr>
        <w:sectPr>
          <w:pgSz w:w="12240" w:h="15840"/>
          <w:pgMar w:top="302" w:right="1370" w:bottom="252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II: Overview</w:t>
            </w:r>
          </w:p>
        </w:tc>
      </w:tr>
    </w:tbl>
    <w:p>
      <w:pPr>
        <w:autoSpaceDN w:val="0"/>
        <w:autoSpaceDE w:val="0"/>
        <w:widowControl/>
        <w:spacing w:line="240" w:lineRule="exact" w:before="49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believes that these risk management strategies, taken together, effectively manage market risk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operations from an economic perspective. However, these strategies entail the use of derivatives, which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introduce volatility in net income through unrealized mark-to-market gains and losses (particularly given the long-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term nature of some of IBRD’s assets and liabilities). Accordingly, management makes decisions on income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allocation without reference to unrealized mark-to-market gains and losses on risk management instruments in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non-trading portfolios – see Basis of Reporting – Allocable Income. 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Financial Performance 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primary sources of revenue are from loans and investments, both net of funding costs (Figure 1).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revenues cover administrative expenses, provisions for losses on loans and other exposures</w:t>
      </w:r>
      <w:r>
        <w:rPr>
          <w:rFonts w:ascii="TimesNewRoman" w:hAnsi="TimesNewRoman" w:eastAsia="TimesNewRoman"/>
          <w:b w:val="0"/>
          <w:i w:val="0"/>
          <w:color w:val="000000"/>
          <w:sz w:val="13"/>
        </w:rPr>
        <w:t>2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(LLP), as well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transfers to Reserves, Surplus, and for other development purposes, including transfers to IDA.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addition, other development activities generate non-interest revenue that is classified as Revenue from externally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funded activities. These external funds include trust funds, reimbursable funds and revenues from fee-based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services. Non-interest revenue from externally funded activities provides additional capacity to support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development needs of client countries.</w:t>
      </w:r>
    </w:p>
    <w:p>
      <w:pPr>
        <w:autoSpaceDN w:val="0"/>
        <w:autoSpaceDE w:val="0"/>
        <w:widowControl/>
        <w:spacing w:line="202" w:lineRule="exact" w:before="14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Figure 1: Sources and Uses of Revenue 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090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8" w:lineRule="exact" w:before="49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Basis of Reporting</w:t>
      </w:r>
    </w:p>
    <w:p>
      <w:pPr>
        <w:autoSpaceDN w:val="0"/>
        <w:autoSpaceDE w:val="0"/>
        <w:widowControl/>
        <w:spacing w:line="244" w:lineRule="exact" w:before="134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Audited Financial Statements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financial statements conform with accounting principles generally accepted in the United States of America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(U.S. GAAP). All financial instruments in the investment and borrowing portfolios and all other derivatives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reported at fair value, with changes in fair value reported in the Statements of Income, except for changes in IBRD’s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own credit, which are reflected in Other Comprehensive Income. IBRD’s loans are reported at amortized cost.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Management uses net income as the basis for deriving allocable income, as discussed below.</w:t>
      </w:r>
    </w:p>
    <w:p>
      <w:pPr>
        <w:autoSpaceDN w:val="0"/>
        <w:autoSpaceDE w:val="0"/>
        <w:widowControl/>
        <w:spacing w:line="238" w:lineRule="exact" w:before="382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13"/>
        </w:rPr>
        <w:t>2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Other exposures include deferred drawdown options (DDO), irrevocable commitments, exposures to member countries’ derivatives </w:t>
      </w:r>
    </w:p>
    <w:p>
      <w:pPr>
        <w:autoSpaceDN w:val="0"/>
        <w:autoSpaceDE w:val="0"/>
        <w:widowControl/>
        <w:spacing w:line="178" w:lineRule="exact" w:before="40" w:after="0"/>
        <w:ind w:left="10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and guarantees.</w:t>
      </w:r>
    </w:p>
    <w:p>
      <w:pPr>
        <w:autoSpaceDN w:val="0"/>
        <w:tabs>
          <w:tab w:pos="9206" w:val="left"/>
        </w:tabs>
        <w:autoSpaceDE w:val="0"/>
        <w:widowControl/>
        <w:spacing w:line="224" w:lineRule="exact" w:before="768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2024 </w:t>
      </w:r>
      <w:r>
        <w:rPr>
          <w:rFonts w:ascii="ArialMT" w:hAnsi="ArialMT" w:eastAsia="ArialMT"/>
          <w:b w:val="0"/>
          <w:i w:val="0"/>
          <w:color w:val="000000"/>
          <w:sz w:val="20"/>
        </w:rPr>
        <w:t>9</w:t>
      </w:r>
    </w:p>
    <w:p>
      <w:pPr>
        <w:sectPr>
          <w:pgSz w:w="12240" w:h="15840"/>
          <w:pgMar w:top="302" w:right="1370" w:bottom="244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II: Overview</w:t>
            </w:r>
          </w:p>
        </w:tc>
      </w:tr>
    </w:tbl>
    <w:p>
      <w:pPr>
        <w:autoSpaceDN w:val="0"/>
        <w:autoSpaceDE w:val="0"/>
        <w:widowControl/>
        <w:spacing w:line="244" w:lineRule="exact" w:before="502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Allocable Income</w:t>
      </w:r>
    </w:p>
    <w:p>
      <w:pPr>
        <w:autoSpaceDN w:val="0"/>
        <w:autoSpaceDE w:val="0"/>
        <w:widowControl/>
        <w:spacing w:line="240" w:lineRule="exact" w:before="13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Articles of Agreement (the Articles) require that the Governors determine the allocation of income at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end of every fiscal year. Allocable income, which is a non-GAAP financial measure, is an internal management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measure that reflects income available for allocation. IBRD defines allocable income as net income after certain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adjustments, that are approved by the Board at the end of every fiscal year. These adjustments primarily relate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unrealized mark-to-market gains and losses associated with the non-trading portfolios, as well as the expenses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Board of Governors-approved and other transfers, which primarily relate to the allocation of the prior year’s net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income. </w:t>
      </w:r>
    </w:p>
    <w:p>
      <w:pPr>
        <w:autoSpaceDN w:val="0"/>
        <w:autoSpaceDE w:val="0"/>
        <w:widowControl/>
        <w:spacing w:line="240" w:lineRule="exact" w:before="12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See Section III: Financial Results Section and Table 2, for details of the adjustments to reported net income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calculate allocable income.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volatility in IBRD’s reported net income is usually driven by the unrealized mark-to-market gains and losses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financial instruments in IBRD’s non-trading portfolios. IBRD’s risk management strategy entails the use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derivatives to manage market risk.  These derivatives are primarily used to align the interest rate and currency bases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its assets and liabilities. IBRD has elected not to designate any hedging relationships for accounting purposes.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Rather, all derivative instruments are reported at fair value on the Balance Sheets, with changes in fair values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accounted for through the Statements of Income.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line with its financial risk management policies, for the non-trading portfolios, unrealized mark-to-market gains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losses from instruments carried at fair value (borrowing portfolio, and derivatives in the loan and other ALM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portfolios) are excluded from allocable income.</w:t>
      </w:r>
    </w:p>
    <w:p>
      <w:pPr>
        <w:autoSpaceDN w:val="0"/>
        <w:autoSpaceDE w:val="0"/>
        <w:widowControl/>
        <w:spacing w:line="224" w:lineRule="exact" w:before="136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 trading portfolio (investment portfolio), allocable income generally includes both realized and unrealized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mark-to-market gains and losses. In some cases, the unrealized mark-to-market gains and losses on certain trades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excluded from allocable income when the underlying item is a physical asset held at amortized cost. </w:t>
      </w:r>
    </w:p>
    <w:p>
      <w:pPr>
        <w:autoSpaceDN w:val="0"/>
        <w:tabs>
          <w:tab w:pos="656" w:val="left"/>
        </w:tabs>
        <w:autoSpaceDE w:val="0"/>
        <w:widowControl/>
        <w:spacing w:line="224" w:lineRule="exact" w:before="785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2024</w:t>
      </w:r>
    </w:p>
    <w:p>
      <w:pPr>
        <w:sectPr>
          <w:pgSz w:w="12240" w:h="15840"/>
          <w:pgMar w:top="302" w:right="1370" w:bottom="25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2"/>
        <w:gridCol w:w="4722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Financial Results</w:t>
            </w:r>
          </w:p>
        </w:tc>
      </w:tr>
    </w:tbl>
    <w:p>
      <w:pPr>
        <w:autoSpaceDN w:val="0"/>
        <w:autoSpaceDE w:val="0"/>
        <w:widowControl/>
        <w:spacing w:line="314" w:lineRule="exact" w:before="55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Section III: Financial Results </w:t>
      </w:r>
    </w:p>
    <w:p>
      <w:pPr>
        <w:autoSpaceDN w:val="0"/>
        <w:autoSpaceDE w:val="0"/>
        <w:widowControl/>
        <w:spacing w:line="268" w:lineRule="exact" w:before="2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Financial Results and Portfolio Performance</w:t>
      </w:r>
    </w:p>
    <w:p>
      <w:pPr>
        <w:autoSpaceDN w:val="0"/>
        <w:autoSpaceDE w:val="0"/>
        <w:widowControl/>
        <w:spacing w:line="240" w:lineRule="exact" w:before="12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is a discussion of the key drivers of IBRD’s financial performance, including a reconciliation between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IBRD’s net income and allocable income.</w:t>
      </w:r>
    </w:p>
    <w:p>
      <w:pPr>
        <w:autoSpaceDN w:val="0"/>
        <w:autoSpaceDE w:val="0"/>
        <w:widowControl/>
        <w:spacing w:line="202" w:lineRule="exact" w:before="266" w:after="38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2: Condensed Statements of Income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44"/>
        </w:trPr>
        <w:tc>
          <w:tcPr>
            <w:tcW w:type="dxa" w:w="4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millions of U.S. dollars</w:t>
            </w:r>
          </w:p>
        </w:tc>
        <w:tc>
          <w:tcPr>
            <w:tcW w:type="dxa" w:w="210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6" w:after="0"/>
              <w:ind w:left="0" w:right="17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2024</w:t>
            </w:r>
          </w:p>
        </w:tc>
        <w:tc>
          <w:tcPr>
            <w:tcW w:type="dxa" w:w="74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2023</w:t>
            </w:r>
          </w:p>
        </w:tc>
        <w:tc>
          <w:tcPr>
            <w:tcW w:type="dxa" w:w="25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Impact on income</w:t>
            </w:r>
          </w:p>
        </w:tc>
      </w:tr>
      <w:tr>
        <w:trPr>
          <w:trHeight w:hRule="exact" w:val="244"/>
        </w:trPr>
        <w:tc>
          <w:tcPr>
            <w:tcW w:type="dxa" w:w="401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For the fiscal year ended June 30,</w:t>
            </w:r>
          </w:p>
        </w:tc>
        <w:tc>
          <w:tcPr>
            <w:tcW w:type="dxa" w:w="1889"/>
            <w:vMerge/>
            <w:tcBorders>
              <w:bottom w:sz="8.0" w:val="single" w:color="#6C6C6C"/>
            </w:tcBorders>
          </w:tcPr>
          <w:p/>
        </w:tc>
        <w:tc>
          <w:tcPr>
            <w:tcW w:type="dxa" w:w="1889"/>
            <w:vMerge/>
            <w:tcBorders>
              <w:bottom w:sz="8.0" w:val="single" w:color="#6C6C6C"/>
            </w:tcBorders>
          </w:tcPr>
          <w:p/>
        </w:tc>
        <w:tc>
          <w:tcPr>
            <w:tcW w:type="dxa" w:w="120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1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Decrease</w:t>
            </w:r>
          </w:p>
        </w:tc>
        <w:tc>
          <w:tcPr>
            <w:tcW w:type="dxa" w:w="133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Increase</w:t>
            </w:r>
          </w:p>
        </w:tc>
      </w:tr>
    </w:tbl>
    <w:p>
      <w:pPr>
        <w:autoSpaceDN w:val="0"/>
        <w:autoSpaceDE w:val="0"/>
        <w:widowControl/>
        <w:spacing w:line="178" w:lineRule="exact" w:before="28" w:after="6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Revenue on interest earning 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195"/>
        </w:trPr>
        <w:tc>
          <w:tcPr>
            <w:tcW w:type="dxa" w:w="5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 interest revenue, net of funding costs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$ 4,874 $ 3,874 </w:t>
            </w:r>
          </w:p>
        </w:tc>
        <w:tc>
          <w:tcPr>
            <w:tcW w:type="dxa" w:w="51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0"/>
            <w:tcBorders/>
            <w:shd w:fill="6d6d6d"/>
            <w:tcMar>
              <w:start w:w="0" w:type="dxa"/>
              <w:end w:w="0" w:type="dxa"/>
            </w:tcMar>
          </w:tcPr>
          <w:p/>
        </w:tc>
        <w:tc>
          <w:tcPr>
            <w:tcW w:type="dxa" w:w="466"/>
            <w:tcBorders/>
            <w:shd w:fill="6d6d6d"/>
            <w:tcMar>
              <w:start w:w="0" w:type="dxa"/>
              <w:end w:w="0" w:type="dxa"/>
            </w:tcMar>
          </w:tcPr>
          <w:p/>
        </w:tc>
        <w:tc>
          <w:tcPr>
            <w:tcW w:type="dxa" w:w="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1,000</w:t>
            </w:r>
          </w:p>
        </w:tc>
      </w:tr>
      <w:tr>
        <w:trPr>
          <w:trHeight w:hRule="exact" w:val="240"/>
        </w:trPr>
        <w:tc>
          <w:tcPr>
            <w:tcW w:type="dxa" w:w="5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ALM derivatives, net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(1,726)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(850) </w:t>
            </w:r>
          </w:p>
        </w:tc>
        <w:tc>
          <w:tcPr>
            <w:tcW w:type="dxa" w:w="5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(876)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53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Investment revenue, net of funding costs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a,b</w:t>
            </w:r>
          </w:p>
        </w:tc>
        <w:tc>
          <w:tcPr>
            <w:tcW w:type="dxa" w:w="9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 </w:t>
            </w:r>
          </w:p>
        </w:tc>
        <w:tc>
          <w:tcPr>
            <w:tcW w:type="dxa" w:w="5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188 </w:t>
            </w:r>
          </w:p>
        </w:tc>
        <w:tc>
          <w:tcPr>
            <w:tcW w:type="dxa" w:w="5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(127)</w:t>
            </w:r>
          </w:p>
        </w:tc>
        <w:tc>
          <w:tcPr>
            <w:tcW w:type="dxa" w:w="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3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revenue on interest earning assets, net</w:t>
            </w:r>
          </w:p>
        </w:tc>
        <w:tc>
          <w:tcPr>
            <w:tcW w:type="dxa" w:w="14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$ 3,209 $ 3,212 </w:t>
            </w:r>
          </w:p>
        </w:tc>
        <w:tc>
          <w:tcPr>
            <w:tcW w:type="dxa" w:w="5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(3)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0"/>
        </w:trPr>
        <w:tc>
          <w:tcPr>
            <w:tcW w:type="dxa" w:w="5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Provision for losses on loans and other exposures</w:t>
            </w:r>
          </w:p>
        </w:tc>
        <w:tc>
          <w:tcPr>
            <w:tcW w:type="dxa" w:w="9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(94) </w:t>
            </w:r>
          </w:p>
        </w:tc>
        <w:tc>
          <w:tcPr>
            <w:tcW w:type="dxa" w:w="5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(683) </w:t>
            </w:r>
          </w:p>
        </w:tc>
        <w:tc>
          <w:tcPr>
            <w:tcW w:type="dxa" w:w="5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0"/>
            <w:tcBorders>
              <w:top w:sz="8.0" w:val="single" w:color="#000000"/>
            </w:tcBorders>
            <w:shd w:fill="6d6d6d"/>
            <w:tcMar>
              <w:start w:w="0" w:type="dxa"/>
              <w:end w:w="0" w:type="dxa"/>
            </w:tcMar>
          </w:tcPr>
          <w:p/>
        </w:tc>
        <w:tc>
          <w:tcPr>
            <w:tcW w:type="dxa" w:w="4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589</w:t>
            </w:r>
          </w:p>
        </w:tc>
        <w:tc>
          <w:tcPr>
            <w:tcW w:type="dxa" w:w="4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6"/>
        </w:trPr>
        <w:tc>
          <w:tcPr>
            <w:tcW w:type="dxa" w:w="5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Net non-interest expenses (Table 5)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(1,436)  (1,459) </w:t>
            </w:r>
          </w:p>
        </w:tc>
        <w:tc>
          <w:tcPr>
            <w:tcW w:type="dxa" w:w="5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1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(11)</w:t>
            </w:r>
          </w:p>
        </w:tc>
        <w:tc>
          <w:tcPr>
            <w:tcW w:type="dxa" w:w="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23</w:t>
            </w:r>
          </w:p>
        </w:tc>
        <w:tc>
          <w:tcPr>
            <w:tcW w:type="dxa" w:w="4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5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pension cost, other than service cost (Table 5)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194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205 </w:t>
            </w:r>
          </w:p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3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62</w:t>
            </w:r>
          </w:p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</w:tr>
      <w:tr>
        <w:trPr>
          <w:trHeight w:hRule="exact" w:val="268"/>
        </w:trPr>
        <w:tc>
          <w:tcPr>
            <w:tcW w:type="dxa" w:w="5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Net other revenue (Table 4)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280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218 </w:t>
            </w:r>
          </w:p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5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Board of Governors-approved and other transfers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(371)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(221) </w:t>
            </w:r>
          </w:p>
        </w:tc>
        <w:tc>
          <w:tcPr>
            <w:tcW w:type="dxa" w:w="51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(150)</w:t>
            </w:r>
          </w:p>
        </w:tc>
        <w:tc>
          <w:tcPr>
            <w:tcW w:type="dxa" w:w="39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5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Non-functional currency translation adjustments gains, net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73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 </w:t>
            </w:r>
          </w:p>
        </w:tc>
        <w:tc>
          <w:tcPr>
            <w:tcW w:type="dxa" w:w="51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34</w:t>
            </w:r>
          </w:p>
        </w:tc>
        <w:tc>
          <w:tcPr>
            <w:tcW w:type="dxa" w:w="46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4"/>
        </w:trPr>
        <w:tc>
          <w:tcPr>
            <w:tcW w:type="dxa" w:w="53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Unrealized mark-to-market gains (losses) on non-trading portfolios, net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287 </w:t>
            </w:r>
          </w:p>
        </w:tc>
        <w:tc>
          <w:tcPr>
            <w:tcW w:type="dxa" w:w="5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(167) </w:t>
            </w:r>
          </w:p>
        </w:tc>
        <w:tc>
          <w:tcPr>
            <w:tcW w:type="dxa" w:w="5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0"/>
            <w:tcBorders>
              <w:bottom w:sz="8.0" w:val="single" w:color="#000000"/>
            </w:tcBorders>
            <w:shd w:fill="6d6d6d"/>
            <w:tcMar>
              <w:start w:w="0" w:type="dxa"/>
              <w:end w:w="0" w:type="dxa"/>
            </w:tcMar>
          </w:tcPr>
          <w:p/>
        </w:tc>
        <w:tc>
          <w:tcPr>
            <w:tcW w:type="dxa" w:w="4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454</w:t>
            </w:r>
          </w:p>
        </w:tc>
        <w:tc>
          <w:tcPr>
            <w:tcW w:type="dxa" w:w="4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4"/>
        </w:trPr>
        <w:tc>
          <w:tcPr>
            <w:tcW w:type="dxa" w:w="53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Income</w:t>
            </w:r>
          </w:p>
        </w:tc>
        <w:tc>
          <w:tcPr>
            <w:tcW w:type="dxa" w:w="146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$ 2,142 $ 1,144 </w:t>
            </w:r>
          </w:p>
        </w:tc>
        <w:tc>
          <w:tcPr>
            <w:tcW w:type="dxa" w:w="5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998</w:t>
            </w:r>
          </w:p>
        </w:tc>
      </w:tr>
    </w:tbl>
    <w:p>
      <w:pPr>
        <w:autoSpaceDN w:val="0"/>
        <w:autoSpaceDE w:val="0"/>
        <w:widowControl/>
        <w:spacing w:line="178" w:lineRule="exact" w:before="24" w:after="2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Adjustments to reconcile net income to allocable income: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280"/>
        </w:trPr>
        <w:tc>
          <w:tcPr>
            <w:tcW w:type="dxa" w:w="5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Pension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and other adjustments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(304)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(181)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(123)</w:t>
            </w:r>
          </w:p>
        </w:tc>
        <w:tc>
          <w:tcPr>
            <w:tcW w:type="dxa" w:w="32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4"/>
        </w:trPr>
        <w:tc>
          <w:tcPr>
            <w:tcW w:type="dxa" w:w="5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Board of Governors-approved and other transfers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371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221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150</w:t>
            </w:r>
          </w:p>
        </w:tc>
        <w:tc>
          <w:tcPr>
            <w:tcW w:type="dxa" w:w="8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5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Non-functional currency translation adjustment (gains), net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(73)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(39)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2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(34)</w:t>
            </w:r>
          </w:p>
        </w:tc>
        <w:tc>
          <w:tcPr>
            <w:tcW w:type="dxa" w:w="32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4"/>
        </w:trPr>
        <w:tc>
          <w:tcPr>
            <w:tcW w:type="dxa" w:w="53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Unrealized mark-to-market (gains) losses on non-trading portfolios, net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(287) </w:t>
            </w:r>
          </w:p>
        </w:tc>
        <w:tc>
          <w:tcPr>
            <w:tcW w:type="dxa" w:w="5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167 </w:t>
            </w:r>
          </w:p>
        </w:tc>
        <w:tc>
          <w:tcPr>
            <w:tcW w:type="dxa" w:w="14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6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(454)</w:t>
            </w:r>
          </w:p>
        </w:tc>
        <w:tc>
          <w:tcPr>
            <w:tcW w:type="dxa" w:w="32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0"/>
        </w:trPr>
        <w:tc>
          <w:tcPr>
            <w:tcW w:type="dxa" w:w="53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Allocable Income</w:t>
            </w:r>
          </w:p>
        </w:tc>
        <w:tc>
          <w:tcPr>
            <w:tcW w:type="dxa" w:w="1460"/>
            <w:gridSpan w:val="2"/>
            <w:vMerge w:val="restart"/>
            <w:tcBorders>
              <w:top w:sz="8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$ 1,849 $ 1,312 </w:t>
            </w:r>
          </w:p>
        </w:tc>
        <w:tc>
          <w:tcPr>
            <w:tcW w:type="dxa" w:w="1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8"/>
            <w:tcBorders>
              <w:top w:sz="8.0" w:val="single" w:color="#000000"/>
              <w:bottom w:sz="8.0" w:val="single" w:color="#000000"/>
            </w:tcBorders>
            <w:shd w:fill="6d6d6d"/>
            <w:tcMar>
              <w:start w:w="0" w:type="dxa"/>
              <w:end w:w="0" w:type="dxa"/>
            </w:tcMar>
          </w:tcPr>
          <w:p/>
        </w:tc>
        <w:tc>
          <w:tcPr>
            <w:tcW w:type="dxa" w:w="8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537</w:t>
            </w:r>
          </w:p>
        </w:tc>
      </w:tr>
      <w:tr>
        <w:trPr>
          <w:trHeight w:hRule="exact" w:val="260"/>
        </w:trPr>
        <w:tc>
          <w:tcPr>
            <w:tcW w:type="dxa" w:w="5386"/>
            <w:tcBorders>
              <w:top w:sz="8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48"/>
            <w:gridSpan w:val="2"/>
            <w:vMerge/>
            <w:tcBorders>
              <w:top w:sz="8.0" w:val="single" w:color="#000000"/>
              <w:bottom w:sz="8.0" w:val="single" w:color="#6C6C6C"/>
            </w:tcBorders>
          </w:tcPr>
          <w:p/>
        </w:tc>
        <w:tc>
          <w:tcPr>
            <w:tcW w:type="dxa" w:w="1400"/>
            <w:tcBorders>
              <w:top w:sz="8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8"/>
            <w:tcBorders>
              <w:top w:sz="8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6"/>
            <w:tcBorders>
              <w:top w:sz="8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28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Includes related derivatives.</w:t>
      </w:r>
    </w:p>
    <w:p>
      <w:pPr>
        <w:autoSpaceDN w:val="0"/>
        <w:autoSpaceDE w:val="0"/>
        <w:widowControl/>
        <w:spacing w:line="192" w:lineRule="exact" w:before="54" w:after="0"/>
        <w:ind w:left="242" w:right="0" w:hanging="18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Includes unrealized mark-to-market losses on the Investments-Trading portfolio of $12 million in FY24 (unrealized mark-to-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market gains of $28 million for FY23) and excludes gains from Post Employment Benefit Plan (PEBP) and Post Retirement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Contribution Reserve Fund (PCRF) and other adjustments of $112 million in FY24 ($74 million gains for FY23) reported in Net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other revenue (Table 4). </w:t>
      </w:r>
    </w:p>
    <w:p>
      <w:pPr>
        <w:autoSpaceDN w:val="0"/>
        <w:autoSpaceDE w:val="0"/>
        <w:widowControl/>
        <w:spacing w:line="178" w:lineRule="exact" w:before="58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Adjusted to exclude amounts reclassified to realized gains (losses).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3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d. Adjustment to pension accounting expense to arrive at pension plan contributions. Pension plan and PCRF contributions were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$283 million in FY24 and $264 million in FY23.</w:t>
      </w:r>
    </w:p>
    <w:p>
      <w:pPr>
        <w:autoSpaceDN w:val="0"/>
        <w:autoSpaceDE w:val="0"/>
        <w:widowControl/>
        <w:spacing w:line="202" w:lineRule="exact" w:before="21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3: Condensed Balance Sheets</w:t>
      </w:r>
    </w:p>
    <w:p>
      <w:pPr>
        <w:autoSpaceDN w:val="0"/>
        <w:autoSpaceDE w:val="0"/>
        <w:widowControl/>
        <w:spacing w:line="180" w:lineRule="exact" w:before="66" w:after="22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28"/>
        </w:trPr>
        <w:tc>
          <w:tcPr>
            <w:tcW w:type="dxa" w:w="376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As of June 30,</w:t>
            </w:r>
          </w:p>
        </w:tc>
        <w:tc>
          <w:tcPr>
            <w:tcW w:type="dxa" w:w="364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2024</w:t>
            </w:r>
          </w:p>
        </w:tc>
        <w:tc>
          <w:tcPr>
            <w:tcW w:type="dxa" w:w="85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2023</w:t>
            </w:r>
          </w:p>
        </w:tc>
        <w:tc>
          <w:tcPr>
            <w:tcW w:type="dxa" w:w="3148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9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Decrease</w:t>
            </w: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Increase</w:t>
            </w:r>
          </w:p>
        </w:tc>
      </w:tr>
      <w:tr>
        <w:trPr>
          <w:trHeight w:hRule="exact" w:val="250"/>
        </w:trPr>
        <w:tc>
          <w:tcPr>
            <w:tcW w:type="dxa" w:w="376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 and due from banks</w:t>
            </w:r>
          </w:p>
        </w:tc>
        <w:tc>
          <w:tcPr>
            <w:tcW w:type="dxa" w:w="36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2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83,297 $ </w:t>
            </w:r>
          </w:p>
        </w:tc>
        <w:tc>
          <w:tcPr>
            <w:tcW w:type="dxa" w:w="85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79,824 </w:t>
            </w:r>
          </w:p>
        </w:tc>
        <w:tc>
          <w:tcPr>
            <w:tcW w:type="dxa" w:w="3148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3,473</w:t>
            </w:r>
          </w:p>
        </w:tc>
      </w:tr>
      <w:tr>
        <w:trPr>
          <w:trHeight w:hRule="exact" w:val="222"/>
        </w:trPr>
        <w:tc>
          <w:tcPr>
            <w:tcW w:type="dxa" w:w="3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loans outstanding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260,236 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241,041 </w:t>
            </w:r>
          </w:p>
        </w:tc>
        <w:tc>
          <w:tcPr>
            <w:tcW w:type="dxa" w:w="3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7.9999999999995" w:type="dxa"/>
            </w:tblPr>
            <w:tblGrid>
              <w:gridCol w:w="3148"/>
            </w:tblGrid>
            <w:tr>
              <w:trPr>
                <w:trHeight w:hRule="exact" w:val="174"/>
              </w:trPr>
              <w:tc>
                <w:tcPr>
                  <w:tcW w:type="dxa" w:w="1200"/>
                  <w:tcBorders/>
                  <w:shd w:fill="6d6d6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6" w:after="0"/>
                    <w:ind w:left="0" w:right="8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19,195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8"/>
        </w:trPr>
        <w:tc>
          <w:tcPr>
            <w:tcW w:type="dxa" w:w="3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assets, net</w:t>
            </w:r>
          </w:p>
        </w:tc>
        <w:tc>
          <w:tcPr>
            <w:tcW w:type="dxa" w:w="3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456 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271 </w:t>
            </w:r>
          </w:p>
        </w:tc>
        <w:tc>
          <w:tcPr>
            <w:tcW w:type="dxa" w:w="3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18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185</w:t>
            </w:r>
          </w:p>
        </w:tc>
      </w:tr>
      <w:tr>
        <w:trPr>
          <w:trHeight w:hRule="exact" w:val="266"/>
        </w:trPr>
        <w:tc>
          <w:tcPr>
            <w:tcW w:type="dxa" w:w="37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assets</w:t>
            </w:r>
          </w:p>
        </w:tc>
        <w:tc>
          <w:tcPr>
            <w:tcW w:type="dxa" w:w="1889"/>
            <w:vMerge/>
            <w:tcBorders>
              <w:bottom w:sz="8.0" w:val="single" w:color="#000000"/>
            </w:tcBorders>
          </w:tcPr>
          <w:p/>
        </w:tc>
        <w:tc>
          <w:tcPr>
            <w:tcW w:type="dxa" w:w="12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2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12,623 </w:t>
            </w:r>
          </w:p>
        </w:tc>
        <w:tc>
          <w:tcPr>
            <w:tcW w:type="dxa" w:w="8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11,505 </w:t>
            </w:r>
          </w:p>
        </w:tc>
        <w:tc>
          <w:tcPr>
            <w:tcW w:type="dxa" w:w="314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16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1,118</w:t>
            </w:r>
          </w:p>
        </w:tc>
      </w:tr>
      <w:tr>
        <w:trPr>
          <w:trHeight w:hRule="exact" w:val="210"/>
        </w:trPr>
        <w:tc>
          <w:tcPr>
            <w:tcW w:type="dxa" w:w="3766"/>
            <w:tcBorders>
              <w:top w:sz="8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Assets</w:t>
            </w:r>
          </w:p>
        </w:tc>
        <w:tc>
          <w:tcPr>
            <w:tcW w:type="dxa" w:w="364"/>
            <w:tcBorders>
              <w:top w:sz="8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0"/>
            <w:tcBorders>
              <w:top w:sz="8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356,612 $ </w:t>
            </w:r>
          </w:p>
        </w:tc>
        <w:tc>
          <w:tcPr>
            <w:tcW w:type="dxa" w:w="856"/>
            <w:tcBorders>
              <w:top w:sz="8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2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332,641 </w:t>
            </w:r>
          </w:p>
        </w:tc>
        <w:tc>
          <w:tcPr>
            <w:tcW w:type="dxa" w:w="3148"/>
            <w:tcBorders>
              <w:top w:sz="8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7.9999999999995" w:type="dxa"/>
            </w:tblPr>
            <w:tblGrid>
              <w:gridCol w:w="3148"/>
            </w:tblGrid>
            <w:tr>
              <w:trPr>
                <w:trHeight w:hRule="exact" w:val="176"/>
              </w:trPr>
              <w:tc>
                <w:tcPr>
                  <w:tcW w:type="dxa" w:w="1516"/>
                  <w:tcBorders/>
                  <w:shd w:fill="6d6d6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6" w:after="0"/>
                    <w:ind w:left="0" w:right="8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23,971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2"/>
        </w:trPr>
        <w:tc>
          <w:tcPr>
            <w:tcW w:type="dxa" w:w="3766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364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261,790 </w:t>
            </w:r>
          </w:p>
        </w:tc>
        <w:tc>
          <w:tcPr>
            <w:tcW w:type="dxa" w:w="856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237,265 </w:t>
            </w:r>
          </w:p>
        </w:tc>
        <w:tc>
          <w:tcPr>
            <w:tcW w:type="dxa" w:w="3148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7.9999999999995" w:type="dxa"/>
            </w:tblPr>
            <w:tblGrid>
              <w:gridCol w:w="3148"/>
            </w:tblGrid>
            <w:tr>
              <w:trPr>
                <w:trHeight w:hRule="exact" w:val="174"/>
              </w:trPr>
              <w:tc>
                <w:tcPr>
                  <w:tcW w:type="dxa" w:w="1546"/>
                  <w:tcBorders/>
                  <w:shd w:fill="6d6d6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0" w:right="8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24,525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33"/>
        </w:trPr>
        <w:tc>
          <w:tcPr>
            <w:tcW w:type="dxa" w:w="3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liabilities, net</w:t>
            </w:r>
          </w:p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2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22,728 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26,893 </w:t>
            </w:r>
          </w:p>
        </w:tc>
        <w:tc>
          <w:tcPr>
            <w:tcW w:type="dxa" w:w="3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(4,165)</w:t>
            </w:r>
          </w:p>
        </w:tc>
      </w:tr>
      <w:tr>
        <w:trPr>
          <w:trHeight w:hRule="exact" w:val="243"/>
        </w:trPr>
        <w:tc>
          <w:tcPr>
            <w:tcW w:type="dxa" w:w="3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liabilities</w:t>
            </w:r>
          </w:p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8,610 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8,101 </w:t>
            </w:r>
          </w:p>
        </w:tc>
        <w:tc>
          <w:tcPr>
            <w:tcW w:type="dxa" w:w="3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7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509</w:t>
            </w:r>
          </w:p>
        </w:tc>
      </w:tr>
      <w:tr>
        <w:trPr>
          <w:trHeight w:hRule="exact" w:val="236"/>
        </w:trPr>
        <w:tc>
          <w:tcPr>
            <w:tcW w:type="dxa" w:w="37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Equity</w:t>
            </w:r>
          </w:p>
        </w:tc>
        <w:tc>
          <w:tcPr>
            <w:tcW w:type="dxa" w:w="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63,484 </w:t>
            </w:r>
          </w:p>
        </w:tc>
        <w:tc>
          <w:tcPr>
            <w:tcW w:type="dxa" w:w="8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60,382 </w:t>
            </w:r>
          </w:p>
        </w:tc>
        <w:tc>
          <w:tcPr>
            <w:tcW w:type="dxa" w:w="314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5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3,102</w:t>
            </w:r>
          </w:p>
        </w:tc>
      </w:tr>
      <w:tr>
        <w:trPr>
          <w:trHeight w:hRule="exact" w:val="210"/>
        </w:trPr>
        <w:tc>
          <w:tcPr>
            <w:tcW w:type="dxa" w:w="3766"/>
            <w:tcBorders>
              <w:top w:sz="8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Liabilities and Equity</w:t>
            </w:r>
          </w:p>
        </w:tc>
        <w:tc>
          <w:tcPr>
            <w:tcW w:type="dxa" w:w="364"/>
            <w:tcBorders>
              <w:top w:sz="8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0"/>
            <w:tcBorders>
              <w:top w:sz="8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356,612 $ </w:t>
            </w:r>
          </w:p>
        </w:tc>
        <w:tc>
          <w:tcPr>
            <w:tcW w:type="dxa" w:w="856"/>
            <w:tcBorders>
              <w:top w:sz="8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2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332,641 </w:t>
            </w:r>
          </w:p>
        </w:tc>
        <w:tc>
          <w:tcPr>
            <w:tcW w:type="dxa" w:w="3148"/>
            <w:tcBorders>
              <w:top w:sz="8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7.9999999999995" w:type="dxa"/>
            </w:tblPr>
            <w:tblGrid>
              <w:gridCol w:w="3148"/>
            </w:tblGrid>
            <w:tr>
              <w:trPr>
                <w:trHeight w:hRule="exact" w:val="174"/>
              </w:trPr>
              <w:tc>
                <w:tcPr>
                  <w:tcW w:type="dxa" w:w="1516"/>
                  <w:tcBorders/>
                  <w:shd w:fill="6d6d6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0" w:right="8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23,971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4"/>
        </w:trPr>
        <w:tc>
          <w:tcPr>
            <w:tcW w:type="dxa" w:w="3766"/>
            <w:tcBorders>
              <w:top w:sz="6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4"/>
            <w:tcBorders>
              <w:top w:sz="6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top w:sz="6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6"/>
            <w:tcBorders>
              <w:top w:sz="6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48"/>
            <w:tcBorders>
              <w:top w:sz="6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0" w:lineRule="exact" w:before="28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The fair value of IBRD’s loans was $257,415 million as of June 30, 2024 ($236,521  million – June 30, 2023).</w:t>
      </w:r>
    </w:p>
    <w:p>
      <w:pPr>
        <w:autoSpaceDN w:val="0"/>
        <w:tabs>
          <w:tab w:pos="9110" w:val="left"/>
        </w:tabs>
        <w:autoSpaceDE w:val="0"/>
        <w:widowControl/>
        <w:spacing w:line="224" w:lineRule="exact" w:before="1144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11</w:t>
      </w:r>
    </w:p>
    <w:p>
      <w:pPr>
        <w:sectPr>
          <w:pgSz w:w="12240" w:h="15840"/>
          <w:pgMar w:top="302" w:right="1366" w:bottom="244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9"/>
        <w:gridCol w:w="4719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Financial Results</w:t>
            </w:r>
          </w:p>
        </w:tc>
      </w:tr>
    </w:tbl>
    <w:p>
      <w:pPr>
        <w:autoSpaceDN w:val="0"/>
        <w:autoSpaceDE w:val="0"/>
        <w:widowControl/>
        <w:spacing w:line="222" w:lineRule="exact" w:before="51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main drivers of the change in the Balance Sheet items are below: </w:t>
      </w:r>
    </w:p>
    <w:p>
      <w:pPr>
        <w:autoSpaceDN w:val="0"/>
        <w:tabs>
          <w:tab w:pos="724" w:val="left"/>
        </w:tabs>
        <w:autoSpaceDE w:val="0"/>
        <w:widowControl/>
        <w:spacing w:line="240" w:lineRule="exact" w:before="120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in investments and due from banks primarily due to net new debt issuances exceeding net loan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disbursements;</w:t>
      </w:r>
    </w:p>
    <w:p>
      <w:pPr>
        <w:autoSpaceDN w:val="0"/>
        <w:tabs>
          <w:tab w:pos="724" w:val="left"/>
        </w:tabs>
        <w:autoSpaceDE w:val="0"/>
        <w:widowControl/>
        <w:spacing w:line="222" w:lineRule="exact" w:before="138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Increase in net loans outstanding primarily from net loan disbursements;</w:t>
      </w:r>
    </w:p>
    <w:p>
      <w:pPr>
        <w:autoSpaceDN w:val="0"/>
        <w:tabs>
          <w:tab w:pos="724" w:val="left"/>
        </w:tabs>
        <w:autoSpaceDE w:val="0"/>
        <w:widowControl/>
        <w:spacing w:line="240" w:lineRule="exact" w:before="120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in other assets reflecting the increase in accrued interest receivable on loans and the increase in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receivable from investment securities traded;</w:t>
      </w:r>
    </w:p>
    <w:p>
      <w:pPr>
        <w:autoSpaceDN w:val="0"/>
        <w:tabs>
          <w:tab w:pos="724" w:val="left"/>
        </w:tabs>
        <w:autoSpaceDE w:val="0"/>
        <w:widowControl/>
        <w:spacing w:line="240" w:lineRule="exact" w:before="120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in borrowings primarily due to net new issuances and unrealized mark-to-market losses as a result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the decrease in relevant interest rates, with offsetting gains on borrowing-related derivatives that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decreased derivative liabilities;</w:t>
      </w:r>
    </w:p>
    <w:p>
      <w:pPr>
        <w:autoSpaceDN w:val="0"/>
        <w:tabs>
          <w:tab w:pos="724" w:val="left"/>
        </w:tabs>
        <w:autoSpaceDE w:val="0"/>
        <w:widowControl/>
        <w:spacing w:line="240" w:lineRule="exact" w:before="120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in equity, primarily due to the increase in retained earnings and the increase in paid-in capital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during the year.</w:t>
      </w:r>
    </w:p>
    <w:p>
      <w:pPr>
        <w:autoSpaceDN w:val="0"/>
        <w:autoSpaceDE w:val="0"/>
        <w:widowControl/>
        <w:spacing w:line="268" w:lineRule="exact" w:before="136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Net Income</w:t>
      </w:r>
    </w:p>
    <w:p>
      <w:pPr>
        <w:autoSpaceDN w:val="0"/>
        <w:autoSpaceDE w:val="0"/>
        <w:widowControl/>
        <w:spacing w:line="240" w:lineRule="exact" w:before="12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net income was $2,142 million in FY24, compared with net income of $1,144 million in FY23. The increase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was primarily due to lower provision expenses for losses on loans and other exposures, and unrealized mark-to-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market gains on IBRD's non-trading portfolios in FY24, compared to unrealized mark-to-market losses in FY23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(Table 2).</w:t>
      </w:r>
    </w:p>
    <w:p>
      <w:pPr>
        <w:autoSpaceDN w:val="0"/>
        <w:autoSpaceDE w:val="0"/>
        <w:widowControl/>
        <w:spacing w:line="244" w:lineRule="exact" w:before="130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Results from Lending activities</w:t>
      </w:r>
    </w:p>
    <w:p>
      <w:pPr>
        <w:autoSpaceDN w:val="0"/>
        <w:autoSpaceDE w:val="0"/>
        <w:widowControl/>
        <w:spacing w:line="244" w:lineRule="exact" w:before="14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Loan Interest Revenue</w:t>
      </w:r>
    </w:p>
    <w:p>
      <w:pPr>
        <w:autoSpaceDN w:val="0"/>
        <w:autoSpaceDE w:val="0"/>
        <w:widowControl/>
        <w:spacing w:line="240" w:lineRule="exact" w:before="126" w:after="146"/>
        <w:ind w:left="4" w:right="28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IBRD’s pricing policy, the lending rates for all loans are based on the underlying cost of the borrowings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funding these loans. After the effect of related derivatives, the loan and borrowing portfolios are based on variable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interest rates. The portion of the loan portfolio funded by equity is sensitive to changes in interest rates.</w:t>
      </w:r>
    </w:p>
    <w:p>
      <w:pPr>
        <w:sectPr>
          <w:pgSz w:w="12240" w:h="15840"/>
          <w:pgMar w:top="302" w:right="1366" w:bottom="25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4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Figure 2: Loan interest revenue and funding cost </w:t>
      </w:r>
      <w:r>
        <w:rPr>
          <w:rFonts w:ascii="Arial" w:hAnsi="Arial" w:eastAsia="Arial"/>
          <w:b/>
          <w:i w:val="0"/>
          <w:color w:val="000000"/>
          <w:sz w:val="18"/>
        </w:rPr>
        <w:t>(including related derivatives)</w:t>
      </w:r>
    </w:p>
    <w:p>
      <w:pPr>
        <w:sectPr>
          <w:type w:val="continuous"/>
          <w:pgSz w:w="12240" w:h="15840"/>
          <w:pgMar w:top="302" w:right="1366" w:bottom="252" w:left="1436" w:header="720" w:footer="720" w:gutter="0"/>
          <w:cols w:num="2" w:equalWidth="0">
            <w:col w:w="4711" w:space="0"/>
            <w:col w:w="4726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18"/>
        <w:ind w:left="3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Figure 3: Loan Interest Revenue, net of funding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costs </w:t>
      </w:r>
      <w:r>
        <w:rPr>
          <w:w w:val="97.49999841054282"/>
          <w:rFonts w:ascii="Arial" w:hAnsi="Arial" w:eastAsia="Arial"/>
          <w:b/>
          <w:i w:val="0"/>
          <w:color w:val="000000"/>
          <w:sz w:val="12"/>
        </w:rPr>
        <w:t>a</w:t>
      </w:r>
    </w:p>
    <w:p>
      <w:pPr>
        <w:sectPr>
          <w:type w:val="nextColumn"/>
          <w:pgSz w:w="12240" w:h="15840"/>
          <w:pgMar w:top="302" w:right="1366" w:bottom="252" w:left="1436" w:header="720" w:footer="720" w:gutter="0"/>
          <w:cols w:num="2" w:equalWidth="0">
            <w:col w:w="4711" w:space="0"/>
            <w:col w:w="4726" w:space="0"/>
          </w:cols>
          <w:docGrid w:linePitch="360"/>
        </w:sectPr>
      </w:pPr>
    </w:p>
    <w:p>
      <w:pPr>
        <w:autoSpaceDN w:val="0"/>
        <w:tabs>
          <w:tab w:pos="5044" w:val="left"/>
        </w:tabs>
        <w:autoSpaceDE w:val="0"/>
        <w:widowControl/>
        <w:spacing w:line="178" w:lineRule="exact" w:before="0" w:after="0"/>
        <w:ind w:left="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56" w:lineRule="exact" w:before="108" w:after="4"/>
        <w:ind w:left="754" w:right="0" w:firstLine="0"/>
        <w:jc w:val="left"/>
      </w:pPr>
      <w:r>
        <w:rPr>
          <w:rFonts w:ascii="ArialMT" w:hAnsi="ArialMT" w:eastAsia="ArialMT"/>
          <w:b w:val="0"/>
          <w:i w:val="0"/>
          <w:color w:val="595959"/>
          <w:sz w:val="14"/>
        </w:rPr>
        <w:t>Loan interest revenue (including related derivatives)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3146"/>
        <w:gridCol w:w="3146"/>
        <w:gridCol w:w="3146"/>
      </w:tblGrid>
      <w:tr>
        <w:trPr>
          <w:trHeight w:hRule="exact" w:val="306"/>
        </w:trPr>
        <w:tc>
          <w:tcPr>
            <w:tcW w:type="dxa" w:w="640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62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Loan funding cost (including related derivatives)</w:t>
            </w:r>
          </w:p>
        </w:tc>
        <w:tc>
          <w:tcPr>
            <w:tcW w:type="dxa" w:w="4918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36" w:after="0"/>
              <w:ind w:left="0" w:right="5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Loan interest revenue, net of funding costs ᵃ</w:t>
            </w:r>
          </w:p>
        </w:tc>
      </w:tr>
      <w:tr>
        <w:trPr>
          <w:trHeight w:hRule="exact" w:val="158"/>
        </w:trPr>
        <w:tc>
          <w:tcPr>
            <w:tcW w:type="dxa" w:w="640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20,000</w:t>
            </w:r>
          </w:p>
        </w:tc>
        <w:tc>
          <w:tcPr>
            <w:tcW w:type="dxa" w:w="3562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18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Loan interest revenue, net of funding costs ᵃ and </w:t>
            </w:r>
          </w:p>
        </w:tc>
      </w:tr>
    </w:tbl>
    <w:p>
      <w:pPr>
        <w:autoSpaceDN w:val="0"/>
        <w:autoSpaceDE w:val="0"/>
        <w:widowControl/>
        <w:spacing w:line="156" w:lineRule="exact" w:before="6" w:after="30"/>
        <w:ind w:left="0" w:right="1198" w:firstLine="0"/>
        <w:jc w:val="right"/>
      </w:pPr>
      <w:r>
        <w:rPr>
          <w:rFonts w:ascii="ArialMT" w:hAnsi="ArialMT" w:eastAsia="ArialMT"/>
          <w:b w:val="0"/>
          <w:i w:val="0"/>
          <w:color w:val="595959"/>
          <w:sz w:val="14"/>
        </w:rPr>
        <w:t>Other ALM derivatives, net combined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>
        <w:trPr>
          <w:trHeight w:hRule="exact" w:val="218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15,000</w:t>
            </w:r>
          </w:p>
        </w:tc>
        <w:tc>
          <w:tcPr>
            <w:tcW w:type="dxa" w:w="392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133600" cy="10033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00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5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6,000</w:t>
            </w:r>
          </w:p>
        </w:tc>
      </w:tr>
      <w:tr>
        <w:trPr>
          <w:trHeight w:hRule="exact" w:val="184"/>
        </w:trPr>
        <w:tc>
          <w:tcPr>
            <w:tcW w:type="dxa" w:w="726"/>
            <w:vMerge/>
            <w:tcBorders/>
          </w:tcPr>
          <w:p/>
        </w:tc>
        <w:tc>
          <w:tcPr>
            <w:tcW w:type="dxa" w:w="3630"/>
            <w:gridSpan w:val="5"/>
            <w:vMerge/>
            <w:tcBorders/>
          </w:tcPr>
          <w:p/>
        </w:tc>
        <w:tc>
          <w:tcPr>
            <w:tcW w:type="dxa" w:w="10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14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4,000</w:t>
            </w:r>
          </w:p>
          <w:p>
            <w:pPr>
              <w:autoSpaceDN w:val="0"/>
              <w:autoSpaceDE w:val="0"/>
              <w:widowControl/>
              <w:spacing w:line="178" w:lineRule="exact" w:before="422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2,000</w:t>
            </w:r>
          </w:p>
        </w:tc>
        <w:tc>
          <w:tcPr>
            <w:tcW w:type="dxa" w:w="36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184400" cy="635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63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76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5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10,000</w:t>
            </w:r>
          </w:p>
        </w:tc>
        <w:tc>
          <w:tcPr>
            <w:tcW w:type="dxa" w:w="3630"/>
            <w:gridSpan w:val="5"/>
            <w:vMerge/>
            <w:tcBorders/>
          </w:tcPr>
          <w:p/>
        </w:tc>
        <w:tc>
          <w:tcPr>
            <w:tcW w:type="dxa" w:w="1452"/>
            <w:gridSpan w:val="2"/>
            <w:vMerge/>
            <w:tcBorders/>
          </w:tcPr>
          <w:p/>
        </w:tc>
        <w:tc>
          <w:tcPr>
            <w:tcW w:type="dxa" w:w="3630"/>
            <w:gridSpan w:val="5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5,000</w:t>
            </w:r>
          </w:p>
        </w:tc>
        <w:tc>
          <w:tcPr>
            <w:tcW w:type="dxa" w:w="3630"/>
            <w:gridSpan w:val="5"/>
            <w:vMerge/>
            <w:tcBorders/>
          </w:tcPr>
          <w:p/>
        </w:tc>
        <w:tc>
          <w:tcPr>
            <w:tcW w:type="dxa" w:w="1452"/>
            <w:gridSpan w:val="2"/>
            <w:vMerge/>
            <w:tcBorders/>
          </w:tcPr>
          <w:p/>
        </w:tc>
        <w:tc>
          <w:tcPr>
            <w:tcW w:type="dxa" w:w="3630"/>
            <w:gridSpan w:val="5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3630"/>
            <w:gridSpan w:val="5"/>
            <w:vMerge/>
            <w:tcBorders/>
          </w:tcPr>
          <w:p/>
        </w:tc>
        <w:tc>
          <w:tcPr>
            <w:tcW w:type="dxa" w:w="46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74" w:after="0"/>
              <w:ind w:left="8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</w:tr>
      <w:tr>
        <w:trPr>
          <w:trHeight w:hRule="exact" w:val="344"/>
        </w:trPr>
        <w:tc>
          <w:tcPr>
            <w:tcW w:type="dxa" w:w="726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FY20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FY21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FY22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FY23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FY24</w:t>
            </w:r>
          </w:p>
        </w:tc>
        <w:tc>
          <w:tcPr>
            <w:tcW w:type="dxa" w:w="5082"/>
            <w:gridSpan w:val="7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726"/>
            <w:vMerge/>
            <w:tcBorders/>
          </w:tcPr>
          <w:p/>
        </w:tc>
        <w:tc>
          <w:tcPr>
            <w:tcW w:type="dxa" w:w="726"/>
            <w:vMerge/>
            <w:tcBorders/>
          </w:tcPr>
          <w:p/>
        </w:tc>
        <w:tc>
          <w:tcPr>
            <w:tcW w:type="dxa" w:w="726"/>
            <w:vMerge/>
            <w:tcBorders/>
          </w:tcPr>
          <w:p/>
        </w:tc>
        <w:tc>
          <w:tcPr>
            <w:tcW w:type="dxa" w:w="726"/>
            <w:vMerge/>
            <w:tcBorders/>
          </w:tcPr>
          <w:p/>
        </w:tc>
        <w:tc>
          <w:tcPr>
            <w:tcW w:type="dxa" w:w="726"/>
            <w:vMerge/>
            <w:tcBorders/>
          </w:tcPr>
          <w:p/>
        </w:tc>
        <w:tc>
          <w:tcPr>
            <w:tcW w:type="dxa" w:w="726"/>
            <w:vMerge/>
            <w:tcBorders/>
          </w:tcPr>
          <w:p/>
        </w:tc>
        <w:tc>
          <w:tcPr>
            <w:tcW w:type="dxa" w:w="1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FY20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FY21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FY22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FY23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FY24</w:t>
            </w:r>
          </w:p>
        </w:tc>
      </w:tr>
      <w:tr>
        <w:trPr>
          <w:trHeight w:hRule="exact" w:val="266"/>
        </w:trPr>
        <w:tc>
          <w:tcPr>
            <w:tcW w:type="dxa" w:w="726"/>
            <w:vMerge/>
            <w:tcBorders/>
          </w:tcPr>
          <w:p/>
        </w:tc>
        <w:tc>
          <w:tcPr>
            <w:tcW w:type="dxa" w:w="726"/>
            <w:vMerge/>
            <w:tcBorders/>
          </w:tcPr>
          <w:p/>
        </w:tc>
        <w:tc>
          <w:tcPr>
            <w:tcW w:type="dxa" w:w="726"/>
            <w:vMerge/>
            <w:tcBorders/>
          </w:tcPr>
          <w:p/>
        </w:tc>
        <w:tc>
          <w:tcPr>
            <w:tcW w:type="dxa" w:w="726"/>
            <w:vMerge/>
            <w:tcBorders/>
          </w:tcPr>
          <w:p/>
        </w:tc>
        <w:tc>
          <w:tcPr>
            <w:tcW w:type="dxa" w:w="726"/>
            <w:vMerge/>
            <w:tcBorders/>
          </w:tcPr>
          <w:p/>
        </w:tc>
        <w:tc>
          <w:tcPr>
            <w:tcW w:type="dxa" w:w="726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0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a.</w:t>
            </w:r>
          </w:p>
        </w:tc>
        <w:tc>
          <w:tcPr>
            <w:tcW w:type="dxa" w:w="39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Includes related derivatives.</w:t>
            </w:r>
          </w:p>
        </w:tc>
      </w:tr>
    </w:tbl>
    <w:p>
      <w:pPr>
        <w:autoSpaceDN w:val="0"/>
        <w:autoSpaceDE w:val="0"/>
        <w:widowControl/>
        <w:spacing w:line="240" w:lineRule="exact" w:before="348" w:after="0"/>
        <w:ind w:left="4" w:right="26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FY24 loan interest revenue, net of funding costs was $4,874 million, an increase of $1,000 million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compared with $3,874 million in FY23 (Figure 3). Other ALM derivatives moderate the impact of interest rate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changes on the portion of the loan portfolio that is sensitive to interest rate movements, thereby partially stabilizing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net interest revenue earned from these loans (Figure 3). Other ALM derivatives comprise interest rate swaps,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which are used to convert the variable rate cash flows from these loans to fixed rate cash flows. </w:t>
      </w:r>
    </w:p>
    <w:p>
      <w:pPr>
        <w:autoSpaceDN w:val="0"/>
        <w:autoSpaceDE w:val="0"/>
        <w:widowControl/>
        <w:spacing w:line="240" w:lineRule="exact" w:before="120" w:after="0"/>
        <w:ind w:left="4" w:right="24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combined effect of the increase in loan interest revenue, net of $1,000 million and the increase in interest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expenses from Other ALM derivatives, net of $876 million from FY23 to FY24, resulted in a total combined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in net loan interest revenue of $124 million. This increase was primarily driven by the higher average loan </w:t>
      </w:r>
    </w:p>
    <w:p>
      <w:pPr>
        <w:autoSpaceDN w:val="0"/>
        <w:tabs>
          <w:tab w:pos="656" w:val="left"/>
        </w:tabs>
        <w:autoSpaceDE w:val="0"/>
        <w:widowControl/>
        <w:spacing w:line="224" w:lineRule="exact" w:before="83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2024</w:t>
      </w:r>
    </w:p>
    <w:p>
      <w:pPr>
        <w:sectPr>
          <w:type w:val="continuous"/>
          <w:pgSz w:w="12240" w:h="15840"/>
          <w:pgMar w:top="302" w:right="1366" w:bottom="25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8"/>
        <w:gridCol w:w="4778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Financial Results</w:t>
            </w:r>
          </w:p>
        </w:tc>
      </w:tr>
    </w:tbl>
    <w:p>
      <w:pPr>
        <w:autoSpaceDN w:val="0"/>
        <w:autoSpaceDE w:val="0"/>
        <w:widowControl/>
        <w:spacing w:line="240" w:lineRule="exact" w:before="492" w:after="0"/>
        <w:ind w:left="4" w:right="144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balance during the year. This was partially offset by the impact from the lag in the 6-month London Interbank Offer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Rate (LIBOR) based borrowing portfolio resetting to Secured Overnight Financing Rate (SOFR) at higher rates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during FY24, whereas the majority of the loan portfolio had transitioned to daily SOFR by the end of FY23.</w:t>
      </w:r>
    </w:p>
    <w:p>
      <w:pPr>
        <w:autoSpaceDN w:val="0"/>
        <w:autoSpaceDE w:val="0"/>
        <w:widowControl/>
        <w:spacing w:line="244" w:lineRule="exact" w:before="13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Provision for losses on loans and other exposures</w:t>
      </w:r>
    </w:p>
    <w:p>
      <w:pPr>
        <w:autoSpaceDN w:val="0"/>
        <w:autoSpaceDE w:val="0"/>
        <w:widowControl/>
        <w:spacing w:line="240" w:lineRule="exact" w:before="126" w:after="146"/>
        <w:ind w:left="4" w:right="144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FY24, IBRD recorded a provision expense for losses on loans and other exposures of $94 million, a $589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 lower expense compared to FY23. As the majority of IBRD’s loans carry a variable interest rate, changes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forward interest rates impact the expected losses that are recorded through the provision for losses on loans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other exposures in the Statements of Income. Accordingly, the decrease in expense was primarily driven by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decrease in the loss given default (severity), due to the lower increase in the relevant implied forward interest rates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FY24, compared to FY23. The severity reflects the expected losses from delays in receiving interest payments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since IBRD does not charge interest for overdue interest.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rPr>
          <w:trHeight w:hRule="exact" w:val="528"/>
        </w:trPr>
        <w:tc>
          <w:tcPr>
            <w:tcW w:type="dxa" w:w="558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6" w:after="0"/>
              <w:ind w:left="20" w:right="172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Figure 4: Change in Net Loans Outstanding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billions of U.S. dollars</w:t>
            </w:r>
          </w:p>
        </w:tc>
        <w:tc>
          <w:tcPr>
            <w:tcW w:type="dxa" w:w="39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6" w:after="0"/>
              <w:ind w:left="290" w:right="86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Figure 5: Net Loans Outstanding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billions of U.S. dollars</w:t>
            </w:r>
          </w:p>
        </w:tc>
      </w:tr>
      <w:tr>
        <w:trPr>
          <w:trHeight w:hRule="exact" w:val="318"/>
        </w:trPr>
        <w:tc>
          <w:tcPr>
            <w:tcW w:type="dxa" w:w="5733"/>
            <w:gridSpan w:val="9"/>
            <w:vMerge/>
            <w:tcBorders/>
          </w:tcPr>
          <w:p/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4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250</w:t>
            </w:r>
          </w:p>
        </w:tc>
        <w:tc>
          <w:tcPr>
            <w:tcW w:type="dxa" w:w="32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260.2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7.99999999999955" w:type="dxa"/>
            </w:tblPr>
            <w:tblGrid>
              <w:gridCol w:w="547"/>
              <w:gridCol w:w="547"/>
              <w:gridCol w:w="547"/>
              <w:gridCol w:w="547"/>
              <w:gridCol w:w="547"/>
              <w:gridCol w:w="547"/>
            </w:tblGrid>
            <w:tr>
              <w:trPr>
                <w:trHeight w:hRule="exact" w:val="206"/>
              </w:trPr>
              <w:tc>
                <w:tcPr>
                  <w:tcW w:type="dxa" w:w="3134"/>
                  <w:tcBorders>
                    <w:start w:sz="6.005202293395996" w:val="single" w:color="#898A89"/>
                    <w:bottom w:sz="6.005202293395996" w:val="single" w:color="#58595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3.99999999999977" w:type="dxa"/>
                  </w:tblPr>
                  <w:tblGrid>
                    <w:gridCol w:w="783"/>
                    <w:gridCol w:w="783"/>
                    <w:gridCol w:w="783"/>
                    <w:gridCol w:w="783"/>
                  </w:tblGrid>
                  <w:tr>
                    <w:trPr>
                      <w:trHeight w:hRule="exact" w:val="682"/>
                    </w:trPr>
                    <w:tc>
                      <w:tcPr>
                        <w:tcW w:type="dxa" w:w="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4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202.2</w:t>
                        </w:r>
                      </w:p>
                    </w:tc>
                    <w:tc>
                      <w:tcPr>
                        <w:tcW w:type="dxa" w:w="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28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218.8</w:t>
                        </w:r>
                      </w:p>
                    </w:tc>
                    <w:tc>
                      <w:tcPr>
                        <w:tcW w:type="dxa" w:w="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19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227.1</w:t>
                        </w:r>
                      </w:p>
                    </w:tc>
                    <w:tc>
                      <w:tcPr>
                        <w:tcW w:type="dxa" w:w="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42" w:after="0"/>
                          <w:ind w:left="124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241.0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47"/>
                  <w:tcBorders>
                    <w:start w:sz="6.005202293395996" w:val="single" w:color="#898A89"/>
                    <w:bottom w:sz="6.005202293395996" w:val="single" w:color="#58595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>
                    <w:start w:sz="6.005202293395996" w:val="single" w:color="#898A89"/>
                    <w:bottom w:sz="6.005202293395996" w:val="single" w:color="#58595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>
                    <w:start w:sz="6.005202293395996" w:val="single" w:color="#898A89"/>
                    <w:bottom w:sz="6.005202293395996" w:val="single" w:color="#58595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>
                    <w:start w:sz="6.005202293395996" w:val="single" w:color="#898A89"/>
                    <w:bottom w:sz="6.005202293395996" w:val="single" w:color="#58595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7"/>
                  <w:tcBorders>
                    <w:start w:sz="6.005202293395996" w:val="single" w:color="#898A89"/>
                    <w:bottom w:sz="6.005202293395996" w:val="single" w:color="#58595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6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280</w:t>
            </w:r>
          </w:p>
        </w:tc>
        <w:tc>
          <w:tcPr>
            <w:tcW w:type="dxa" w:w="508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8.0000000000001" w:type="dxa"/>
            </w:tblPr>
            <w:tblGrid>
              <w:gridCol w:w="5080"/>
            </w:tblGrid>
            <w:tr>
              <w:trPr>
                <w:trHeight w:hRule="exact" w:val="522"/>
              </w:trPr>
              <w:tc>
                <w:tcPr>
                  <w:tcW w:type="dxa" w:w="4674"/>
                  <w:tcBorders>
                    <w:start w:sz="6.01041841506958" w:val="single" w:color="#898A89"/>
                    <w:bottom w:sz="6.01041841506958" w:val="single" w:color="#898A8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70" w:after="0"/>
                    <w:ind w:left="1006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595959"/>
                      <w:sz w:val="16"/>
                    </w:rPr>
                    <w:t>33.5</w:t>
                  </w:r>
                </w:p>
                <w:p>
                  <w:pPr>
                    <w:autoSpaceDN w:val="0"/>
                    <w:autoSpaceDE w:val="0"/>
                    <w:widowControl/>
                    <w:spacing w:line="178" w:lineRule="exact" w:before="574" w:after="4"/>
                    <w:ind w:left="0" w:right="20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595959"/>
                      <w:sz w:val="16"/>
                    </w:rPr>
                    <w:t>260.2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00.0000000000002" w:type="dxa"/>
                  </w:tblPr>
                  <w:tblGrid>
                    <w:gridCol w:w="1558"/>
                    <w:gridCol w:w="1558"/>
                    <w:gridCol w:w="1558"/>
                  </w:tblGrid>
                  <w:tr>
                    <w:trPr>
                      <w:trHeight w:hRule="exact" w:val="364"/>
                    </w:trPr>
                    <w:tc>
                      <w:tcPr>
                        <w:tcW w:type="dxa" w:w="1552"/>
                        <w:tcBorders>
                          <w:top w:sz="18.40000000000009" w:val="single" w:color="#DADBD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74" w:after="0"/>
                          <w:ind w:left="0" w:right="306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(13.4)</w:t>
                        </w:r>
                      </w:p>
                    </w:tc>
                    <w:tc>
                      <w:tcPr>
                        <w:tcW w:type="dxa" w:w="540"/>
                        <w:tcBorders>
                          <w:top w:sz="18.40000000000009" w:val="single" w:color="#DADBD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7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*</w:t>
                        </w:r>
                      </w:p>
                    </w:tc>
                    <w:tc>
                      <w:tcPr>
                        <w:tcW w:type="dxa" w:w="776"/>
                        <w:tcBorders>
                          <w:top w:sz="18.40000000000009" w:val="single" w:color="#DADBD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04" w:after="0"/>
                          <w:ind w:left="0" w:right="118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(0.9)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80" w:lineRule="exact" w:before="428" w:after="0"/>
                    <w:ind w:left="18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595959"/>
                      <w:sz w:val="16"/>
                    </w:rPr>
                    <w:t>241.0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37"/>
            <w:vMerge/>
            <w:tcBorders/>
          </w:tcPr>
          <w:p/>
        </w:tc>
        <w:tc>
          <w:tcPr>
            <w:tcW w:type="dxa" w:w="3185"/>
            <w:gridSpan w:val="5"/>
            <w:vMerge/>
            <w:tcBorders/>
          </w:tcPr>
          <w:p/>
        </w:tc>
      </w:tr>
      <w:tr>
        <w:trPr>
          <w:trHeight w:hRule="exact" w:val="1712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270</w:t>
            </w:r>
          </w:p>
          <w:p>
            <w:pPr>
              <w:autoSpaceDN w:val="0"/>
              <w:autoSpaceDE w:val="0"/>
              <w:widowControl/>
              <w:spacing w:line="178" w:lineRule="exact" w:before="3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260</w:t>
            </w:r>
          </w:p>
          <w:p>
            <w:pPr>
              <w:autoSpaceDN w:val="0"/>
              <w:autoSpaceDE w:val="0"/>
              <w:widowControl/>
              <w:spacing w:line="178" w:lineRule="exact" w:before="3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250</w:t>
            </w:r>
          </w:p>
        </w:tc>
        <w:tc>
          <w:tcPr>
            <w:tcW w:type="dxa" w:w="5096"/>
            <w:gridSpan w:val="8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200</w:t>
            </w:r>
          </w:p>
          <w:p>
            <w:pPr>
              <w:autoSpaceDN w:val="0"/>
              <w:autoSpaceDE w:val="0"/>
              <w:widowControl/>
              <w:spacing w:line="180" w:lineRule="exact" w:before="34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150</w:t>
            </w:r>
          </w:p>
          <w:p>
            <w:pPr>
              <w:autoSpaceDN w:val="0"/>
              <w:autoSpaceDE w:val="0"/>
              <w:widowControl/>
              <w:spacing w:line="180" w:lineRule="exact" w:before="360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3185"/>
            <w:gridSpan w:val="5"/>
            <w:vMerge/>
            <w:tcBorders/>
          </w:tcPr>
          <w:p/>
        </w:tc>
      </w:tr>
      <w:tr>
        <w:trPr>
          <w:trHeight w:hRule="exact" w:val="694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240</w:t>
            </w:r>
          </w:p>
          <w:p>
            <w:pPr>
              <w:autoSpaceDN w:val="0"/>
              <w:autoSpaceDE w:val="0"/>
              <w:widowControl/>
              <w:spacing w:line="180" w:lineRule="exact" w:before="3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230</w:t>
            </w:r>
          </w:p>
        </w:tc>
        <w:tc>
          <w:tcPr>
            <w:tcW w:type="dxa" w:w="5096"/>
            <w:gridSpan w:val="8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</w:t>
            </w:r>
          </w:p>
          <w:p>
            <w:pPr>
              <w:autoSpaceDN w:val="0"/>
              <w:autoSpaceDE w:val="0"/>
              <w:widowControl/>
              <w:spacing w:line="180" w:lineRule="exact" w:before="34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3185"/>
            <w:gridSpan w:val="5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Net Loans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1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Gross loan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Repayments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Accumulated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Translation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Net Loans </w:t>
            </w:r>
          </w:p>
        </w:tc>
        <w:tc>
          <w:tcPr>
            <w:tcW w:type="dxa" w:w="1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20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21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22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23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24</w:t>
            </w:r>
          </w:p>
        </w:tc>
      </w:tr>
      <w:tr>
        <w:trPr>
          <w:trHeight w:hRule="exact" w:val="140"/>
        </w:trPr>
        <w:tc>
          <w:tcPr>
            <w:tcW w:type="dxa" w:w="1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outstanding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disbursements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and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provision for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adjustments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outstanding </w:t>
            </w:r>
          </w:p>
        </w:tc>
        <w:tc>
          <w:tcPr>
            <w:tcW w:type="dxa" w:w="1274"/>
            <w:gridSpan w:val="2"/>
            <w:vMerge/>
            <w:tcBorders/>
          </w:tcPr>
          <w:p/>
        </w:tc>
        <w:tc>
          <w:tcPr>
            <w:tcW w:type="dxa" w:w="637"/>
            <w:vMerge/>
            <w:tcBorders/>
          </w:tcPr>
          <w:p/>
        </w:tc>
        <w:tc>
          <w:tcPr>
            <w:tcW w:type="dxa" w:w="637"/>
            <w:vMerge/>
            <w:tcBorders/>
          </w:tcPr>
          <w:p/>
        </w:tc>
        <w:tc>
          <w:tcPr>
            <w:tcW w:type="dxa" w:w="637"/>
            <w:vMerge/>
            <w:tcBorders/>
          </w:tcPr>
          <w:p/>
        </w:tc>
        <w:tc>
          <w:tcPr>
            <w:tcW w:type="dxa" w:w="637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as of June </w:t>
            </w:r>
          </w:p>
        </w:tc>
        <w:tc>
          <w:tcPr>
            <w:tcW w:type="dxa" w:w="1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prepayments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loan losses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and others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as of June </w:t>
            </w:r>
          </w:p>
        </w:tc>
        <w:tc>
          <w:tcPr>
            <w:tcW w:type="dxa" w:w="1274"/>
            <w:gridSpan w:val="2"/>
            <w:vMerge/>
            <w:tcBorders/>
          </w:tcPr>
          <w:p/>
        </w:tc>
        <w:tc>
          <w:tcPr>
            <w:tcW w:type="dxa" w:w="637"/>
            <w:vMerge/>
            <w:tcBorders/>
          </w:tcPr>
          <w:p/>
        </w:tc>
        <w:tc>
          <w:tcPr>
            <w:tcW w:type="dxa" w:w="637"/>
            <w:vMerge/>
            <w:tcBorders/>
          </w:tcPr>
          <w:p/>
        </w:tc>
        <w:tc>
          <w:tcPr>
            <w:tcW w:type="dxa" w:w="637"/>
            <w:vMerge/>
            <w:tcBorders/>
          </w:tcPr>
          <w:p/>
        </w:tc>
        <w:tc>
          <w:tcPr>
            <w:tcW w:type="dxa" w:w="637"/>
            <w:vMerge/>
            <w:tcBorders/>
          </w:tcPr>
          <w:p/>
        </w:tc>
      </w:tr>
      <w:tr>
        <w:trPr>
          <w:trHeight w:hRule="exact" w:val="192"/>
        </w:trPr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30, 2023</w:t>
            </w:r>
          </w:p>
        </w:tc>
        <w:tc>
          <w:tcPr>
            <w:tcW w:type="dxa" w:w="42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0" w:right="4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30, 2024</w:t>
            </w:r>
          </w:p>
        </w:tc>
        <w:tc>
          <w:tcPr>
            <w:tcW w:type="dxa" w:w="1274"/>
            <w:gridSpan w:val="2"/>
            <w:vMerge/>
            <w:tcBorders/>
          </w:tcPr>
          <w:p/>
        </w:tc>
        <w:tc>
          <w:tcPr>
            <w:tcW w:type="dxa" w:w="637"/>
            <w:vMerge/>
            <w:tcBorders/>
          </w:tcPr>
          <w:p/>
        </w:tc>
        <w:tc>
          <w:tcPr>
            <w:tcW w:type="dxa" w:w="637"/>
            <w:vMerge/>
            <w:tcBorders/>
          </w:tcPr>
          <w:p/>
        </w:tc>
        <w:tc>
          <w:tcPr>
            <w:tcW w:type="dxa" w:w="637"/>
            <w:vMerge/>
            <w:tcBorders/>
          </w:tcPr>
          <w:p/>
        </w:tc>
        <w:tc>
          <w:tcPr>
            <w:tcW w:type="dxa" w:w="63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48" w:after="0"/>
        <w:ind w:left="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* Indicates</w:t>
      </w:r>
      <w:r>
        <w:rPr>
          <w:shd w:val="clear" w:color="auto" w:fill="6d6d6d"/>
          <w:rFonts w:ascii="Arial" w:hAnsi="Arial" w:eastAsia="Arial"/>
          <w:b w:val="0"/>
          <w:i/>
          <w:color w:val="000000"/>
          <w:sz w:val="16"/>
        </w:rPr>
        <w:t xml:space="preserve"> amoun</w:t>
      </w:r>
      <w:r>
        <w:rPr>
          <w:rFonts w:ascii="Arial" w:hAnsi="Arial" w:eastAsia="Arial"/>
          <w:b w:val="0"/>
          <w:i/>
          <w:color w:val="000000"/>
          <w:sz w:val="16"/>
        </w:rPr>
        <w:t>t less than $0.1 billion.</w:t>
      </w:r>
    </w:p>
    <w:p>
      <w:pPr>
        <w:autoSpaceDN w:val="0"/>
        <w:autoSpaceDE w:val="0"/>
        <w:widowControl/>
        <w:spacing w:line="240" w:lineRule="exact" w:before="10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As of June 30, 2024, IBRD’s net loans outstanding totale</w:t>
      </w:r>
      <w:r>
        <w:rPr>
          <w:shd w:val="clear" w:color="auto" w:fill="6d6d6d"/>
          <w:rFonts w:ascii="TimesNewRoman" w:hAnsi="TimesNewRoman" w:eastAsia="TimesNewRoman"/>
          <w:b w:val="0"/>
          <w:i w:val="0"/>
          <w:color w:val="000000"/>
          <w:sz w:val="20"/>
        </w:rPr>
        <w:t>d $26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0.2 billion, $19.2 billion or 8% higher than June 30,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2023 (Figure 5). The increase was mainly attributable to $</w:t>
      </w:r>
      <w:r>
        <w:rPr>
          <w:shd w:val="clear" w:color="auto" w:fill="6d6d6d"/>
          <w:rFonts w:ascii="TimesNewRoman" w:hAnsi="TimesNewRoman" w:eastAsia="TimesNewRoman"/>
          <w:b w:val="0"/>
          <w:i w:val="0"/>
          <w:color w:val="000000"/>
          <w:sz w:val="20"/>
        </w:rPr>
        <w:t>20.1 b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illion of net loan disbursements in FY24.</w:t>
      </w:r>
    </w:p>
    <w:p>
      <w:pPr>
        <w:autoSpaceDN w:val="0"/>
        <w:autoSpaceDE w:val="0"/>
        <w:widowControl/>
        <w:spacing w:line="222" w:lineRule="exact" w:before="138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Gross disbursements were $33.5 billion, a $7.9 billion increase compared to FY23 (Table 10). </w:t>
      </w:r>
    </w:p>
    <w:p>
      <w:pPr>
        <w:autoSpaceDN w:val="0"/>
        <w:autoSpaceDE w:val="0"/>
        <w:widowControl/>
        <w:spacing w:line="244" w:lineRule="exact" w:before="130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Results from Investing activities</w:t>
      </w:r>
    </w:p>
    <w:p>
      <w:pPr>
        <w:autoSpaceDN w:val="0"/>
        <w:autoSpaceDE w:val="0"/>
        <w:widowControl/>
        <w:spacing w:line="244" w:lineRule="exact" w:before="14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Net Investment Portfolio</w:t>
      </w:r>
    </w:p>
    <w:p>
      <w:pPr>
        <w:autoSpaceDN w:val="0"/>
        <w:autoSpaceDE w:val="0"/>
        <w:widowControl/>
        <w:spacing w:line="240" w:lineRule="exact" w:before="126" w:after="0"/>
        <w:ind w:left="4" w:right="14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net investment portfolio was $82.7 billion as of June 30, 2024 ($79.2 billion as of June 30, 2023). Of this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amount, $78.8 billion related to the liquid asset portfolio ($75.4 billion as of June 30, 2023). See Note C: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Investments in the Notes to the Financial Statements. The increase in the liquid asset portfolio was primarily due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net new debt issuances that were higher than net loan disbursements during the year, and in line with the higher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target liquidity level in FY24 (See Section VI: Investment Activities). </w:t>
      </w:r>
    </w:p>
    <w:p>
      <w:pPr>
        <w:autoSpaceDN w:val="0"/>
        <w:autoSpaceDE w:val="0"/>
        <w:widowControl/>
        <w:spacing w:line="244" w:lineRule="exact" w:before="13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Net Investment Revenue</w:t>
      </w:r>
    </w:p>
    <w:p>
      <w:pPr>
        <w:autoSpaceDN w:val="0"/>
        <w:autoSpaceDE w:val="0"/>
        <w:widowControl/>
        <w:spacing w:line="240" w:lineRule="exact" w:before="126" w:after="1812"/>
        <w:ind w:left="4" w:right="14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FY24, IBRD’s net investment revenue decreased by $127 million, compared to FY23. This was primarily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driven by the higher funding costs that exceeded the increase in investment interest income due to higher average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interest rates in FY24.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2.0000000000002" w:type="dxa"/>
      </w:tblPr>
      <w:tblGrid>
        <w:gridCol w:w="4778"/>
        <w:gridCol w:w="4778"/>
      </w:tblGrid>
      <w:tr>
        <w:trPr>
          <w:trHeight w:hRule="exact" w:val="754"/>
        </w:trPr>
        <w:tc>
          <w:tcPr>
            <w:tcW w:type="dxa" w:w="8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2024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02" w:right="1248" w:bottom="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</w:tblGrid>
      <w:tr>
        <w:trPr>
          <w:trHeight w:hRule="exact" w:val="284"/>
        </w:trPr>
        <w:tc>
          <w:tcPr>
            <w:tcW w:type="dxa" w:w="3968"/>
            <w:gridSpan w:val="6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0"/>
            <w:gridSpan w:val="8"/>
            <w:tcBorders>
              <w:bottom w:sz="4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Financial Results</w:t>
            </w:r>
          </w:p>
        </w:tc>
      </w:tr>
      <w:tr>
        <w:trPr>
          <w:trHeight w:hRule="exact" w:val="710"/>
        </w:trPr>
        <w:tc>
          <w:tcPr>
            <w:tcW w:type="dxa" w:w="3968"/>
            <w:gridSpan w:val="6"/>
            <w:tcBorders>
              <w:top w:sz="4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2" w:after="0"/>
              <w:ind w:left="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Figure 6: Net Investment Portfolio</w:t>
            </w:r>
          </w:p>
        </w:tc>
        <w:tc>
          <w:tcPr>
            <w:tcW w:type="dxa" w:w="5400"/>
            <w:gridSpan w:val="8"/>
            <w:tcBorders>
              <w:top w:sz="4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2" w:after="0"/>
              <w:ind w:left="10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Figure 7: Investment Revenue, net</w:t>
            </w:r>
          </w:p>
        </w:tc>
      </w:tr>
      <w:tr>
        <w:trPr>
          <w:trHeight w:hRule="exact" w:val="300"/>
        </w:trPr>
        <w:tc>
          <w:tcPr>
            <w:tcW w:type="dxa" w:w="39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billions of U.S. dollars</w:t>
            </w:r>
          </w:p>
        </w:tc>
        <w:tc>
          <w:tcPr>
            <w:tcW w:type="dxa" w:w="54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107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millions of U.S. dollars</w:t>
            </w:r>
          </w:p>
        </w:tc>
      </w:tr>
      <w:tr>
        <w:trPr>
          <w:trHeight w:hRule="exact" w:val="360"/>
        </w:trPr>
        <w:tc>
          <w:tcPr>
            <w:tcW w:type="dxa" w:w="249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0" w:after="0"/>
              <w:ind w:left="0" w:right="3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 xml:space="preserve">Liquid asset portfolio </w:t>
            </w:r>
          </w:p>
        </w:tc>
        <w:tc>
          <w:tcPr>
            <w:tcW w:type="dxa" w:w="196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Other investments portfolio</w:t>
            </w:r>
          </w:p>
        </w:tc>
        <w:tc>
          <w:tcPr>
            <w:tcW w:type="dxa" w:w="490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7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250</w:t>
            </w:r>
          </w:p>
        </w:tc>
      </w:tr>
      <w:tr>
        <w:trPr>
          <w:trHeight w:hRule="exact" w:val="300"/>
        </w:trPr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4356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0000000000006" w:type="dxa"/>
            </w:tblPr>
            <w:tblGrid>
              <w:gridCol w:w="726"/>
              <w:gridCol w:w="726"/>
              <w:gridCol w:w="726"/>
              <w:gridCol w:w="726"/>
              <w:gridCol w:w="726"/>
              <w:gridCol w:w="726"/>
            </w:tblGrid>
            <w:tr>
              <w:trPr>
                <w:trHeight w:hRule="exact" w:val="1962"/>
              </w:trPr>
              <w:tc>
                <w:tcPr>
                  <w:tcW w:type="dxa" w:w="3960"/>
                  <w:gridSpan w:val="6"/>
                  <w:tcBorders>
                    <w:start w:sz="6.0000128746032715" w:val="single" w:color="#898A89"/>
                    <w:bottom w:sz="6.00001287460327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4.00000000000006" w:type="dxa"/>
                  </w:tblPr>
                  <w:tblGrid>
                    <w:gridCol w:w="792"/>
                    <w:gridCol w:w="792"/>
                    <w:gridCol w:w="792"/>
                    <w:gridCol w:w="792"/>
                    <w:gridCol w:w="792"/>
                  </w:tblGrid>
                  <w:tr>
                    <w:trPr>
                      <w:trHeight w:hRule="exact" w:val="396"/>
                    </w:trPr>
                    <w:tc>
                      <w:tcPr>
                        <w:tcW w:type="dxa" w:w="390"/>
                        <w:tcBorders>
                          <w:bottom w:sz="30.399999999999864" w:val="single" w:color="#24242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1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2.6</w:t>
                        </w:r>
                      </w:p>
                    </w:tc>
                    <w:tc>
                      <w:tcPr>
                        <w:tcW w:type="dxa" w:w="790"/>
                        <w:tcBorders>
                          <w:bottom w:sz="30.399999999999864" w:val="single" w:color="#24242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60" w:after="0"/>
                          <w:ind w:left="0" w:right="98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3.1</w:t>
                        </w:r>
                      </w:p>
                    </w:tc>
                    <w:tc>
                      <w:tcPr>
                        <w:tcW w:type="dxa" w:w="1188"/>
                        <w:tcBorders>
                          <w:bottom w:sz="30.399999999999864" w:val="single" w:color="#24242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1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3.3</w:t>
                        </w:r>
                      </w:p>
                    </w:tc>
                    <w:tc>
                      <w:tcPr>
                        <w:tcW w:type="dxa" w:w="390"/>
                        <w:tcBorders>
                          <w:bottom w:sz="30.399999999999864" w:val="single" w:color="#24242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17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3.8</w:t>
                        </w:r>
                      </w:p>
                    </w:tc>
                    <w:tc>
                      <w:tcPr>
                        <w:tcW w:type="dxa" w:w="788"/>
                        <w:tcBorders>
                          <w:bottom w:sz="30.399999999999864" w:val="single" w:color="#24242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134" w:after="0"/>
                          <w:ind w:left="0" w:right="94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3.9</w:t>
                        </w:r>
                      </w:p>
                    </w:tc>
                  </w:tr>
                  <w:tr>
                    <w:trPr>
                      <w:trHeight w:hRule="exact" w:val="918"/>
                    </w:trPr>
                    <w:tc>
                      <w:tcPr>
                        <w:tcW w:type="dxa" w:w="390"/>
                        <w:tcBorders>
                          <w:top w:sz="30.399999999999864" w:val="single" w:color="#24242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6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79.9</w:t>
                        </w:r>
                      </w:p>
                    </w:tc>
                    <w:tc>
                      <w:tcPr>
                        <w:tcW w:type="dxa" w:w="790"/>
                        <w:tcBorders>
                          <w:top w:sz="30.399999999999864" w:val="single" w:color="#24242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600" w:after="0"/>
                          <w:ind w:left="0" w:right="54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82.8</w:t>
                        </w:r>
                      </w:p>
                    </w:tc>
                    <w:tc>
                      <w:tcPr>
                        <w:tcW w:type="dxa" w:w="1188"/>
                        <w:tcBorders>
                          <w:top w:sz="30.399999999999864" w:val="single" w:color="#24242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6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78.8</w:t>
                        </w:r>
                      </w:p>
                    </w:tc>
                    <w:tc>
                      <w:tcPr>
                        <w:tcW w:type="dxa" w:w="390"/>
                        <w:tcBorders>
                          <w:top w:sz="30.399999999999864" w:val="single" w:color="#24242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6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75.4</w:t>
                        </w:r>
                      </w:p>
                    </w:tc>
                    <w:tc>
                      <w:tcPr>
                        <w:tcW w:type="dxa" w:w="788"/>
                        <w:tcBorders>
                          <w:top w:sz="30.399999999999864" w:val="single" w:color="#242424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630" w:after="0"/>
                          <w:ind w:left="0" w:right="50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78.8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200</w:t>
            </w:r>
          </w:p>
        </w:tc>
        <w:tc>
          <w:tcPr>
            <w:tcW w:type="dxa" w:w="3724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60600" cy="10033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0600" cy="100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04"/>
        </w:trPr>
        <w:tc>
          <w:tcPr>
            <w:tcW w:type="dxa" w:w="5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4718"/>
            <w:gridSpan w:val="7"/>
            <w:vMerge/>
            <w:tcBorders/>
          </w:tcPr>
          <w:p/>
        </w:tc>
        <w:tc>
          <w:tcPr>
            <w:tcW w:type="dxa" w:w="674"/>
            <w:vMerge/>
            <w:tcBorders/>
          </w:tcPr>
          <w:p/>
        </w:tc>
        <w:tc>
          <w:tcPr>
            <w:tcW w:type="dxa" w:w="3370"/>
            <w:gridSpan w:val="5"/>
            <w:vMerge/>
            <w:tcBorders/>
          </w:tcPr>
          <w:p/>
        </w:tc>
      </w:tr>
      <w:tr>
        <w:trPr>
          <w:trHeight w:hRule="exact" w:val="90"/>
        </w:trPr>
        <w:tc>
          <w:tcPr>
            <w:tcW w:type="dxa" w:w="674"/>
            <w:vMerge/>
            <w:tcBorders/>
          </w:tcPr>
          <w:p/>
        </w:tc>
        <w:tc>
          <w:tcPr>
            <w:tcW w:type="dxa" w:w="4718"/>
            <w:gridSpan w:val="7"/>
            <w:vMerge/>
            <w:tcBorders/>
          </w:tcPr>
          <w:p/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150</w:t>
            </w:r>
          </w:p>
        </w:tc>
        <w:tc>
          <w:tcPr>
            <w:tcW w:type="dxa" w:w="3370"/>
            <w:gridSpan w:val="5"/>
            <w:vMerge/>
            <w:tcBorders/>
          </w:tcPr>
          <w:p/>
        </w:tc>
      </w:tr>
      <w:tr>
        <w:trPr>
          <w:trHeight w:hRule="exact" w:val="166"/>
        </w:trPr>
        <w:tc>
          <w:tcPr>
            <w:tcW w:type="dxa" w:w="5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60</w:t>
            </w:r>
          </w:p>
        </w:tc>
        <w:tc>
          <w:tcPr>
            <w:tcW w:type="dxa" w:w="4718"/>
            <w:gridSpan w:val="7"/>
            <w:vMerge/>
            <w:tcBorders/>
          </w:tcPr>
          <w:p/>
        </w:tc>
        <w:tc>
          <w:tcPr>
            <w:tcW w:type="dxa" w:w="674"/>
            <w:vMerge/>
            <w:tcBorders/>
          </w:tcPr>
          <w:p/>
        </w:tc>
        <w:tc>
          <w:tcPr>
            <w:tcW w:type="dxa" w:w="3370"/>
            <w:gridSpan w:val="5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674"/>
            <w:vMerge/>
            <w:tcBorders/>
          </w:tcPr>
          <w:p/>
        </w:tc>
        <w:tc>
          <w:tcPr>
            <w:tcW w:type="dxa" w:w="4718"/>
            <w:gridSpan w:val="7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4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3370"/>
            <w:gridSpan w:val="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4718"/>
            <w:gridSpan w:val="7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</w:t>
            </w:r>
          </w:p>
        </w:tc>
        <w:tc>
          <w:tcPr>
            <w:tcW w:type="dxa" w:w="3370"/>
            <w:gridSpan w:val="5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4718"/>
            <w:gridSpan w:val="7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3370"/>
            <w:gridSpan w:val="5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4718"/>
            <w:gridSpan w:val="7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0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(50)</w:t>
            </w:r>
          </w:p>
        </w:tc>
        <w:tc>
          <w:tcPr>
            <w:tcW w:type="dxa" w:w="3370"/>
            <w:gridSpan w:val="5"/>
            <w:vMerge/>
            <w:tcBorders/>
          </w:tcPr>
          <w:p/>
        </w:tc>
      </w:tr>
      <w:tr>
        <w:trPr>
          <w:trHeight w:hRule="exact" w:val="258"/>
        </w:trPr>
        <w:tc>
          <w:tcPr>
            <w:tcW w:type="dxa" w:w="1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20</w:t>
            </w:r>
          </w:p>
        </w:tc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21</w:t>
            </w:r>
          </w:p>
        </w:tc>
        <w:tc>
          <w:tcPr>
            <w:tcW w:type="dxa" w:w="5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22</w:t>
            </w:r>
          </w:p>
        </w:tc>
        <w:tc>
          <w:tcPr>
            <w:tcW w:type="dxa" w:w="1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23</w:t>
            </w:r>
          </w:p>
        </w:tc>
        <w:tc>
          <w:tcPr>
            <w:tcW w:type="dxa" w:w="4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24</w:t>
            </w:r>
          </w:p>
        </w:tc>
        <w:tc>
          <w:tcPr>
            <w:tcW w:type="dxa" w:w="19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FY21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FY23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FY24</w:t>
            </w:r>
          </w:p>
        </w:tc>
      </w:tr>
    </w:tbl>
    <w:p>
      <w:pPr>
        <w:autoSpaceDN w:val="0"/>
        <w:autoSpaceDE w:val="0"/>
        <w:widowControl/>
        <w:spacing w:line="244" w:lineRule="exact" w:before="20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Results from Borrowing activities </w:t>
      </w:r>
    </w:p>
    <w:p>
      <w:pPr>
        <w:autoSpaceDN w:val="0"/>
        <w:autoSpaceDE w:val="0"/>
        <w:widowControl/>
        <w:spacing w:line="224" w:lineRule="exact" w:before="14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June 30, 2024, the borrowing portfolio was $287.1 billion, $20.3 billion higher than June 30, 2023 (Note E: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Borrowings in the Notes to the Financial Statements). The increase was primarily due to net new debt issuances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year. New issuances of medium-and long-term debt of $52.4 billion during the year (Table 25) were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diversified by investor profile and location, with an average maturity of 5.9 years. The funds raised financed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development lending operations and satisfied the liquidity requirements. </w:t>
      </w:r>
    </w:p>
    <w:p>
      <w:pPr>
        <w:autoSpaceDN w:val="0"/>
        <w:autoSpaceDE w:val="0"/>
        <w:widowControl/>
        <w:spacing w:line="196" w:lineRule="exact" w:before="196" w:after="372"/>
        <w:ind w:left="10" w:right="5184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Figure 8: Borrowing Portfolio (original maturities)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 xml:space="preserve">In billions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166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6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Short-term</w:t>
            </w:r>
          </w:p>
        </w:tc>
        <w:tc>
          <w:tcPr>
            <w:tcW w:type="dxa" w:w="48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Medium-and long-term</w:t>
            </w:r>
          </w:p>
        </w:tc>
      </w:tr>
      <w:tr>
        <w:trPr>
          <w:trHeight w:hRule="exact" w:val="388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300</w:t>
            </w:r>
          </w:p>
        </w:tc>
        <w:tc>
          <w:tcPr>
            <w:tcW w:type="dxa" w:w="64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0" w:after="0"/>
              <w:ind w:left="0" w:right="26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9.0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8.0000000000001" w:type="dxa"/>
            </w:tblPr>
            <w:tblGrid>
              <w:gridCol w:w="1080"/>
              <w:gridCol w:w="1080"/>
              <w:gridCol w:w="1080"/>
              <w:gridCol w:w="1080"/>
              <w:gridCol w:w="1080"/>
              <w:gridCol w:w="1080"/>
            </w:tblGrid>
            <w:tr>
              <w:trPr>
                <w:trHeight w:hRule="exact" w:val="1720"/>
              </w:trPr>
              <w:tc>
                <w:tcPr>
                  <w:tcW w:type="dxa" w:w="3960"/>
                  <w:gridSpan w:val="6"/>
                  <w:tcBorders>
                    <w:start w:sz="6.0000128746032715" w:val="single" w:color="#898A89"/>
                    <w:bottom w:sz="6.00001287460327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4.00000000000006" w:type="dxa"/>
                  </w:tblPr>
                  <w:tblGrid>
                    <w:gridCol w:w="792"/>
                    <w:gridCol w:w="792"/>
                    <w:gridCol w:w="792"/>
                    <w:gridCol w:w="792"/>
                    <w:gridCol w:w="792"/>
                  </w:tblGrid>
                  <w:tr>
                    <w:trPr>
                      <w:trHeight w:hRule="exact" w:val="304"/>
                    </w:trPr>
                    <w:tc>
                      <w:tcPr>
                        <w:tcW w:type="dxa" w:w="700"/>
                        <w:tcBorders>
                          <w:bottom w:sz="24.0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9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11.0</w:t>
                        </w:r>
                      </w:p>
                    </w:tc>
                    <w:tc>
                      <w:tcPr>
                        <w:tcW w:type="dxa" w:w="780"/>
                        <w:vMerge w:val="restart"/>
                        <w:tcBorders>
                          <w:bottom w:sz="24.0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9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10.2</w:t>
                        </w:r>
                      </w:p>
                    </w:tc>
                    <w:tc>
                      <w:tcPr>
                        <w:tcW w:type="dxa" w:w="800"/>
                        <w:vMerge w:val="restart"/>
                        <w:tcBorders>
                          <w:bottom w:sz="24.0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94" w:after="0"/>
                          <w:ind w:left="0" w:right="0" w:firstLine="0"/>
                          <w:jc w:val="center"/>
                        </w:pPr>
                        <w:r>
                          <w:rPr>
                            <w:u w:val="single" w:color="484948"/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15.1</w:t>
                        </w:r>
                      </w:p>
                    </w:tc>
                    <w:tc>
                      <w:tcPr>
                        <w:tcW w:type="dxa" w:w="800"/>
                        <w:vMerge w:val="restart"/>
                        <w:tcBorders>
                          <w:bottom w:sz="24.0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10.1</w:t>
                        </w:r>
                      </w:p>
                    </w:tc>
                    <w:tc>
                      <w:tcPr>
                        <w:tcW w:type="dxa" w:w="680"/>
                        <w:vMerge w:val="restart"/>
                        <w:tcBorders>
                          <w:bottom w:sz="24.0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8"/>
                    </w:trPr>
                    <w:tc>
                      <w:tcPr>
                        <w:tcW w:type="dxa" w:w="700"/>
                        <w:vMerge w:val="restart"/>
                        <w:tcBorders>
                          <w:top w:sz="24.0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92"/>
                        <w:vMerge/>
                        <w:tcBorders>
                          <w:bottom w:sz="24.0" w:val="single" w:color="#484948"/>
                        </w:tcBorders>
                      </w:tcPr>
                      <w:p/>
                    </w:tc>
                    <w:tc>
                      <w:tcPr>
                        <w:tcW w:type="dxa" w:w="792"/>
                        <w:vMerge/>
                        <w:tcBorders>
                          <w:bottom w:sz="24.0" w:val="single" w:color="#484948"/>
                        </w:tcBorders>
                      </w:tcPr>
                      <w:p/>
                    </w:tc>
                    <w:tc>
                      <w:tcPr>
                        <w:tcW w:type="dxa" w:w="792"/>
                        <w:vMerge/>
                        <w:tcBorders>
                          <w:bottom w:sz="24.0" w:val="single" w:color="#484948"/>
                        </w:tcBorders>
                      </w:tcPr>
                      <w:p/>
                    </w:tc>
                    <w:tc>
                      <w:tcPr>
                        <w:tcW w:type="dxa" w:w="792"/>
                        <w:vMerge/>
                        <w:tcBorders>
                          <w:bottom w:sz="24.0" w:val="single" w:color="#484948"/>
                        </w:tcBorders>
                      </w:tcPr>
                      <w:p/>
                    </w:tc>
                  </w:tr>
                  <w:tr>
                    <w:trPr>
                      <w:trHeight w:hRule="exact" w:val="286"/>
                    </w:trPr>
                    <w:tc>
                      <w:tcPr>
                        <w:tcW w:type="dxa" w:w="792"/>
                        <w:vMerge/>
                        <w:tcBorders>
                          <w:top w:sz="24.0" w:val="single" w:color="#484948"/>
                        </w:tcBorders>
                      </w:tcPr>
                      <w:p/>
                    </w:tc>
                    <w:tc>
                      <w:tcPr>
                        <w:tcW w:type="dxa" w:w="780"/>
                        <w:vMerge w:val="restart"/>
                        <w:tcBorders>
                          <w:top w:sz="24.0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5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243.5</w:t>
                        </w:r>
                      </w:p>
                    </w:tc>
                    <w:tc>
                      <w:tcPr>
                        <w:tcW w:type="dxa" w:w="800"/>
                        <w:vMerge w:val="restart"/>
                        <w:tcBorders>
                          <w:top w:sz="24.0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5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241.8</w:t>
                        </w:r>
                      </w:p>
                    </w:tc>
                    <w:tc>
                      <w:tcPr>
                        <w:tcW w:type="dxa" w:w="800"/>
                        <w:vMerge w:val="restart"/>
                        <w:tcBorders>
                          <w:top w:sz="24.0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49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256.7</w:t>
                        </w:r>
                      </w:p>
                    </w:tc>
                    <w:tc>
                      <w:tcPr>
                        <w:tcW w:type="dxa" w:w="680"/>
                        <w:vMerge w:val="restart"/>
                        <w:tcBorders>
                          <w:top w:sz="24.0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422" w:after="0"/>
                          <w:ind w:left="0" w:right="90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278.1</w:t>
                        </w:r>
                      </w:p>
                    </w:tc>
                  </w:tr>
                  <w:tr>
                    <w:trPr>
                      <w:trHeight w:hRule="exact" w:val="536"/>
                    </w:trPr>
                    <w:tc>
                      <w:tcPr>
                        <w:tcW w:type="dxa" w:w="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3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226.2</w:t>
                        </w:r>
                      </w:p>
                    </w:tc>
                    <w:tc>
                      <w:tcPr>
                        <w:tcW w:type="dxa" w:w="792"/>
                        <w:vMerge/>
                        <w:tcBorders>
                          <w:top w:sz="24.0" w:val="single" w:color="#484948"/>
                        </w:tcBorders>
                      </w:tcPr>
                      <w:p/>
                    </w:tc>
                    <w:tc>
                      <w:tcPr>
                        <w:tcW w:type="dxa" w:w="792"/>
                        <w:vMerge/>
                        <w:tcBorders>
                          <w:top w:sz="24.0" w:val="single" w:color="#484948"/>
                        </w:tcBorders>
                      </w:tcPr>
                      <w:p/>
                    </w:tc>
                    <w:tc>
                      <w:tcPr>
                        <w:tcW w:type="dxa" w:w="792"/>
                        <w:vMerge/>
                        <w:tcBorders>
                          <w:top w:sz="24.0" w:val="single" w:color="#484948"/>
                        </w:tcBorders>
                      </w:tcPr>
                      <w:p/>
                    </w:tc>
                    <w:tc>
                      <w:tcPr>
                        <w:tcW w:type="dxa" w:w="792"/>
                        <w:vMerge/>
                        <w:tcBorders>
                          <w:top w:sz="24.0" w:val="single" w:color="#484948"/>
                        </w:tcBorders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250</w:t>
            </w:r>
          </w:p>
        </w:tc>
        <w:tc>
          <w:tcPr>
            <w:tcW w:type="dxa" w:w="7865"/>
            <w:gridSpan w:val="5"/>
            <w:vMerge/>
            <w:tcBorders/>
          </w:tcPr>
          <w:p/>
        </w:tc>
      </w:tr>
      <w:tr>
        <w:trPr>
          <w:trHeight w:hRule="exact" w:val="1306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</w:t>
            </w:r>
          </w:p>
        </w:tc>
        <w:tc>
          <w:tcPr>
            <w:tcW w:type="dxa" w:w="7865"/>
            <w:gridSpan w:val="5"/>
            <w:vMerge/>
            <w:tcBorders/>
          </w:tcPr>
          <w:p/>
        </w:tc>
      </w:tr>
      <w:tr>
        <w:trPr>
          <w:trHeight w:hRule="exact" w:val="50"/>
        </w:trPr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6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573"/>
            <w:vMerge/>
            <w:tcBorders/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20</w:t>
            </w:r>
          </w:p>
        </w:tc>
        <w:tc>
          <w:tcPr>
            <w:tcW w:type="dxa" w:w="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21</w:t>
            </w:r>
          </w:p>
        </w:tc>
        <w:tc>
          <w:tcPr>
            <w:tcW w:type="dxa" w:w="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22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23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1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24</w:t>
            </w:r>
          </w:p>
        </w:tc>
      </w:tr>
    </w:tbl>
    <w:p>
      <w:pPr>
        <w:autoSpaceDN w:val="0"/>
        <w:autoSpaceDE w:val="0"/>
        <w:widowControl/>
        <w:spacing w:line="244" w:lineRule="exact" w:before="40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Net Other Revenue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Net other revenue represents certain non-interest sources of revenue, which was higher by $62 million during FY24.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increase included higher investment earnings from the PEBP and PCRF holdings, consistent with prevailing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market conditions.</w:t>
      </w:r>
    </w:p>
    <w:p>
      <w:pPr>
        <w:autoSpaceDN w:val="0"/>
        <w:autoSpaceDE w:val="0"/>
        <w:widowControl/>
        <w:spacing w:line="202" w:lineRule="exact" w:before="200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4: Net Other Revenue</w:t>
      </w:r>
    </w:p>
    <w:p>
      <w:pPr>
        <w:autoSpaceDN w:val="0"/>
        <w:autoSpaceDE w:val="0"/>
        <w:widowControl/>
        <w:spacing w:line="180" w:lineRule="exact" w:before="58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274"/>
        </w:trPr>
        <w:tc>
          <w:tcPr>
            <w:tcW w:type="dxa" w:w="6194"/>
            <w:gridSpan w:val="2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For the fiscal year ended June 30,</w:t>
            </w:r>
          </w:p>
        </w:tc>
        <w:tc>
          <w:tcPr>
            <w:tcW w:type="dxa" w:w="39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0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2024</w:t>
            </w:r>
          </w:p>
        </w:tc>
        <w:tc>
          <w:tcPr>
            <w:tcW w:type="dxa" w:w="39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2023</w:t>
            </w:r>
          </w:p>
        </w:tc>
        <w:tc>
          <w:tcPr>
            <w:tcW w:type="dxa" w:w="284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Variance</w:t>
            </w:r>
          </w:p>
        </w:tc>
      </w:tr>
      <w:tr>
        <w:trPr>
          <w:trHeight w:hRule="exact" w:val="220"/>
        </w:trPr>
        <w:tc>
          <w:tcPr>
            <w:tcW w:type="dxa" w:w="6194"/>
            <w:gridSpan w:val="2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 commitment fees</w:t>
            </w:r>
          </w:p>
        </w:tc>
        <w:tc>
          <w:tcPr>
            <w:tcW w:type="dxa" w:w="396"/>
            <w:vMerge w:val="restart"/>
            <w:tcBorders>
              <w:top w:sz="8.0" w:val="single" w:color="#6C6C6C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149 </w:t>
            </w:r>
          </w:p>
        </w:tc>
        <w:tc>
          <w:tcPr>
            <w:tcW w:type="dxa" w:w="390"/>
            <w:vMerge w:val="restart"/>
            <w:tcBorders>
              <w:top w:sz="8.0" w:val="single" w:color="#6C6C6C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124 </w:t>
            </w:r>
          </w:p>
        </w:tc>
        <w:tc>
          <w:tcPr>
            <w:tcW w:type="dxa" w:w="284"/>
            <w:vMerge w:val="restart"/>
            <w:tcBorders>
              <w:top w:sz="8.0" w:val="single" w:color="#6C6C6C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 </w:t>
            </w:r>
          </w:p>
        </w:tc>
      </w:tr>
      <w:tr>
        <w:trPr>
          <w:trHeight w:hRule="exact" w:val="240"/>
        </w:trPr>
        <w:tc>
          <w:tcPr>
            <w:tcW w:type="dxa" w:w="61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Guarantee fees</w:t>
            </w:r>
          </w:p>
        </w:tc>
        <w:tc>
          <w:tcPr>
            <w:tcW w:type="dxa" w:w="1180"/>
            <w:vMerge/>
            <w:tcBorders>
              <w:top w:sz="8.0" w:val="single" w:color="#6C6C6C"/>
              <w:bottom w:sz="8.0" w:val="single" w:color="#000000"/>
            </w:tcBorders>
          </w:tcPr>
          <w:p/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 </w:t>
            </w:r>
          </w:p>
        </w:tc>
        <w:tc>
          <w:tcPr>
            <w:tcW w:type="dxa" w:w="1180"/>
            <w:vMerge/>
            <w:tcBorders>
              <w:top w:sz="8.0" w:val="single" w:color="#6C6C6C"/>
              <w:bottom w:sz="8.0" w:val="single" w:color="#000000"/>
            </w:tcBorders>
          </w:tcPr>
          <w:p/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 </w:t>
            </w:r>
          </w:p>
        </w:tc>
        <w:tc>
          <w:tcPr>
            <w:tcW w:type="dxa" w:w="1180"/>
            <w:vMerge/>
            <w:tcBorders>
              <w:top w:sz="8.0" w:val="single" w:color="#6C6C6C"/>
              <w:bottom w:sz="8.0" w:val="single" w:color="#000000"/>
            </w:tcBorders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  <w:tr>
        <w:trPr>
          <w:trHeight w:hRule="exact" w:val="260"/>
        </w:trPr>
        <w:tc>
          <w:tcPr>
            <w:tcW w:type="dxa" w:w="619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Others, including net earnings from the PEBP and PCRF</w:t>
            </w:r>
          </w:p>
        </w:tc>
        <w:tc>
          <w:tcPr>
            <w:tcW w:type="dxa" w:w="1180"/>
            <w:vMerge/>
            <w:tcBorders>
              <w:top w:sz="8.0" w:val="single" w:color="#6C6C6C"/>
              <w:bottom w:sz="8.0" w:val="single" w:color="#000000"/>
            </w:tcBorders>
          </w:tcPr>
          <w:p/>
        </w:tc>
        <w:tc>
          <w:tcPr>
            <w:tcW w:type="dxa" w:w="6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112 </w:t>
            </w:r>
          </w:p>
        </w:tc>
        <w:tc>
          <w:tcPr>
            <w:tcW w:type="dxa" w:w="1180"/>
            <w:vMerge/>
            <w:tcBorders>
              <w:top w:sz="8.0" w:val="single" w:color="#6C6C6C"/>
              <w:bottom w:sz="8.0" w:val="single" w:color="#000000"/>
            </w:tcBorders>
          </w:tcPr>
          <w:p/>
        </w:tc>
        <w:tc>
          <w:tcPr>
            <w:tcW w:type="dxa" w:w="6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 </w:t>
            </w:r>
          </w:p>
        </w:tc>
        <w:tc>
          <w:tcPr>
            <w:tcW w:type="dxa" w:w="1180"/>
            <w:vMerge/>
            <w:tcBorders>
              <w:top w:sz="8.0" w:val="single" w:color="#6C6C6C"/>
              <w:bottom w:sz="8.0" w:val="single" w:color="#000000"/>
            </w:tcBorders>
          </w:tcPr>
          <w:p/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 </w:t>
            </w:r>
          </w:p>
        </w:tc>
      </w:tr>
      <w:tr>
        <w:trPr>
          <w:trHeight w:hRule="exact" w:val="220"/>
        </w:trPr>
        <w:tc>
          <w:tcPr>
            <w:tcW w:type="dxa" w:w="619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other revenue (Table 2)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280 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218 </w:t>
            </w:r>
          </w:p>
        </w:tc>
        <w:tc>
          <w:tcPr>
            <w:tcW w:type="dxa" w:w="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62 </w:t>
            </w:r>
          </w:p>
        </w:tc>
      </w:tr>
      <w:tr>
        <w:trPr>
          <w:trHeight w:hRule="exact" w:val="2076"/>
        </w:trPr>
        <w:tc>
          <w:tcPr>
            <w:tcW w:type="dxa" w:w="4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6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57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2024</w:t>
            </w:r>
          </w:p>
        </w:tc>
        <w:tc>
          <w:tcPr>
            <w:tcW w:type="dxa" w:w="3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02" w:right="1370" w:bottom="252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85"/>
        <w:gridCol w:w="4785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Financial Results</w:t>
            </w:r>
          </w:p>
        </w:tc>
      </w:tr>
    </w:tbl>
    <w:p>
      <w:pPr>
        <w:autoSpaceDN w:val="0"/>
        <w:autoSpaceDE w:val="0"/>
        <w:widowControl/>
        <w:spacing w:line="244" w:lineRule="exact" w:before="50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Net Non-Interest Expenses </w:t>
      </w:r>
    </w:p>
    <w:p>
      <w:pPr>
        <w:autoSpaceDN w:val="0"/>
        <w:autoSpaceDE w:val="0"/>
        <w:widowControl/>
        <w:spacing w:line="240" w:lineRule="exact" w:before="70" w:after="0"/>
        <w:ind w:left="10" w:right="15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shown in Table 5, IBRD’s net non-interest expenses are primarily comprised of administrative expenses, net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revenue from externally funded activities, and include costs related to Bank-executed activities for trust funds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other externally funded activities. IBRD and IDA's administrative budget is a single resource envelope that funds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combined work programs of both entities. The allocation of net administrative expenses between IBRD and IDA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based on an agreed cost and revenue sharing methodology, approved by their Boards, which is primarily driven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relative level of lending, knowledge services, and other services between these two entities.</w:t>
      </w:r>
    </w:p>
    <w:p>
      <w:pPr>
        <w:autoSpaceDN w:val="0"/>
        <w:autoSpaceDE w:val="0"/>
        <w:widowControl/>
        <w:spacing w:line="182" w:lineRule="exact" w:before="166" w:after="0"/>
        <w:ind w:left="10" w:right="5184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Figure 9: Net Non-Interest Expenses (GAAP basis)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194" w:after="0"/>
        <w:ind w:left="2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1,800</w:t>
      </w:r>
    </w:p>
    <w:p>
      <w:pPr>
        <w:autoSpaceDN w:val="0"/>
        <w:tabs>
          <w:tab w:pos="850" w:val="left"/>
        </w:tabs>
        <w:autoSpaceDE w:val="0"/>
        <w:widowControl/>
        <w:spacing w:line="240" w:lineRule="auto" w:before="8" w:after="0"/>
        <w:ind w:left="2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1,200</w:t>
      </w:r>
      <w:r>
        <w:tab/>
      </w:r>
      <w:r>
        <w:drawing>
          <wp:inline xmlns:a="http://schemas.openxmlformats.org/drawingml/2006/main" xmlns:pic="http://schemas.openxmlformats.org/drawingml/2006/picture">
            <wp:extent cx="2184400" cy="101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1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0" w:lineRule="exact" w:before="106" w:after="0"/>
        <w:ind w:left="3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600</w:t>
      </w:r>
    </w:p>
    <w:p>
      <w:pPr>
        <w:autoSpaceDN w:val="0"/>
        <w:autoSpaceDE w:val="0"/>
        <w:widowControl/>
        <w:spacing w:line="180" w:lineRule="exact" w:before="92" w:after="16"/>
        <w:ind w:left="5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70.0" w:type="dxa"/>
      </w:tblPr>
      <w:tblGrid>
        <w:gridCol w:w="1914"/>
        <w:gridCol w:w="1914"/>
        <w:gridCol w:w="1914"/>
        <w:gridCol w:w="1914"/>
        <w:gridCol w:w="1914"/>
      </w:tblGrid>
      <w:tr>
        <w:trPr>
          <w:trHeight w:hRule="exact" w:val="254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FY20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FY21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FY22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FY23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FY24</w:t>
            </w:r>
          </w:p>
        </w:tc>
      </w:tr>
    </w:tbl>
    <w:p>
      <w:pPr>
        <w:autoSpaceDN w:val="0"/>
        <w:autoSpaceDE w:val="0"/>
        <w:widowControl/>
        <w:spacing w:line="240" w:lineRule="exact" w:before="194" w:after="0"/>
        <w:ind w:left="10" w:right="15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decrease in net non-interest expenses on a GAAP basis was primarily driven by higher revenue from externally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funded activities and lower pension service cost. The decrease in pension service cost was mainly driven by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higher pension discount rate used to measure the pension liabilities. The decrease in non-interest expenses was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partially offset by higher staff costs and higher travel expenses. On an allocable income basis, net non-interest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expenses for FY24 increased primarily due to higher staff costs and travel expenses (Table 5).</w:t>
      </w:r>
    </w:p>
    <w:p>
      <w:pPr>
        <w:autoSpaceDN w:val="0"/>
        <w:autoSpaceDE w:val="0"/>
        <w:widowControl/>
        <w:spacing w:line="200" w:lineRule="exact" w:before="17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5: Net Non-Interest Expenses</w:t>
      </w:r>
    </w:p>
    <w:p>
      <w:pPr>
        <w:autoSpaceDN w:val="0"/>
        <w:autoSpaceDE w:val="0"/>
        <w:widowControl/>
        <w:spacing w:line="178" w:lineRule="exact" w:before="48" w:after="22"/>
        <w:ind w:left="62" w:right="0" w:firstLine="0"/>
        <w:jc w:val="left"/>
      </w:pPr>
      <w:r>
        <w:rPr>
          <w:rFonts w:ascii="Arial" w:hAnsi="Arial" w:eastAsia="Arial"/>
          <w:b w:val="0"/>
          <w:i/>
          <w:color w:val="242424"/>
          <w:sz w:val="16"/>
        </w:rPr>
        <w:t xml:space="preserve">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92"/>
        <w:gridCol w:w="2392"/>
        <w:gridCol w:w="2392"/>
        <w:gridCol w:w="2392"/>
      </w:tblGrid>
      <w:tr>
        <w:trPr>
          <w:trHeight w:hRule="exact" w:val="232"/>
        </w:trPr>
        <w:tc>
          <w:tcPr>
            <w:tcW w:type="dxa" w:w="463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For the fiscal year ended June 30,</w:t>
            </w:r>
          </w:p>
        </w:tc>
        <w:tc>
          <w:tcPr>
            <w:tcW w:type="dxa" w:w="292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43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2024</w:t>
            </w:r>
          </w:p>
        </w:tc>
        <w:tc>
          <w:tcPr>
            <w:tcW w:type="dxa" w:w="104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2023</w:t>
            </w:r>
          </w:p>
        </w:tc>
        <w:tc>
          <w:tcPr>
            <w:tcW w:type="dxa" w:w="94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Variance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14"/>
        <w:ind w:left="1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Administrative expenses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2392"/>
        <w:gridCol w:w="2392"/>
        <w:gridCol w:w="2392"/>
        <w:gridCol w:w="2392"/>
      </w:tblGrid>
      <w:tr>
        <w:trPr>
          <w:trHeight w:hRule="exact" w:val="190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Staff costs</w:t>
            </w:r>
          </w:p>
        </w:tc>
        <w:tc>
          <w:tcPr>
            <w:tcW w:type="dxa" w:w="3844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23.9999999999998" w:type="dxa"/>
            </w:tblPr>
            <w:tblGrid>
              <w:gridCol w:w="1922"/>
              <w:gridCol w:w="1922"/>
            </w:tblGrid>
            <w:tr>
              <w:trPr>
                <w:trHeight w:hRule="exact" w:val="1574"/>
              </w:trPr>
              <w:tc>
                <w:tcPr>
                  <w:tcW w:type="dxa" w:w="1242"/>
                  <w:tcBorders>
                    <w:end w:sz="24.0" w:val="single" w:color="#FFFFFF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40" w:val="left"/>
                      <w:tab w:pos="874" w:val="left"/>
                      <w:tab w:pos="962" w:val="left"/>
                    </w:tabs>
                    <w:autoSpaceDE w:val="0"/>
                    <w:widowControl/>
                    <w:spacing w:line="222" w:lineRule="exact" w:before="0" w:after="0"/>
                    <w:ind w:left="6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1,178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158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518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284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99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126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16 </w:t>
                  </w:r>
                </w:p>
              </w:tc>
              <w:tc>
                <w:tcPr>
                  <w:tcW w:type="dxa" w:w="1238"/>
                  <w:tcBorders>
                    <w:start w:sz="24.0" w:val="single" w:color="#FFFFFF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28" w:val="left"/>
                      <w:tab w:pos="862" w:val="left"/>
                      <w:tab w:pos="950" w:val="left"/>
                    </w:tabs>
                    <w:autoSpaceDE w:val="0"/>
                    <w:widowControl/>
                    <w:spacing w:line="222" w:lineRule="exact" w:before="0" w:after="0"/>
                    <w:ind w:left="5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1,082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142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505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351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91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128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21 </w:t>
                  </w:r>
                </w:p>
              </w:tc>
            </w:tr>
            <w:tr>
              <w:trPr>
                <w:trHeight w:hRule="exact" w:val="226"/>
              </w:trPr>
              <w:tc>
                <w:tcPr>
                  <w:tcW w:type="dxa" w:w="1242"/>
                  <w:tcBorders>
                    <w:top w:sz="8.0" w:val="single" w:color="#6C6C6C"/>
                    <w:end w:sz="24.0" w:val="single" w:color="#FFFFFF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40" w:val="left"/>
                    </w:tabs>
                    <w:autoSpaceDE w:val="0"/>
                    <w:widowControl/>
                    <w:spacing w:line="180" w:lineRule="exact" w:before="10" w:after="0"/>
                    <w:ind w:left="64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2,379 </w:t>
                  </w:r>
                </w:p>
              </w:tc>
              <w:tc>
                <w:tcPr>
                  <w:tcW w:type="dxa" w:w="1238"/>
                  <w:tcBorders>
                    <w:start w:sz="24.0" w:val="single" w:color="#FFFFFF"/>
                    <w:top w:sz="8.0" w:val="single" w:color="#6C6C6C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28" w:val="left"/>
                    </w:tabs>
                    <w:autoSpaceDE w:val="0"/>
                    <w:widowControl/>
                    <w:spacing w:line="180" w:lineRule="exact" w:before="10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2,320 </w:t>
                  </w:r>
                </w:p>
              </w:tc>
            </w:tr>
            <w:tr>
              <w:trPr>
                <w:trHeight w:hRule="exact" w:val="204"/>
              </w:trPr>
              <w:tc>
                <w:tcPr>
                  <w:tcW w:type="dxa" w:w="1242"/>
                  <w:tcBorders>
                    <w:top w:sz="8.0" w:val="single" w:color="#6C6C6C"/>
                    <w:end w:sz="24.0" w:val="single" w:color="#FFFFFF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0" w:after="0"/>
                    <w:ind w:left="0" w:right="2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17 </w:t>
                  </w:r>
                </w:p>
              </w:tc>
              <w:tc>
                <w:tcPr>
                  <w:tcW w:type="dxa" w:w="1238"/>
                  <w:tcBorders>
                    <w:start w:sz="24.0" w:val="single" w:color="#FFFFFF"/>
                    <w:top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0" w:after="0"/>
                    <w:ind w:left="0" w:right="3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56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 </w:t>
            </w:r>
          </w:p>
        </w:tc>
      </w:tr>
      <w:tr>
        <w:trPr>
          <w:trHeight w:hRule="exact" w:val="240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Travel</w:t>
            </w:r>
          </w:p>
        </w:tc>
        <w:tc>
          <w:tcPr>
            <w:tcW w:type="dxa" w:w="2392"/>
            <w:vMerge/>
            <w:tcBorders>
              <w:bottom w:sz="8.0" w:val="single" w:color="#6C6C6C"/>
            </w:tcBorders>
          </w:tcPr>
          <w:p/>
        </w:tc>
        <w:tc>
          <w:tcPr>
            <w:tcW w:type="dxa" w:w="2392"/>
            <w:vMerge/>
            <w:tcBorders>
              <w:bottom w:sz="8.0" w:val="single" w:color="#6C6C6C"/>
            </w:tcBorders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 </w:t>
            </w:r>
          </w:p>
        </w:tc>
      </w:tr>
      <w:tr>
        <w:trPr>
          <w:trHeight w:hRule="exact" w:val="220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Consultant fees and contractual services</w:t>
            </w:r>
          </w:p>
        </w:tc>
        <w:tc>
          <w:tcPr>
            <w:tcW w:type="dxa" w:w="2392"/>
            <w:vMerge/>
            <w:tcBorders>
              <w:bottom w:sz="8.0" w:val="single" w:color="#6C6C6C"/>
            </w:tcBorders>
          </w:tcPr>
          <w:p/>
        </w:tc>
        <w:tc>
          <w:tcPr>
            <w:tcW w:type="dxa" w:w="2392"/>
            <w:vMerge/>
            <w:tcBorders>
              <w:bottom w:sz="8.0" w:val="single" w:color="#6C6C6C"/>
            </w:tcBorders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</w:tr>
      <w:tr>
        <w:trPr>
          <w:trHeight w:hRule="exact" w:val="220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Pension service cost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2392"/>
            <w:vMerge/>
            <w:tcBorders>
              <w:bottom w:sz="8.0" w:val="single" w:color="#6C6C6C"/>
            </w:tcBorders>
          </w:tcPr>
          <w:p/>
        </w:tc>
        <w:tc>
          <w:tcPr>
            <w:tcW w:type="dxa" w:w="2392"/>
            <w:vMerge/>
            <w:tcBorders>
              <w:bottom w:sz="8.0" w:val="single" w:color="#6C6C6C"/>
            </w:tcBorders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(67) </w:t>
            </w:r>
          </w:p>
        </w:tc>
      </w:tr>
      <w:tr>
        <w:trPr>
          <w:trHeight w:hRule="exact" w:val="220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Communications and technology</w:t>
            </w:r>
          </w:p>
        </w:tc>
        <w:tc>
          <w:tcPr>
            <w:tcW w:type="dxa" w:w="2392"/>
            <w:vMerge/>
            <w:tcBorders>
              <w:bottom w:sz="8.0" w:val="single" w:color="#6C6C6C"/>
            </w:tcBorders>
          </w:tcPr>
          <w:p/>
        </w:tc>
        <w:tc>
          <w:tcPr>
            <w:tcW w:type="dxa" w:w="2392"/>
            <w:vMerge/>
            <w:tcBorders>
              <w:bottom w:sz="8.0" w:val="single" w:color="#6C6C6C"/>
            </w:tcBorders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</w:tr>
      <w:tr>
        <w:trPr>
          <w:trHeight w:hRule="exact" w:val="240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Premises and equipment</w:t>
            </w:r>
          </w:p>
        </w:tc>
        <w:tc>
          <w:tcPr>
            <w:tcW w:type="dxa" w:w="2392"/>
            <w:vMerge/>
            <w:tcBorders>
              <w:bottom w:sz="8.0" w:val="single" w:color="#6C6C6C"/>
            </w:tcBorders>
          </w:tcPr>
          <w:p/>
        </w:tc>
        <w:tc>
          <w:tcPr>
            <w:tcW w:type="dxa" w:w="2392"/>
            <w:vMerge/>
            <w:tcBorders>
              <w:bottom w:sz="8.0" w:val="single" w:color="#6C6C6C"/>
            </w:tcBorders>
          </w:tcPr>
          <w:p/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</w:tr>
      <w:tr>
        <w:trPr>
          <w:trHeight w:hRule="exact" w:val="256"/>
        </w:trPr>
        <w:tc>
          <w:tcPr>
            <w:tcW w:type="dxa" w:w="458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expenses</w:t>
            </w:r>
          </w:p>
        </w:tc>
        <w:tc>
          <w:tcPr>
            <w:tcW w:type="dxa" w:w="2392"/>
            <w:vMerge/>
            <w:tcBorders>
              <w:bottom w:sz="8.0" w:val="single" w:color="#6C6C6C"/>
            </w:tcBorders>
          </w:tcPr>
          <w:p/>
        </w:tc>
        <w:tc>
          <w:tcPr>
            <w:tcW w:type="dxa" w:w="2392"/>
            <w:vMerge/>
            <w:tcBorders>
              <w:bottom w:sz="8.0" w:val="single" w:color="#6C6C6C"/>
            </w:tcBorders>
          </w:tcPr>
          <w:p/>
        </w:tc>
        <w:tc>
          <w:tcPr>
            <w:tcW w:type="dxa" w:w="60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(5) </w:t>
            </w:r>
          </w:p>
        </w:tc>
      </w:tr>
      <w:tr>
        <w:trPr>
          <w:trHeight w:hRule="exact" w:val="226"/>
        </w:trPr>
        <w:tc>
          <w:tcPr>
            <w:tcW w:type="dxa" w:w="458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3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Total administrative expenses </w:t>
            </w:r>
          </w:p>
        </w:tc>
        <w:tc>
          <w:tcPr>
            <w:tcW w:type="dxa" w:w="384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59 </w:t>
            </w:r>
          </w:p>
        </w:tc>
      </w:tr>
      <w:tr>
        <w:trPr>
          <w:trHeight w:hRule="exact" w:val="234"/>
        </w:trPr>
        <w:tc>
          <w:tcPr>
            <w:tcW w:type="dxa" w:w="458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Contributions to special programs (Section V)</w:t>
            </w:r>
          </w:p>
        </w:tc>
        <w:tc>
          <w:tcPr>
            <w:tcW w:type="dxa" w:w="384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</w:tbl>
    <w:p>
      <w:pPr>
        <w:autoSpaceDN w:val="0"/>
        <w:autoSpaceDE w:val="0"/>
        <w:widowControl/>
        <w:spacing w:line="180" w:lineRule="exact" w:before="10" w:after="14"/>
        <w:ind w:left="1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Revenue from externally funded activities: (Section V)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85"/>
        <w:gridCol w:w="4785"/>
      </w:tblGrid>
      <w:tr>
        <w:trPr>
          <w:trHeight w:hRule="exact" w:val="3506"/>
        </w:trPr>
        <w:tc>
          <w:tcPr>
            <w:tcW w:type="dxa" w:w="5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2" w:val="left"/>
                <w:tab w:pos="278" w:val="left"/>
                <w:tab w:pos="400" w:val="left"/>
              </w:tabs>
              <w:autoSpaceDE w:val="0"/>
              <w:widowControl/>
              <w:spacing w:line="226" w:lineRule="exact" w:before="0" w:after="0"/>
              <w:ind w:left="118" w:right="1008" w:firstLine="0"/>
              <w:jc w:val="left"/>
            </w:pP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Reimbursable revenue – Bank-executed activities for trust funds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Reimbursable advisory services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Revenue - Trust fund administration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Restricted revenue (primarily externally financed outputs)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Revenue - Asset management services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revenue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Total Revenue from externally funded activities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non-interest expenses (Table 2)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pension cost, other than service cost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(Table 2)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Non-Interest Expenses - GAAP Basis</w:t>
            </w:r>
          </w:p>
          <w:p>
            <w:pPr>
              <w:autoSpaceDN w:val="0"/>
              <w:autoSpaceDE w:val="0"/>
              <w:widowControl/>
              <w:spacing w:line="180" w:lineRule="exact" w:before="90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Adjustments to arrive at net non-interest expenses - allocable income basis</w:t>
            </w:r>
          </w:p>
          <w:p>
            <w:pPr>
              <w:autoSpaceDN w:val="0"/>
              <w:autoSpaceDE w:val="0"/>
              <w:widowControl/>
              <w:spacing w:line="216" w:lineRule="exact" w:before="62" w:after="0"/>
              <w:ind w:left="118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Pension, Externally Financed Outputs (EFO) and Reserve Advisory and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Management Partnership (RAMP) adjustments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 xml:space="preserve">c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non-interest expenses - Allocable income basis</w:t>
            </w:r>
          </w:p>
        </w:tc>
        <w:tc>
          <w:tcPr>
            <w:tcW w:type="dxa" w:w="3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1213"/>
              <w:gridCol w:w="1213"/>
              <w:gridCol w:w="1213"/>
            </w:tblGrid>
            <w:tr>
              <w:trPr>
                <w:trHeight w:hRule="exact" w:val="1350"/>
              </w:trPr>
              <w:tc>
                <w:tcPr>
                  <w:tcW w:type="dxa" w:w="1242"/>
                  <w:tcBorders>
                    <w:end w:sz="24.0" w:val="single" w:color="#FFFFFF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0" w:after="0"/>
                    <w:ind w:left="720" w:right="2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(612)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(47)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(99)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(8)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(17)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(177) </w:t>
                  </w:r>
                </w:p>
              </w:tc>
              <w:tc>
                <w:tcPr>
                  <w:tcW w:type="dxa" w:w="2334"/>
                  <w:gridSpan w:val="2"/>
                  <w:tcBorders>
                    <w:start w:sz="24.0" w:val="single" w:color="#FFFF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43.9999999999998" w:type="dxa"/>
                  </w:tblPr>
                  <w:tblGrid>
                    <w:gridCol w:w="1167"/>
                    <w:gridCol w:w="1167"/>
                  </w:tblGrid>
                  <w:tr>
                    <w:trPr>
                      <w:trHeight w:hRule="exact" w:val="1310"/>
                    </w:trPr>
                    <w:tc>
                      <w:tcPr>
                        <w:tcW w:type="dxa" w:w="12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0" w:after="0"/>
                          <w:ind w:left="288" w:right="410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(570) </w:t>
                        </w:r>
                        <w:r>
                          <w:br/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(52) </w:t>
                        </w:r>
                        <w:r>
                          <w:br/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(62) </w:t>
                        </w:r>
                        <w:r>
                          <w:br/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(3) </w:t>
                        </w:r>
                        <w:r>
                          <w:br/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(16) </w:t>
                        </w:r>
                        <w:r>
                          <w:br/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(175) </w:t>
                        </w:r>
                      </w:p>
                    </w:tc>
                    <w:tc>
                      <w:tcPr>
                        <w:tcW w:type="dxa" w:w="72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500" w:val="left"/>
                            <w:tab w:pos="552" w:val="left"/>
                          </w:tabs>
                          <w:autoSpaceDE w:val="0"/>
                          <w:widowControl/>
                          <w:spacing w:line="218" w:lineRule="exact" w:before="0" w:after="0"/>
                          <w:ind w:left="410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(42) 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tab/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5 </w:t>
                        </w:r>
                        <w:r>
                          <w:br/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(37) </w:t>
                        </w:r>
                        <w:r>
                          <w:br/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(5) </w:t>
                        </w:r>
                        <w:r>
                          <w:br/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(1) </w:t>
                        </w:r>
                        <w:r>
                          <w:br/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(2)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224"/>
              </w:trPr>
              <w:tc>
                <w:tcPr>
                  <w:tcW w:type="dxa" w:w="1242"/>
                  <w:tcBorders>
                    <w:top w:sz="8.0" w:val="single" w:color="#6C6C6C"/>
                    <w:end w:sz="24.0" w:val="single" w:color="#FFFFFF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68" w:val="left"/>
                    </w:tabs>
                    <w:autoSpaceDE w:val="0"/>
                    <w:widowControl/>
                    <w:spacing w:line="178" w:lineRule="exact" w:before="10" w:after="0"/>
                    <w:ind w:left="64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(960) </w:t>
                  </w:r>
                </w:p>
              </w:tc>
              <w:tc>
                <w:tcPr>
                  <w:tcW w:type="dxa" w:w="2334"/>
                  <w:gridSpan w:val="2"/>
                  <w:tcBorders>
                    <w:start w:sz="24.0" w:val="single" w:color="#FFFFFF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.9999999999997726" w:type="dxa"/>
                  </w:tblPr>
                  <w:tblGrid>
                    <w:gridCol w:w="583"/>
                    <w:gridCol w:w="583"/>
                    <w:gridCol w:w="583"/>
                    <w:gridCol w:w="583"/>
                  </w:tblGrid>
                  <w:tr>
                    <w:trPr>
                      <w:trHeight w:hRule="exact" w:val="180"/>
                    </w:trPr>
                    <w:tc>
                      <w:tcPr>
                        <w:tcW w:type="dxa" w:w="46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0" w:after="0"/>
                          <w:ind w:left="48" w:right="0" w:firstLine="0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16"/>
                          </w:rPr>
                          <w:t xml:space="preserve">$ </w:t>
                        </w:r>
                      </w:p>
                    </w:tc>
                    <w:tc>
                      <w:tcPr>
                        <w:tcW w:type="dxa" w:w="76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0" w:after="0"/>
                          <w:ind w:left="0" w:right="50" w:firstLine="0"/>
                          <w:jc w:val="righ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16"/>
                          </w:rPr>
                          <w:t xml:space="preserve">(878) </w:t>
                        </w:r>
                      </w:p>
                    </w:tc>
                    <w:tc>
                      <w:tcPr>
                        <w:tcW w:type="dxa" w:w="48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0" w:after="0"/>
                          <w:ind w:left="88" w:right="0" w:firstLine="0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16"/>
                          </w:rPr>
                          <w:t xml:space="preserve">$ </w:t>
                        </w:r>
                      </w:p>
                    </w:tc>
                    <w:tc>
                      <w:tcPr>
                        <w:tcW w:type="dxa" w:w="6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16"/>
                          </w:rPr>
                          <w:t xml:space="preserve">(82)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3576"/>
                  <w:gridSpan w:val="3"/>
                  <w:tcBorders>
                    <w:top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6.0000000000002" w:type="dxa"/>
                  </w:tblPr>
                  <w:tblGrid>
                    <w:gridCol w:w="1192"/>
                    <w:gridCol w:w="1192"/>
                    <w:gridCol w:w="1192"/>
                  </w:tblGrid>
                  <w:tr>
                    <w:trPr>
                      <w:trHeight w:hRule="exact" w:val="220"/>
                    </w:trPr>
                    <w:tc>
                      <w:tcPr>
                        <w:tcW w:type="dxa" w:w="12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1,436 </w:t>
                        </w:r>
                      </w:p>
                    </w:tc>
                    <w:tc>
                      <w:tcPr>
                        <w:tcW w:type="dxa" w:w="1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1,459 </w:t>
                        </w:r>
                      </w:p>
                    </w:tc>
                    <w:tc>
                      <w:tcPr>
                        <w:tcW w:type="dxa" w:w="72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14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(23) </w:t>
                        </w:r>
                      </w:p>
                    </w:tc>
                  </w:tr>
                  <w:tr>
                    <w:trPr>
                      <w:trHeight w:hRule="exact" w:val="210"/>
                    </w:trPr>
                    <w:tc>
                      <w:tcPr>
                        <w:tcW w:type="dxa" w:w="12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(194) </w:t>
                        </w:r>
                      </w:p>
                    </w:tc>
                    <w:tc>
                      <w:tcPr>
                        <w:tcW w:type="dxa" w:w="1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(205) </w:t>
                        </w:r>
                      </w:p>
                    </w:tc>
                    <w:tc>
                      <w:tcPr>
                        <w:tcW w:type="dxa" w:w="72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34" w:after="0"/>
                          <w:ind w:left="0" w:right="34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 xml:space="preserve">11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231"/>
              </w:trPr>
              <w:tc>
                <w:tcPr>
                  <w:tcW w:type="dxa" w:w="1242"/>
                  <w:tcBorders>
                    <w:top w:sz="8.0" w:val="single" w:color="#6C6C6C"/>
                    <w:end w:sz="24.0" w:val="single" w:color="#FFFFFF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40" w:val="left"/>
                    </w:tabs>
                    <w:autoSpaceDE w:val="0"/>
                    <w:widowControl/>
                    <w:spacing w:line="180" w:lineRule="exact" w:before="10" w:after="0"/>
                    <w:ind w:left="64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1,242 </w:t>
                  </w:r>
                </w:p>
              </w:tc>
              <w:tc>
                <w:tcPr>
                  <w:tcW w:type="dxa" w:w="2334"/>
                  <w:gridSpan w:val="2"/>
                  <w:tcBorders>
                    <w:start w:sz="24.0" w:val="single" w:color="#FFFFFF"/>
                    <w:top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.9999999999997726" w:type="dxa"/>
                  </w:tblPr>
                  <w:tblGrid>
                    <w:gridCol w:w="583"/>
                    <w:gridCol w:w="583"/>
                    <w:gridCol w:w="583"/>
                    <w:gridCol w:w="583"/>
                  </w:tblGrid>
                  <w:tr>
                    <w:trPr>
                      <w:trHeight w:hRule="exact" w:val="181"/>
                    </w:trPr>
                    <w:tc>
                      <w:tcPr>
                        <w:tcW w:type="dxa" w:w="44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10" w:after="0"/>
                          <w:ind w:left="48" w:right="0" w:firstLine="0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16"/>
                          </w:rPr>
                          <w:t xml:space="preserve">$ </w:t>
                        </w:r>
                      </w:p>
                    </w:tc>
                    <w:tc>
                      <w:tcPr>
                        <w:tcW w:type="dxa" w:w="804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10" w:after="0"/>
                          <w:ind w:left="0" w:right="74" w:firstLine="0"/>
                          <w:jc w:val="righ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16"/>
                          </w:rPr>
                          <w:t xml:space="preserve">1,254 </w:t>
                        </w:r>
                      </w:p>
                    </w:tc>
                    <w:tc>
                      <w:tcPr>
                        <w:tcW w:type="dxa" w:w="456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10" w:after="0"/>
                          <w:ind w:left="64" w:right="0" w:firstLine="0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16"/>
                          </w:rPr>
                          <w:t xml:space="preserve">$ </w:t>
                        </w:r>
                      </w:p>
                    </w:tc>
                    <w:tc>
                      <w:tcPr>
                        <w:tcW w:type="dxa" w:w="6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1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16"/>
                          </w:rPr>
                          <w:t xml:space="preserve">(12)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745"/>
              </w:trPr>
              <w:tc>
                <w:tcPr>
                  <w:tcW w:type="dxa" w:w="1242"/>
                  <w:tcBorders>
                    <w:top w:sz="8.0" w:val="single" w:color="#6C6C6C"/>
                    <w:end w:sz="24.0" w:val="single" w:color="#FFFFFF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424" w:after="0"/>
                    <w:ind w:left="0" w:right="2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192 </w:t>
                  </w:r>
                </w:p>
              </w:tc>
              <w:tc>
                <w:tcPr>
                  <w:tcW w:type="dxa" w:w="1260"/>
                  <w:tcBorders>
                    <w:start w:sz="24.0" w:val="single" w:color="#FFFFFF"/>
                    <w:top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424" w:after="0"/>
                    <w:ind w:left="0" w:right="5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107 </w:t>
                  </w:r>
                </w:p>
              </w:tc>
              <w:tc>
                <w:tcPr>
                  <w:tcW w:type="dxa" w:w="1213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27"/>
              </w:trPr>
              <w:tc>
                <w:tcPr>
                  <w:tcW w:type="dxa" w:w="1242"/>
                  <w:tcBorders>
                    <w:top w:sz="8.0" w:val="single" w:color="#6C6C6C"/>
                    <w:end w:sz="24.0" w:val="single" w:color="#FFFFFF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40" w:val="left"/>
                    </w:tabs>
                    <w:autoSpaceDE w:val="0"/>
                    <w:widowControl/>
                    <w:spacing w:line="178" w:lineRule="exact" w:before="18" w:after="0"/>
                    <w:ind w:left="64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1,434 </w:t>
                  </w:r>
                </w:p>
              </w:tc>
              <w:tc>
                <w:tcPr>
                  <w:tcW w:type="dxa" w:w="2334"/>
                  <w:gridSpan w:val="2"/>
                  <w:tcBorders>
                    <w:start w:sz="24.0" w:val="single" w:color="#FFFFFF"/>
                    <w:top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.9999999999997726" w:type="dxa"/>
                  </w:tblPr>
                  <w:tblGrid>
                    <w:gridCol w:w="583"/>
                    <w:gridCol w:w="583"/>
                    <w:gridCol w:w="583"/>
                    <w:gridCol w:w="583"/>
                  </w:tblGrid>
                  <w:tr>
                    <w:trPr>
                      <w:trHeight w:hRule="exact" w:val="192"/>
                    </w:trPr>
                    <w:tc>
                      <w:tcPr>
                        <w:tcW w:type="dxa" w:w="44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4" w:after="0"/>
                          <w:ind w:left="48" w:right="0" w:firstLine="0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16"/>
                          </w:rPr>
                          <w:t xml:space="preserve">$ </w:t>
                        </w:r>
                      </w:p>
                    </w:tc>
                    <w:tc>
                      <w:tcPr>
                        <w:tcW w:type="dxa" w:w="78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4" w:after="0"/>
                          <w:ind w:left="0" w:right="50" w:firstLine="0"/>
                          <w:jc w:val="righ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16"/>
                          </w:rPr>
                          <w:t xml:space="preserve">1,361 </w:t>
                        </w:r>
                      </w:p>
                    </w:tc>
                    <w:tc>
                      <w:tcPr>
                        <w:tcW w:type="dxa" w:w="52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4" w:after="0"/>
                          <w:ind w:left="88" w:right="0" w:firstLine="0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16"/>
                          </w:rPr>
                          <w:t xml:space="preserve">$ </w:t>
                        </w:r>
                      </w:p>
                    </w:tc>
                    <w:tc>
                      <w:tcPr>
                        <w:tcW w:type="dxa" w:w="54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4" w:after="0"/>
                          <w:ind w:left="0" w:right="16" w:firstLine="0"/>
                          <w:jc w:val="righ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16"/>
                          </w:rPr>
                          <w:t xml:space="preserve">73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2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The pension service cost represents the cost of benefits attributable to services performed by employees for the Bank during the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fiscal year. See Notes to Financial Statements, Note K: Pension and Other Post-Retirement Benefits.</w:t>
      </w:r>
    </w:p>
    <w:p>
      <w:pPr>
        <w:autoSpaceDN w:val="0"/>
        <w:autoSpaceDE w:val="0"/>
        <w:widowControl/>
        <w:spacing w:line="196" w:lineRule="exact" w:before="44" w:after="858"/>
        <w:ind w:left="62" w:right="2736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Amount is included in Non-interest expenses - Other in the Statements of Income (Table 2).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c. Adjustments are included in the Pension and other adjustments line in Table 2.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0.0" w:type="dxa"/>
      </w:tblPr>
      <w:tblGrid>
        <w:gridCol w:w="4785"/>
        <w:gridCol w:w="4785"/>
      </w:tblGrid>
      <w:tr>
        <w:trPr>
          <w:trHeight w:hRule="exact" w:val="264"/>
        </w:trPr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16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2024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02" w:right="1240" w:bottom="244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Financial Results</w:t>
            </w:r>
          </w:p>
        </w:tc>
      </w:tr>
    </w:tbl>
    <w:p>
      <w:pPr>
        <w:autoSpaceDN w:val="0"/>
        <w:autoSpaceDE w:val="0"/>
        <w:widowControl/>
        <w:spacing w:line="240" w:lineRule="exact" w:before="49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goal is to have its net administrative expenses covered by its loan spread revenue (Box 1) and certain fee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revenue, using a measure referred to as the Budget Anchor. In FY24, IBRD’s Budget Anchor was 62.7%, 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of 2.4% compared with 60.3% in FY23. The increase was primarily due to the increase in net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administrative expenses outpacing the increase in budget anchor revenue. Growth in loan spread revenue was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moderated in FY24 by the impact from the lag in the 6-month London Interbank Offer Rate (LIBOR) based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borrowing portfolio resetting to Secured Overnight Financing Rate (SOFR) at higher rates during FY24, whereas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majority of the loan portfolio had transitioned to daily SOFR by the end of FY23 (see Table 6 for details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Budget Anchor components).</w:t>
      </w:r>
    </w:p>
    <w:p>
      <w:pPr>
        <w:autoSpaceDN w:val="0"/>
        <w:autoSpaceDE w:val="0"/>
        <w:widowControl/>
        <w:spacing w:line="202" w:lineRule="exact" w:before="20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6: Budget Anchor Ratio</w:t>
      </w:r>
    </w:p>
    <w:p>
      <w:pPr>
        <w:autoSpaceDN w:val="0"/>
        <w:autoSpaceDE w:val="0"/>
        <w:widowControl/>
        <w:spacing w:line="180" w:lineRule="exact" w:before="60" w:after="3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238"/>
        </w:trPr>
        <w:tc>
          <w:tcPr>
            <w:tcW w:type="dxa" w:w="8036"/>
            <w:tcBorders>
              <w:end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2679"/>
              <w:gridCol w:w="2679"/>
              <w:gridCol w:w="2679"/>
            </w:tblGrid>
            <w:tr>
              <w:trPr>
                <w:trHeight w:hRule="exact" w:val="190"/>
              </w:trPr>
              <w:tc>
                <w:tcPr>
                  <w:tcW w:type="dxa" w:w="4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3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808080"/>
                      <w:sz w:val="16"/>
                    </w:rPr>
                    <w:t>For the fiscal year ended June 30,</w:t>
                  </w:r>
                </w:p>
              </w:tc>
              <w:tc>
                <w:tcPr>
                  <w:tcW w:type="dxa" w:w="2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0" w:right="502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/>
                      <w:color w:val="A6A6A6"/>
                      <w:sz w:val="16"/>
                    </w:rPr>
                    <w:t>2024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0" w:right="38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/>
                      <w:color w:val="A6A6A6"/>
                      <w:sz w:val="16"/>
                    </w:rPr>
                    <w:t>2023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44"/>
            <w:tcBorders>
              <w:start w:sz="24.0" w:val="single" w:color="#FFFFFF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 Variance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38"/>
        </w:trPr>
        <w:tc>
          <w:tcPr>
            <w:tcW w:type="dxa" w:w="5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Net non-interest expenses (From Table 5)</w:t>
            </w:r>
          </w:p>
        </w:tc>
        <w:tc>
          <w:tcPr>
            <w:tcW w:type="dxa" w:w="444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1,242 </w:t>
            </w:r>
          </w:p>
        </w:tc>
        <w:tc>
          <w:tcPr>
            <w:tcW w:type="dxa" w:w="48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1,254 </w:t>
            </w:r>
          </w:p>
        </w:tc>
        <w:tc>
          <w:tcPr>
            <w:tcW w:type="dxa" w:w="636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(12) </w:t>
            </w:r>
          </w:p>
        </w:tc>
      </w:tr>
      <w:tr>
        <w:trPr>
          <w:trHeight w:hRule="exact" w:val="260"/>
        </w:trPr>
        <w:tc>
          <w:tcPr>
            <w:tcW w:type="dxa" w:w="5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Pension adjustment (From Table 8)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194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119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 </w:t>
            </w:r>
          </w:p>
        </w:tc>
      </w:tr>
      <w:tr>
        <w:trPr>
          <w:trHeight w:hRule="exact" w:val="220"/>
        </w:trPr>
        <w:tc>
          <w:tcPr>
            <w:tcW w:type="dxa" w:w="52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RAMP adjustment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(1)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(1) </w:t>
            </w:r>
          </w:p>
        </w:tc>
      </w:tr>
      <w:tr>
        <w:trPr>
          <w:trHeight w:hRule="exact" w:val="274"/>
        </w:trPr>
        <w:tc>
          <w:tcPr>
            <w:tcW w:type="dxa" w:w="5296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EFO adjustment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88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884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(11)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73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</w:tr>
      <w:tr>
        <w:trPr>
          <w:trHeight w:hRule="exact" w:val="220"/>
        </w:trPr>
        <w:tc>
          <w:tcPr>
            <w:tcW w:type="dxa" w:w="5296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administrative expenses – for Budget Anchor</w:t>
            </w:r>
          </w:p>
        </w:tc>
        <w:tc>
          <w:tcPr>
            <w:tcW w:type="dxa" w:w="44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7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1,434 </w:t>
            </w:r>
          </w:p>
        </w:tc>
        <w:tc>
          <w:tcPr>
            <w:tcW w:type="dxa" w:w="48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1,361 </w:t>
            </w:r>
          </w:p>
        </w:tc>
        <w:tc>
          <w:tcPr>
            <w:tcW w:type="dxa" w:w="63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73 </w:t>
            </w:r>
          </w:p>
        </w:tc>
      </w:tr>
      <w:tr>
        <w:trPr>
          <w:trHeight w:hRule="exact" w:val="486"/>
        </w:trPr>
        <w:tc>
          <w:tcPr>
            <w:tcW w:type="dxa" w:w="529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 spread revenue, net</w:t>
            </w:r>
          </w:p>
        </w:tc>
        <w:tc>
          <w:tcPr>
            <w:tcW w:type="dxa" w:w="444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2,119 </w:t>
            </w:r>
          </w:p>
        </w:tc>
        <w:tc>
          <w:tcPr>
            <w:tcW w:type="dxa" w:w="480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8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2,118 </w:t>
            </w:r>
          </w:p>
        </w:tc>
        <w:tc>
          <w:tcPr>
            <w:tcW w:type="dxa" w:w="636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3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</w:tr>
      <w:tr>
        <w:trPr>
          <w:trHeight w:hRule="exact" w:val="220"/>
        </w:trPr>
        <w:tc>
          <w:tcPr>
            <w:tcW w:type="dxa" w:w="52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 commitment fees (From Table 4)</w:t>
            </w:r>
          </w:p>
        </w:tc>
        <w:tc>
          <w:tcPr>
            <w:tcW w:type="dxa" w:w="1349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149 </w:t>
            </w:r>
          </w:p>
        </w:tc>
        <w:tc>
          <w:tcPr>
            <w:tcW w:type="dxa" w:w="1349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124 </w:t>
            </w:r>
          </w:p>
        </w:tc>
        <w:tc>
          <w:tcPr>
            <w:tcW w:type="dxa" w:w="1349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 </w:t>
            </w:r>
          </w:p>
        </w:tc>
      </w:tr>
      <w:tr>
        <w:trPr>
          <w:trHeight w:hRule="exact" w:val="274"/>
        </w:trPr>
        <w:tc>
          <w:tcPr>
            <w:tcW w:type="dxa" w:w="529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Guarantee fees (From Table 4)</w:t>
            </w:r>
          </w:p>
        </w:tc>
        <w:tc>
          <w:tcPr>
            <w:tcW w:type="dxa" w:w="1349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8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 </w:t>
            </w:r>
          </w:p>
        </w:tc>
        <w:tc>
          <w:tcPr>
            <w:tcW w:type="dxa" w:w="1349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84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 </w:t>
            </w:r>
          </w:p>
        </w:tc>
        <w:tc>
          <w:tcPr>
            <w:tcW w:type="dxa" w:w="1349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3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  <w:tr>
        <w:trPr>
          <w:trHeight w:hRule="exact" w:val="220"/>
        </w:trPr>
        <w:tc>
          <w:tcPr>
            <w:tcW w:type="dxa" w:w="5296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Budget anchor revenue</w:t>
            </w:r>
          </w:p>
        </w:tc>
        <w:tc>
          <w:tcPr>
            <w:tcW w:type="dxa" w:w="44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7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2,287 </w:t>
            </w:r>
          </w:p>
        </w:tc>
        <w:tc>
          <w:tcPr>
            <w:tcW w:type="dxa" w:w="48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2,257 </w:t>
            </w:r>
          </w:p>
        </w:tc>
        <w:tc>
          <w:tcPr>
            <w:tcW w:type="dxa" w:w="63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30 </w:t>
            </w:r>
          </w:p>
        </w:tc>
      </w:tr>
      <w:tr>
        <w:trPr>
          <w:trHeight w:hRule="exact" w:val="52"/>
        </w:trPr>
        <w:tc>
          <w:tcPr>
            <w:tcW w:type="dxa" w:w="529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235"/>
        </w:trPr>
        <w:tc>
          <w:tcPr>
            <w:tcW w:type="dxa" w:w="8036"/>
            <w:tcBorders>
              <w:end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2679"/>
              <w:gridCol w:w="2679"/>
              <w:gridCol w:w="2679"/>
            </w:tblGrid>
            <w:tr>
              <w:trPr>
                <w:trHeight w:hRule="exact" w:val="187"/>
              </w:trPr>
              <w:tc>
                <w:tcPr>
                  <w:tcW w:type="dxa" w:w="529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3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Budget Anchor</w:t>
                  </w:r>
                </w:p>
              </w:tc>
              <w:tc>
                <w:tcPr>
                  <w:tcW w:type="dxa" w:w="132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0" w:right="24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 62.7 %</w:t>
                  </w:r>
                </w:p>
              </w:tc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0" w:right="20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 60.3 %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44"/>
            <w:tcBorders>
              <w:start w:sz="24.0" w:val="single" w:color="#FFFFFF"/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3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These adjustments are made to arrive at net administrative expenses used for allocable income purposes. For more information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see Table 8 in Net Income Allocation section.</w:t>
      </w:r>
    </w:p>
    <w:p>
      <w:pPr>
        <w:autoSpaceDN w:val="0"/>
        <w:autoSpaceDE w:val="0"/>
        <w:widowControl/>
        <w:spacing w:line="244" w:lineRule="exact" w:before="22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Unrealized mark-to-market gains/losses on non-trading portfolios</w:t>
      </w:r>
    </w:p>
    <w:p>
      <w:pPr>
        <w:autoSpaceDN w:val="0"/>
        <w:autoSpaceDE w:val="0"/>
        <w:widowControl/>
        <w:spacing w:line="240" w:lineRule="exact" w:before="86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Unrealized mark-to-market gains and losses associated with the non-trading portfolios are excluded from reported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net income to arrive at allocable income. As a result, from a long-term financial sustainability perspective, income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allocations are generally based on amounts that have been realized (except for the Investments-Trading portfolio,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previously discussed). For FY24, $287 million of net unrealized mark-to-market gains ($167 million net unrealized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mark-to-market losses in FY23) were excluded from reported net income to arrive at allocable income (Table 2). </w:t>
      </w:r>
    </w:p>
    <w:p>
      <w:pPr>
        <w:autoSpaceDN w:val="0"/>
        <w:autoSpaceDE w:val="0"/>
        <w:widowControl/>
        <w:spacing w:line="226" w:lineRule="exact" w:before="176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Table 7: Unrealized Mark-to-Market gains/ (losses) on non-trading portfolios </w:t>
      </w:r>
      <w:r>
        <w:rPr>
          <w:w w:val="97.49999841054282"/>
          <w:rFonts w:ascii="Arial" w:hAnsi="Arial" w:eastAsia="Arial"/>
          <w:b/>
          <w:i w:val="0"/>
          <w:color w:val="000000"/>
          <w:sz w:val="12"/>
        </w:rPr>
        <w:t>a</w:t>
      </w:r>
    </w:p>
    <w:p>
      <w:pPr>
        <w:autoSpaceDN w:val="0"/>
        <w:autoSpaceDE w:val="0"/>
        <w:widowControl/>
        <w:spacing w:line="180" w:lineRule="exact" w:before="62" w:after="3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599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For the fiscal year ended June 30,</w:t>
            </w:r>
          </w:p>
        </w:tc>
        <w:tc>
          <w:tcPr>
            <w:tcW w:type="dxa" w:w="43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gridSpan w:val="2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2024</w:t>
            </w:r>
          </w:p>
        </w:tc>
        <w:tc>
          <w:tcPr>
            <w:tcW w:type="dxa" w:w="980"/>
            <w:gridSpan w:val="2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2023</w:t>
            </w:r>
          </w:p>
        </w:tc>
        <w:tc>
          <w:tcPr>
            <w:tcW w:type="dxa" w:w="89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Variance</w:t>
            </w:r>
          </w:p>
        </w:tc>
      </w:tr>
      <w:tr>
        <w:trPr>
          <w:trHeight w:hRule="exact" w:val="224"/>
        </w:trPr>
        <w:tc>
          <w:tcPr>
            <w:tcW w:type="dxa" w:w="5994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 related derivatives</w:t>
            </w:r>
          </w:p>
        </w:tc>
        <w:tc>
          <w:tcPr>
            <w:tcW w:type="dxa" w:w="430"/>
            <w:vMerge w:val="restart"/>
            <w:tcBorders>
              <w:top w:sz="4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80"/>
            <w:gridSpan w:val="2"/>
            <w:tcBorders>
              <w:top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(458) $ </w:t>
            </w:r>
          </w:p>
        </w:tc>
        <w:tc>
          <w:tcPr>
            <w:tcW w:type="dxa" w:w="76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1,673 </w:t>
            </w:r>
          </w:p>
        </w:tc>
        <w:tc>
          <w:tcPr>
            <w:tcW w:type="dxa" w:w="22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(2,131) </w:t>
            </w:r>
          </w:p>
        </w:tc>
      </w:tr>
      <w:tr>
        <w:trPr>
          <w:trHeight w:hRule="exact" w:val="240"/>
        </w:trPr>
        <w:tc>
          <w:tcPr>
            <w:tcW w:type="dxa" w:w="5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asset/liability management derivatives, net</w:t>
            </w:r>
          </w:p>
        </w:tc>
        <w:tc>
          <w:tcPr>
            <w:tcW w:type="dxa" w:w="13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708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(1,642)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2,350 </w:t>
            </w:r>
          </w:p>
        </w:tc>
      </w:tr>
      <w:tr>
        <w:trPr>
          <w:trHeight w:hRule="exact" w:val="240"/>
        </w:trPr>
        <w:tc>
          <w:tcPr>
            <w:tcW w:type="dxa" w:w="5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Borrowings, including related derivatives</w:t>
            </w:r>
          </w:p>
        </w:tc>
        <w:tc>
          <w:tcPr>
            <w:tcW w:type="dxa" w:w="13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(198)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205 </w:t>
            </w:r>
          </w:p>
        </w:tc>
      </w:tr>
      <w:tr>
        <w:trPr>
          <w:trHeight w:hRule="exact" w:val="254"/>
        </w:trPr>
        <w:tc>
          <w:tcPr>
            <w:tcW w:type="dxa" w:w="59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Client operations and other derivatives, net </w:t>
            </w:r>
          </w:p>
        </w:tc>
        <w:tc>
          <w:tcPr>
            <w:tcW w:type="dxa" w:w="13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</w:t>
            </w:r>
          </w:p>
        </w:tc>
        <w:tc>
          <w:tcPr>
            <w:tcW w:type="dxa" w:w="9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</w:t>
            </w:r>
          </w:p>
        </w:tc>
      </w:tr>
      <w:tr>
        <w:trPr>
          <w:trHeight w:hRule="exact" w:val="220"/>
        </w:trPr>
        <w:tc>
          <w:tcPr>
            <w:tcW w:type="dxa" w:w="59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287 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0"/>
            <w:gridSpan w:val="2"/>
            <w:vMerge w:val="restart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(167) $ </w:t>
            </w:r>
          </w:p>
        </w:tc>
        <w:tc>
          <w:tcPr>
            <w:tcW w:type="dxa" w:w="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454 </w:t>
            </w:r>
          </w:p>
        </w:tc>
      </w:tr>
      <w:tr>
        <w:trPr>
          <w:trHeight w:hRule="exact" w:val="262"/>
        </w:trPr>
        <w:tc>
          <w:tcPr>
            <w:tcW w:type="dxa" w:w="5994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8"/>
            <w:gridSpan w:val="2"/>
            <w:vMerge/>
            <w:tcBorders>
              <w:top w:sz="8.0" w:val="single" w:color="#000000"/>
              <w:bottom w:sz="4.0" w:val="single" w:color="#929292"/>
            </w:tcBorders>
          </w:tcPr>
          <w:p/>
        </w:tc>
        <w:tc>
          <w:tcPr>
            <w:tcW w:type="dxa" w:w="89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1504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loans, after the effect of derivatives, carry variable interest rates and have a low sensitivity to interest rate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movements.  The unrealized mark-to-market losses on loan related derivatives were $458 million in FY24, primarily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due to the decrease in relevant interest rates during the year. See Section IX: Risk Management for additional details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4720"/>
        <w:gridCol w:w="4720"/>
      </w:tblGrid>
      <w:tr>
        <w:trPr>
          <w:trHeight w:hRule="exact" w:val="4442"/>
        </w:trPr>
        <w:tc>
          <w:tcPr>
            <w:tcW w:type="dxa" w:w="4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8" w:lineRule="exact" w:before="2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a. Adj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Loan</w:t>
            </w:r>
          </w:p>
          <w:p>
            <w:pPr>
              <w:autoSpaceDN w:val="0"/>
              <w:autoSpaceDE w:val="0"/>
              <w:widowControl/>
              <w:spacing w:line="220" w:lineRule="exact" w:before="158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on ho</w:t>
            </w:r>
          </w:p>
          <w:p>
            <w:pPr>
              <w:autoSpaceDN w:val="0"/>
              <w:autoSpaceDE w:val="0"/>
              <w:widowControl/>
              <w:spacing w:line="224" w:lineRule="exact" w:before="127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77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448" w:lineRule="exact" w:before="234" w:after="0"/>
              <w:ind w:left="0" w:right="2016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a. Adj usted to exclude amounts reclassified to realized mark-to-market gains (losses).</w:t>
            </w:r>
            <w:r>
              <w:tab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 Portfolio</w:t>
            </w:r>
          </w:p>
          <w:p>
            <w:pPr>
              <w:autoSpaceDN w:val="0"/>
              <w:autoSpaceDE w:val="0"/>
              <w:widowControl/>
              <w:spacing w:line="220" w:lineRule="exact" w:before="1586" w:after="0"/>
              <w:ind w:left="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on how IBRD uses derivatives in the loan portfolio.</w:t>
            </w:r>
          </w:p>
          <w:p>
            <w:pPr>
              <w:autoSpaceDN w:val="0"/>
              <w:autoSpaceDE w:val="0"/>
              <w:widowControl/>
              <w:spacing w:line="224" w:lineRule="exact" w:before="1272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2024</w:t>
            </w:r>
          </w:p>
        </w:tc>
      </w:tr>
    </w:tbl>
    <w:p>
      <w:pPr>
        <w:autoSpaceDN w:val="0"/>
        <w:autoSpaceDE w:val="0"/>
        <w:widowControl/>
        <w:spacing w:line="234" w:lineRule="exact" w:before="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Loans are reported at amortized cost on the Balance Sheets and therefore the mark-to-market effect on loans is not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reflected in reported net income. However, the derivatives used to convert the loans from fixed-rate to variable-rate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instruments, for asset / liability management purposes, are reported at fair value. From an economic perspective, </w:t>
      </w:r>
    </w:p>
    <w:p>
      <w:pPr>
        <w:sectPr>
          <w:pgSz w:w="12240" w:h="15840"/>
          <w:pgMar w:top="302" w:right="1370" w:bottom="252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Financial Results</w:t>
            </w:r>
          </w:p>
        </w:tc>
      </w:tr>
    </w:tbl>
    <w:p>
      <w:pPr>
        <w:autoSpaceDN w:val="0"/>
        <w:autoSpaceDE w:val="0"/>
        <w:widowControl/>
        <w:spacing w:line="244" w:lineRule="exact" w:before="506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Other ALM Portfolio</w:t>
      </w:r>
    </w:p>
    <w:p>
      <w:pPr>
        <w:autoSpaceDN w:val="0"/>
        <w:autoSpaceDE w:val="0"/>
        <w:widowControl/>
        <w:spacing w:line="240" w:lineRule="exact" w:before="126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uses derivatives to stabilize its interest revenue from the portion of loans that is sensitive to changes in short -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term interest rates. The Other ALM portfolio consists of derivatives which convert variable rate loan cash flows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fixed rate loan cash flows. In FY24, IBRD recorded unrealized mark-to-market gains of $708 million on this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portfolio, primarily due to the decrease in relevant interest rates as of June 30, 2024 compared to June 30, 2023.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duration of this portfolio was 4.6 years as of June 30, 2024, within the Board established limit of 5 years.</w:t>
      </w:r>
    </w:p>
    <w:p>
      <w:pPr>
        <w:autoSpaceDN w:val="0"/>
        <w:autoSpaceDE w:val="0"/>
        <w:widowControl/>
        <w:spacing w:line="244" w:lineRule="exact" w:before="13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Borrowing Portfolio</w:t>
      </w:r>
    </w:p>
    <w:p>
      <w:pPr>
        <w:autoSpaceDN w:val="0"/>
        <w:autoSpaceDE w:val="0"/>
        <w:widowControl/>
        <w:spacing w:line="240" w:lineRule="exact" w:before="126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bonds and the related derivatives are reported at fair value. IBRD recorded $7 million of net unrealized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mark-to-market gains on IBRD’s bonds and associated derivatives, due to the decrease in relevant interest rates as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June 30, 2024 compared to June 30, 2023. The gains on the bond-related derivatives exceeded the losses on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bonds. The net unrealized mark-to-market losses on IBRD’s bonds exclude changes in IBRD’s own credit, referred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as the Debit Valuation Adjustment (DVA) on Fair Value Option elected liabilities, which is instead recorded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Accumulated Other Comprehensive Income (AOCI). In FY24, the DVA was $322 million of unrealized mark-to-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market gains, resulting mainly from the widening of IBRD’s credit spreads relative to the applicable reference rate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during the year. As of June 30, 2024, IBRD’s Balance Sheets included a cumulative DVA of $673 million of mark-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to-market gains reflected in AOCI (See Notes to the Financial Statements, Note J – Fair Value Disclosures). </w:t>
      </w:r>
    </w:p>
    <w:p>
      <w:pPr>
        <w:autoSpaceDN w:val="0"/>
        <w:autoSpaceDE w:val="0"/>
        <w:widowControl/>
        <w:spacing w:line="244" w:lineRule="exact" w:before="250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Board of Governors-approved Transfers</w:t>
      </w:r>
    </w:p>
    <w:p>
      <w:pPr>
        <w:autoSpaceDN w:val="0"/>
        <w:autoSpaceDE w:val="0"/>
        <w:widowControl/>
        <w:spacing w:line="224" w:lineRule="exact" w:before="146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 August 21, 2023, IBRD’s Board of Governors approved a transfer of $80 million from Surplus to the Trust Fund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Gaza and the West Bank, and $40 million from Surplus to the IBRD Fund for Innovative Global Public Goods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Solutions (subsequently renamed IBRD Surplus-Funded Livable Planet Fund or LPF1). The transfers were made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September 6, 2023 and September 12, 2023 respectively. During the fiscal year ended June 30, 2024, out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cumulative transfers of $125 million to LPF1, no transaction met the criteria for recognition as an expense in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Statement of Income. As of June 30, 2024, the balance available for disbursements out of the cumulative transfers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LPF1 was $101 million.</w:t>
      </w:r>
    </w:p>
    <w:p>
      <w:pPr>
        <w:autoSpaceDN w:val="0"/>
        <w:autoSpaceDE w:val="0"/>
        <w:widowControl/>
        <w:spacing w:line="240" w:lineRule="exact" w:before="104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 October 13, 2023, IBRD’s Board of Governors approved a transfer to IDA of $291 million and a transfer of $100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 to Surplus out of the net income earned in the fiscal year ended June 30, 2023. The transfer to IDA was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made on October 24, 2023.</w:t>
      </w:r>
    </w:p>
    <w:p>
      <w:pPr>
        <w:autoSpaceDN w:val="0"/>
        <w:tabs>
          <w:tab w:pos="9088" w:val="left"/>
        </w:tabs>
        <w:autoSpaceDE w:val="0"/>
        <w:widowControl/>
        <w:spacing w:line="224" w:lineRule="exact" w:before="6464" w:after="0"/>
        <w:ind w:left="32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17</w:t>
      </w:r>
    </w:p>
    <w:p>
      <w:pPr>
        <w:sectPr>
          <w:pgSz w:w="12240" w:h="15840"/>
          <w:pgMar w:top="302" w:right="1370" w:bottom="24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Financial Results</w:t>
            </w:r>
          </w:p>
        </w:tc>
      </w:tr>
    </w:tbl>
    <w:p>
      <w:pPr>
        <w:autoSpaceDN w:val="0"/>
        <w:autoSpaceDE w:val="0"/>
        <w:widowControl/>
        <w:spacing w:line="268" w:lineRule="exact" w:before="50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Net Income Allocation</w:t>
      </w:r>
    </w:p>
    <w:p>
      <w:pPr>
        <w:autoSpaceDN w:val="0"/>
        <w:autoSpaceDE w:val="0"/>
        <w:widowControl/>
        <w:spacing w:line="240" w:lineRule="exact" w:before="124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recommends allocations of income to the Board, at the end of each fiscal year, to augment reserves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support developmental activities. These allocations are based on allocable income. As illustrated in Table 8, the key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differences between allocable income and net income relate to unrealized mark-to-market gains and losses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non-trading portfolios, and expenses related to Board of Governors-approved and other transfers. </w:t>
      </w:r>
    </w:p>
    <w:p>
      <w:pPr>
        <w:autoSpaceDN w:val="0"/>
        <w:autoSpaceDE w:val="0"/>
        <w:widowControl/>
        <w:spacing w:line="202" w:lineRule="exact" w:before="200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8: Allocable Income</w:t>
      </w:r>
    </w:p>
    <w:p>
      <w:pPr>
        <w:autoSpaceDN w:val="0"/>
        <w:autoSpaceDE w:val="0"/>
        <w:widowControl/>
        <w:spacing w:line="180" w:lineRule="exact" w:before="58" w:after="3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44"/>
        </w:trPr>
        <w:tc>
          <w:tcPr>
            <w:tcW w:type="dxa" w:w="457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For the fiscal years ended June 30,</w:t>
            </w:r>
          </w:p>
        </w:tc>
        <w:tc>
          <w:tcPr>
            <w:tcW w:type="dxa" w:w="250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4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2024</w:t>
            </w:r>
          </w:p>
        </w:tc>
        <w:tc>
          <w:tcPr>
            <w:tcW w:type="dxa" w:w="56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5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2023</w:t>
            </w:r>
          </w:p>
        </w:tc>
      </w:tr>
      <w:tr>
        <w:trPr>
          <w:trHeight w:hRule="exact" w:val="234"/>
        </w:trPr>
        <w:tc>
          <w:tcPr>
            <w:tcW w:type="dxa" w:w="457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Income</w:t>
            </w:r>
          </w:p>
        </w:tc>
        <w:tc>
          <w:tcPr>
            <w:tcW w:type="dxa" w:w="250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5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2,142 </w:t>
            </w:r>
          </w:p>
        </w:tc>
        <w:tc>
          <w:tcPr>
            <w:tcW w:type="dxa" w:w="56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7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6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1,144 </w:t>
            </w:r>
          </w:p>
        </w:tc>
      </w:tr>
    </w:tbl>
    <w:p>
      <w:pPr>
        <w:autoSpaceDN w:val="0"/>
        <w:autoSpaceDE w:val="0"/>
        <w:widowControl/>
        <w:spacing w:line="178" w:lineRule="exact" w:before="30" w:after="32"/>
        <w:ind w:left="1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Adjustments to Reconcile Net Income to Allocable Income: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22"/>
        </w:trPr>
        <w:tc>
          <w:tcPr>
            <w:tcW w:type="dxa" w:w="64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Board of Governors-approved and other transfers</w:t>
            </w:r>
          </w:p>
        </w:tc>
        <w:tc>
          <w:tcPr>
            <w:tcW w:type="dxa" w:w="544"/>
            <w:vMerge w:val="restart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371 </w:t>
            </w:r>
          </w:p>
        </w:tc>
        <w:tc>
          <w:tcPr>
            <w:tcW w:type="dxa" w:w="584"/>
            <w:vMerge w:val="restart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221 </w:t>
            </w:r>
          </w:p>
        </w:tc>
      </w:tr>
      <w:tr>
        <w:trPr>
          <w:trHeight w:hRule="exact" w:val="240"/>
        </w:trPr>
        <w:tc>
          <w:tcPr>
            <w:tcW w:type="dxa" w:w="64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Non-functional currency translation adjustments gains, net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(73)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(39) </w:t>
            </w:r>
          </w:p>
        </w:tc>
      </w:tr>
      <w:tr>
        <w:trPr>
          <w:trHeight w:hRule="exact" w:val="240"/>
        </w:trPr>
        <w:tc>
          <w:tcPr>
            <w:tcW w:type="dxa" w:w="64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Unrealized mark-to-market losses (gains) on non-trading portfolios, net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(287)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167 </w:t>
            </w:r>
          </w:p>
        </w:tc>
      </w:tr>
      <w:tr>
        <w:trPr>
          <w:trHeight w:hRule="exact" w:val="260"/>
        </w:trPr>
        <w:tc>
          <w:tcPr>
            <w:tcW w:type="dxa" w:w="64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Pension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(194)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(119) </w:t>
            </w:r>
          </w:p>
        </w:tc>
      </w:tr>
      <w:tr>
        <w:trPr>
          <w:trHeight w:hRule="exact" w:val="240"/>
        </w:trPr>
        <w:tc>
          <w:tcPr>
            <w:tcW w:type="dxa" w:w="64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PEBP and PCRF adjustment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(112)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(74) </w:t>
            </w:r>
          </w:p>
        </w:tc>
      </w:tr>
      <w:tr>
        <w:trPr>
          <w:trHeight w:hRule="exact" w:val="244"/>
        </w:trPr>
        <w:tc>
          <w:tcPr>
            <w:tcW w:type="dxa" w:w="647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adjustments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85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85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</w:tr>
      <w:tr>
        <w:trPr>
          <w:trHeight w:hRule="exact" w:val="218"/>
        </w:trPr>
        <w:tc>
          <w:tcPr>
            <w:tcW w:type="dxa" w:w="647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Allocable Income</w:t>
            </w:r>
          </w:p>
        </w:tc>
        <w:tc>
          <w:tcPr>
            <w:tcW w:type="dxa" w:w="54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1,849 </w:t>
            </w:r>
          </w:p>
        </w:tc>
        <w:tc>
          <w:tcPr>
            <w:tcW w:type="dxa" w:w="58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1,312 </w:t>
            </w:r>
          </w:p>
        </w:tc>
      </w:tr>
      <w:tr>
        <w:trPr>
          <w:trHeight w:hRule="exact" w:val="48"/>
        </w:trPr>
        <w:tc>
          <w:tcPr>
            <w:tcW w:type="dxa" w:w="6476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44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56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84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56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238" w:after="32"/>
        <w:ind w:left="1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Recommended Allocations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02"/>
        </w:trPr>
        <w:tc>
          <w:tcPr>
            <w:tcW w:type="dxa" w:w="6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General Reserve</w:t>
            </w:r>
          </w:p>
        </w:tc>
        <w:tc>
          <w:tcPr>
            <w:tcW w:type="dxa" w:w="544"/>
            <w:vMerge w:val="restart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834 </w:t>
            </w:r>
          </w:p>
        </w:tc>
        <w:tc>
          <w:tcPr>
            <w:tcW w:type="dxa" w:w="584"/>
            <w:vMerge w:val="restart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921 </w:t>
            </w:r>
          </w:p>
        </w:tc>
      </w:tr>
      <w:tr>
        <w:trPr>
          <w:trHeight w:hRule="exact" w:val="240"/>
        </w:trPr>
        <w:tc>
          <w:tcPr>
            <w:tcW w:type="dxa" w:w="6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Surplus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500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 </w:t>
            </w:r>
          </w:p>
        </w:tc>
      </w:tr>
      <w:tr>
        <w:trPr>
          <w:trHeight w:hRule="exact" w:val="282"/>
        </w:trPr>
        <w:tc>
          <w:tcPr>
            <w:tcW w:type="dxa" w:w="652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to IDA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85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515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85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291 </w:t>
            </w:r>
          </w:p>
        </w:tc>
      </w:tr>
      <w:tr>
        <w:trPr>
          <w:trHeight w:hRule="exact" w:val="220"/>
        </w:trPr>
        <w:tc>
          <w:tcPr>
            <w:tcW w:type="dxa" w:w="652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Allocations</w:t>
            </w:r>
          </w:p>
        </w:tc>
        <w:tc>
          <w:tcPr>
            <w:tcW w:type="dxa" w:w="54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1,849 </w:t>
            </w:r>
          </w:p>
        </w:tc>
        <w:tc>
          <w:tcPr>
            <w:tcW w:type="dxa" w:w="58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1,312 </w:t>
            </w:r>
          </w:p>
        </w:tc>
      </w:tr>
    </w:tbl>
    <w:p>
      <w:pPr>
        <w:autoSpaceDN w:val="0"/>
        <w:autoSpaceDE w:val="0"/>
        <w:widowControl/>
        <w:spacing w:line="180" w:lineRule="exact" w:before="288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Translation adjustments relating to assets and liabilities denominated in non-functional currencies.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Adjusted to exclude amounts reclassified to realized gains/losses.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c. Represents the difference between the pension cost incurred and pension contributions. </w:t>
      </w:r>
    </w:p>
    <w:p>
      <w:pPr>
        <w:autoSpaceDN w:val="0"/>
        <w:autoSpaceDE w:val="0"/>
        <w:widowControl/>
        <w:spacing w:line="240" w:lineRule="exact" w:before="26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 of the adjustments between reported net income and allocable income are recommended by management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approved by the Board:</w:t>
      </w:r>
    </w:p>
    <w:p>
      <w:pPr>
        <w:autoSpaceDN w:val="0"/>
        <w:autoSpaceDE w:val="0"/>
        <w:widowControl/>
        <w:spacing w:line="244" w:lineRule="exact" w:before="13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2"/>
        </w:rPr>
        <w:t>Board of Governors-approved and other transfers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Board of Governors-approved and other transfers refer to the allocations recommended by the Board and approved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by the Governors, as part of the prior year’s net income allocation process and subsequent decisions on uses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surplus, as well as on payments from restricted retained earnings.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Since these amounts primarily relate to allocations out of IBRD’s FY23 allocable income, Surplus, or restricted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retained earnings, they are excluded from FY24 reported net income in calculating FY24 allocable income.</w:t>
      </w:r>
    </w:p>
    <w:p>
      <w:pPr>
        <w:autoSpaceDN w:val="0"/>
        <w:autoSpaceDE w:val="0"/>
        <w:widowControl/>
        <w:spacing w:line="244" w:lineRule="exact" w:before="13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2"/>
        </w:rPr>
        <w:t>Non-functional currency translation adjustment gains/losses</w:t>
      </w:r>
    </w:p>
    <w:p>
      <w:pPr>
        <w:autoSpaceDN w:val="0"/>
        <w:autoSpaceDE w:val="0"/>
        <w:widowControl/>
        <w:spacing w:line="240" w:lineRule="exact" w:before="126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Translation gains and losses relating to non-functional currencies are reflected in reported net income. Since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are unrealized gains/losses that relate to asset/liability positions still held by IBRD, they are excluded from reported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net income to arrive at allocable income.</w:t>
      </w:r>
    </w:p>
    <w:p>
      <w:pPr>
        <w:autoSpaceDN w:val="0"/>
        <w:autoSpaceDE w:val="0"/>
        <w:widowControl/>
        <w:spacing w:line="244" w:lineRule="exact" w:before="13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2"/>
        </w:rPr>
        <w:t>Unrealized mark-to-market gains/losses on non-trading portfolios</w:t>
      </w:r>
    </w:p>
    <w:p>
      <w:pPr>
        <w:autoSpaceDN w:val="0"/>
        <w:autoSpaceDE w:val="0"/>
        <w:widowControl/>
        <w:spacing w:line="240" w:lineRule="exact" w:before="126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These mainly comprise unrealized mark-to-market gains and losses on the loan, borrowing, and other ALM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portfolios as previously discussed. </w:t>
      </w:r>
    </w:p>
    <w:p>
      <w:pPr>
        <w:autoSpaceDN w:val="0"/>
        <w:autoSpaceDE w:val="0"/>
        <w:widowControl/>
        <w:spacing w:line="244" w:lineRule="exact" w:before="13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2"/>
        </w:rPr>
        <w:t>Unrealized mark-to-market gains/losses on certain positions in the investments-trading portfolio, net</w:t>
      </w:r>
    </w:p>
    <w:p>
      <w:pPr>
        <w:autoSpaceDN w:val="0"/>
        <w:autoSpaceDE w:val="0"/>
        <w:widowControl/>
        <w:spacing w:line="240" w:lineRule="exact" w:before="126" w:after="0"/>
        <w:ind w:left="10" w:right="24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This adjustment applies to trades where the unrealized gains and losses on derivative forward contracts are recorded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the Statements of Income and the underlying physical assets being purchased and sold are recorded at amortized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cost during the holding period.  In these cases, the unrealized gains and losses on the forward contract at the end of 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92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2024</w:t>
      </w:r>
    </w:p>
    <w:p>
      <w:pPr>
        <w:sectPr>
          <w:pgSz w:w="12240" w:h="15840"/>
          <w:pgMar w:top="302" w:right="1370" w:bottom="252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Financial Results</w:t>
            </w:r>
          </w:p>
        </w:tc>
      </w:tr>
    </w:tbl>
    <w:p>
      <w:pPr>
        <w:autoSpaceDN w:val="0"/>
        <w:autoSpaceDE w:val="0"/>
        <w:widowControl/>
        <w:spacing w:line="240" w:lineRule="exact" w:before="492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reporting period (if any) are excluded from net income when calculating allocable income. As of June 30, 2024,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there were no active trades requiring adjustment.</w:t>
      </w:r>
    </w:p>
    <w:p>
      <w:pPr>
        <w:autoSpaceDN w:val="0"/>
        <w:autoSpaceDE w:val="0"/>
        <w:widowControl/>
        <w:spacing w:line="244" w:lineRule="exact" w:before="13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2"/>
        </w:rPr>
        <w:t>Pension, PEBP and PCRF adjustments</w:t>
      </w:r>
    </w:p>
    <w:p>
      <w:pPr>
        <w:autoSpaceDN w:val="0"/>
        <w:autoSpaceDE w:val="0"/>
        <w:widowControl/>
        <w:spacing w:line="240" w:lineRule="exact" w:before="126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Pension adjustment reflects the difference between the accounting expense and IBRD’s cash contributions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pension plans, the Post-Employment Benefit Plan (PEBP), and the Post-Retirement Contribution Reserve Fund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(PCRF). It also includes investment revenue earned on pension plan, PEBP, and PCRF assets. The PCRF was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established by the Board to stabilize contributions to the pension and post-retirement benefits plans. Management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bases allocation decisions on IBRD’s cash contributions to the pension plans, PEBP and PCRF, rather than pension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accounting expenses. In addition, Management has designated the income from these assets to meet the future needs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the pension plans. As a result, PEBP and PCRF investment revenues are excluded from allocable income. </w:t>
      </w:r>
    </w:p>
    <w:p>
      <w:pPr>
        <w:autoSpaceDN w:val="0"/>
        <w:autoSpaceDE w:val="0"/>
        <w:widowControl/>
        <w:spacing w:line="244" w:lineRule="exact" w:before="13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2"/>
        </w:rPr>
        <w:t>Other Adjustments</w:t>
      </w:r>
    </w:p>
    <w:p>
      <w:pPr>
        <w:autoSpaceDN w:val="0"/>
        <w:tabs>
          <w:tab w:pos="544" w:val="left"/>
        </w:tabs>
        <w:autoSpaceDE w:val="0"/>
        <w:widowControl/>
        <w:spacing w:line="240" w:lineRule="exact" w:before="126" w:after="0"/>
        <w:ind w:left="18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certain arrangements (such as Externally Financed Outputs), IBRD enters into agreements with donors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which it receives grants to finance specified IBRD outputs or services. These funds may be utilized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only for the purposes specified in the agreements and are, therefore, considered restricted until IBRD has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fulfilled those purposes. Management excludes amounts arising from these arrangements from allocable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income because IBRD has no discretion over the use of the related funds. In line with this, in FY24, income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less than $1 million was transferred to restricted retained earnings (Table 8). Consequently, the net balance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these restricted funds increased by the same amount. </w:t>
      </w:r>
    </w:p>
    <w:p>
      <w:pPr>
        <w:autoSpaceDN w:val="0"/>
        <w:tabs>
          <w:tab w:pos="544" w:val="left"/>
        </w:tabs>
        <w:autoSpaceDE w:val="0"/>
        <w:widowControl/>
        <w:spacing w:line="240" w:lineRule="exact" w:before="120" w:after="0"/>
        <w:ind w:left="18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the Board-approved framework, RAMP fees are dedicated for the purpose of providing technical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assistance and asset management services to external clients. Due to the potential timing mismatch between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fee revenue (recognized as earned) and program expenditures (recognized when incurred), fees earned in a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given fiscal year may be used to provide services in a future fiscal year. To ensure that RAMP revenues are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only used for the delivery of RAMP services, and not allocated for other purposes, any difference between fee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revenue and expenses from RAMP included in reported net income are excluded to arrive at allocable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income. Allocable income for FY24 was adjusted for the $2 million excess of RAMP expenses over the fee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revenue from RAMP (Table 8). </w:t>
      </w:r>
    </w:p>
    <w:p>
      <w:pPr>
        <w:autoSpaceDN w:val="0"/>
        <w:tabs>
          <w:tab w:pos="9088" w:val="left"/>
        </w:tabs>
        <w:autoSpaceDE w:val="0"/>
        <w:widowControl/>
        <w:spacing w:line="224" w:lineRule="exact" w:before="6856" w:after="0"/>
        <w:ind w:left="32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19</w:t>
      </w:r>
    </w:p>
    <w:p>
      <w:pPr>
        <w:sectPr>
          <w:pgSz w:w="12240" w:h="15840"/>
          <w:pgMar w:top="302" w:right="1370" w:bottom="24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Financial Results</w:t>
            </w:r>
          </w:p>
        </w:tc>
      </w:tr>
    </w:tbl>
    <w:p>
      <w:pPr>
        <w:autoSpaceDN w:val="0"/>
        <w:autoSpaceDE w:val="0"/>
        <w:widowControl/>
        <w:spacing w:line="244" w:lineRule="exact" w:before="502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Income Allocation</w:t>
      </w:r>
    </w:p>
    <w:p>
      <w:pPr>
        <w:autoSpaceDN w:val="0"/>
        <w:autoSpaceDE w:val="0"/>
        <w:widowControl/>
        <w:spacing w:line="240" w:lineRule="exact" w:before="13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Since 1964, IBRD has made transfers to IDA from its net income, upon approval by the Board of Governors.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FY17, the Board approved a formula-based approach for determining IBRD’s transfers to IDA. The approach links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proposed transfers to IDA with IBRD’s allocable income for the year, ensuring that most allocable income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retained to grow IBRD’s reserves. In addition, as part of the commitment made under the 2018 capital package,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incremental revenue from the 2018 price increase is excluded from the formula used to calculate the amount to be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transferred to IDA, and fully retained in IBRD’s reserves.</w:t>
      </w:r>
    </w:p>
    <w:p>
      <w:pPr>
        <w:autoSpaceDN w:val="0"/>
        <w:autoSpaceDE w:val="0"/>
        <w:widowControl/>
        <w:spacing w:line="240" w:lineRule="exact" w:before="12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strong support of IDA is reflected in the $16.8 billion of cumulative income transfers it has made since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first replenishment. </w:t>
      </w:r>
    </w:p>
    <w:p>
      <w:pPr>
        <w:autoSpaceDN w:val="0"/>
        <w:autoSpaceDE w:val="0"/>
        <w:widowControl/>
        <w:spacing w:line="240" w:lineRule="exact" w:before="12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Annual IDA transfer recommendations are subject to approval by the Governors as part of the net income allocation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process in accordance with IBRD’s Articles. In making their decisions, Governors will continue to take the overall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financial standing of IBRD into consideration. </w:t>
      </w:r>
    </w:p>
    <w:p>
      <w:pPr>
        <w:autoSpaceDN w:val="0"/>
        <w:autoSpaceDE w:val="0"/>
        <w:widowControl/>
        <w:spacing w:line="240" w:lineRule="exact" w:before="12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Allocable income in FY24 was $1,849 million, and out of this, the Board approved the allocation of $834 million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General Reserve on August 6, 2024, and the Board recommended to IBRD’s Governors a transfer of $515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million to IDA and $500 million to Surplus.</w:t>
      </w:r>
    </w:p>
    <w:p>
      <w:pPr>
        <w:autoSpaceDN w:val="0"/>
        <w:autoSpaceDE w:val="0"/>
        <w:widowControl/>
        <w:spacing w:line="196" w:lineRule="exact" w:before="152" w:after="296"/>
        <w:ind w:left="4" w:right="4464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Figure 10: FY24 Allocable Income and Income Allocation </w:t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1179"/>
        <w:gridCol w:w="1179"/>
        <w:gridCol w:w="1179"/>
        <w:gridCol w:w="1179"/>
        <w:gridCol w:w="1179"/>
        <w:gridCol w:w="1179"/>
        <w:gridCol w:w="1179"/>
        <w:gridCol w:w="1179"/>
      </w:tblGrid>
      <w:tr>
        <w:trPr>
          <w:trHeight w:hRule="exact" w:val="314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Income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vMerge w:val="restart"/>
            <w:tcBorders/>
            <w:shd w:fill="6d6d6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vMerge w:val="restart"/>
            <w:tcBorders/>
            <w:shd w:fill="6d6d6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60"/>
            <w:tcBorders/>
            <w:shd w:fill="6d6d6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4" w:after="0"/>
              <w:ind w:left="6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Allocable Income</w:t>
            </w:r>
          </w:p>
        </w:tc>
        <w:tc>
          <w:tcPr>
            <w:tcW w:type="dxa" w:w="840"/>
            <w:vMerge w:val="restart"/>
            <w:tcBorders/>
            <w:shd w:fill="6d6d6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84"/>
            <w:vMerge w:val="restart"/>
            <w:tcBorders/>
            <w:shd w:fill="6d6d6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4"/>
        </w:trPr>
        <w:tc>
          <w:tcPr>
            <w:tcW w:type="dxa" w:w="1179"/>
            <w:vMerge/>
            <w:tcBorders/>
          </w:tcPr>
          <w:p/>
        </w:tc>
        <w:tc>
          <w:tcPr>
            <w:tcW w:type="dxa" w:w="1179"/>
            <w:vMerge/>
            <w:tcBorders/>
          </w:tcPr>
          <w:p/>
        </w:tc>
        <w:tc>
          <w:tcPr>
            <w:tcW w:type="dxa" w:w="1179"/>
            <w:vMerge/>
            <w:tcBorders/>
          </w:tcPr>
          <w:p/>
        </w:tc>
        <w:tc>
          <w:tcPr>
            <w:tcW w:type="dxa" w:w="1179"/>
            <w:vMerge/>
            <w:tcBorders/>
          </w:tcPr>
          <w:p/>
        </w:tc>
        <w:tc>
          <w:tcPr>
            <w:tcW w:type="dxa" w:w="2660"/>
            <w:tcBorders/>
            <w:shd w:fill="6d6d6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$1,849</w:t>
            </w:r>
          </w:p>
        </w:tc>
        <w:tc>
          <w:tcPr>
            <w:tcW w:type="dxa" w:w="1179"/>
            <w:vMerge/>
            <w:tcBorders/>
          </w:tcPr>
          <w:p/>
        </w:tc>
        <w:tc>
          <w:tcPr>
            <w:tcW w:type="dxa" w:w="1179"/>
            <w:vMerge/>
            <w:tcBorders/>
          </w:tcPr>
          <w:p/>
        </w:tc>
        <w:tc>
          <w:tcPr>
            <w:tcW w:type="dxa" w:w="1179"/>
            <w:vMerge/>
            <w:tcBorders/>
          </w:tcPr>
          <w:p/>
        </w:tc>
      </w:tr>
      <w:tr>
        <w:trPr>
          <w:trHeight w:hRule="exact" w:val="646"/>
        </w:trPr>
        <w:tc>
          <w:tcPr>
            <w:tcW w:type="dxa" w:w="820"/>
            <w:vMerge w:val="restart"/>
            <w:tcBorders>
              <w:bottom w:sz="6.015542030334473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Allocation</w:t>
            </w:r>
          </w:p>
        </w:tc>
        <w:tc>
          <w:tcPr>
            <w:tcW w:type="dxa" w:w="380"/>
            <w:vMerge w:val="restart"/>
            <w:tcBorders>
              <w:bottom w:sz="6.015542030334473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440"/>
            </w:tblGrid>
            <w:tr>
              <w:trPr>
                <w:trHeight w:hRule="exact" w:val="238"/>
              </w:trPr>
              <w:tc>
                <w:tcPr>
                  <w:tcW w:type="dxa" w:w="1260"/>
                  <w:tcBorders/>
                  <w:shd w:fill="dadbd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Transfer to IDA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0"/>
            <w:vMerge w:val="restart"/>
            <w:tcBorders>
              <w:bottom w:sz="6.015542030334473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0.0" w:type="dxa"/>
            </w:tblPr>
            <w:tblGrid>
              <w:gridCol w:w="2660"/>
            </w:tblGrid>
            <w:tr>
              <w:trPr>
                <w:trHeight w:hRule="exact" w:val="274"/>
              </w:trPr>
              <w:tc>
                <w:tcPr>
                  <w:tcW w:type="dxa" w:w="2180"/>
                  <w:tcBorders/>
                  <w:shd w:fill="91919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0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General Reserve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40"/>
            <w:vMerge w:val="restart"/>
            <w:tcBorders>
              <w:bottom w:sz="6.015542030334473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84"/>
            </w:tblGrid>
            <w:tr>
              <w:trPr>
                <w:trHeight w:hRule="exact" w:val="274"/>
              </w:trPr>
              <w:tc>
                <w:tcPr>
                  <w:tcW w:type="dxa" w:w="1164"/>
                  <w:tcBorders/>
                  <w:shd w:fill="6d6d6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06" w:after="0"/>
                    <w:ind w:left="2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Surplus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56"/>
            <w:vMerge w:val="restart"/>
            <w:tcBorders>
              <w:bottom w:sz="6.015542030334473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"/>
        </w:trPr>
        <w:tc>
          <w:tcPr>
            <w:tcW w:type="dxa" w:w="1179"/>
            <w:vMerge/>
            <w:tcBorders>
              <w:bottom w:sz="6.015542030334473" w:val="single" w:color="#898A89"/>
            </w:tcBorders>
          </w:tcPr>
          <w:p/>
        </w:tc>
        <w:tc>
          <w:tcPr>
            <w:tcW w:type="dxa" w:w="1179"/>
            <w:vMerge/>
            <w:tcBorders>
              <w:bottom w:sz="6.015542030334473" w:val="single" w:color="#898A89"/>
            </w:tcBorders>
          </w:tcPr>
          <w:p/>
        </w:tc>
        <w:tc>
          <w:tcPr>
            <w:tcW w:type="dxa" w:w="1440"/>
            <w:vMerge w:val="restart"/>
            <w:tcBorders>
              <w:bottom w:sz="6.015542030334473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5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$515</w:t>
            </w:r>
          </w:p>
        </w:tc>
        <w:tc>
          <w:tcPr>
            <w:tcW w:type="dxa" w:w="1179"/>
            <w:vMerge/>
            <w:tcBorders>
              <w:bottom w:sz="6.015542030334473" w:val="single" w:color="#898A89"/>
            </w:tcBorders>
          </w:tcPr>
          <w:p/>
        </w:tc>
        <w:tc>
          <w:tcPr>
            <w:tcW w:type="dxa" w:w="1179"/>
            <w:vMerge/>
            <w:tcBorders/>
          </w:tcPr>
          <w:p/>
        </w:tc>
        <w:tc>
          <w:tcPr>
            <w:tcW w:type="dxa" w:w="1179"/>
            <w:vMerge/>
            <w:tcBorders>
              <w:bottom w:sz="6.015542030334473" w:val="single" w:color="#898A89"/>
            </w:tcBorders>
          </w:tcPr>
          <w:p/>
        </w:tc>
        <w:tc>
          <w:tcPr>
            <w:tcW w:type="dxa" w:w="1179"/>
            <w:vMerge/>
            <w:tcBorders/>
          </w:tcPr>
          <w:p/>
        </w:tc>
        <w:tc>
          <w:tcPr>
            <w:tcW w:type="dxa" w:w="1179"/>
            <w:vMerge/>
            <w:tcBorders>
              <w:bottom w:sz="6.015542030334473" w:val="single" w:color="#898A89"/>
            </w:tcBorders>
          </w:tcPr>
          <w:p/>
        </w:tc>
      </w:tr>
      <w:tr>
        <w:trPr>
          <w:trHeight w:hRule="exact" w:val="610"/>
        </w:trPr>
        <w:tc>
          <w:tcPr>
            <w:tcW w:type="dxa" w:w="1179"/>
            <w:vMerge/>
            <w:tcBorders>
              <w:bottom w:sz="6.015542030334473" w:val="single" w:color="#898A89"/>
            </w:tcBorders>
          </w:tcPr>
          <w:p/>
        </w:tc>
        <w:tc>
          <w:tcPr>
            <w:tcW w:type="dxa" w:w="1179"/>
            <w:vMerge/>
            <w:tcBorders>
              <w:bottom w:sz="6.015542030334473" w:val="single" w:color="#898A89"/>
            </w:tcBorders>
          </w:tcPr>
          <w:p/>
        </w:tc>
        <w:tc>
          <w:tcPr>
            <w:tcW w:type="dxa" w:w="1179"/>
            <w:vMerge/>
            <w:tcBorders>
              <w:bottom w:sz="6.015542030334473" w:val="single" w:color="#898A89"/>
            </w:tcBorders>
          </w:tcPr>
          <w:p/>
        </w:tc>
        <w:tc>
          <w:tcPr>
            <w:tcW w:type="dxa" w:w="1179"/>
            <w:vMerge/>
            <w:tcBorders>
              <w:bottom w:sz="6.015542030334473" w:val="single" w:color="#898A89"/>
            </w:tcBorders>
          </w:tcPr>
          <w:p/>
        </w:tc>
        <w:tc>
          <w:tcPr>
            <w:tcW w:type="dxa" w:w="2660"/>
            <w:tcBorders>
              <w:bottom w:sz="6.015542030334473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9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$834</w:t>
            </w:r>
          </w:p>
        </w:tc>
        <w:tc>
          <w:tcPr>
            <w:tcW w:type="dxa" w:w="1179"/>
            <w:vMerge/>
            <w:tcBorders>
              <w:bottom w:sz="6.015542030334473" w:val="single" w:color="#898A89"/>
            </w:tcBorders>
          </w:tcPr>
          <w:p/>
        </w:tc>
        <w:tc>
          <w:tcPr>
            <w:tcW w:type="dxa" w:w="1184"/>
            <w:tcBorders>
              <w:bottom w:sz="6.015542030334473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$500</w:t>
            </w:r>
          </w:p>
        </w:tc>
        <w:tc>
          <w:tcPr>
            <w:tcW w:type="dxa" w:w="1179"/>
            <w:vMerge/>
            <w:tcBorders>
              <w:bottom w:sz="6.015542030334473" w:val="single" w:color="#898A89"/>
            </w:tcBorders>
          </w:tcPr>
          <w:p/>
        </w:tc>
      </w:tr>
      <w:tr>
        <w:trPr>
          <w:trHeight w:hRule="exact" w:val="370"/>
        </w:trPr>
        <w:tc>
          <w:tcPr>
            <w:tcW w:type="dxa" w:w="820"/>
            <w:tcBorders>
              <w:top w:sz="6.015542030334473" w:val="single" w:color="#898A8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>
              <w:top w:sz="6.015542030334473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—</w:t>
            </w:r>
          </w:p>
        </w:tc>
        <w:tc>
          <w:tcPr>
            <w:tcW w:type="dxa" w:w="1440"/>
            <w:tcBorders>
              <w:top w:sz="6.015542030334473" w:val="single" w:color="#898A8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top w:sz="6.015542030334473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2" w:after="0"/>
              <w:ind w:left="2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500</w:t>
            </w:r>
          </w:p>
        </w:tc>
        <w:tc>
          <w:tcPr>
            <w:tcW w:type="dxa" w:w="2660"/>
            <w:tcBorders>
              <w:top w:sz="6.015542030334473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2" w:after="0"/>
              <w:ind w:left="0" w:right="1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1,000</w:t>
            </w:r>
          </w:p>
        </w:tc>
        <w:tc>
          <w:tcPr>
            <w:tcW w:type="dxa" w:w="840"/>
            <w:tcBorders>
              <w:top w:sz="6.015542030334473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2" w:after="0"/>
              <w:ind w:left="0" w:right="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1,500</w:t>
            </w:r>
          </w:p>
        </w:tc>
        <w:tc>
          <w:tcPr>
            <w:tcW w:type="dxa" w:w="1184"/>
            <w:tcBorders>
              <w:top w:sz="6.015542030334473" w:val="single" w:color="#898A8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6"/>
            <w:tcBorders>
              <w:top w:sz="6.015542030334473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2,000</w:t>
            </w:r>
          </w:p>
        </w:tc>
      </w:tr>
    </w:tbl>
    <w:p>
      <w:pPr>
        <w:autoSpaceDN w:val="0"/>
        <w:autoSpaceDE w:val="0"/>
        <w:widowControl/>
        <w:spacing w:line="240" w:lineRule="exact" w:before="432" w:after="0"/>
        <w:ind w:left="4" w:right="2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addition, on July 31, 2024, the Board approved a recommendation to IBRD's Governors for a transfer of $100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million from Surplus available as of June 30, 2024, to the Trust Fund for Gaza and the West Bank.</w:t>
      </w:r>
    </w:p>
    <w:p>
      <w:pPr>
        <w:autoSpaceDN w:val="0"/>
        <w:tabs>
          <w:tab w:pos="656" w:val="left"/>
        </w:tabs>
        <w:autoSpaceDE w:val="0"/>
        <w:widowControl/>
        <w:spacing w:line="224" w:lineRule="exact" w:before="549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2024</w:t>
      </w:r>
    </w:p>
    <w:p>
      <w:pPr>
        <w:sectPr>
          <w:pgSz w:w="12240" w:h="15840"/>
          <w:pgMar w:top="302" w:right="1370" w:bottom="25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IV: Lending Activities</w:t>
            </w:r>
          </w:p>
        </w:tc>
      </w:tr>
    </w:tbl>
    <w:p>
      <w:pPr>
        <w:autoSpaceDN w:val="0"/>
        <w:autoSpaceDE w:val="0"/>
        <w:widowControl/>
        <w:spacing w:line="314" w:lineRule="exact" w:before="55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Section IV: Lending Activities</w:t>
      </w:r>
    </w:p>
    <w:p>
      <w:pPr>
        <w:autoSpaceDN w:val="0"/>
        <w:autoSpaceDE w:val="0"/>
        <w:widowControl/>
        <w:spacing w:line="240" w:lineRule="exact" w:before="20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provides financing instruments and knowledge services to middle-income and creditworthy low-income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countries, while ensuring that social, environmental, and governance considerations are taken into account. Country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teams with an understanding of each country’s circumstances work with clients to tailor the mix of instruments,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products, and services.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Engagement with borrowing members is increasingly aligned with IBRD’s strategic priorities. IBRD remains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focused on countries' priorities while also taking into consideration its corporate priorities, including engagements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that address global challenges.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Projects and programs supported by IBRD are designed to achieve a positive social impact and undergo a rigorous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review and internal approval process, aimed at safeguarding equitable and sustainable economic growth, that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includes early screening to identify environmental and social impacts and designing mitigation actions. From July 1,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2023, new financing and guarantees provided by IBRD are being assessed against the objectives of the Paris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Agreement and a country's pathway towards low greenhouse gas emissions and climate-resilient development.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Financing cycles involve identifying and appraising a project and approving and disbursing the funds. In response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emergency situations, such as natural disasters and crises, IBRD is able to accelerate the preparation and approval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cycle.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Loan disbursements must meet the requirements set out in loan agreements. During implementation of IBRD-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supported operations, IBRD’s staff review progress, monitor compliance with IBRD policies, and help resolve any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problems that may arise. The Independent Evaluation Group, an IBRD unit whose Director General reports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Board, evaluates the extent to which operations have met their development objectives.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 IBRD loans, are made to, or guaranteed by, member countries. IBRD may also make loans to IFC without any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guarantee. In most cases, IBRD’s Board approves each loan and guarantee after appraisal of a project by staff.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the Multiphase Programmatic Approach, the Board may approve an overall program framework, its financing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envelope and the first appraised phase, and then authorize Management to appraise and commit financing for later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program phases.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FY25, eligible countries with 2023 per capita Gross National Income (GNI) of more than $1,335 are eligible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new lending from IBRD.</w:t>
      </w:r>
    </w:p>
    <w:p>
      <w:pPr>
        <w:autoSpaceDN w:val="0"/>
        <w:autoSpaceDE w:val="0"/>
        <w:widowControl/>
        <w:spacing w:line="268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Net Lending Commitments and Gross Disbursements</w:t>
      </w:r>
    </w:p>
    <w:p>
      <w:pPr>
        <w:autoSpaceDN w:val="0"/>
        <w:autoSpaceDE w:val="0"/>
        <w:widowControl/>
        <w:spacing w:line="240" w:lineRule="exact" w:before="12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provided $37.6 billion of new net loan commitments in FY24, through 126 operations (including blend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operations), a decrease of $1.0 billion (3%) compared to FY23. </w:t>
      </w:r>
    </w:p>
    <w:p>
      <w:pPr>
        <w:autoSpaceDN w:val="0"/>
        <w:autoSpaceDE w:val="0"/>
        <w:widowControl/>
        <w:spacing w:line="202" w:lineRule="exact" w:before="200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9: Net Commitments by Region</w:t>
      </w:r>
    </w:p>
    <w:p>
      <w:pPr>
        <w:autoSpaceDN w:val="0"/>
        <w:autoSpaceDE w:val="0"/>
        <w:widowControl/>
        <w:spacing w:line="180" w:lineRule="exact" w:before="58" w:after="32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42"/>
        </w:trPr>
        <w:tc>
          <w:tcPr>
            <w:tcW w:type="dxa" w:w="4360"/>
            <w:tcBorders>
              <w:end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2180"/>
              <w:gridCol w:w="2180"/>
            </w:tblGrid>
            <w:tr>
              <w:trPr>
                <w:trHeight w:hRule="exact" w:val="192"/>
              </w:trPr>
              <w:tc>
                <w:tcPr>
                  <w:tcW w:type="dxa" w:w="3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3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808080"/>
                      <w:sz w:val="16"/>
                    </w:rPr>
                    <w:t>For the fiscal year ended June 30,</w:t>
                  </w:r>
                </w:p>
              </w:tc>
              <w:tc>
                <w:tcPr>
                  <w:tcW w:type="dxa" w:w="112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0" w:right="32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/>
                      <w:color w:val="808080"/>
                      <w:sz w:val="16"/>
                    </w:rPr>
                    <w:t>2024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60"/>
            <w:tcBorders>
              <w:start w:sz="24.0" w:val="single" w:color="#FFFFFF"/>
              <w:end w:sz="24.0" w:val="single" w:color="#FFFFFF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% of total</w:t>
            </w:r>
          </w:p>
        </w:tc>
        <w:tc>
          <w:tcPr>
            <w:tcW w:type="dxa" w:w="1260"/>
            <w:tcBorders>
              <w:start w:sz="24.0" w:val="single" w:color="#FFFFFF"/>
              <w:end w:sz="24.0" w:val="single" w:color="#FFFFFF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5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2023</w:t>
            </w:r>
          </w:p>
        </w:tc>
        <w:tc>
          <w:tcPr>
            <w:tcW w:type="dxa" w:w="2500"/>
            <w:gridSpan w:val="2"/>
            <w:tcBorders>
              <w:start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1250"/>
              <w:gridCol w:w="1250"/>
            </w:tblGrid>
            <w:tr>
              <w:trPr>
                <w:trHeight w:hRule="exact" w:val="192"/>
              </w:trPr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808080"/>
                      <w:sz w:val="16"/>
                    </w:rPr>
                    <w:t>% of total</w:t>
                  </w:r>
                </w:p>
              </w:tc>
              <w:tc>
                <w:tcPr>
                  <w:tcW w:type="dxa" w:w="96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0" w:right="12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/>
                      <w:color w:val="808080"/>
                      <w:sz w:val="16"/>
                    </w:rPr>
                    <w:t>Variance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680"/>
        </w:trPr>
        <w:tc>
          <w:tcPr>
            <w:tcW w:type="dxa" w:w="4360"/>
            <w:vMerge w:val="restart"/>
            <w:tcBorders>
              <w:top w:sz="8.0" w:val="single" w:color="#6C6C6C"/>
              <w:end w:sz="24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453"/>
              <w:gridCol w:w="1453"/>
              <w:gridCol w:w="1453"/>
            </w:tblGrid>
            <w:tr>
              <w:trPr>
                <w:trHeight w:hRule="exact" w:val="222"/>
              </w:trPr>
              <w:tc>
                <w:tcPr>
                  <w:tcW w:type="dxa" w:w="2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2" w:after="0"/>
                    <w:ind w:left="3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Eastern and Southern Africa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2" w:after="0"/>
                    <w:ind w:left="0" w:right="21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</w:t>
                  </w:r>
                </w:p>
              </w:tc>
              <w:tc>
                <w:tcPr>
                  <w:tcW w:type="dxa" w:w="80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2" w:after="0"/>
                    <w:ind w:left="0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2,914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2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0" w:after="0"/>
                    <w:ind w:left="3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Western and Central Africa</w:t>
                  </w:r>
                </w:p>
              </w:tc>
              <w:tc>
                <w:tcPr>
                  <w:tcW w:type="dxa" w:w="7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70" w:after="0"/>
                    <w:ind w:left="0" w:right="214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</w:p>
              </w:tc>
              <w:tc>
                <w:tcPr>
                  <w:tcW w:type="dxa" w:w="80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0" w:after="0"/>
                    <w:ind w:left="0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1,725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2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0" w:after="0"/>
                    <w:ind w:left="3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East Asia and Pacific</w:t>
                  </w:r>
                </w:p>
              </w:tc>
              <w:tc>
                <w:tcPr>
                  <w:tcW w:type="dxa" w:w="1453"/>
                  <w:vMerge/>
                  <w:tcBorders/>
                </w:tcPr>
                <w:p/>
              </w:tc>
              <w:tc>
                <w:tcPr>
                  <w:tcW w:type="dxa" w:w="80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0" w:after="0"/>
                    <w:ind w:left="0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6,788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2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0" w:after="0"/>
                    <w:ind w:left="3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Europe and Central Asia</w:t>
                  </w:r>
                </w:p>
              </w:tc>
              <w:tc>
                <w:tcPr>
                  <w:tcW w:type="dxa" w:w="1453"/>
                  <w:vMerge/>
                  <w:tcBorders/>
                </w:tcPr>
                <w:p/>
              </w:tc>
              <w:tc>
                <w:tcPr>
                  <w:tcW w:type="dxa" w:w="80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0" w:after="0"/>
                    <w:ind w:left="0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9,302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2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0" w:after="0"/>
                    <w:ind w:left="3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Latin America and the Caribbean</w:t>
                  </w:r>
                </w:p>
              </w:tc>
              <w:tc>
                <w:tcPr>
                  <w:tcW w:type="dxa" w:w="1453"/>
                  <w:vMerge/>
                  <w:tcBorders/>
                </w:tcPr>
                <w:p/>
              </w:tc>
              <w:tc>
                <w:tcPr>
                  <w:tcW w:type="dxa" w:w="80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0" w:after="0"/>
                    <w:ind w:left="0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9,463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2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0" w:after="0"/>
                    <w:ind w:left="3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Middle East and North Africa</w:t>
                  </w:r>
                </w:p>
              </w:tc>
              <w:tc>
                <w:tcPr>
                  <w:tcW w:type="dxa" w:w="1453"/>
                  <w:vMerge/>
                  <w:tcBorders/>
                </w:tcPr>
                <w:p/>
              </w:tc>
              <w:tc>
                <w:tcPr>
                  <w:tcW w:type="dxa" w:w="80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0" w:after="0"/>
                    <w:ind w:left="0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4,233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2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0" w:after="0"/>
                    <w:ind w:left="3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South Asia</w:t>
                  </w:r>
                </w:p>
              </w:tc>
              <w:tc>
                <w:tcPr>
                  <w:tcW w:type="dxa" w:w="1453"/>
                  <w:vMerge/>
                  <w:tcBorders/>
                </w:tcPr>
                <w:p/>
              </w:tc>
              <w:tc>
                <w:tcPr>
                  <w:tcW w:type="dxa" w:w="80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0" w:after="0"/>
                    <w:ind w:left="0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3,143 </w:t>
                  </w:r>
                </w:p>
              </w:tc>
            </w:tr>
            <w:tr>
              <w:trPr>
                <w:trHeight w:hRule="exact" w:val="210"/>
              </w:trPr>
              <w:tc>
                <w:tcPr>
                  <w:tcW w:type="dxa" w:w="2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0" w:after="0"/>
                    <w:ind w:left="3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Total</w:t>
                  </w:r>
                </w:p>
              </w:tc>
              <w:tc>
                <w:tcPr>
                  <w:tcW w:type="dxa" w:w="1453"/>
                  <w:vMerge/>
                  <w:tcBorders/>
                </w:tcPr>
                <w:p/>
              </w:tc>
              <w:tc>
                <w:tcPr>
                  <w:tcW w:type="dxa" w:w="80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0" w:after="0"/>
                    <w:ind w:left="0" w:right="24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37,568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60"/>
            <w:tcBorders>
              <w:start w:sz="24.0" w:val="single" w:color="#FFFFFF"/>
              <w:top w:sz="8.0" w:val="single" w:color="#6C6C6C"/>
              <w:end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00" w:val="left"/>
              </w:tabs>
              <w:autoSpaceDE w:val="0"/>
              <w:widowControl/>
              <w:spacing w:line="234" w:lineRule="exact" w:before="0" w:after="0"/>
              <w:ind w:left="8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8 %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18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 </w:t>
            </w:r>
          </w:p>
        </w:tc>
        <w:tc>
          <w:tcPr>
            <w:tcW w:type="dxa" w:w="1260"/>
            <w:tcBorders>
              <w:start w:sz="24.0" w:val="single" w:color="#FFFFFF"/>
              <w:top w:sz="8.0" w:val="single" w:color="#6C6C6C"/>
              <w:end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30"/>
              <w:gridCol w:w="630"/>
            </w:tblGrid>
            <w:tr>
              <w:trPr>
                <w:trHeight w:hRule="exact" w:val="222"/>
              </w:trPr>
              <w:tc>
                <w:tcPr>
                  <w:tcW w:type="dxa" w:w="44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2" w:after="0"/>
                    <w:ind w:left="5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</w:t>
                  </w:r>
                </w:p>
              </w:tc>
              <w:tc>
                <w:tcPr>
                  <w:tcW w:type="dxa" w:w="76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2" w:after="0"/>
                    <w:ind w:left="0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2,364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6" w:lineRule="exact" w:before="0" w:after="0"/>
              <w:ind w:left="576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6,636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10,162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9,828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4,697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4,321 </w:t>
            </w:r>
          </w:p>
        </w:tc>
        <w:tc>
          <w:tcPr>
            <w:tcW w:type="dxa" w:w="1260"/>
            <w:tcBorders>
              <w:start w:sz="24.0" w:val="single" w:color="#FFFFFF"/>
              <w:top w:sz="8.0" w:val="single" w:color="#6C6C6C"/>
              <w:end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00" w:val="left"/>
              </w:tabs>
              <w:autoSpaceDE w:val="0"/>
              <w:widowControl/>
              <w:spacing w:line="234" w:lineRule="exact" w:before="0" w:after="0"/>
              <w:ind w:left="8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6 %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17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11 </w:t>
            </w:r>
          </w:p>
        </w:tc>
        <w:tc>
          <w:tcPr>
            <w:tcW w:type="dxa" w:w="1240"/>
            <w:tcBorders>
              <w:start w:sz="24.0" w:val="single" w:color="#FFFFFF"/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0"/>
              <w:gridCol w:w="620"/>
            </w:tblGrid>
            <w:tr>
              <w:trPr>
                <w:trHeight w:hRule="exact" w:val="222"/>
              </w:trPr>
              <w:tc>
                <w:tcPr>
                  <w:tcW w:type="dxa" w:w="52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2" w:after="0"/>
                    <w:ind w:left="5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</w:t>
                  </w:r>
                </w:p>
              </w:tc>
              <w:tc>
                <w:tcPr>
                  <w:tcW w:type="dxa" w:w="66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2" w:after="0"/>
                    <w:ind w:left="0" w:right="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550 </w:t>
                  </w:r>
                </w:p>
              </w:tc>
            </w:tr>
          </w:tbl>
          <w:p>
            <w:pPr>
              <w:autoSpaceDN w:val="0"/>
              <w:tabs>
                <w:tab w:pos="732" w:val="left"/>
                <w:tab w:pos="812" w:val="left"/>
                <w:tab w:pos="866" w:val="left"/>
              </w:tabs>
              <w:autoSpaceDE w:val="0"/>
              <w:widowControl/>
              <w:spacing w:line="236" w:lineRule="exact" w:before="0" w:after="0"/>
              <w:ind w:left="6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1,161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152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(860)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(365)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(464)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(1,178) </w:t>
            </w:r>
          </w:p>
        </w:tc>
      </w:tr>
      <w:tr>
        <w:trPr>
          <w:trHeight w:hRule="exact" w:val="247"/>
        </w:trPr>
        <w:tc>
          <w:tcPr>
            <w:tcW w:type="dxa" w:w="1888"/>
            <w:vMerge/>
            <w:tcBorders>
              <w:top w:sz="8.0" w:val="single" w:color="#6C6C6C"/>
              <w:end w:sz="24.0" w:val="single" w:color="#FFFFFF"/>
            </w:tcBorders>
          </w:tcPr>
          <w:p/>
        </w:tc>
        <w:tc>
          <w:tcPr>
            <w:tcW w:type="dxa" w:w="1260"/>
            <w:tcBorders>
              <w:start w:sz="24.0" w:val="single" w:color="#FFFFFF"/>
              <w:top w:sz="8.0" w:val="single" w:color="#6C6C6C"/>
              <w:end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1260"/>
            <w:tcBorders>
              <w:start w:sz="24.0" w:val="single" w:color="#FFFFFF"/>
              <w:top w:sz="8.0" w:val="single" w:color="#6C6C6C"/>
              <w:end w:sz="24.0" w:val="single" w:color="#FFFFFF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180" w:lineRule="exact" w:before="16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38,572 </w:t>
            </w:r>
          </w:p>
        </w:tc>
        <w:tc>
          <w:tcPr>
            <w:tcW w:type="dxa" w:w="1260"/>
            <w:tcBorders>
              <w:start w:sz="24.0" w:val="single" w:color="#FFFFFF"/>
              <w:top w:sz="8.0" w:val="single" w:color="#6C6C6C"/>
              <w:end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1240"/>
            <w:tcBorders>
              <w:start w:sz="24.0" w:val="single" w:color="#FFFFFF"/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0" w:val="left"/>
              </w:tabs>
              <w:autoSpaceDE w:val="0"/>
              <w:widowControl/>
              <w:spacing w:line="180" w:lineRule="exact" w:before="16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(1,004) 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2326"/>
        </w:trPr>
        <w:tc>
          <w:tcPr>
            <w:tcW w:type="dxa" w:w="889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12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2024</w:t>
            </w:r>
          </w:p>
        </w:tc>
        <w:tc>
          <w:tcPr>
            <w:tcW w:type="dxa" w:w="49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1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02" w:right="1370" w:bottom="244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4720"/>
        <w:gridCol w:w="4720"/>
      </w:tblGrid>
      <w:tr>
        <w:trPr>
          <w:trHeight w:hRule="exact" w:val="272"/>
        </w:trPr>
        <w:tc>
          <w:tcPr>
            <w:tcW w:type="dxa" w:w="3916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IV: Lending Activities</w:t>
            </w:r>
          </w:p>
        </w:tc>
      </w:tr>
    </w:tbl>
    <w:p>
      <w:pPr>
        <w:autoSpaceDN w:val="0"/>
        <w:autoSpaceDE w:val="0"/>
        <w:widowControl/>
        <w:spacing w:line="202" w:lineRule="exact" w:before="57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10: Gross Disbursements by Region</w:t>
      </w:r>
    </w:p>
    <w:p>
      <w:pPr>
        <w:autoSpaceDN w:val="0"/>
        <w:autoSpaceDE w:val="0"/>
        <w:widowControl/>
        <w:spacing w:line="180" w:lineRule="exact" w:before="58" w:after="3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2"/>
        </w:trPr>
        <w:tc>
          <w:tcPr>
            <w:tcW w:type="dxa" w:w="312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For the fiscal year ended June 30,</w:t>
            </w:r>
          </w:p>
        </w:tc>
        <w:tc>
          <w:tcPr>
            <w:tcW w:type="dxa" w:w="41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2024</w:t>
            </w:r>
          </w:p>
        </w:tc>
        <w:tc>
          <w:tcPr>
            <w:tcW w:type="dxa" w:w="167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% of total</w:t>
            </w:r>
          </w:p>
        </w:tc>
        <w:tc>
          <w:tcPr>
            <w:tcW w:type="dxa" w:w="81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2023</w:t>
            </w:r>
          </w:p>
        </w:tc>
        <w:tc>
          <w:tcPr>
            <w:tcW w:type="dxa" w:w="165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5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% of total</w:t>
            </w:r>
          </w:p>
        </w:tc>
        <w:tc>
          <w:tcPr>
            <w:tcW w:type="dxa" w:w="87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Variance</w:t>
            </w:r>
          </w:p>
        </w:tc>
      </w:tr>
      <w:tr>
        <w:trPr>
          <w:trHeight w:hRule="exact" w:val="226"/>
        </w:trPr>
        <w:tc>
          <w:tcPr>
            <w:tcW w:type="dxa" w:w="312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Eastern and Southern Africa</w:t>
            </w:r>
          </w:p>
        </w:tc>
        <w:tc>
          <w:tcPr>
            <w:tcW w:type="dxa" w:w="410"/>
            <w:vMerge w:val="restart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3,126 </w:t>
            </w:r>
          </w:p>
        </w:tc>
        <w:tc>
          <w:tcPr>
            <w:tcW w:type="dxa" w:w="167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9 %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1,690 </w:t>
            </w:r>
          </w:p>
        </w:tc>
        <w:tc>
          <w:tcPr>
            <w:tcW w:type="dxa" w:w="165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7 %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7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1,436 </w:t>
            </w:r>
          </w:p>
        </w:tc>
      </w:tr>
      <w:tr>
        <w:trPr>
          <w:trHeight w:hRule="exact" w:val="240"/>
        </w:trPr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Western and Central Africa</w:t>
            </w:r>
          </w:p>
        </w:tc>
        <w:tc>
          <w:tcPr>
            <w:tcW w:type="dxa" w:w="1349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240 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6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 </w:t>
            </w:r>
          </w:p>
        </w:tc>
        <w:tc>
          <w:tcPr>
            <w:tcW w:type="dxa" w:w="8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161 </w:t>
            </w:r>
          </w:p>
        </w:tc>
        <w:tc>
          <w:tcPr>
            <w:tcW w:type="dxa" w:w="16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5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 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 </w:t>
            </w:r>
          </w:p>
        </w:tc>
      </w:tr>
      <w:tr>
        <w:trPr>
          <w:trHeight w:hRule="exact" w:val="240"/>
        </w:trPr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 Asia and Pacific</w:t>
            </w:r>
          </w:p>
        </w:tc>
        <w:tc>
          <w:tcPr>
            <w:tcW w:type="dxa" w:w="1349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5,492 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6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16 </w:t>
            </w:r>
          </w:p>
        </w:tc>
        <w:tc>
          <w:tcPr>
            <w:tcW w:type="dxa" w:w="8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4,350 </w:t>
            </w:r>
          </w:p>
        </w:tc>
        <w:tc>
          <w:tcPr>
            <w:tcW w:type="dxa" w:w="16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5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17 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1,142 </w:t>
            </w:r>
          </w:p>
        </w:tc>
      </w:tr>
      <w:tr>
        <w:trPr>
          <w:trHeight w:hRule="exact" w:val="240"/>
        </w:trPr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Europe and Central Asia</w:t>
            </w:r>
          </w:p>
        </w:tc>
        <w:tc>
          <w:tcPr>
            <w:tcW w:type="dxa" w:w="1349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10,574 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6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32 </w:t>
            </w:r>
          </w:p>
        </w:tc>
        <w:tc>
          <w:tcPr>
            <w:tcW w:type="dxa" w:w="8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4,833 </w:t>
            </w:r>
          </w:p>
        </w:tc>
        <w:tc>
          <w:tcPr>
            <w:tcW w:type="dxa" w:w="16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5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19 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5,741 </w:t>
            </w:r>
          </w:p>
        </w:tc>
      </w:tr>
      <w:tr>
        <w:trPr>
          <w:trHeight w:hRule="exact" w:val="240"/>
        </w:trPr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Latin America and the Caribbean</w:t>
            </w:r>
          </w:p>
        </w:tc>
        <w:tc>
          <w:tcPr>
            <w:tcW w:type="dxa" w:w="1349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6,305 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6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19 </w:t>
            </w:r>
          </w:p>
        </w:tc>
        <w:tc>
          <w:tcPr>
            <w:tcW w:type="dxa" w:w="8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8,216 </w:t>
            </w:r>
          </w:p>
        </w:tc>
        <w:tc>
          <w:tcPr>
            <w:tcW w:type="dxa" w:w="16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5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32 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(1,911) </w:t>
            </w:r>
          </w:p>
        </w:tc>
      </w:tr>
      <w:tr>
        <w:trPr>
          <w:trHeight w:hRule="exact" w:val="240"/>
        </w:trPr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Middle East and North Africa</w:t>
            </w:r>
          </w:p>
        </w:tc>
        <w:tc>
          <w:tcPr>
            <w:tcW w:type="dxa" w:w="1349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3,332 </w:t>
            </w:r>
          </w:p>
        </w:tc>
        <w:tc>
          <w:tcPr>
            <w:tcW w:type="dxa" w:w="1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6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 </w:t>
            </w:r>
          </w:p>
        </w:tc>
        <w:tc>
          <w:tcPr>
            <w:tcW w:type="dxa" w:w="8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2,964 </w:t>
            </w:r>
          </w:p>
        </w:tc>
        <w:tc>
          <w:tcPr>
            <w:tcW w:type="dxa" w:w="16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5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11 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368 </w:t>
            </w:r>
          </w:p>
        </w:tc>
      </w:tr>
      <w:tr>
        <w:trPr>
          <w:trHeight w:hRule="exact" w:val="254"/>
        </w:trPr>
        <w:tc>
          <w:tcPr>
            <w:tcW w:type="dxa" w:w="312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South Asia</w:t>
            </w:r>
          </w:p>
        </w:tc>
        <w:tc>
          <w:tcPr>
            <w:tcW w:type="dxa" w:w="1349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5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4,381 </w:t>
            </w:r>
          </w:p>
        </w:tc>
        <w:tc>
          <w:tcPr>
            <w:tcW w:type="dxa" w:w="167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6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 </w:t>
            </w:r>
          </w:p>
        </w:tc>
        <w:tc>
          <w:tcPr>
            <w:tcW w:type="dxa" w:w="81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3,290 </w:t>
            </w:r>
          </w:p>
        </w:tc>
        <w:tc>
          <w:tcPr>
            <w:tcW w:type="dxa" w:w="165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5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 </w:t>
            </w:r>
          </w:p>
        </w:tc>
        <w:tc>
          <w:tcPr>
            <w:tcW w:type="dxa" w:w="87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1,091 </w:t>
            </w:r>
          </w:p>
        </w:tc>
      </w:tr>
      <w:tr>
        <w:trPr>
          <w:trHeight w:hRule="exact" w:val="220"/>
        </w:trPr>
        <w:tc>
          <w:tcPr>
            <w:tcW w:type="dxa" w:w="312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1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33,450 </w:t>
            </w:r>
          </w:p>
        </w:tc>
        <w:tc>
          <w:tcPr>
            <w:tcW w:type="dxa" w:w="167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1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25,504 </w:t>
            </w:r>
          </w:p>
        </w:tc>
        <w:tc>
          <w:tcPr>
            <w:tcW w:type="dxa" w:w="16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7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7,946 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7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8" w:lineRule="exact" w:before="28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Lending Categories</w:t>
      </w:r>
    </w:p>
    <w:p>
      <w:pPr>
        <w:autoSpaceDN w:val="0"/>
        <w:autoSpaceDE w:val="0"/>
        <w:widowControl/>
        <w:spacing w:line="240" w:lineRule="exact" w:before="12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lending is classified in three categories: investment project financing, development policy financing,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program-for-results (Figure 11).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Investment Project Financing (IPF)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IPF provides financing for a wide range of activities aimed at creating the physical and social infrastructure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necessary to reduce poverty and create sustainable development. IPF generally disburses over 5 to 10-years. FY24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net IPF commitments  were $14.6 billion, compared with $17.4 billion in FY23. 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Development Policy Financing (DPF)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DPF aims to support borrowers in achieving sustainable development through a program of policy and institutional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actions.  Examples of DPF projects include strengthening public financial management, improving the investment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climate, addressing bottlenecks to improve service delivery, and diversifying the economy. DPF supports reforms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through non-earmarked general budget financing. DPF provides fast-disbursing financing to help borrowers address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actual or anticipated financing requirements. FY24 net DPF commitments were $15.9 billion, compared with $14.0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billion in FY23. 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Program-for-Results (PforR)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PforR helps countries improve the design and implementation of their development programs and achieve specific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results by strengthening institutions and building capacity. PforR disburses when agreed results are achieved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verified. Results are identified and agreed upon during the loan preparation stage. FY24 net PforR commitments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were $7.1 billion, compared with $7.2 billion in FY23.</w:t>
      </w:r>
    </w:p>
    <w:p>
      <w:pPr>
        <w:autoSpaceDN w:val="0"/>
        <w:autoSpaceDE w:val="0"/>
        <w:widowControl/>
        <w:spacing w:line="202" w:lineRule="exact" w:before="14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Figure 11: Percentage Share of Lending Categories for Annual Net Commitments</w:t>
      </w:r>
    </w:p>
    <w:p>
      <w:pPr>
        <w:autoSpaceDN w:val="0"/>
        <w:autoSpaceDE w:val="0"/>
        <w:widowControl/>
        <w:spacing w:line="178" w:lineRule="exact" w:before="78" w:after="52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billions of U.S. dollars, except rates in percentages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242"/>
        </w:trPr>
        <w:tc>
          <w:tcPr>
            <w:tcW w:type="dxa" w:w="5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32" w:after="0"/>
              <w:ind w:left="256" w:right="60" w:hanging="78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100%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80%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60%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$28.0</w:t>
            </w:r>
          </w:p>
        </w:tc>
        <w:tc>
          <w:tcPr>
            <w:tcW w:type="dxa" w:w="9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$30.5</w:t>
            </w:r>
          </w:p>
        </w:tc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$33.1</w:t>
            </w:r>
          </w:p>
        </w:tc>
        <w:tc>
          <w:tcPr>
            <w:tcW w:type="dxa" w:w="9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$38.6</w:t>
            </w:r>
          </w:p>
        </w:tc>
        <w:tc>
          <w:tcPr>
            <w:tcW w:type="dxa" w:w="3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5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$37.6</w:t>
            </w:r>
          </w:p>
        </w:tc>
      </w:tr>
      <w:tr>
        <w:trPr>
          <w:trHeight w:hRule="exact" w:val="846"/>
        </w:trPr>
        <w:tc>
          <w:tcPr>
            <w:tcW w:type="dxa" w:w="1180"/>
            <w:vMerge/>
            <w:tcBorders/>
          </w:tcPr>
          <w:p/>
        </w:tc>
        <w:tc>
          <w:tcPr>
            <w:tcW w:type="dxa" w:w="7124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17" w:type="dxa"/>
            </w:tblPr>
            <w:tblGrid>
              <w:gridCol w:w="1187"/>
              <w:gridCol w:w="1187"/>
              <w:gridCol w:w="1187"/>
              <w:gridCol w:w="1187"/>
              <w:gridCol w:w="1187"/>
              <w:gridCol w:w="1187"/>
            </w:tblGrid>
            <w:tr>
              <w:trPr>
                <w:trHeight w:hRule="exact" w:val="342"/>
              </w:trPr>
              <w:tc>
                <w:tcPr>
                  <w:tcW w:type="dxa" w:w="4994"/>
                  <w:tcBorders>
                    <w:start w:sz="6.006378173828125" w:val="single" w:color="#898A89"/>
                    <w:bottom w:sz="6.006378173828125" w:val="single" w:color="#898A89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58.0000000000001" w:type="dxa"/>
                  </w:tblPr>
                  <w:tblGrid>
                    <w:gridCol w:w="999"/>
                    <w:gridCol w:w="999"/>
                    <w:gridCol w:w="999"/>
                    <w:gridCol w:w="999"/>
                    <w:gridCol w:w="999"/>
                  </w:tblGrid>
                  <w:tr>
                    <w:trPr>
                      <w:trHeight w:hRule="exact" w:val="194"/>
                    </w:trPr>
                    <w:tc>
                      <w:tcPr>
                        <w:tcW w:type="dxa" w:w="480"/>
                        <w:tcBorders/>
                        <w:shd w:fill="585958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8" w:lineRule="exact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14"/>
                          </w:rPr>
                          <w:t>10%</w:t>
                        </w:r>
                      </w:p>
                    </w:tc>
                    <w:tc>
                      <w:tcPr>
                        <w:tcW w:type="dxa" w:w="99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16.0000000000002" w:type="dxa"/>
                        </w:tblPr>
                        <w:tblGrid>
                          <w:gridCol w:w="996"/>
                        </w:tblGrid>
                        <w:tr>
                          <w:trPr>
                            <w:trHeight w:hRule="exact" w:val="202"/>
                          </w:trPr>
                          <w:tc>
                            <w:tcPr>
                              <w:tcW w:type="dxa" w:w="480"/>
                              <w:tcBorders/>
                              <w:shd w:fill="585958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58" w:lineRule="exact" w:before="6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4"/>
                                </w:rPr>
                                <w:t>17%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9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16.0000000000002" w:type="dxa"/>
                        </w:tblPr>
                        <w:tblGrid>
                          <w:gridCol w:w="996"/>
                        </w:tblGrid>
                        <w:tr>
                          <w:trPr>
                            <w:trHeight w:hRule="exact" w:val="210"/>
                          </w:trPr>
                          <w:tc>
                            <w:tcPr>
                              <w:tcW w:type="dxa" w:w="480"/>
                              <w:tcBorders/>
                              <w:shd w:fill="585958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56" w:lineRule="exact" w:before="7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4"/>
                                </w:rPr>
                                <w:t>18%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9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16.0000000000002" w:type="dxa"/>
                        </w:tblPr>
                        <w:tblGrid>
                          <w:gridCol w:w="996"/>
                        </w:tblGrid>
                        <w:tr>
                          <w:trPr>
                            <w:trHeight w:hRule="exact" w:val="210"/>
                          </w:trPr>
                          <w:tc>
                            <w:tcPr>
                              <w:tcW w:type="dxa" w:w="480"/>
                              <w:tcBorders/>
                              <w:shd w:fill="585958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56" w:lineRule="exact" w:before="7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4"/>
                                </w:rPr>
                                <w:t>19%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9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15.9999999999991" w:type="dxa"/>
                        </w:tblPr>
                        <w:tblGrid>
                          <w:gridCol w:w="996"/>
                        </w:tblGrid>
                        <w:tr>
                          <w:trPr>
                            <w:trHeight w:hRule="exact" w:val="210"/>
                          </w:trPr>
                          <w:tc>
                            <w:tcPr>
                              <w:tcW w:type="dxa" w:w="480"/>
                              <w:tcBorders/>
                              <w:shd w:fill="585958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56" w:lineRule="exact" w:before="7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4"/>
                                </w:rPr>
                                <w:t>19%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122"/>
                    </w:trPr>
                    <w:tc>
                      <w:tcPr>
                        <w:tcW w:type="dxa" w:w="480"/>
                        <w:tcBorders/>
                        <w:shd w:fill="959595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9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9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9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9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96"/>
                    </w:trPr>
                    <w:tc>
                      <w:tcPr>
                        <w:tcW w:type="dxa" w:w="480"/>
                        <w:tcBorders/>
                        <w:shd w:fill="95959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8" w:lineRule="exact" w:before="1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4"/>
                          </w:rPr>
                          <w:t>36%</w:t>
                        </w:r>
                      </w:p>
                    </w:tc>
                    <w:tc>
                      <w:tcPr>
                        <w:tcW w:type="dxa" w:w="99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16.0000000000002" w:type="dxa"/>
                        </w:tblPr>
                        <w:tblGrid>
                          <w:gridCol w:w="996"/>
                        </w:tblGrid>
                        <w:tr>
                          <w:trPr>
                            <w:trHeight w:hRule="exact" w:val="430"/>
                          </w:trPr>
                          <w:tc>
                            <w:tcPr>
                              <w:tcW w:type="dxa" w:w="480"/>
                              <w:tcBorders/>
                              <w:shd w:fill="959595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58" w:lineRule="exact" w:before="24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000000"/>
                                  <w:sz w:val="14"/>
                                </w:rPr>
                                <w:t>35%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9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16.0000000000002" w:type="dxa"/>
                        </w:tblPr>
                        <w:tblGrid>
                          <w:gridCol w:w="996"/>
                        </w:tblGrid>
                        <w:tr>
                          <w:trPr>
                            <w:trHeight w:hRule="exact" w:val="446"/>
                          </w:trPr>
                          <w:tc>
                            <w:tcPr>
                              <w:tcW w:type="dxa" w:w="480"/>
                              <w:tcBorders/>
                              <w:shd w:fill="959595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58" w:lineRule="exact" w:before="29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000000"/>
                                  <w:sz w:val="14"/>
                                </w:rPr>
                                <w:t>40%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9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16.0000000000002" w:type="dxa"/>
                        </w:tblPr>
                        <w:tblGrid>
                          <w:gridCol w:w="996"/>
                        </w:tblGrid>
                        <w:tr>
                          <w:trPr>
                            <w:trHeight w:hRule="exact" w:val="414"/>
                          </w:trPr>
                          <w:tc>
                            <w:tcPr>
                              <w:tcW w:type="dxa" w:w="480"/>
                              <w:tcBorders/>
                              <w:shd w:fill="959595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58" w:lineRule="exact" w:before="24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000000"/>
                                  <w:sz w:val="14"/>
                                </w:rPr>
                                <w:t>36%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9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15.9999999999991" w:type="dxa"/>
                        </w:tblPr>
                        <w:tblGrid>
                          <w:gridCol w:w="996"/>
                        </w:tblGrid>
                        <w:tr>
                          <w:trPr>
                            <w:trHeight w:hRule="exact" w:val="444"/>
                          </w:trPr>
                          <w:tc>
                            <w:tcPr>
                              <w:tcW w:type="dxa" w:w="480"/>
                              <w:tcBorders/>
                              <w:shd w:fill="959595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58" w:lineRule="exact" w:before="30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000000"/>
                                  <w:sz w:val="14"/>
                                </w:rPr>
                                <w:t>42%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728"/>
                    </w:trPr>
                    <w:tc>
                      <w:tcPr>
                        <w:tcW w:type="dxa" w:w="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39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4"/>
                          </w:rPr>
                          <w:t>54%</w:t>
                        </w:r>
                      </w:p>
                    </w:tc>
                    <w:tc>
                      <w:tcPr>
                        <w:tcW w:type="dxa" w:w="99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456" w:after="0"/>
                          <w:ind w:left="0" w:right="104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4"/>
                          </w:rPr>
                          <w:t>48%</w:t>
                        </w:r>
                      </w:p>
                    </w:tc>
                    <w:tc>
                      <w:tcPr>
                        <w:tcW w:type="dxa" w:w="99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8" w:lineRule="exact" w:before="500" w:after="0"/>
                          <w:ind w:left="0" w:right="110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4"/>
                          </w:rPr>
                          <w:t>42%</w:t>
                        </w:r>
                      </w:p>
                    </w:tc>
                    <w:tc>
                      <w:tcPr>
                        <w:tcW w:type="dxa" w:w="99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470" w:after="0"/>
                          <w:ind w:left="0" w:right="116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4"/>
                          </w:rPr>
                          <w:t>45%</w:t>
                        </w:r>
                      </w:p>
                    </w:tc>
                    <w:tc>
                      <w:tcPr>
                        <w:tcW w:type="dxa" w:w="99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8" w:lineRule="exact" w:before="530" w:after="0"/>
                          <w:ind w:left="0" w:right="108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4"/>
                          </w:rPr>
                          <w:t>39%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87"/>
                  <w:tcBorders>
                    <w:start w:sz="6.006378173828125" w:val="single" w:color="#898A89"/>
                    <w:bottom w:sz="6.006378173828125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7"/>
                  <w:tcBorders>
                    <w:start w:sz="6.006378173828125" w:val="single" w:color="#898A89"/>
                    <w:bottom w:sz="6.006378173828125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7"/>
                  <w:tcBorders>
                    <w:start w:sz="6.006378173828125" w:val="single" w:color="#898A89"/>
                    <w:bottom w:sz="6.006378173828125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7"/>
                  <w:tcBorders>
                    <w:start w:sz="6.006378173828125" w:val="single" w:color="#898A89"/>
                    <w:bottom w:sz="6.006378173828125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7"/>
                  <w:tcBorders>
                    <w:start w:sz="6.006378173828125" w:val="single" w:color="#898A89"/>
                    <w:bottom w:sz="6.006378173828125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932"/>
        </w:trPr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144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40%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20%</w:t>
            </w:r>
          </w:p>
        </w:tc>
        <w:tc>
          <w:tcPr>
            <w:tcW w:type="dxa" w:w="8260"/>
            <w:gridSpan w:val="7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5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0%</w:t>
            </w:r>
          </w:p>
        </w:tc>
        <w:tc>
          <w:tcPr>
            <w:tcW w:type="dxa" w:w="8260"/>
            <w:gridSpan w:val="7"/>
            <w:vMerge/>
            <w:tcBorders/>
          </w:tcPr>
          <w:p/>
        </w:tc>
      </w:tr>
      <w:tr>
        <w:trPr>
          <w:trHeight w:hRule="exact" w:val="392"/>
        </w:trPr>
        <w:tc>
          <w:tcPr>
            <w:tcW w:type="dxa" w:w="1180"/>
            <w:vMerge/>
            <w:tcBorders/>
          </w:tcPr>
          <w:p/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FY20</w:t>
            </w:r>
          </w:p>
        </w:tc>
        <w:tc>
          <w:tcPr>
            <w:tcW w:type="dxa" w:w="9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FY21</w:t>
            </w:r>
          </w:p>
        </w:tc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0" w:right="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FY22</w:t>
            </w:r>
          </w:p>
        </w:tc>
        <w:tc>
          <w:tcPr>
            <w:tcW w:type="dxa" w:w="9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FY23</w:t>
            </w:r>
          </w:p>
        </w:tc>
        <w:tc>
          <w:tcPr>
            <w:tcW w:type="dxa" w:w="3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5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FY24</w:t>
            </w:r>
          </w:p>
        </w:tc>
      </w:tr>
      <w:tr>
        <w:trPr>
          <w:trHeight w:hRule="exact" w:val="136"/>
        </w:trPr>
        <w:tc>
          <w:tcPr>
            <w:tcW w:type="dxa" w:w="59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Investment Project</w:t>
            </w:r>
          </w:p>
        </w:tc>
        <w:tc>
          <w:tcPr>
            <w:tcW w:type="dxa" w:w="19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4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Development Policy</w:t>
            </w:r>
          </w:p>
        </w:tc>
        <w:tc>
          <w:tcPr>
            <w:tcW w:type="dxa" w:w="3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2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Program-for-Results</w:t>
            </w:r>
          </w:p>
        </w:tc>
      </w:tr>
      <w:tr>
        <w:trPr>
          <w:trHeight w:hRule="exact" w:val="1948"/>
        </w:trPr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74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712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744" w:after="0"/>
              <w:ind w:left="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02" w:right="1370" w:bottom="252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IV: Lending Activities</w:t>
            </w:r>
          </w:p>
        </w:tc>
      </w:tr>
    </w:tbl>
    <w:p>
      <w:pPr>
        <w:autoSpaceDN w:val="0"/>
        <w:autoSpaceDE w:val="0"/>
        <w:widowControl/>
        <w:spacing w:line="268" w:lineRule="exact" w:before="50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Currently Available Lending Products</w:t>
      </w:r>
    </w:p>
    <w:p>
      <w:pPr>
        <w:autoSpaceDN w:val="0"/>
        <w:autoSpaceDE w:val="0"/>
        <w:widowControl/>
        <w:spacing w:line="200" w:lineRule="exact" w:before="16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June 30, 2024, 84 member countries were eligible to borrow from IBRD. See Appendix for a list of eligible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countries. </w:t>
      </w:r>
    </w:p>
    <w:p>
      <w:pPr>
        <w:autoSpaceDN w:val="0"/>
        <w:autoSpaceDE w:val="0"/>
        <w:widowControl/>
        <w:spacing w:line="244" w:lineRule="exact" w:before="9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IBRD Flexible Loans (IFLs)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IFLs allow borrowers to customize their repayment terms (i.e., grace period, repayment period, and amortization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profile) to meet their debt management or project needs. The IFL previously offered two types of loan terms: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variable-spread terms and fixed-spread terms. Effective April 1, 2021, IBRD’s offering of loans on fixed spread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terms as well as a related conversion feature from the variable spread terms to fixed spread terms was suspended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(see section IX: Risk Management). As of June 30, 2024, 76% of IBRD’s loans outstanding carried variable-spread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terms and 24% had fixed-spread terms. See Table 13 for details of loan terms for IFL loans.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IFLs include options to manage the currency and/or interest rate risk over the life of the loan. The outstanding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balance of loans for which currency or interest rate conversions have been exercised was $52.7 billion as of June 30,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2024 and $41.7 billion as of June 30, 2023. IFLs may be denominated in the currency or currencies chosen by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borrower if IBRD can efficiently intermediate in that currency. Using currency conversions, some borrowing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member countries have converted their IBRD loans into domestic currencies to reduce their foreign currency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exposure for projects or programs that do not generate foreign currency revenue. These local currency loans may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carry fixed or variable-spread terms. The balance of local currency loans outstanding was $3.2 billion as of June 30,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2024 and $3.4 billion as of June 30, 2023, respectively. Box 1 below shows the components of the spread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IFLs and how these are determined. </w:t>
      </w:r>
    </w:p>
    <w:p>
      <w:pPr>
        <w:autoSpaceDN w:val="0"/>
        <w:autoSpaceDE w:val="0"/>
        <w:widowControl/>
        <w:spacing w:line="202" w:lineRule="exact" w:before="146" w:after="36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Box 1: Components of Loan spread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0"/>
        <w:gridCol w:w="4720"/>
      </w:tblGrid>
      <w:tr>
        <w:trPr>
          <w:trHeight w:hRule="exact" w:val="240"/>
        </w:trPr>
        <w:tc>
          <w:tcPr>
            <w:tcW w:type="dxa" w:w="34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Contractual lending spread</w:t>
            </w:r>
          </w:p>
        </w:tc>
        <w:tc>
          <w:tcPr>
            <w:tcW w:type="dxa" w:w="588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Subject to the Board's periodic review</w:t>
            </w:r>
          </w:p>
        </w:tc>
      </w:tr>
      <w:tr>
        <w:trPr>
          <w:trHeight w:hRule="exact" w:val="240"/>
        </w:trPr>
        <w:tc>
          <w:tcPr>
            <w:tcW w:type="dxa" w:w="34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Maturity Premium</w:t>
            </w:r>
          </w:p>
        </w:tc>
        <w:tc>
          <w:tcPr>
            <w:tcW w:type="dxa" w:w="472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34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Market Risk Premium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588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Set by Management</w:t>
            </w:r>
          </w:p>
        </w:tc>
      </w:tr>
      <w:tr>
        <w:trPr>
          <w:trHeight w:hRule="exact" w:val="240"/>
        </w:trPr>
        <w:tc>
          <w:tcPr>
            <w:tcW w:type="dxa" w:w="34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Funding Cost Margin</w:t>
            </w:r>
          </w:p>
        </w:tc>
        <w:tc>
          <w:tcPr>
            <w:tcW w:type="dxa" w:w="472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78" w:lineRule="exact" w:before="18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This is only applicable to fixed spread loans which are not currently offered.</w:t>
      </w:r>
    </w:p>
    <w:p>
      <w:pPr>
        <w:autoSpaceDN w:val="0"/>
        <w:autoSpaceDE w:val="0"/>
        <w:widowControl/>
        <w:spacing w:line="240" w:lineRule="exact" w:before="196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ability to offer long-term financing distinguishes development banks from other sources of funding for member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countries.  Since IBRD introduced maturity-based pricing in 2010, most countries continue to choose loans with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longer maturities with a higher maturity premium, highlighting the value of longer maturities to member countries.</w:t>
      </w:r>
    </w:p>
    <w:p>
      <w:pPr>
        <w:autoSpaceDN w:val="0"/>
        <w:autoSpaceDE w:val="0"/>
        <w:widowControl/>
        <w:spacing w:line="202" w:lineRule="exact" w:before="200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11: Net Commitments by Maturity</w:t>
      </w:r>
    </w:p>
    <w:p>
      <w:pPr>
        <w:autoSpaceDN w:val="0"/>
        <w:autoSpaceDE w:val="0"/>
        <w:widowControl/>
        <w:spacing w:line="180" w:lineRule="exact" w:before="58" w:after="2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28"/>
        </w:trPr>
        <w:tc>
          <w:tcPr>
            <w:tcW w:type="dxa" w:w="2570"/>
            <w:vMerge w:val="restart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6D6D6D"/>
                <w:sz w:val="16"/>
              </w:rPr>
              <w:t>Maturity</w:t>
            </w:r>
          </w:p>
        </w:tc>
        <w:tc>
          <w:tcPr>
            <w:tcW w:type="dxa" w:w="4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For the fiscal year </w:t>
            </w:r>
          </w:p>
        </w:tc>
        <w:tc>
          <w:tcPr>
            <w:tcW w:type="dxa" w:w="183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For the fiscal year </w:t>
            </w:r>
          </w:p>
        </w:tc>
      </w:tr>
      <w:tr>
        <w:trPr>
          <w:trHeight w:hRule="exact" w:val="238"/>
        </w:trPr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4980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ended June 30, 2024</w:t>
            </w:r>
          </w:p>
        </w:tc>
        <w:tc>
          <w:tcPr>
            <w:tcW w:type="dxa" w:w="1830"/>
            <w:gridSpan w:val="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ended June 30, 2023</w:t>
            </w:r>
          </w:p>
        </w:tc>
      </w:tr>
      <w:tr>
        <w:trPr>
          <w:trHeight w:hRule="exact" w:val="222"/>
        </w:trPr>
        <w:tc>
          <w:tcPr>
            <w:tcW w:type="dxa" w:w="2570"/>
            <w:vMerge w:val="restart"/>
            <w:tcBorders>
              <w:top w:sz="8.0" w:val="single" w:color="#000000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62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&lt; 8 years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8-10 years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10-12 years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12-15 years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15-18 years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&gt;18 years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Guarantee Commitments</w:t>
            </w:r>
          </w:p>
        </w:tc>
        <w:tc>
          <w:tcPr>
            <w:tcW w:type="dxa" w:w="384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5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4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1,477 </w:t>
            </w:r>
          </w:p>
        </w:tc>
        <w:tc>
          <w:tcPr>
            <w:tcW w:type="dxa" w:w="780"/>
            <w:gridSpan w:val="2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gridSpan w:val="2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5,838 </w:t>
            </w:r>
          </w:p>
        </w:tc>
      </w:tr>
      <w:tr>
        <w:trPr>
          <w:trHeight w:hRule="exact" w:val="240"/>
        </w:trPr>
        <w:tc>
          <w:tcPr>
            <w:tcW w:type="dxa" w:w="1349"/>
            <w:vMerge/>
            <w:tcBorders>
              <w:top w:sz="8.0" w:val="single" w:color="#000000"/>
              <w:bottom w:sz="8.0" w:val="single" w:color="#6C6C6C"/>
            </w:tcBorders>
          </w:tcPr>
          <w:p/>
        </w:tc>
        <w:tc>
          <w:tcPr>
            <w:tcW w:type="dxa" w:w="4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7,498 </w:t>
            </w:r>
          </w:p>
        </w:tc>
        <w:tc>
          <w:tcPr>
            <w:tcW w:type="dxa" w:w="183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4,251 </w:t>
            </w:r>
          </w:p>
        </w:tc>
      </w:tr>
      <w:tr>
        <w:trPr>
          <w:trHeight w:hRule="exact" w:val="240"/>
        </w:trPr>
        <w:tc>
          <w:tcPr>
            <w:tcW w:type="dxa" w:w="1349"/>
            <w:vMerge/>
            <w:tcBorders>
              <w:top w:sz="8.0" w:val="single" w:color="#000000"/>
              <w:bottom w:sz="8.0" w:val="single" w:color="#6C6C6C"/>
            </w:tcBorders>
          </w:tcPr>
          <w:p/>
        </w:tc>
        <w:tc>
          <w:tcPr>
            <w:tcW w:type="dxa" w:w="4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7,020 </w:t>
            </w:r>
          </w:p>
        </w:tc>
        <w:tc>
          <w:tcPr>
            <w:tcW w:type="dxa" w:w="183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14,898 </w:t>
            </w:r>
          </w:p>
        </w:tc>
      </w:tr>
      <w:tr>
        <w:trPr>
          <w:trHeight w:hRule="exact" w:val="240"/>
        </w:trPr>
        <w:tc>
          <w:tcPr>
            <w:tcW w:type="dxa" w:w="1349"/>
            <w:vMerge/>
            <w:tcBorders>
              <w:top w:sz="8.0" w:val="single" w:color="#000000"/>
              <w:bottom w:sz="8.0" w:val="single" w:color="#6C6C6C"/>
            </w:tcBorders>
          </w:tcPr>
          <w:p/>
        </w:tc>
        <w:tc>
          <w:tcPr>
            <w:tcW w:type="dxa" w:w="4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4,425 </w:t>
            </w:r>
          </w:p>
        </w:tc>
        <w:tc>
          <w:tcPr>
            <w:tcW w:type="dxa" w:w="183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4,388 </w:t>
            </w:r>
          </w:p>
        </w:tc>
      </w:tr>
      <w:tr>
        <w:trPr>
          <w:trHeight w:hRule="exact" w:val="240"/>
        </w:trPr>
        <w:tc>
          <w:tcPr>
            <w:tcW w:type="dxa" w:w="1349"/>
            <w:vMerge/>
            <w:tcBorders>
              <w:top w:sz="8.0" w:val="single" w:color="#000000"/>
              <w:bottom w:sz="8.0" w:val="single" w:color="#6C6C6C"/>
            </w:tcBorders>
          </w:tcPr>
          <w:p/>
        </w:tc>
        <w:tc>
          <w:tcPr>
            <w:tcW w:type="dxa" w:w="4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4,086 </w:t>
            </w:r>
          </w:p>
        </w:tc>
        <w:tc>
          <w:tcPr>
            <w:tcW w:type="dxa" w:w="183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2,559 </w:t>
            </w:r>
          </w:p>
        </w:tc>
      </w:tr>
      <w:tr>
        <w:trPr>
          <w:trHeight w:hRule="exact" w:val="240"/>
        </w:trPr>
        <w:tc>
          <w:tcPr>
            <w:tcW w:type="dxa" w:w="1349"/>
            <w:vMerge/>
            <w:tcBorders>
              <w:top w:sz="8.0" w:val="single" w:color="#000000"/>
              <w:bottom w:sz="8.0" w:val="single" w:color="#6C6C6C"/>
            </w:tcBorders>
          </w:tcPr>
          <w:p/>
        </w:tc>
        <w:tc>
          <w:tcPr>
            <w:tcW w:type="dxa" w:w="4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12,395 </w:t>
            </w:r>
          </w:p>
        </w:tc>
        <w:tc>
          <w:tcPr>
            <w:tcW w:type="dxa" w:w="183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6,597 </w:t>
            </w:r>
          </w:p>
        </w:tc>
      </w:tr>
      <w:tr>
        <w:trPr>
          <w:trHeight w:hRule="exact" w:val="258"/>
        </w:trPr>
        <w:tc>
          <w:tcPr>
            <w:tcW w:type="dxa" w:w="1349"/>
            <w:vMerge/>
            <w:tcBorders>
              <w:top w:sz="8.0" w:val="single" w:color="#000000"/>
              <w:bottom w:sz="8.0" w:val="single" w:color="#6C6C6C"/>
            </w:tcBorders>
          </w:tcPr>
          <w:p/>
        </w:tc>
        <w:tc>
          <w:tcPr>
            <w:tcW w:type="dxa" w:w="4980"/>
            <w:gridSpan w:val="2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667 </w:t>
            </w:r>
          </w:p>
        </w:tc>
        <w:tc>
          <w:tcPr>
            <w:tcW w:type="dxa" w:w="1830"/>
            <w:gridSpan w:val="4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 </w:t>
            </w:r>
          </w:p>
        </w:tc>
      </w:tr>
      <w:tr>
        <w:trPr>
          <w:trHeight w:hRule="exact" w:val="220"/>
        </w:trPr>
        <w:tc>
          <w:tcPr>
            <w:tcW w:type="dxa" w:w="257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Net Commitments</w:t>
            </w:r>
          </w:p>
        </w:tc>
        <w:tc>
          <w:tcPr>
            <w:tcW w:type="dxa" w:w="384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51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4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37,568 </w:t>
            </w:r>
          </w:p>
        </w:tc>
        <w:tc>
          <w:tcPr>
            <w:tcW w:type="dxa" w:w="736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94"/>
            <w:gridSpan w:val="3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38,572 </w:t>
            </w:r>
          </w:p>
        </w:tc>
      </w:tr>
      <w:tr>
        <w:trPr>
          <w:trHeight w:hRule="exact" w:val="3432"/>
        </w:trPr>
        <w:tc>
          <w:tcPr>
            <w:tcW w:type="dxa" w:w="257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36"/>
            <w:gridSpan w:val="5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18" w:after="0"/>
              <w:ind w:left="7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2024</w:t>
            </w:r>
          </w:p>
        </w:tc>
        <w:tc>
          <w:tcPr>
            <w:tcW w:type="dxa" w:w="47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02" w:right="1370" w:bottom="244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4727"/>
        <w:gridCol w:w="4727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IV: Lending Activities</w:t>
            </w:r>
          </w:p>
        </w:tc>
      </w:tr>
    </w:tbl>
    <w:p>
      <w:pPr>
        <w:autoSpaceDN w:val="0"/>
        <w:autoSpaceDE w:val="0"/>
        <w:widowControl/>
        <w:spacing w:line="244" w:lineRule="exact" w:before="502" w:after="0"/>
        <w:ind w:left="2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Other Lending Products Currently Available </w:t>
      </w:r>
    </w:p>
    <w:p>
      <w:pPr>
        <w:autoSpaceDN w:val="0"/>
        <w:autoSpaceDE w:val="0"/>
        <w:widowControl/>
        <w:spacing w:line="240" w:lineRule="exact" w:before="130" w:after="0"/>
        <w:ind w:left="2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addition to IFLs, IBRD offers loans with a deferred drawdown option, Special Development Policy Loans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(SDPLs), loan-related derivatives, and loans to IFC (Box 2).</w:t>
      </w:r>
    </w:p>
    <w:p>
      <w:pPr>
        <w:autoSpaceDN w:val="0"/>
        <w:autoSpaceDE w:val="0"/>
        <w:widowControl/>
        <w:spacing w:line="202" w:lineRule="exact" w:before="146" w:after="36"/>
        <w:ind w:left="2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Box 2: Other Lending Products as of 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7"/>
        <w:gridCol w:w="4727"/>
      </w:tblGrid>
      <w:tr>
        <w:trPr>
          <w:trHeight w:hRule="exact" w:val="240"/>
        </w:trPr>
        <w:tc>
          <w:tcPr>
            <w:tcW w:type="dxa" w:w="1888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Lending Product</w:t>
            </w:r>
          </w:p>
        </w:tc>
        <w:tc>
          <w:tcPr>
            <w:tcW w:type="dxa" w:w="7456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Description</w:t>
            </w:r>
          </w:p>
        </w:tc>
      </w:tr>
      <w:tr>
        <w:trPr>
          <w:trHeight w:hRule="exact" w:val="2746"/>
        </w:trPr>
        <w:tc>
          <w:tcPr>
            <w:tcW w:type="dxa" w:w="1888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6" w:after="0"/>
              <w:ind w:left="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Loans with a Deferred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Drawdown Option</w:t>
            </w:r>
          </w:p>
        </w:tc>
        <w:tc>
          <w:tcPr>
            <w:tcW w:type="dxa" w:w="7456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44" w:right="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The Development Policy Loan Deferred Drawdown Option (DPL DDO) gives borrowers the flexibility to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rapidly obtain the financing they require.  For example, such funds could be needed owing to a shortfall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 resources caused by unfavorable economic events, such as declines in growth or unfavorable shifts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 commodity prices or terms of trade. The Catastrophe Risk DDO (CAT DDO) enables borrowers to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access immediate funding to respond rapidly in the wake of a natural disaster. The Investment Project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Financing DDO (IPF DDO) provides clients with contingent financing for specific investment project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expenditures to increase financial preparedness for certain crisis response needs. Under the DPL DDO,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borrowers may defer disbursement for up to three years, renewable for an additional three years. Under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the IPF DDO, borrowers may defer disbursement for up to five years, renewable for an additional three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years. The CAT DDO has a revolving feature and the three-year drawdown period may be renewed up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to four times, for a total maximum drawdown period of 15 years (Table 13). As of June 30, 2024,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amount of DDOs disbursed and outstanding was $9.5 billion (compared to $9.3 billion on June 30,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2023), and the undisbursed amount of effective DDOs was $0.5 billion, compared to $0.1 billion a year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earlier.</w:t>
            </w:r>
          </w:p>
        </w:tc>
      </w:tr>
      <w:tr>
        <w:trPr>
          <w:trHeight w:hRule="exact" w:val="960"/>
        </w:trPr>
        <w:tc>
          <w:tcPr>
            <w:tcW w:type="dxa" w:w="1888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28" w:after="0"/>
              <w:ind w:left="42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Special Development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Policy Loans (SDPLs)</w:t>
            </w:r>
          </w:p>
        </w:tc>
        <w:tc>
          <w:tcPr>
            <w:tcW w:type="dxa" w:w="7456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6" w:after="0"/>
              <w:ind w:left="44" w:right="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SDPLs support structural and social reforms by creditworthy borrowers that face a possible global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financial crisis or are already in a crisis and have extraordinary and urgent external financing needs.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There were no amounts outstanding as of June 30, 2024 and June 30, 2023. IBRD made no new SDPL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commitments in either FY24 or FY23.</w:t>
            </w:r>
          </w:p>
        </w:tc>
      </w:tr>
      <w:tr>
        <w:trPr>
          <w:trHeight w:hRule="exact" w:val="1604"/>
        </w:trPr>
        <w:tc>
          <w:tcPr>
            <w:tcW w:type="dxa" w:w="1888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10" w:after="0"/>
              <w:ind w:left="42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Loan-Related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Derivatives</w:t>
            </w:r>
          </w:p>
        </w:tc>
        <w:tc>
          <w:tcPr>
            <w:tcW w:type="dxa" w:w="7456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4" w:right="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 assists its borrowers with access to better risk management tools by offering derivative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instruments, including currency and interest rate swaps and interest rate caps and collars, associated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with their loans. These instruments may be executed either under a master derivatives agreement,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which substantially conforms to industry standards, or under individually negotiated agreements. Under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these arrangements, IBRD passes through the market cost of these instruments to its borrowers.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balance of loans outstanding for which borrowers had entered into currency or interest rate derivative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transactions under a master derivatives agreement with IBRD was $8.9 billion as of June 30, 2024 and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$9.0 billion as of June 30, 2023.</w:t>
            </w:r>
          </w:p>
        </w:tc>
      </w:tr>
      <w:tr>
        <w:trPr>
          <w:trHeight w:hRule="exact" w:val="720"/>
        </w:trPr>
        <w:tc>
          <w:tcPr>
            <w:tcW w:type="dxa" w:w="1888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6" w:after="0"/>
              <w:ind w:left="9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Loans with IFC</w:t>
            </w:r>
          </w:p>
        </w:tc>
        <w:tc>
          <w:tcPr>
            <w:tcW w:type="dxa" w:w="7456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2" w:after="0"/>
              <w:ind w:left="44" w:right="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 provides loans to IFC in connection with the release of a member's National Currency Paid-In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Capital (NCPIC) to IBRD. (See Section VIII for explanation of NCPIC).  There were no loans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outstanding as of June 30, 2024 and June 30, 2023.</w:t>
            </w:r>
          </w:p>
        </w:tc>
      </w:tr>
    </w:tbl>
    <w:p>
      <w:pPr>
        <w:autoSpaceDN w:val="0"/>
        <w:autoSpaceDE w:val="0"/>
        <w:widowControl/>
        <w:spacing w:line="244" w:lineRule="exact" w:before="162" w:after="0"/>
        <w:ind w:left="2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Lending Terms Applicable to IBRD Products </w:t>
      </w:r>
    </w:p>
    <w:p>
      <w:pPr>
        <w:autoSpaceDN w:val="0"/>
        <w:autoSpaceDE w:val="0"/>
        <w:widowControl/>
        <w:spacing w:line="240" w:lineRule="exact" w:before="130" w:after="0"/>
        <w:ind w:left="2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current pricing structure classifies member countries into four pricing groups, based on income and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factors, and relates the maturity premium to the exemptions, discounts or surcharges applicable to each pricing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group (Table 12).</w:t>
      </w:r>
    </w:p>
    <w:p>
      <w:pPr>
        <w:autoSpaceDN w:val="0"/>
        <w:autoSpaceDE w:val="0"/>
        <w:widowControl/>
        <w:spacing w:line="202" w:lineRule="exact" w:before="146" w:after="36"/>
        <w:ind w:left="2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12: Country Pricing Group and Maturity Premium (in basis points)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151"/>
        <w:gridCol w:w="3151"/>
        <w:gridCol w:w="3151"/>
      </w:tblGrid>
      <w:tr>
        <w:trPr>
          <w:trHeight w:hRule="exact" w:val="404"/>
        </w:trPr>
        <w:tc>
          <w:tcPr>
            <w:tcW w:type="dxa" w:w="173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Country pricing group</w:t>
            </w:r>
          </w:p>
        </w:tc>
        <w:tc>
          <w:tcPr>
            <w:tcW w:type="dxa" w:w="660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6" w:after="0"/>
              <w:ind w:left="0" w:right="281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Description</w:t>
            </w:r>
          </w:p>
        </w:tc>
        <w:tc>
          <w:tcPr>
            <w:tcW w:type="dxa" w:w="108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6" w:after="0"/>
              <w:ind w:left="144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Maturity </w:t>
            </w: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Premium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7F7F7F"/>
                <w:sz w:val="10"/>
              </w:rPr>
              <w:t>a</w:t>
            </w:r>
          </w:p>
        </w:tc>
      </w:tr>
      <w:tr>
        <w:trPr>
          <w:trHeight w:hRule="exact" w:val="666"/>
        </w:trPr>
        <w:tc>
          <w:tcPr>
            <w:tcW w:type="dxa" w:w="173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660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6" w:after="0"/>
              <w:ind w:left="238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Blends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, small states, countries in fragile and conflict-affected situations (FCS) and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recent IDA graduates. These countries are exempt from the maturity premium increase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regardless of their income levels.</w:t>
            </w:r>
          </w:p>
        </w:tc>
        <w:tc>
          <w:tcPr>
            <w:tcW w:type="dxa" w:w="108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0-50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</w:tr>
      <w:tr>
        <w:trPr>
          <w:trHeight w:hRule="exact" w:val="252"/>
        </w:trPr>
        <w:tc>
          <w:tcPr>
            <w:tcW w:type="dxa" w:w="17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</w:t>
            </w:r>
          </w:p>
        </w:tc>
        <w:tc>
          <w:tcPr>
            <w:tcW w:type="dxa" w:w="6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Countries below-GDI which do not qualify for an exemption listed in Group A.</w:t>
            </w:r>
          </w:p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0-70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27"/>
        <w:gridCol w:w="4727"/>
      </w:tblGrid>
      <w:tr>
        <w:trPr>
          <w:trHeight w:hRule="exact" w:val="4362"/>
        </w:trPr>
        <w:tc>
          <w:tcPr>
            <w:tcW w:type="dxa" w:w="46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966" w:after="0"/>
              <w:ind w:left="52" w:right="0" w:firstLine="18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ann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b. Co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c. Me</w:t>
            </w:r>
          </w:p>
          <w:p>
            <w:pPr>
              <w:autoSpaceDN w:val="0"/>
              <w:autoSpaceDE w:val="0"/>
              <w:widowControl/>
              <w:spacing w:line="224" w:lineRule="exact" w:before="1586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786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40" w:after="0"/>
              <w:ind w:left="14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Countries above-GDI, but below high-income status and which do not qualify for an </w:t>
            </w:r>
          </w:p>
          <w:p>
            <w:pPr>
              <w:autoSpaceDN w:val="0"/>
              <w:autoSpaceDE w:val="0"/>
              <w:widowControl/>
              <w:spacing w:line="180" w:lineRule="exact" w:before="858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ually. </w:t>
            </w:r>
          </w:p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b. Co untries eligible for IDA and IBRD loans.</w:t>
            </w:r>
          </w:p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c. Member countries in group A are exempt from the maturity premium increase applicable from July 1, 2018.</w:t>
            </w:r>
          </w:p>
          <w:p>
            <w:pPr>
              <w:autoSpaceDN w:val="0"/>
              <w:autoSpaceDE w:val="0"/>
              <w:widowControl/>
              <w:spacing w:line="224" w:lineRule="exact" w:before="1586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2024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151"/>
        <w:gridCol w:w="3151"/>
        <w:gridCol w:w="3151"/>
      </w:tblGrid>
      <w:tr>
        <w:trPr>
          <w:trHeight w:hRule="exact" w:val="210"/>
        </w:trPr>
        <w:tc>
          <w:tcPr>
            <w:tcW w:type="dxa" w:w="14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5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</w:t>
            </w:r>
          </w:p>
        </w:tc>
        <w:tc>
          <w:tcPr>
            <w:tcW w:type="dxa" w:w="6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5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exemption listed in Group A.</w:t>
            </w:r>
          </w:p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0-90</w:t>
            </w:r>
          </w:p>
        </w:tc>
      </w:tr>
      <w:tr>
        <w:trPr>
          <w:trHeight w:hRule="exact" w:val="220"/>
        </w:trPr>
        <w:tc>
          <w:tcPr>
            <w:tcW w:type="dxa" w:w="1430"/>
            <w:vMerge w:val="restart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0" w:after="0"/>
              <w:ind w:left="0" w:right="5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</w:t>
            </w:r>
          </w:p>
        </w:tc>
        <w:tc>
          <w:tcPr>
            <w:tcW w:type="dxa" w:w="6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5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Countries with high income status and which do not qualify for an exemption listed in </w:t>
            </w:r>
          </w:p>
        </w:tc>
        <w:tc>
          <w:tcPr>
            <w:tcW w:type="dxa" w:w="1080"/>
            <w:vMerge w:val="restart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5-115</w:t>
            </w:r>
          </w:p>
        </w:tc>
      </w:tr>
      <w:tr>
        <w:trPr>
          <w:trHeight w:hRule="exact" w:val="220"/>
        </w:trPr>
        <w:tc>
          <w:tcPr>
            <w:tcW w:type="dxa" w:w="3151"/>
            <w:vMerge/>
            <w:tcBorders>
              <w:bottom w:sz="8.0" w:val="single" w:color="#6C6C6C"/>
            </w:tcBorders>
          </w:tcPr>
          <w:p/>
        </w:tc>
        <w:tc>
          <w:tcPr>
            <w:tcW w:type="dxa" w:w="690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5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Group A.</w:t>
            </w:r>
          </w:p>
        </w:tc>
        <w:tc>
          <w:tcPr>
            <w:tcW w:type="dxa" w:w="3151"/>
            <w:vMerge/>
            <w:tcBorders>
              <w:bottom w:sz="8.0" w:val="single" w:color="#6C6C6C"/>
            </w:tcBorders>
          </w:tcPr>
          <w:p/>
        </w:tc>
      </w:tr>
    </w:tbl>
    <w:p>
      <w:pPr>
        <w:autoSpaceDN w:val="0"/>
        <w:autoSpaceDE w:val="0"/>
        <w:widowControl/>
        <w:spacing w:line="180" w:lineRule="exact" w:before="10" w:after="0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Based on the weighted average maturity of the loan, borrower’s income, and other factors, approved by the Board and reviewed </w:t>
      </w:r>
    </w:p>
    <w:p>
      <w:pPr>
        <w:sectPr>
          <w:pgSz w:w="12240" w:h="15840"/>
          <w:pgMar w:top="302" w:right="1370" w:bottom="25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4720"/>
        <w:gridCol w:w="4720"/>
      </w:tblGrid>
      <w:tr>
        <w:trPr>
          <w:trHeight w:hRule="exact" w:val="272"/>
        </w:trPr>
        <w:tc>
          <w:tcPr>
            <w:tcW w:type="dxa" w:w="3916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IV: Lending Activities</w:t>
            </w:r>
          </w:p>
        </w:tc>
      </w:tr>
    </w:tbl>
    <w:p>
      <w:pPr>
        <w:autoSpaceDN w:val="0"/>
        <w:autoSpaceDE w:val="0"/>
        <w:widowControl/>
        <w:spacing w:line="202" w:lineRule="exact" w:before="574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13: Loan Terms Available During Fiscal Year Ended June 30, 2024</w:t>
      </w:r>
    </w:p>
    <w:p>
      <w:pPr>
        <w:autoSpaceDN w:val="0"/>
        <w:autoSpaceDE w:val="0"/>
        <w:widowControl/>
        <w:spacing w:line="180" w:lineRule="exact" w:before="60" w:after="2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Basis points, unless otherwise noted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14"/>
        </w:trPr>
        <w:tc>
          <w:tcPr>
            <w:tcW w:type="dxa" w:w="4110"/>
            <w:vMerge w:val="restart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6D6D6D"/>
                <w:sz w:val="16"/>
              </w:rPr>
              <w:t xml:space="preserve">IBRD Flexible Loan (IFL)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6D6D6D"/>
                <w:sz w:val="10"/>
              </w:rPr>
              <w:t>a b</w:t>
            </w:r>
          </w:p>
        </w:tc>
        <w:tc>
          <w:tcPr>
            <w:tcW w:type="dxa" w:w="26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Special Development Policy Loans </w:t>
            </w:r>
          </w:p>
        </w:tc>
      </w:tr>
      <w:tr>
        <w:trPr>
          <w:trHeight w:hRule="exact" w:val="274"/>
        </w:trPr>
        <w:tc>
          <w:tcPr>
            <w:tcW w:type="dxa" w:w="3147"/>
            <w:vMerge/>
            <w:tcBorders>
              <w:bottom w:sz="8.0" w:val="single" w:color="#6C6C6C"/>
            </w:tcBorders>
          </w:tcPr>
          <w:p/>
        </w:tc>
        <w:tc>
          <w:tcPr>
            <w:tcW w:type="dxa" w:w="2616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Variable-spread Terms</w:t>
            </w:r>
          </w:p>
        </w:tc>
        <w:tc>
          <w:tcPr>
            <w:tcW w:type="dxa" w:w="2654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(SDPL)</w:t>
            </w:r>
          </w:p>
        </w:tc>
      </w:tr>
      <w:tr>
        <w:trPr>
          <w:trHeight w:hRule="exact" w:val="240"/>
        </w:trPr>
        <w:tc>
          <w:tcPr>
            <w:tcW w:type="dxa" w:w="411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808080"/>
                <w:sz w:val="16"/>
              </w:rPr>
              <w:t>Final maturity</w:t>
            </w:r>
          </w:p>
        </w:tc>
        <w:tc>
          <w:tcPr>
            <w:tcW w:type="dxa" w:w="2616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 years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2654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 years</w:t>
            </w:r>
          </w:p>
        </w:tc>
      </w:tr>
      <w:tr>
        <w:trPr>
          <w:trHeight w:hRule="exact" w:val="240"/>
        </w:trPr>
        <w:tc>
          <w:tcPr>
            <w:tcW w:type="dxa" w:w="411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808080"/>
                <w:sz w:val="16"/>
              </w:rPr>
              <w:t>Maximum weighted average maturity</w:t>
            </w:r>
          </w:p>
        </w:tc>
        <w:tc>
          <w:tcPr>
            <w:tcW w:type="dxa" w:w="2616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years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2654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7.5 years</w:t>
            </w:r>
          </w:p>
        </w:tc>
      </w:tr>
      <w:tr>
        <w:trPr>
          <w:trHeight w:hRule="exact" w:val="240"/>
        </w:trPr>
        <w:tc>
          <w:tcPr>
            <w:tcW w:type="dxa" w:w="411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808080"/>
                <w:sz w:val="16"/>
              </w:rPr>
              <w:t>Reference market rate</w:t>
            </w:r>
          </w:p>
        </w:tc>
        <w:tc>
          <w:tcPr>
            <w:tcW w:type="dxa" w:w="2616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Market-based variable rate index</w:t>
            </w:r>
          </w:p>
        </w:tc>
        <w:tc>
          <w:tcPr>
            <w:tcW w:type="dxa" w:w="2654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Market-based variable rate index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30"/>
        <w:ind w:left="62" w:right="0" w:firstLine="0"/>
        <w:jc w:val="left"/>
      </w:pPr>
      <w:r>
        <w:rPr>
          <w:rFonts w:ascii="Arial" w:hAnsi="Arial" w:eastAsia="Arial"/>
          <w:b/>
          <w:i/>
          <w:color w:val="808080"/>
          <w:sz w:val="16"/>
        </w:rPr>
        <w:t>Spread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3147"/>
        <w:gridCol w:w="3147"/>
        <w:gridCol w:w="3147"/>
      </w:tblGrid>
      <w:tr>
        <w:trPr>
          <w:trHeight w:hRule="exact" w:val="224"/>
        </w:trPr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Contractual lending spread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2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</w:t>
            </w:r>
          </w:p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min. 200</w:t>
            </w:r>
          </w:p>
        </w:tc>
      </w:tr>
      <w:tr>
        <w:trPr>
          <w:trHeight w:hRule="exact" w:val="260"/>
        </w:trPr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Maturity premium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0" w:right="10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0-115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178" w:lineRule="exact" w:before="34" w:after="6"/>
        <w:ind w:left="0" w:right="2992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Actual average funding cost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182"/>
        </w:trPr>
        <w:tc>
          <w:tcPr>
            <w:tcW w:type="dxa" w:w="2990"/>
            <w:vMerge w:val="restart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Funding cost margin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6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incurred during the preceding six-</w:t>
            </w:r>
          </w:p>
        </w:tc>
        <w:tc>
          <w:tcPr>
            <w:tcW w:type="dxa" w:w="2090"/>
            <w:vMerge w:val="restart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4" w:after="0"/>
              <w:ind w:left="0" w:right="1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hRule="exact" w:val="240"/>
        </w:trPr>
        <w:tc>
          <w:tcPr>
            <w:tcW w:type="dxa" w:w="3147"/>
            <w:vMerge/>
            <w:tcBorders>
              <w:bottom w:sz="8.0" w:val="single" w:color="#6C6C6C"/>
            </w:tcBorders>
          </w:tcPr>
          <w:p/>
        </w:tc>
        <w:tc>
          <w:tcPr>
            <w:tcW w:type="dxa" w:w="430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4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month period</w:t>
            </w:r>
          </w:p>
        </w:tc>
        <w:tc>
          <w:tcPr>
            <w:tcW w:type="dxa" w:w="3147"/>
            <w:vMerge/>
            <w:tcBorders>
              <w:bottom w:sz="8.0" w:val="single" w:color="#6C6C6C"/>
            </w:tcBorders>
          </w:tcPr>
          <w:p/>
        </w:tc>
      </w:tr>
    </w:tbl>
    <w:p>
      <w:pPr>
        <w:autoSpaceDN w:val="0"/>
        <w:autoSpaceDE w:val="0"/>
        <w:widowControl/>
        <w:spacing w:line="178" w:lineRule="exact" w:before="32" w:after="32"/>
        <w:ind w:left="62" w:right="0" w:firstLine="0"/>
        <w:jc w:val="left"/>
      </w:pPr>
      <w:r>
        <w:rPr>
          <w:rFonts w:ascii="Arial" w:hAnsi="Arial" w:eastAsia="Arial"/>
          <w:b/>
          <w:i/>
          <w:color w:val="808080"/>
          <w:sz w:val="16"/>
        </w:rPr>
        <w:t>Charges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0"/>
        <w:gridCol w:w="2360"/>
        <w:gridCol w:w="2360"/>
        <w:gridCol w:w="2360"/>
      </w:tblGrid>
      <w:tr>
        <w:trPr>
          <w:trHeight w:hRule="exact" w:val="238"/>
        </w:trPr>
        <w:tc>
          <w:tcPr>
            <w:tcW w:type="dxa" w:w="30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Front-end fee</w:t>
            </w:r>
          </w:p>
        </w:tc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8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303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</w:tr>
      <w:tr>
        <w:trPr>
          <w:trHeight w:hRule="exact" w:val="200"/>
        </w:trPr>
        <w:tc>
          <w:tcPr>
            <w:tcW w:type="dxa" w:w="93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Late service charge on principal payments received </w:t>
            </w:r>
          </w:p>
        </w:tc>
      </w:tr>
      <w:tr>
        <w:trPr>
          <w:trHeight w:hRule="exact" w:val="220"/>
        </w:trPr>
        <w:tc>
          <w:tcPr>
            <w:tcW w:type="dxa" w:w="30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after 30 days of due date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e</w:t>
            </w:r>
          </w:p>
        </w:tc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8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</w:t>
            </w:r>
          </w:p>
        </w:tc>
        <w:tc>
          <w:tcPr>
            <w:tcW w:type="dxa" w:w="303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hRule="exact" w:val="474"/>
        </w:trPr>
        <w:tc>
          <w:tcPr>
            <w:tcW w:type="dxa" w:w="303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Commitment Fee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f g</w:t>
            </w:r>
          </w:p>
        </w:tc>
        <w:tc>
          <w:tcPr>
            <w:tcW w:type="dxa" w:w="332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8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3030"/>
            <w:gridSpan w:val="2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</w:t>
            </w:r>
          </w:p>
        </w:tc>
      </w:tr>
      <w:tr>
        <w:trPr>
          <w:trHeight w:hRule="exact" w:val="206"/>
        </w:trPr>
        <w:tc>
          <w:tcPr>
            <w:tcW w:type="dxa" w:w="6350"/>
            <w:gridSpan w:val="2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Development Policy Loan </w:t>
            </w:r>
          </w:p>
        </w:tc>
        <w:tc>
          <w:tcPr>
            <w:tcW w:type="dxa" w:w="3030"/>
            <w:gridSpan w:val="2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77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Catastrophe Risk </w:t>
            </w:r>
          </w:p>
        </w:tc>
      </w:tr>
      <w:tr>
        <w:trPr>
          <w:trHeight w:hRule="exact" w:val="230"/>
        </w:trPr>
        <w:tc>
          <w:tcPr>
            <w:tcW w:type="dxa" w:w="6350"/>
            <w:gridSpan w:val="2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Deferred Drawdown Option</w:t>
            </w:r>
          </w:p>
        </w:tc>
        <w:tc>
          <w:tcPr>
            <w:tcW w:type="dxa" w:w="3030"/>
            <w:gridSpan w:val="2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Deferred Drawdown Option</w:t>
            </w:r>
          </w:p>
        </w:tc>
      </w:tr>
      <w:tr>
        <w:trPr>
          <w:trHeight w:hRule="exact" w:val="240"/>
        </w:trPr>
        <w:tc>
          <w:tcPr>
            <w:tcW w:type="dxa" w:w="303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808080"/>
                <w:sz w:val="16"/>
              </w:rPr>
              <w:t>Reference market rate</w:t>
            </w:r>
          </w:p>
        </w:tc>
        <w:tc>
          <w:tcPr>
            <w:tcW w:type="dxa" w:w="332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Market-based variable rate index</w:t>
            </w:r>
          </w:p>
        </w:tc>
        <w:tc>
          <w:tcPr>
            <w:tcW w:type="dxa" w:w="3030"/>
            <w:gridSpan w:val="2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Market-based variable rate index</w:t>
            </w:r>
          </w:p>
        </w:tc>
      </w:tr>
      <w:tr>
        <w:trPr>
          <w:trHeight w:hRule="exact" w:val="230"/>
        </w:trPr>
        <w:tc>
          <w:tcPr>
            <w:tcW w:type="dxa" w:w="303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Contractual lending spread</w:t>
            </w:r>
          </w:p>
        </w:tc>
        <w:tc>
          <w:tcPr>
            <w:tcW w:type="dxa" w:w="6350"/>
            <w:gridSpan w:val="3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IFL variable in effect at the time of withdrawal</w:t>
            </w:r>
          </w:p>
        </w:tc>
      </w:tr>
      <w:tr>
        <w:trPr>
          <w:trHeight w:hRule="exact" w:val="240"/>
        </w:trPr>
        <w:tc>
          <w:tcPr>
            <w:tcW w:type="dxa" w:w="30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Front-end fee </w:t>
            </w:r>
          </w:p>
        </w:tc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303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30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Renewal fee</w:t>
            </w:r>
          </w:p>
        </w:tc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303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3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</w:t>
            </w:r>
          </w:p>
        </w:tc>
      </w:tr>
      <w:tr>
        <w:trPr>
          <w:trHeight w:hRule="exact" w:val="250"/>
        </w:trPr>
        <w:tc>
          <w:tcPr>
            <w:tcW w:type="dxa" w:w="303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Stand-by fee</w:t>
            </w:r>
          </w:p>
        </w:tc>
        <w:tc>
          <w:tcPr>
            <w:tcW w:type="dxa" w:w="332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f</w:t>
            </w:r>
          </w:p>
        </w:tc>
        <w:tc>
          <w:tcPr>
            <w:tcW w:type="dxa" w:w="878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0" w:after="0"/>
              <w:ind w:left="162" w:right="0" w:firstLine="0"/>
              <w:jc w:val="left"/>
            </w:pP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g</w:t>
            </w:r>
          </w:p>
        </w:tc>
        <w:tc>
          <w:tcPr>
            <w:tcW w:type="dxa" w:w="2152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3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180" w:lineRule="exact" w:before="12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There is an implicit floor of zero on the overall interest rate in IBRD’s loans. </w:t>
      </w:r>
    </w:p>
    <w:p>
      <w:pPr>
        <w:autoSpaceDN w:val="0"/>
        <w:autoSpaceDE w:val="0"/>
        <w:widowControl/>
        <w:spacing w:line="180" w:lineRule="exact" w:before="1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Effective April 1, 2021, IBRD suspended offering loans with fixed spread terms.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c. For some projects addressing global challenges with cross border externalities, the maximum loan maturity is extended to up to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50 years and the maximum weighted average maturity is extended to up to 25 years.</w:t>
      </w:r>
    </w:p>
    <w:p>
      <w:pPr>
        <w:autoSpaceDN w:val="0"/>
        <w:autoSpaceDE w:val="0"/>
        <w:widowControl/>
        <w:spacing w:line="180" w:lineRule="exact" w:before="1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d. Based on the weighted average maturity of the loan and on country pricing group.</w:t>
      </w:r>
    </w:p>
    <w:p>
      <w:pPr>
        <w:autoSpaceDN w:val="0"/>
        <w:autoSpaceDE w:val="0"/>
        <w:widowControl/>
        <w:spacing w:line="180" w:lineRule="exact" w:before="1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e. See Box 6 in Section IX for a discussion of overdue payments.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f. Certain waivers of commitment / stand-by fees payable during the first year of financing for health-related COVID-19 operations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are approved under the Fast Track COVID-19 Facility.</w:t>
      </w:r>
    </w:p>
    <w:p>
      <w:pPr>
        <w:autoSpaceDN w:val="0"/>
        <w:autoSpaceDE w:val="0"/>
        <w:widowControl/>
        <w:spacing w:line="192" w:lineRule="exact" w:before="0" w:after="0"/>
        <w:ind w:left="242" w:right="78" w:hanging="180"/>
        <w:jc w:val="both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g. For operations approved under the Additional Financing to the COVID-19 Strategic Preparedness and Response Program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(SPRP), the commitment fee is waived for a period of up to 18 months starting from the date of approval of the relevant </w:t>
      </w:r>
      <w:r>
        <w:rPr>
          <w:rFonts w:ascii="Arial" w:hAnsi="Arial" w:eastAsia="Arial"/>
          <w:b w:val="0"/>
          <w:i/>
          <w:color w:val="000000"/>
          <w:sz w:val="16"/>
        </w:rPr>
        <w:t>operation.</w:t>
      </w:r>
    </w:p>
    <w:p>
      <w:pPr>
        <w:autoSpaceDN w:val="0"/>
        <w:autoSpaceDE w:val="0"/>
        <w:widowControl/>
        <w:spacing w:line="180" w:lineRule="exact" w:before="1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h. For CAT-DDOs approved under the Fast Track COVID-19 Facility, the Front-End Fee is reduced to 25bps.</w:t>
      </w:r>
    </w:p>
    <w:p>
      <w:pPr>
        <w:autoSpaceDN w:val="0"/>
        <w:autoSpaceDE w:val="0"/>
        <w:widowControl/>
        <w:spacing w:line="230" w:lineRule="exact" w:before="20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now offers a climate resilient debt clause (CRDCs) for eligible new and existing loans (with minimum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remaining maturity of five years), for certain borrowers</w:t>
      </w:r>
      <w:r>
        <w:rPr>
          <w:rFonts w:ascii="TimesNewRoman" w:hAnsi="TimesNewRoman" w:eastAsia="TimesNewRoman"/>
          <w:b w:val="0"/>
          <w:i w:val="0"/>
          <w:color w:val="000000"/>
          <w:sz w:val="13"/>
        </w:rPr>
        <w:t>3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. CRDCs allow eligible borrowing countries to defer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payments of principal, interest or charges for up to two years after a qualifying natural disaster. After the deferral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period, the borrower will restart payments of the deferred amounts according to a modified amortization schedule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that maintains the average weighted maturity of the loan, and does not extend the final maturity date. </w:t>
      </w:r>
    </w:p>
    <w:p>
      <w:pPr>
        <w:autoSpaceDN w:val="0"/>
        <w:autoSpaceDE w:val="0"/>
        <w:widowControl/>
        <w:spacing w:line="268" w:lineRule="exact" w:before="2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Discontinued Lending Products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loan portfolio includes lending products whose terms are no longer available for new commitments.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products include currency pool loans and fixed-rate single-currency loans. As of June 30, 2024, loans outstanding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$445 million (0.2% of the portfolio) carried terms no longer offered, with final maturity in May 2026. </w:t>
      </w:r>
    </w:p>
    <w:p>
      <w:pPr>
        <w:autoSpaceDN w:val="0"/>
        <w:autoSpaceDE w:val="0"/>
        <w:widowControl/>
        <w:spacing w:line="234" w:lineRule="exact" w:before="1308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13"/>
        </w:rPr>
        <w:t>3</w:t>
      </w:r>
      <w:r>
        <w:rPr>
          <w:rFonts w:ascii="Arial" w:hAnsi="Arial" w:eastAsia="Arial"/>
          <w:b w:val="0"/>
          <w:i/>
          <w:color w:val="000000"/>
          <w:sz w:val="14"/>
        </w:rPr>
        <w:t xml:space="preserve"> Eligible borrowers are IBRD Small State Economies, members of the Small States Forum, and Small Island Developing States as defined by the </w:t>
      </w:r>
    </w:p>
    <w:p>
      <w:pPr>
        <w:autoSpaceDN w:val="0"/>
        <w:autoSpaceDE w:val="0"/>
        <w:widowControl/>
        <w:spacing w:line="156" w:lineRule="exact" w:before="48" w:after="0"/>
        <w:ind w:left="10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>United Nations.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762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25</w:t>
      </w:r>
    </w:p>
    <w:p>
      <w:pPr>
        <w:sectPr>
          <w:pgSz w:w="12240" w:h="15840"/>
          <w:pgMar w:top="302" w:right="1370" w:bottom="244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5626100</wp:posOffset>
            </wp:positionV>
            <wp:extent cx="5880100" cy="18415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841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IV: Lending Activities</w:t>
            </w:r>
          </w:p>
        </w:tc>
      </w:tr>
    </w:tbl>
    <w:p>
      <w:pPr>
        <w:autoSpaceDN w:val="0"/>
        <w:autoSpaceDE w:val="0"/>
        <w:widowControl/>
        <w:spacing w:line="268" w:lineRule="exact" w:before="50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Waivers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 terms offered prior to September 28, 2007 included a partial waiver of interest and commitment charges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eligible loans, which were approved by the Board on annual basis until FY23. In FY23, the Board approved that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view of the small residual balance in these loans, the same waiver rates apply on all future payments for all eligible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loans without recurring annual Board approval. The foregone income in FY24 due to such approved waivers was $9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million (FY23: $16 million).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Figure 12 illustrates a breakdown of IBRD’s undisbursed balances by financial loan terms. As of June 30, 2024,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80% of loans outstanding were denominated in U.S. dollars, 18% were denominated in euros and 2% were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denominated in other currencies, before the use of derivatives. The interest and currency profile of loans outstanding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after the use of derivatives for risk management purposes is discussed under Market Risk in Section IX.</w:t>
      </w:r>
    </w:p>
    <w:p>
      <w:pPr>
        <w:autoSpaceDN w:val="0"/>
        <w:autoSpaceDE w:val="0"/>
        <w:widowControl/>
        <w:spacing w:line="202" w:lineRule="exact" w:before="20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14: Loans outstanding by interest rate structure, excluding derivatives</w:t>
      </w:r>
    </w:p>
    <w:p>
      <w:pPr>
        <w:autoSpaceDN w:val="0"/>
        <w:autoSpaceDE w:val="0"/>
        <w:widowControl/>
        <w:spacing w:line="180" w:lineRule="exact" w:before="60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dollars, except for ratios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9440"/>
      </w:tblGrid>
      <w:tr>
        <w:trPr>
          <w:trHeight w:hRule="exact" w:val="884"/>
        </w:trPr>
        <w:tc>
          <w:tcPr>
            <w:tcW w:type="dxa" w:w="9270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772"/>
              <w:gridCol w:w="772"/>
              <w:gridCol w:w="772"/>
              <w:gridCol w:w="772"/>
              <w:gridCol w:w="772"/>
              <w:gridCol w:w="772"/>
              <w:gridCol w:w="772"/>
              <w:gridCol w:w="772"/>
              <w:gridCol w:w="772"/>
              <w:gridCol w:w="772"/>
              <w:gridCol w:w="772"/>
              <w:gridCol w:w="772"/>
            </w:tblGrid>
            <w:tr>
              <w:trPr>
                <w:trHeight w:hRule="exact" w:val="222"/>
              </w:trPr>
              <w:tc>
                <w:tcPr>
                  <w:tcW w:type="dxa" w:w="8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6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929292"/>
                      <w:sz w:val="16"/>
                    </w:rPr>
                    <w:t xml:space="preserve">Product </w:t>
                  </w:r>
                </w:p>
              </w:tc>
              <w:tc>
                <w:tcPr>
                  <w:tcW w:type="dxa" w:w="7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45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929292"/>
                      <w:sz w:val="16"/>
                    </w:rPr>
                    <w:t>Total</w:t>
                  </w:r>
                </w:p>
              </w:tc>
              <w:tc>
                <w:tcPr>
                  <w:tcW w:type="dxa" w:w="16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6" w:after="0"/>
                    <w:ind w:left="188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June 30, 2024</w:t>
                  </w:r>
                </w:p>
              </w:tc>
              <w:tc>
                <w:tcPr>
                  <w:tcW w:type="dxa" w:w="6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45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929292"/>
                      <w:sz w:val="16"/>
                    </w:rPr>
                    <w:t>Total</w:t>
                  </w:r>
                </w:p>
              </w:tc>
              <w:tc>
                <w:tcPr>
                  <w:tcW w:type="dxa" w:w="7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6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929292"/>
                      <w:sz w:val="16"/>
                    </w:rPr>
                    <w:t xml:space="preserve">% of </w:t>
                  </w:r>
                </w:p>
              </w:tc>
              <w:tc>
                <w:tcPr>
                  <w:tcW w:type="dxa" w:w="9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6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929292"/>
                      <w:sz w:val="16"/>
                    </w:rPr>
                    <w:t xml:space="preserve">Product </w:t>
                  </w:r>
                </w:p>
              </w:tc>
              <w:tc>
                <w:tcPr>
                  <w:tcW w:type="dxa" w:w="7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45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929292"/>
                      <w:sz w:val="16"/>
                    </w:rPr>
                    <w:t>Total</w:t>
                  </w:r>
                </w:p>
              </w:tc>
              <w:tc>
                <w:tcPr>
                  <w:tcW w:type="dxa" w:w="16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6" w:after="0"/>
                    <w:ind w:left="19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June 30, 2023</w:t>
                  </w:r>
                </w:p>
              </w:tc>
              <w:tc>
                <w:tcPr>
                  <w:tcW w:type="dxa" w:w="7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45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929292"/>
                      <w:sz w:val="16"/>
                    </w:rPr>
                    <w:t>Total</w:t>
                  </w:r>
                </w:p>
              </w:tc>
              <w:tc>
                <w:tcPr>
                  <w:tcW w:type="dxa" w:w="6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60" w:after="0"/>
                    <w:ind w:left="0" w:right="46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/>
                      <w:color w:val="929292"/>
                      <w:sz w:val="16"/>
                    </w:rPr>
                    <w:t xml:space="preserve">% of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6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124" w:after="0"/>
                    <w:ind w:left="144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929292"/>
                      <w:sz w:val="16"/>
                    </w:rPr>
                    <w:t xml:space="preserve">% of </w:t>
                  </w:r>
                  <w:r>
                    <w:rPr>
                      <w:rFonts w:ascii="Arial" w:hAnsi="Arial" w:eastAsia="Arial"/>
                      <w:b w:val="0"/>
                      <w:i/>
                      <w:color w:val="929292"/>
                      <w:sz w:val="16"/>
                    </w:rPr>
                    <w:t>Total</w:t>
                  </w:r>
                </w:p>
              </w:tc>
              <w:tc>
                <w:tcPr>
                  <w:tcW w:type="dxa" w:w="9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929292"/>
                      <w:sz w:val="16"/>
                    </w:rPr>
                    <w:t xml:space="preserve">Of which </w:t>
                  </w:r>
                  <w:r>
                    <w:rPr>
                      <w:rFonts w:ascii="Arial" w:hAnsi="Arial" w:eastAsia="Arial"/>
                      <w:b w:val="0"/>
                      <w:i/>
                      <w:color w:val="929292"/>
                      <w:sz w:val="16"/>
                    </w:rPr>
                    <w:t xml:space="preserve">reference </w:t>
                  </w:r>
                  <w:r>
                    <w:rPr>
                      <w:rFonts w:ascii="Arial" w:hAnsi="Arial" w:eastAsia="Arial"/>
                      <w:b w:val="0"/>
                      <w:i/>
                      <w:color w:val="929292"/>
                      <w:sz w:val="16"/>
                    </w:rPr>
                    <w:t>rate is</w:t>
                  </w:r>
                </w:p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6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124" w:after="0"/>
                    <w:ind w:left="144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929292"/>
                      <w:sz w:val="16"/>
                    </w:rPr>
                    <w:t xml:space="preserve">% of </w:t>
                  </w:r>
                  <w:r>
                    <w:rPr>
                      <w:rFonts w:ascii="Arial" w:hAnsi="Arial" w:eastAsia="Arial"/>
                      <w:b w:val="0"/>
                      <w:i/>
                      <w:color w:val="929292"/>
                      <w:sz w:val="16"/>
                    </w:rPr>
                    <w:t>Total</w:t>
                  </w:r>
                </w:p>
              </w:tc>
              <w:tc>
                <w:tcPr>
                  <w:tcW w:type="dxa" w:w="9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28" w:after="0"/>
                    <w:ind w:left="0" w:right="144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929292"/>
                      <w:sz w:val="16"/>
                    </w:rPr>
                    <w:t xml:space="preserve">Of which </w:t>
                  </w:r>
                  <w:r>
                    <w:rPr>
                      <w:rFonts w:ascii="Arial" w:hAnsi="Arial" w:eastAsia="Arial"/>
                      <w:b w:val="0"/>
                      <w:i/>
                      <w:color w:val="929292"/>
                      <w:sz w:val="16"/>
                    </w:rPr>
                    <w:t xml:space="preserve">reference </w:t>
                  </w:r>
                  <w:r>
                    <w:rPr>
                      <w:rFonts w:ascii="Arial" w:hAnsi="Arial" w:eastAsia="Arial"/>
                      <w:b w:val="0"/>
                      <w:i/>
                      <w:color w:val="929292"/>
                      <w:sz w:val="16"/>
                    </w:rPr>
                    <w:t>rate is</w:t>
                  </w:r>
                </w:p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</w:tr>
            <w:tr>
              <w:trPr>
                <w:trHeight w:hRule="exact" w:val="286"/>
              </w:trPr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0" w:after="0"/>
                    <w:ind w:left="1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929292"/>
                      <w:sz w:val="16"/>
                    </w:rPr>
                    <w:t>terms</w:t>
                  </w:r>
                </w:p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929292"/>
                      <w:sz w:val="16"/>
                    </w:rPr>
                    <w:t>Total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929292"/>
                      <w:sz w:val="16"/>
                    </w:rPr>
                    <w:t>terms</w:t>
                  </w:r>
                </w:p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772"/>
                  <w:vMerge/>
                  <w:tcBorders/>
                </w:tcPr>
                <w:p/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0" w:after="0"/>
                    <w:ind w:left="0" w:right="72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/>
                      <w:color w:val="929292"/>
                      <w:sz w:val="16"/>
                    </w:rPr>
                    <w:t>Total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770"/>
        </w:trPr>
        <w:tc>
          <w:tcPr>
            <w:tcW w:type="dxa" w:w="9270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662"/>
              <w:gridCol w:w="662"/>
              <w:gridCol w:w="662"/>
              <w:gridCol w:w="662"/>
              <w:gridCol w:w="662"/>
              <w:gridCol w:w="662"/>
              <w:gridCol w:w="662"/>
              <w:gridCol w:w="662"/>
              <w:gridCol w:w="662"/>
              <w:gridCol w:w="662"/>
              <w:gridCol w:w="662"/>
              <w:gridCol w:w="662"/>
              <w:gridCol w:w="662"/>
              <w:gridCol w:w="662"/>
            </w:tblGrid>
            <w:tr>
              <w:trPr>
                <w:trHeight w:hRule="exact" w:val="192"/>
              </w:trPr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2" w:after="0"/>
                    <w:ind w:left="3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Fixed </w:t>
                  </w:r>
                </w:p>
              </w:tc>
              <w:tc>
                <w:tcPr>
                  <w:tcW w:type="dxa" w:w="1004"/>
                  <w:gridSpan w:val="2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1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$ 63,170 </w:t>
                  </w:r>
                </w:p>
              </w:tc>
              <w:tc>
                <w:tcPr>
                  <w:tcW w:type="dxa" w:w="1256"/>
                  <w:gridSpan w:val="2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10" w:after="0"/>
                    <w:ind w:left="11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24 %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Fixed</w:t>
                  </w:r>
                </w:p>
              </w:tc>
              <w:tc>
                <w:tcPr>
                  <w:tcW w:type="dxa" w:w="1070"/>
                  <w:gridSpan w:val="2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10" w:after="0"/>
                    <w:ind w:left="20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$ 31,110 </w:t>
                  </w:r>
                </w:p>
              </w:tc>
              <w:tc>
                <w:tcPr>
                  <w:tcW w:type="dxa" w:w="55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1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12 %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2" w:after="0"/>
                    <w:ind w:left="6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Fixed </w:t>
                  </w:r>
                </w:p>
              </w:tc>
              <w:tc>
                <w:tcPr>
                  <w:tcW w:type="dxa" w:w="8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10" w:after="0"/>
                    <w:ind w:left="14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$ 65,340 </w:t>
                  </w:r>
                </w:p>
              </w:tc>
              <w:tc>
                <w:tcPr>
                  <w:tcW w:type="dxa" w:w="1440"/>
                  <w:gridSpan w:val="2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10" w:after="0"/>
                    <w:ind w:left="25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27 %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Fixed</w:t>
                  </w:r>
                </w:p>
              </w:tc>
              <w:tc>
                <w:tcPr>
                  <w:tcW w:type="dxa" w:w="10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10" w:after="0"/>
                    <w:ind w:left="19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$ 32,678 </w:t>
                  </w:r>
                </w:p>
              </w:tc>
              <w:tc>
                <w:tcPr>
                  <w:tcW w:type="dxa" w:w="5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10" w:after="0"/>
                    <w:ind w:left="0" w:right="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14 %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0" w:after="0"/>
                    <w:ind w:left="3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Spread </w:t>
                  </w:r>
                </w:p>
              </w:tc>
              <w:tc>
                <w:tcPr>
                  <w:tcW w:type="dxa" w:w="1324"/>
                  <w:gridSpan w:val="2"/>
                  <w:vMerge/>
                  <w:tcBorders/>
                </w:tcPr>
                <w:p/>
              </w:tc>
              <w:tc>
                <w:tcPr>
                  <w:tcW w:type="dxa" w:w="1324"/>
                  <w:gridSpan w:val="2"/>
                  <w:vMerge/>
                  <w:tcBorders/>
                </w:tcPr>
                <w:p/>
              </w:tc>
              <w:tc>
                <w:tcPr>
                  <w:tcW w:type="dxa" w:w="1324"/>
                  <w:gridSpan w:val="2"/>
                  <w:vMerge/>
                  <w:tcBorders/>
                </w:tcPr>
                <w:p/>
              </w:tc>
              <w:tc>
                <w:tcPr>
                  <w:tcW w:type="dxa" w:w="662"/>
                  <w:vMerge/>
                  <w:tcBorders/>
                </w:tcPr>
                <w:p/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Spread </w:t>
                  </w:r>
                </w:p>
              </w:tc>
              <w:tc>
                <w:tcPr>
                  <w:tcW w:type="dxa" w:w="662"/>
                  <w:vMerge/>
                  <w:tcBorders/>
                </w:tcPr>
                <w:p/>
              </w:tc>
              <w:tc>
                <w:tcPr>
                  <w:tcW w:type="dxa" w:w="1324"/>
                  <w:gridSpan w:val="2"/>
                  <w:vMerge/>
                  <w:tcBorders/>
                </w:tcPr>
                <w:p/>
              </w:tc>
              <w:tc>
                <w:tcPr>
                  <w:tcW w:type="dxa" w:w="662"/>
                  <w:vMerge/>
                  <w:tcBorders/>
                </w:tcPr>
                <w:p/>
              </w:tc>
              <w:tc>
                <w:tcPr>
                  <w:tcW w:type="dxa" w:w="662"/>
                  <w:vMerge/>
                  <w:tcBorders/>
                </w:tcPr>
                <w:p/>
              </w:tc>
            </w:tr>
            <w:tr>
              <w:trPr>
                <w:trHeight w:hRule="exact" w:val="460"/>
              </w:trPr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4" w:after="0"/>
                    <w:ind w:left="3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Loans</w:t>
                  </w:r>
                </w:p>
              </w:tc>
              <w:tc>
                <w:tcPr>
                  <w:tcW w:type="dxa" w:w="22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64" w:after="0"/>
                    <w:ind w:left="0" w:right="12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Variable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64" w:after="0"/>
                    <w:ind w:left="0" w:right="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32,060</w:t>
                  </w:r>
                </w:p>
              </w:tc>
              <w:tc>
                <w:tcPr>
                  <w:tcW w:type="dxa" w:w="7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6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12 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0" w:after="0"/>
                    <w:ind w:left="6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Loans</w:t>
                  </w:r>
                </w:p>
              </w:tc>
              <w:tc>
                <w:tcPr>
                  <w:tcW w:type="dxa" w:w="23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64" w:after="0"/>
                    <w:ind w:left="0" w:right="17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Variable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64" w:after="0"/>
                    <w:ind w:left="0" w:right="10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32,662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26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13 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Variable </w:t>
                  </w:r>
                </w:p>
              </w:tc>
              <w:tc>
                <w:tcPr>
                  <w:tcW w:type="dxa" w:w="8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2" w:after="0"/>
                    <w:ind w:left="0" w:right="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200,020</w:t>
                  </w:r>
                </w:p>
              </w:tc>
              <w:tc>
                <w:tcPr>
                  <w:tcW w:type="dxa" w:w="580"/>
                  <w:gridSpan w:val="2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2" w:after="0"/>
                    <w:ind w:left="0" w:right="9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76 </w:t>
                  </w:r>
                </w:p>
              </w:tc>
              <w:tc>
                <w:tcPr>
                  <w:tcW w:type="dxa" w:w="8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2" w:after="0"/>
                    <w:ind w:left="12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Fixed</w:t>
                  </w:r>
                </w:p>
              </w:tc>
              <w:tc>
                <w:tcPr>
                  <w:tcW w:type="dxa" w:w="9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2" w:after="0"/>
                    <w:ind w:left="0" w:right="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20,362</w:t>
                  </w:r>
                </w:p>
              </w:tc>
              <w:tc>
                <w:tcPr>
                  <w:tcW w:type="dxa" w:w="700"/>
                  <w:gridSpan w:val="2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2" w:after="0"/>
                    <w:ind w:left="0" w:right="21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8 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Variable </w:t>
                  </w:r>
                </w:p>
              </w:tc>
              <w:tc>
                <w:tcPr>
                  <w:tcW w:type="dxa" w:w="8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2" w:after="0"/>
                    <w:ind w:left="0" w:right="1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178,556</w:t>
                  </w:r>
                </w:p>
              </w:tc>
              <w:tc>
                <w:tcPr>
                  <w:tcW w:type="dxa" w:w="5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2" w:after="0"/>
                    <w:ind w:left="0" w:right="10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73 </w:t>
                  </w:r>
                </w:p>
              </w:tc>
              <w:tc>
                <w:tcPr>
                  <w:tcW w:type="dxa" w:w="8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2" w:after="0"/>
                    <w:ind w:left="11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Fixed</w:t>
                  </w:r>
                </w:p>
              </w:tc>
              <w:tc>
                <w:tcPr>
                  <w:tcW w:type="dxa" w:w="10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2" w:after="0"/>
                    <w:ind w:left="0" w:right="10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7,770</w:t>
                  </w:r>
                </w:p>
              </w:tc>
              <w:tc>
                <w:tcPr>
                  <w:tcW w:type="dxa" w:w="5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2" w:after="0"/>
                    <w:ind w:left="0" w:right="15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3 </w:t>
                  </w:r>
                </w:p>
              </w:tc>
            </w:tr>
            <w:tr>
              <w:trPr>
                <w:trHeight w:hRule="exact" w:val="176"/>
              </w:trPr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0" w:after="0"/>
                    <w:ind w:left="3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Spread </w:t>
                  </w:r>
                </w:p>
              </w:tc>
              <w:tc>
                <w:tcPr>
                  <w:tcW w:type="dxa" w:w="662"/>
                  <w:vMerge/>
                  <w:tcBorders/>
                </w:tcPr>
                <w:p/>
              </w:tc>
              <w:tc>
                <w:tcPr>
                  <w:tcW w:type="dxa" w:w="1324"/>
                  <w:gridSpan w:val="2"/>
                  <w:vMerge/>
                  <w:tcBorders/>
                </w:tcPr>
                <w:p/>
              </w:tc>
              <w:tc>
                <w:tcPr>
                  <w:tcW w:type="dxa" w:w="662"/>
                  <w:vMerge/>
                  <w:tcBorders/>
                </w:tcPr>
                <w:p/>
              </w:tc>
              <w:tc>
                <w:tcPr>
                  <w:tcW w:type="dxa" w:w="662"/>
                  <w:vMerge/>
                  <w:tcBorders/>
                </w:tcPr>
                <w:p/>
              </w:tc>
              <w:tc>
                <w:tcPr>
                  <w:tcW w:type="dxa" w:w="1324"/>
                  <w:gridSpan w:val="2"/>
                  <w:vMerge/>
                  <w:tcBorders/>
                </w:tcPr>
                <w:p/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Spread </w:t>
                  </w:r>
                </w:p>
              </w:tc>
              <w:tc>
                <w:tcPr>
                  <w:tcW w:type="dxa" w:w="662"/>
                  <w:vMerge/>
                  <w:tcBorders/>
                </w:tcPr>
                <w:p/>
              </w:tc>
              <w:tc>
                <w:tcPr>
                  <w:tcW w:type="dxa" w:w="662"/>
                  <w:vMerge/>
                  <w:tcBorders/>
                </w:tcPr>
                <w:p/>
              </w:tc>
              <w:tc>
                <w:tcPr>
                  <w:tcW w:type="dxa" w:w="662"/>
                  <w:vMerge/>
                  <w:tcBorders/>
                </w:tcPr>
                <w:p/>
              </w:tc>
              <w:tc>
                <w:tcPr>
                  <w:tcW w:type="dxa" w:w="662"/>
                  <w:vMerge/>
                  <w:tcBorders/>
                </w:tcPr>
                <w:p/>
              </w:tc>
              <w:tc>
                <w:tcPr>
                  <w:tcW w:type="dxa" w:w="662"/>
                  <w:vMerge/>
                  <w:tcBorders/>
                </w:tcPr>
                <w:p/>
              </w:tc>
            </w:tr>
            <w:tr>
              <w:trPr>
                <w:trHeight w:hRule="exact" w:val="480"/>
              </w:trPr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0" w:after="0"/>
                    <w:ind w:left="3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Loans</w:t>
                  </w:r>
                </w:p>
              </w:tc>
              <w:tc>
                <w:tcPr>
                  <w:tcW w:type="dxa" w:w="22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70" w:after="0"/>
                    <w:ind w:left="0" w:right="12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Variable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70" w:after="0"/>
                    <w:ind w:left="0" w:right="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179,658</w:t>
                  </w:r>
                </w:p>
              </w:tc>
              <w:tc>
                <w:tcPr>
                  <w:tcW w:type="dxa" w:w="7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7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68 </w:t>
                  </w:r>
                </w:p>
              </w:tc>
              <w:tc>
                <w:tcPr>
                  <w:tcW w:type="dxa" w:w="7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6" w:after="0"/>
                    <w:ind w:left="6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Loans</w:t>
                  </w:r>
                </w:p>
              </w:tc>
              <w:tc>
                <w:tcPr>
                  <w:tcW w:type="dxa" w:w="23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70" w:after="0"/>
                    <w:ind w:left="0" w:right="17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Variable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70" w:after="0"/>
                    <w:ind w:left="0" w:right="10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170,786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7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70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0" w:after="0"/>
                    <w:ind w:left="3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Total</w:t>
                  </w:r>
                </w:p>
              </w:tc>
              <w:tc>
                <w:tcPr>
                  <w:tcW w:type="dxa" w:w="22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34" w:val="left"/>
                    </w:tabs>
                    <w:autoSpaceDE w:val="0"/>
                    <w:widowControl/>
                    <w:spacing w:line="178" w:lineRule="exact" w:before="30" w:after="0"/>
                    <w:ind w:left="13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$ 263,190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100 %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8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14400" cy="50800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4400" cy="50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6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98" w:val="left"/>
                    </w:tabs>
                    <w:autoSpaceDE w:val="0"/>
                    <w:widowControl/>
                    <w:spacing w:line="178" w:lineRule="exact" w:before="30" w:after="0"/>
                    <w:ind w:left="20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$ 263,190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100 %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4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14400" cy="50800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4400" cy="50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62"/>
                  <w:vMerge/>
                  <w:tcBorders/>
                </w:tcPr>
                <w:p/>
              </w:tc>
              <w:tc>
                <w:tcPr>
                  <w:tcW w:type="dxa" w:w="23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44" w:val="left"/>
                    </w:tabs>
                    <w:autoSpaceDE w:val="0"/>
                    <w:widowControl/>
                    <w:spacing w:line="178" w:lineRule="exact" w:before="30" w:after="0"/>
                    <w:ind w:left="14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$ 243,896 </w:t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100 %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8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14400" cy="50800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4400" cy="50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0" w:after="0"/>
                    <w:ind w:left="19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$ 243,896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 100 %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96" w:lineRule="exact" w:before="304" w:after="376"/>
        <w:ind w:left="10" w:right="5184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Figure 12: Undisbursed Balances by Loan Terms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dollars, except for ratios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500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1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5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4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June 30, 2024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4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June 30, 2023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576" w:after="0"/>
              <w:ind w:left="2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Variable </w:t>
            </w:r>
          </w:p>
        </w:tc>
      </w:tr>
      <w:tr>
        <w:trPr>
          <w:trHeight w:hRule="exact" w:val="900"/>
        </w:trPr>
        <w:tc>
          <w:tcPr>
            <w:tcW w:type="dxa" w:w="1888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6" w:after="0"/>
              <w:ind w:left="98" w:right="172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Fixed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Spread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terms, 9%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2" w:after="0"/>
              <w:ind w:left="2032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Fixed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Spread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terms, 12%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$85,112</w:t>
            </w:r>
          </w:p>
        </w:tc>
        <w:tc>
          <w:tcPr>
            <w:tcW w:type="dxa" w:w="1888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888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$85,058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4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Variable </w:t>
            </w:r>
          </w:p>
        </w:tc>
        <w:tc>
          <w:tcPr>
            <w:tcW w:type="dxa" w:w="1888"/>
            <w:vMerge/>
            <w:tcBorders/>
          </w:tcPr>
          <w:p/>
        </w:tc>
        <w:tc>
          <w:tcPr>
            <w:tcW w:type="dxa" w:w="1888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888"/>
            <w:vMerge/>
            <w:tcBorders/>
          </w:tcPr>
          <w:p/>
        </w:tc>
        <w:tc>
          <w:tcPr>
            <w:tcW w:type="dxa" w:w="5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Spread </w:t>
            </w:r>
          </w:p>
        </w:tc>
        <w:tc>
          <w:tcPr>
            <w:tcW w:type="dxa" w:w="1888"/>
            <w:vMerge/>
            <w:tcBorders/>
          </w:tcPr>
          <w:p/>
        </w:tc>
        <w:tc>
          <w:tcPr>
            <w:tcW w:type="dxa" w:w="1888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888"/>
            <w:vMerge/>
            <w:tcBorders/>
          </w:tcPr>
          <w:p/>
        </w:tc>
        <w:tc>
          <w:tcPr>
            <w:tcW w:type="dxa" w:w="3776"/>
            <w:gridSpan w:val="2"/>
            <w:vMerge/>
            <w:tcBorders/>
          </w:tcPr>
          <w:p/>
        </w:tc>
        <w:tc>
          <w:tcPr>
            <w:tcW w:type="dxa" w:w="1888"/>
            <w:vMerge/>
            <w:tcBorders/>
          </w:tcPr>
          <w:p/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2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Spread </w:t>
            </w:r>
          </w:p>
        </w:tc>
      </w:tr>
      <w:tr>
        <w:trPr>
          <w:trHeight w:hRule="exact" w:val="80"/>
        </w:trPr>
        <w:tc>
          <w:tcPr>
            <w:tcW w:type="dxa" w:w="1888"/>
            <w:vMerge/>
            <w:tcBorders/>
          </w:tcPr>
          <w:p/>
        </w:tc>
        <w:tc>
          <w:tcPr>
            <w:tcW w:type="dxa" w:w="5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0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terms, 91%</w:t>
            </w:r>
          </w:p>
        </w:tc>
        <w:tc>
          <w:tcPr>
            <w:tcW w:type="dxa" w:w="1888"/>
            <w:vMerge/>
            <w:tcBorders/>
          </w:tcPr>
          <w:p/>
        </w:tc>
        <w:tc>
          <w:tcPr>
            <w:tcW w:type="dxa" w:w="1888"/>
            <w:vMerge/>
            <w:tcBorders/>
          </w:tcPr>
          <w:p/>
        </w:tc>
      </w:tr>
      <w:tr>
        <w:trPr>
          <w:trHeight w:hRule="exact" w:val="2160"/>
        </w:trPr>
        <w:tc>
          <w:tcPr>
            <w:tcW w:type="dxa" w:w="1888"/>
            <w:vMerge/>
            <w:tcBorders/>
          </w:tcPr>
          <w:p/>
        </w:tc>
        <w:tc>
          <w:tcPr>
            <w:tcW w:type="dxa" w:w="3776"/>
            <w:gridSpan w:val="2"/>
            <w:vMerge/>
            <w:tcBorders/>
          </w:tcPr>
          <w:p/>
        </w:tc>
        <w:tc>
          <w:tcPr>
            <w:tcW w:type="dxa" w:w="1888"/>
            <w:vMerge/>
            <w:tcBorders/>
          </w:tcPr>
          <w:p/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terms, 88%</w:t>
            </w:r>
          </w:p>
        </w:tc>
      </w:tr>
      <w:tr>
        <w:trPr>
          <w:trHeight w:hRule="exact" w:val="2256"/>
        </w:trPr>
        <w:tc>
          <w:tcPr>
            <w:tcW w:type="dxa" w:w="1888"/>
            <w:vMerge/>
            <w:tcBorders/>
          </w:tcPr>
          <w:p/>
        </w:tc>
        <w:tc>
          <w:tcPr>
            <w:tcW w:type="dxa" w:w="5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52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2024</w:t>
            </w:r>
          </w:p>
        </w:tc>
        <w:tc>
          <w:tcPr>
            <w:tcW w:type="dxa" w:w="1888"/>
            <w:vMerge/>
            <w:tcBorders/>
          </w:tcPr>
          <w:p/>
        </w:tc>
        <w:tc>
          <w:tcPr>
            <w:tcW w:type="dxa" w:w="188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02" w:right="1370" w:bottom="252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4727"/>
        <w:gridCol w:w="4727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V: Other Development Activities</w:t>
            </w:r>
          </w:p>
        </w:tc>
      </w:tr>
    </w:tbl>
    <w:p>
      <w:pPr>
        <w:autoSpaceDN w:val="0"/>
        <w:autoSpaceDE w:val="0"/>
        <w:widowControl/>
        <w:spacing w:line="314" w:lineRule="exact" w:before="552" w:after="0"/>
        <w:ind w:left="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Section V: Other Development Activities </w:t>
      </w:r>
    </w:p>
    <w:p>
      <w:pPr>
        <w:autoSpaceDN w:val="0"/>
        <w:autoSpaceDE w:val="0"/>
        <w:widowControl/>
        <w:spacing w:line="240" w:lineRule="exact" w:before="206" w:after="0"/>
        <w:ind w:left="2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continues to deliver value to its client countries through its knowledge services, convening power,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capacity to implement solutions that address global issues where coordinated action is critical.</w:t>
      </w:r>
    </w:p>
    <w:p>
      <w:pPr>
        <w:autoSpaceDN w:val="0"/>
        <w:autoSpaceDE w:val="0"/>
        <w:widowControl/>
        <w:spacing w:line="240" w:lineRule="exact" w:before="120" w:after="0"/>
        <w:ind w:left="2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also assists clients with designing financial products and structuring transactions to help mobilize resources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development projects and mitigate the financial effects of market volatility and disasters. </w:t>
      </w:r>
    </w:p>
    <w:p>
      <w:pPr>
        <w:autoSpaceDN w:val="0"/>
        <w:autoSpaceDE w:val="0"/>
        <w:widowControl/>
        <w:spacing w:line="240" w:lineRule="exact" w:before="120" w:after="0"/>
        <w:ind w:left="2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Other financial products and services provided to borrowing member countries, and to affiliated and non-affiliated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organizations, include financial guarantees, grants, externally-funded activities, and advisory services and analytics.</w:t>
      </w:r>
    </w:p>
    <w:p>
      <w:pPr>
        <w:autoSpaceDN w:val="0"/>
        <w:autoSpaceDE w:val="0"/>
        <w:widowControl/>
        <w:spacing w:line="268" w:lineRule="exact" w:before="136" w:after="0"/>
        <w:ind w:left="2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Guarantees </w:t>
      </w:r>
    </w:p>
    <w:p>
      <w:pPr>
        <w:autoSpaceDN w:val="0"/>
        <w:autoSpaceDE w:val="0"/>
        <w:widowControl/>
        <w:spacing w:line="240" w:lineRule="exact" w:before="124" w:after="0"/>
        <w:ind w:left="2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offers project-based and policy-based guarantees for priority projects and programs in member countries.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also offers guarantees for enclave operations. Project-based guarantees are provided to mobilize private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financing for projects; they are also used to mitigate projects’ payment- and performance-related risks. Policy-based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guarantees are provided to mobilize private financing for sovereigns or sub- sovereigns. IBRD’s guarantees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partial and are intended to provide only the coverage necessary to obtain the required private financing, considering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country, market and, if appropriate, project circumstances. All guarantees require a sovereign counter-guarantee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indemnity, comparable to the requirement of a sovereign guarantee for IBRD lending to sub-sovereign and non-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sovereign borrowers (Box 3). On July 1, 2024, the WBG Guarantee Platform, housed at MIGA, was launched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bring together products and experts from the World Bank, IFC, and MIGA and aims to boost WBG annual guarantee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issuances for all entities.</w:t>
      </w:r>
    </w:p>
    <w:p>
      <w:pPr>
        <w:autoSpaceDN w:val="0"/>
        <w:autoSpaceDE w:val="0"/>
        <w:widowControl/>
        <w:spacing w:line="202" w:lineRule="exact" w:before="146" w:after="36"/>
        <w:ind w:left="2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Box 3: Types of Guarantees Provided by IBRD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7"/>
        <w:gridCol w:w="4727"/>
      </w:tblGrid>
      <w:tr>
        <w:trPr>
          <w:trHeight w:hRule="exact" w:val="240"/>
        </w:trPr>
        <w:tc>
          <w:tcPr>
            <w:tcW w:type="dxa" w:w="1800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Guarantee</w:t>
            </w:r>
          </w:p>
        </w:tc>
        <w:tc>
          <w:tcPr>
            <w:tcW w:type="dxa" w:w="7574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Description</w:t>
            </w:r>
          </w:p>
        </w:tc>
      </w:tr>
      <w:tr>
        <w:trPr>
          <w:trHeight w:hRule="exact" w:val="1920"/>
        </w:trPr>
        <w:tc>
          <w:tcPr>
            <w:tcW w:type="dxa" w:w="1800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96" w:after="0"/>
              <w:ind w:left="186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Project-based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guarantees</w:t>
            </w:r>
          </w:p>
        </w:tc>
        <w:tc>
          <w:tcPr>
            <w:tcW w:type="dxa" w:w="7574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Two types of project-based guarantees are offered:</w:t>
            </w:r>
          </w:p>
          <w:p>
            <w:pPr>
              <w:autoSpaceDN w:val="0"/>
              <w:tabs>
                <w:tab w:pos="492" w:val="left"/>
              </w:tabs>
              <w:autoSpaceDE w:val="0"/>
              <w:widowControl/>
              <w:spacing w:line="192" w:lineRule="exact" w:before="2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 guarantees: these cover loan-related debt service defaults caused by the government’s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failure to meet specific payment and/or performance obligations arising from contract, law or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regulation, in relation to a project. Loan guarantees include coverage for debt service defaults on: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(i) commercial debt, normally for a private sector project where the cause of debt service default is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specifically covered by IBRD’s guarantee; and, (ii) a specific portion of commercial debt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irrespective of the cause of such default, normally for a public-sector project.</w:t>
            </w:r>
          </w:p>
          <w:p>
            <w:pPr>
              <w:autoSpaceDN w:val="0"/>
              <w:tabs>
                <w:tab w:pos="492" w:val="left"/>
              </w:tabs>
              <w:autoSpaceDE w:val="0"/>
              <w:widowControl/>
              <w:spacing w:line="192" w:lineRule="exact" w:before="12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Payment guarantees: These cover payment default on non-loan related government payment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obligations to private entities and foreign public entities arising from contract, law or regulation.</w:t>
            </w:r>
          </w:p>
        </w:tc>
      </w:tr>
      <w:tr>
        <w:trPr>
          <w:trHeight w:hRule="exact" w:val="646"/>
        </w:trPr>
        <w:tc>
          <w:tcPr>
            <w:tcW w:type="dxa" w:w="1800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186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Policy-based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guarantees</w:t>
            </w:r>
          </w:p>
        </w:tc>
        <w:tc>
          <w:tcPr>
            <w:tcW w:type="dxa" w:w="7574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42" w:right="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These cover debt service default, irrespective of the cause of such default, on a specific portion of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commercial debt owed by national or sub national government and associated with the supported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government’s program of policy and institutional actions.</w:t>
            </w:r>
          </w:p>
        </w:tc>
      </w:tr>
      <w:tr>
        <w:trPr>
          <w:trHeight w:hRule="exact" w:val="1004"/>
        </w:trPr>
        <w:tc>
          <w:tcPr>
            <w:tcW w:type="dxa" w:w="1800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90" w:after="0"/>
              <w:ind w:left="188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Guarantees for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enclave operations</w:t>
            </w:r>
          </w:p>
        </w:tc>
        <w:tc>
          <w:tcPr>
            <w:tcW w:type="dxa" w:w="7574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" w:after="0"/>
              <w:ind w:left="42" w:right="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 extends guarantees for projects in IDA-only member countries that (i) are expected to generate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large economic benefits with significant developmental impact in the member country; and (ii) cannot be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fully financed out of the country’s own resources, IDA resources, or other concessional financing.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provision of IBRD support to enclave operations is subject to credit enhancement features that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adequately mitigate IBRD’s credit risk.</w:t>
            </w:r>
          </w:p>
        </w:tc>
      </w:tr>
    </w:tbl>
    <w:p>
      <w:pPr>
        <w:autoSpaceDN w:val="0"/>
        <w:autoSpaceDE w:val="0"/>
        <w:widowControl/>
        <w:spacing w:line="202" w:lineRule="exact" w:before="234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15: Pricing for IBRD Project-Based and Policy-Based Guarantees</w:t>
      </w:r>
    </w:p>
    <w:p>
      <w:pPr>
        <w:autoSpaceDN w:val="0"/>
        <w:autoSpaceDE w:val="0"/>
        <w:widowControl/>
        <w:spacing w:line="178" w:lineRule="exact" w:before="54" w:after="28"/>
        <w:ind w:left="0" w:right="1760" w:firstLine="0"/>
        <w:jc w:val="right"/>
      </w:pPr>
      <w:r>
        <w:rPr>
          <w:rFonts w:ascii="Arial" w:hAnsi="Arial" w:eastAsia="Arial"/>
          <w:b w:val="0"/>
          <w:i/>
          <w:color w:val="494949"/>
          <w:sz w:val="16"/>
        </w:rPr>
        <w:t>Basis Points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240"/>
        </w:trPr>
        <w:tc>
          <w:tcPr>
            <w:tcW w:type="dxa" w:w="5128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Charges for the fiscal year ended June 30, </w:t>
            </w:r>
          </w:p>
        </w:tc>
        <w:tc>
          <w:tcPr>
            <w:tcW w:type="dxa" w:w="2136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2024</w:t>
            </w:r>
          </w:p>
        </w:tc>
        <w:tc>
          <w:tcPr>
            <w:tcW w:type="dxa" w:w="2116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2023</w:t>
            </w:r>
          </w:p>
        </w:tc>
      </w:tr>
      <w:tr>
        <w:trPr>
          <w:trHeight w:hRule="exact" w:val="190"/>
        </w:trPr>
        <w:tc>
          <w:tcPr>
            <w:tcW w:type="dxa" w:w="5128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Front-end fee</w:t>
            </w:r>
          </w:p>
        </w:tc>
        <w:tc>
          <w:tcPr>
            <w:tcW w:type="dxa" w:w="2136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2116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</w:t>
            </w:r>
          </w:p>
        </w:tc>
      </w:tr>
      <w:tr>
        <w:trPr>
          <w:trHeight w:hRule="exact" w:val="240"/>
        </w:trPr>
        <w:tc>
          <w:tcPr>
            <w:tcW w:type="dxa" w:w="51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Processing fee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 b</w:t>
            </w:r>
          </w:p>
        </w:tc>
        <w:tc>
          <w:tcPr>
            <w:tcW w:type="dxa" w:w="21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Up to 50</w:t>
            </w:r>
          </w:p>
        </w:tc>
        <w:tc>
          <w:tcPr>
            <w:tcW w:type="dxa" w:w="21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Up to 50</w:t>
            </w:r>
          </w:p>
        </w:tc>
      </w:tr>
      <w:tr>
        <w:trPr>
          <w:trHeight w:hRule="exact" w:val="240"/>
        </w:trPr>
        <w:tc>
          <w:tcPr>
            <w:tcW w:type="dxa" w:w="51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Initiation fee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 b</w:t>
            </w:r>
          </w:p>
        </w:tc>
        <w:tc>
          <w:tcPr>
            <w:tcW w:type="dxa" w:w="21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21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240"/>
        </w:trPr>
        <w:tc>
          <w:tcPr>
            <w:tcW w:type="dxa" w:w="51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Standby fee</w:t>
            </w:r>
          </w:p>
        </w:tc>
        <w:tc>
          <w:tcPr>
            <w:tcW w:type="dxa" w:w="21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21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</w:t>
            </w:r>
          </w:p>
        </w:tc>
      </w:tr>
      <w:tr>
        <w:trPr>
          <w:trHeight w:hRule="exact" w:val="290"/>
        </w:trPr>
        <w:tc>
          <w:tcPr>
            <w:tcW w:type="dxa" w:w="5128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Guarantee fee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2136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50-165</w:t>
            </w:r>
          </w:p>
        </w:tc>
        <w:tc>
          <w:tcPr>
            <w:tcW w:type="dxa" w:w="2116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50-165</w:t>
            </w:r>
          </w:p>
        </w:tc>
      </w:tr>
    </w:tbl>
    <w:p>
      <w:pPr>
        <w:autoSpaceDN w:val="0"/>
        <w:autoSpaceDE w:val="0"/>
        <w:widowControl/>
        <w:spacing w:line="192" w:lineRule="exact" w:before="16" w:after="0"/>
        <w:ind w:left="62" w:right="576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Determined on a case by case basis. In exceptional cases, projects can be charged over 50 bps of the guarantee amount. </w:t>
      </w:r>
      <w:r>
        <w:rPr>
          <w:rFonts w:ascii="Arial" w:hAnsi="Arial" w:eastAsia="Arial"/>
          <w:b w:val="0"/>
          <w:i/>
          <w:color w:val="000000"/>
          <w:sz w:val="16"/>
        </w:rPr>
        <w:t>b. Not applicable for public projects.</w:t>
      </w:r>
    </w:p>
    <w:p>
      <w:pPr>
        <w:autoSpaceDN w:val="0"/>
        <w:autoSpaceDE w:val="0"/>
        <w:widowControl/>
        <w:spacing w:line="192" w:lineRule="exact" w:before="0" w:after="1342"/>
        <w:ind w:left="62" w:right="230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c. The initiation fee is 15 basis points of the guaranteed amount or $100,000, whichever is greater. </w:t>
      </w:r>
      <w:r>
        <w:rPr>
          <w:rFonts w:ascii="Arial" w:hAnsi="Arial" w:eastAsia="Arial"/>
          <w:b w:val="0"/>
          <w:i/>
          <w:color w:val="000000"/>
          <w:sz w:val="16"/>
        </w:rPr>
        <w:t>d. Based on the weighted average maturity of the guarantee and country pricing group.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4.0" w:type="dxa"/>
      </w:tblPr>
      <w:tblGrid>
        <w:gridCol w:w="4727"/>
        <w:gridCol w:w="4727"/>
      </w:tblGrid>
      <w:tr>
        <w:trPr>
          <w:trHeight w:hRule="exact" w:val="264"/>
        </w:trPr>
        <w:tc>
          <w:tcPr>
            <w:tcW w:type="dxa" w:w="7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16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2024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02" w:right="1370" w:bottom="2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4723"/>
        <w:gridCol w:w="4723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V: Other Development Activities</w:t>
            </w:r>
          </w:p>
        </w:tc>
      </w:tr>
    </w:tbl>
    <w:p>
      <w:pPr>
        <w:autoSpaceDN w:val="0"/>
        <w:autoSpaceDE w:val="0"/>
        <w:widowControl/>
        <w:spacing w:line="240" w:lineRule="exact" w:before="492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exposure on its guarantees was $7.1 billion as of June 30, 2024 compared to $6.5 billion as of June 30, 2023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(Table 16). Exposure is measured by discounting each guaranteed amount from its next call date.</w:t>
      </w:r>
    </w:p>
    <w:p>
      <w:pPr>
        <w:autoSpaceDN w:val="0"/>
        <w:autoSpaceDE w:val="0"/>
        <w:widowControl/>
        <w:spacing w:line="202" w:lineRule="exact" w:before="200" w:after="0"/>
        <w:ind w:left="6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16: Guarantees Exposure</w:t>
      </w:r>
    </w:p>
    <w:p>
      <w:pPr>
        <w:autoSpaceDN w:val="0"/>
        <w:autoSpaceDE w:val="0"/>
        <w:widowControl/>
        <w:spacing w:line="180" w:lineRule="exact" w:before="58" w:after="30"/>
        <w:ind w:left="6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42"/>
        </w:trPr>
        <w:tc>
          <w:tcPr>
            <w:tcW w:type="dxa" w:w="669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As of June 30,</w:t>
            </w:r>
          </w:p>
        </w:tc>
        <w:tc>
          <w:tcPr>
            <w:tcW w:type="dxa" w:w="52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gridSpan w:val="2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3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2024</w:t>
            </w:r>
          </w:p>
        </w:tc>
        <w:tc>
          <w:tcPr>
            <w:tcW w:type="dxa" w:w="81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2023</w:t>
            </w:r>
          </w:p>
        </w:tc>
      </w:tr>
      <w:tr>
        <w:trPr>
          <w:trHeight w:hRule="exact" w:val="226"/>
        </w:trPr>
        <w:tc>
          <w:tcPr>
            <w:tcW w:type="dxa" w:w="669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Guarantees (project, policy and enclave)</w:t>
            </w:r>
          </w:p>
        </w:tc>
        <w:tc>
          <w:tcPr>
            <w:tcW w:type="dxa" w:w="520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3,488 </w:t>
            </w:r>
          </w:p>
        </w:tc>
        <w:tc>
          <w:tcPr>
            <w:tcW w:type="dxa" w:w="54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2,840 </w:t>
            </w:r>
          </w:p>
        </w:tc>
      </w:tr>
      <w:tr>
        <w:trPr>
          <w:trHeight w:hRule="exact" w:val="254"/>
        </w:trPr>
        <w:tc>
          <w:tcPr>
            <w:tcW w:type="dxa" w:w="669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Exposure Exchange Agreements</w:t>
            </w:r>
          </w:p>
        </w:tc>
        <w:tc>
          <w:tcPr>
            <w:tcW w:type="dxa" w:w="1889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360"/>
            <w:gridSpan w:val="2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3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3,609 </w:t>
            </w:r>
          </w:p>
        </w:tc>
        <w:tc>
          <w:tcPr>
            <w:tcW w:type="dxa" w:w="81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3,619 </w:t>
            </w:r>
          </w:p>
        </w:tc>
      </w:tr>
      <w:tr>
        <w:trPr>
          <w:trHeight w:hRule="exact" w:val="220"/>
        </w:trPr>
        <w:tc>
          <w:tcPr>
            <w:tcW w:type="dxa" w:w="669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52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60"/>
            <w:gridSpan w:val="2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7,097 $$ </w:t>
            </w:r>
          </w:p>
        </w:tc>
        <w:tc>
          <w:tcPr>
            <w:tcW w:type="dxa" w:w="81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6,459 </w:t>
            </w:r>
          </w:p>
        </w:tc>
      </w:tr>
    </w:tbl>
    <w:p>
      <w:pPr>
        <w:autoSpaceDN w:val="0"/>
        <w:autoSpaceDE w:val="0"/>
        <w:widowControl/>
        <w:spacing w:line="200" w:lineRule="exact" w:before="462" w:after="0"/>
        <w:ind w:left="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addition, IBRD has entered into the following arrangements, which are treated as financial guarantees under U.S.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GAAP: </w:t>
      </w:r>
    </w:p>
    <w:p>
      <w:pPr>
        <w:autoSpaceDN w:val="0"/>
        <w:autoSpaceDE w:val="0"/>
        <w:widowControl/>
        <w:spacing w:line="240" w:lineRule="exact" w:before="82" w:after="0"/>
        <w:ind w:left="16" w:right="20" w:firstLine="0"/>
        <w:jc w:val="both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Exposure Exchange Agreements (EEA)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: IBRD has an exposure exchange agreement outstanding with MIGA under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which IBRD and MIGA exchanged selected exposures through reciprocal guarantees, with each divesting itself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exposure in countries where their lending capacities are limited, in return for exposure in countries where they had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excess lending capacity. </w:t>
      </w:r>
    </w:p>
    <w:p>
      <w:pPr>
        <w:autoSpaceDN w:val="0"/>
        <w:autoSpaceDE w:val="0"/>
        <w:widowControl/>
        <w:spacing w:line="240" w:lineRule="exact" w:before="120" w:after="0"/>
        <w:ind w:left="16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also has  a Multilateral Development Bank (MDB) EEA with the African Development Bank (AfDB) and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Inter-American Development Bank (IADB). Under this EEA, each MDB exchanged credit risk exposure of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reference portfolio supported by underlying loans to borrowing member countries. For each MDB, EEAs through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diversification benefits, help reduce credit risk at the portfolio level; improve the risk-weighted capital ratios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especially by addressing exposure concentration concerns; and create lending headroom for individual borrowing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countries where MDBs may be constrained. The EEA involved the receipt of a guarantee and the provision of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guarantee against nonpayment in the reference portfolio by each MDB to the other.  The guarantee received and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guarantee provided are two separate transactions: (a) a receipt of an asset for the right to be indemnified and receive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risk coverage (recoverable asset) and (b) the provision of a financial guarantee, respectively (see Notes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Financial Statements, Note D: Loans and Other Exposures).</w:t>
      </w:r>
    </w:p>
    <w:p>
      <w:pPr>
        <w:autoSpaceDN w:val="0"/>
        <w:autoSpaceDE w:val="0"/>
        <w:widowControl/>
        <w:spacing w:line="200" w:lineRule="exact" w:before="202" w:after="0"/>
        <w:ind w:left="6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17: Exposure Exchange Agreements</w:t>
      </w:r>
    </w:p>
    <w:p>
      <w:pPr>
        <w:autoSpaceDN w:val="0"/>
        <w:autoSpaceDE w:val="0"/>
        <w:widowControl/>
        <w:spacing w:line="178" w:lineRule="exact" w:before="60" w:after="32"/>
        <w:ind w:left="6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492"/>
        </w:trPr>
        <w:tc>
          <w:tcPr>
            <w:tcW w:type="dxa" w:w="2650"/>
            <w:vMerge w:val="restart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As of June 30,</w:t>
            </w:r>
          </w:p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14" w:after="0"/>
              <w:ind w:left="0" w:right="2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Guarantee </w:t>
            </w:r>
          </w:p>
        </w:tc>
        <w:tc>
          <w:tcPr>
            <w:tcW w:type="dxa" w:w="460"/>
            <w:vMerge w:val="restart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2024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14" w:after="0"/>
              <w:ind w:left="8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Guarantee 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14" w:after="0"/>
              <w:ind w:left="0" w:right="3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Guarantee </w:t>
            </w:r>
          </w:p>
        </w:tc>
        <w:tc>
          <w:tcPr>
            <w:tcW w:type="dxa" w:w="460"/>
            <w:vMerge w:val="restart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2023</w:t>
            </w:r>
          </w:p>
        </w:tc>
        <w:tc>
          <w:tcPr>
            <w:tcW w:type="dxa" w:w="11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14" w:after="0"/>
              <w:ind w:left="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Guarantee </w:t>
            </w:r>
          </w:p>
        </w:tc>
      </w:tr>
      <w:tr>
        <w:trPr>
          <w:trHeight w:hRule="exact" w:val="230"/>
        </w:trPr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242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Received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12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Provided</w:t>
            </w:r>
          </w:p>
        </w:tc>
        <w:tc>
          <w:tcPr>
            <w:tcW w:type="dxa" w:w="116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2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Received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11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Provided</w:t>
            </w:r>
          </w:p>
        </w:tc>
      </w:tr>
    </w:tbl>
    <w:p>
      <w:pPr>
        <w:autoSpaceDN w:val="0"/>
        <w:autoSpaceDE w:val="0"/>
        <w:widowControl/>
        <w:spacing w:line="178" w:lineRule="exact" w:before="28" w:after="32"/>
        <w:ind w:left="6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Exposure Exchange Agreement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</w:tblGrid>
      <w:tr>
        <w:trPr>
          <w:trHeight w:hRule="exact" w:val="232"/>
        </w:trPr>
        <w:tc>
          <w:tcPr>
            <w:tcW w:type="dxa" w:w="23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MIGA</w:t>
            </w:r>
          </w:p>
        </w:tc>
        <w:tc>
          <w:tcPr>
            <w:tcW w:type="dxa" w:w="262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7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8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60"/>
            <w:vMerge w:val="restart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</w:t>
            </w:r>
          </w:p>
        </w:tc>
        <w:tc>
          <w:tcPr>
            <w:tcW w:type="dxa" w:w="556"/>
            <w:vMerge w:val="restart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</w:t>
            </w:r>
          </w:p>
        </w:tc>
      </w:tr>
      <w:tr>
        <w:trPr>
          <w:trHeight w:hRule="exact" w:val="240"/>
        </w:trPr>
        <w:tc>
          <w:tcPr>
            <w:tcW w:type="dxa" w:w="6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IADB</w:t>
            </w:r>
          </w:p>
        </w:tc>
        <w:tc>
          <w:tcPr>
            <w:tcW w:type="dxa" w:w="55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2,021 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2,021 </w:t>
            </w:r>
          </w:p>
        </w:tc>
        <w:tc>
          <w:tcPr>
            <w:tcW w:type="dxa" w:w="787"/>
            <w:vMerge/>
            <w:tcBorders>
              <w:bottom w:sz="8.0" w:val="single" w:color="#6C6C6C"/>
            </w:tcBorders>
          </w:tcPr>
          <w:p/>
        </w:tc>
        <w:tc>
          <w:tcPr>
            <w:tcW w:type="dxa" w:w="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2,021 </w:t>
            </w:r>
          </w:p>
        </w:tc>
        <w:tc>
          <w:tcPr>
            <w:tcW w:type="dxa" w:w="787"/>
            <w:vMerge/>
            <w:tcBorders>
              <w:bottom w:sz="8.0" w:val="single" w:color="#6C6C6C"/>
            </w:tcBorders>
          </w:tcPr>
          <w:p/>
        </w:tc>
        <w:tc>
          <w:tcPr>
            <w:tcW w:type="dxa" w:w="8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2,021 </w:t>
            </w:r>
          </w:p>
        </w:tc>
      </w:tr>
      <w:tr>
        <w:trPr>
          <w:trHeight w:hRule="exact" w:val="250"/>
        </w:trPr>
        <w:tc>
          <w:tcPr>
            <w:tcW w:type="dxa" w:w="61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AfDB</w:t>
            </w:r>
          </w:p>
        </w:tc>
        <w:tc>
          <w:tcPr>
            <w:tcW w:type="dxa" w:w="5500"/>
            <w:gridSpan w:val="6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1,588 </w:t>
            </w:r>
          </w:p>
        </w:tc>
        <w:tc>
          <w:tcPr>
            <w:tcW w:type="dxa" w:w="54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1,588 </w:t>
            </w:r>
          </w:p>
        </w:tc>
        <w:tc>
          <w:tcPr>
            <w:tcW w:type="dxa" w:w="787"/>
            <w:vMerge/>
            <w:tcBorders>
              <w:bottom w:sz="8.0" w:val="single" w:color="#6C6C6C"/>
            </w:tcBorders>
          </w:tcPr>
          <w:p/>
        </w:tc>
        <w:tc>
          <w:tcPr>
            <w:tcW w:type="dxa" w:w="804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1,588 </w:t>
            </w:r>
          </w:p>
        </w:tc>
        <w:tc>
          <w:tcPr>
            <w:tcW w:type="dxa" w:w="787"/>
            <w:vMerge/>
            <w:tcBorders>
              <w:bottom w:sz="8.0" w:val="single" w:color="#6C6C6C"/>
            </w:tcBorders>
          </w:tcPr>
          <w:p/>
        </w:tc>
        <w:tc>
          <w:tcPr>
            <w:tcW w:type="dxa" w:w="81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1,588 </w:t>
            </w:r>
          </w:p>
        </w:tc>
      </w:tr>
      <w:tr>
        <w:trPr>
          <w:trHeight w:hRule="exact" w:val="220"/>
        </w:trPr>
        <w:tc>
          <w:tcPr>
            <w:tcW w:type="dxa" w:w="2566"/>
            <w:gridSpan w:val="3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notional</w:t>
            </w:r>
          </w:p>
        </w:tc>
        <w:tc>
          <w:tcPr>
            <w:tcW w:type="dxa" w:w="1916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6"/>
            <w:gridSpan w:val="2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3,611 </w:t>
            </w:r>
          </w:p>
        </w:tc>
        <w:tc>
          <w:tcPr>
            <w:tcW w:type="dxa" w:w="812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3,609 </w:t>
            </w:r>
          </w:p>
        </w:tc>
        <w:tc>
          <w:tcPr>
            <w:tcW w:type="dxa" w:w="56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4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3,619 </w:t>
            </w:r>
          </w:p>
        </w:tc>
        <w:tc>
          <w:tcPr>
            <w:tcW w:type="dxa" w:w="556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3,619 </w:t>
            </w:r>
          </w:p>
        </w:tc>
      </w:tr>
      <w:tr>
        <w:trPr>
          <w:trHeight w:hRule="exact" w:val="4846"/>
        </w:trPr>
        <w:tc>
          <w:tcPr>
            <w:tcW w:type="dxa" w:w="61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5500"/>
            <w:gridSpan w:val="6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2024</w:t>
            </w:r>
          </w:p>
        </w:tc>
        <w:tc>
          <w:tcPr>
            <w:tcW w:type="dxa" w:w="54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02" w:right="1370" w:bottom="252" w:left="14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V: Other Development Activities</w:t>
            </w:r>
          </w:p>
        </w:tc>
      </w:tr>
    </w:tbl>
    <w:p>
      <w:pPr>
        <w:autoSpaceDN w:val="0"/>
        <w:autoSpaceDE w:val="0"/>
        <w:widowControl/>
        <w:spacing w:line="240" w:lineRule="exact" w:before="49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Credit enhancement arrangements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: As of June 30, 2024, IBRD had $8,850 million of outstanding loans under which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guarantees were received from highly rated member countries or other Multilateral Development Banks ($3,045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 as of June 30, 2023). These serve as credit enhancements, which reduce IBRD's internal risk capital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requirements and, in some cases, loss provisioning (see Notes to the Financial Statements, Note D: Loans and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Exposures).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Further, IBRD also received other forms of credit enhancements for loans outstanding totaling $2,016 million as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June 30, 2024 (Nil as of June 30, 2023), that protect IBRD against the risk of loss on certain loans in IBRD's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portfolio. These credit enhancements are accounted for as derivatives at fair value and are included in Other assets -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Miscellaneous on IBRD’s Balance Sheet as they do not meet the accounting definition of guarantees.</w:t>
      </w:r>
    </w:p>
    <w:p>
      <w:pPr>
        <w:autoSpaceDN w:val="0"/>
        <w:autoSpaceDE w:val="0"/>
        <w:widowControl/>
        <w:spacing w:line="202" w:lineRule="exact" w:before="200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18: Credit Enhancements Received</w:t>
      </w:r>
    </w:p>
    <w:p>
      <w:pPr>
        <w:autoSpaceDN w:val="0"/>
        <w:autoSpaceDE w:val="0"/>
        <w:widowControl/>
        <w:spacing w:line="180" w:lineRule="exact" w:before="58" w:after="34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238"/>
        </w:trPr>
        <w:tc>
          <w:tcPr>
            <w:tcW w:type="dxa" w:w="8036"/>
            <w:tcBorders>
              <w:end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598" w:val="left"/>
              </w:tabs>
              <w:autoSpaceDE w:val="0"/>
              <w:widowControl/>
              <w:spacing w:line="184" w:lineRule="exact" w:before="22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As of June 30, </w:t>
            </w:r>
            <w:r>
              <w:tab/>
            </w: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2024</w:t>
            </w:r>
          </w:p>
        </w:tc>
        <w:tc>
          <w:tcPr>
            <w:tcW w:type="dxa" w:w="1344"/>
            <w:tcBorders>
              <w:start w:sz="24.0" w:val="single" w:color="#FFFFFF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180" w:lineRule="exact" w:before="28" w:after="0"/>
        <w:ind w:left="62" w:right="0" w:firstLine="0"/>
        <w:jc w:val="left"/>
      </w:pPr>
      <w:r>
        <w:rPr>
          <w:rFonts w:ascii="Arial" w:hAnsi="Arial" w:eastAsia="Arial"/>
          <w:b/>
          <w:i/>
          <w:color w:val="000000"/>
          <w:sz w:val="16"/>
        </w:rPr>
        <w:t>Bi-lateral Guarantees Received</w:t>
      </w:r>
    </w:p>
    <w:p>
      <w:pPr>
        <w:autoSpaceDN w:val="0"/>
        <w:autoSpaceDE w:val="0"/>
        <w:widowControl/>
        <w:spacing w:line="180" w:lineRule="exact" w:before="60" w:after="1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Borrowing Country With Loan Guarantees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4720"/>
        <w:gridCol w:w="4720"/>
      </w:tblGrid>
      <w:tr>
        <w:trPr>
          <w:trHeight w:hRule="exact" w:val="2246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32" w:right="244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Brazil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Egypt, Arab Republic of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Indonesia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Iraq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Jordan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Morocco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Philippines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Ukraine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Outstanding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80.0" w:type="dxa"/>
            </w:tblPr>
            <w:tblGrid>
              <w:gridCol w:w="2600"/>
              <w:gridCol w:w="2600"/>
            </w:tblGrid>
            <w:tr>
              <w:trPr>
                <w:trHeight w:hRule="exact" w:val="1918"/>
              </w:trPr>
              <w:tc>
                <w:tcPr>
                  <w:tcW w:type="dxa" w:w="1346"/>
                  <w:tcBorders>
                    <w:end w:sz="24.0" w:val="single" w:color="#FFFFFF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720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200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142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350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359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367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155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220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7,057 </w:t>
                  </w:r>
                </w:p>
              </w:tc>
              <w:tc>
                <w:tcPr>
                  <w:tcW w:type="dxa" w:w="1344"/>
                  <w:tcBorders>
                    <w:start w:sz="24.0" w:val="single" w:color="#FFFFFF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720" w:right="3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—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147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—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393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296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—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—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2,209 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1346"/>
                  <w:tcBorders>
                    <w:top w:sz="8.0" w:val="single" w:color="#6C6C6C"/>
                    <w:end w:sz="24.0" w:val="single" w:color="#FFFFFF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48" w:val="left"/>
                    </w:tabs>
                    <w:autoSpaceDE w:val="0"/>
                    <w:widowControl/>
                    <w:spacing w:line="180" w:lineRule="exact" w:before="18" w:after="0"/>
                    <w:ind w:left="6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8,850 </w:t>
                  </w:r>
                </w:p>
              </w:tc>
              <w:tc>
                <w:tcPr>
                  <w:tcW w:type="dxa" w:w="1344"/>
                  <w:tcBorders>
                    <w:start w:sz="24.0" w:val="single" w:color="#FFFFFF"/>
                    <w:top w:sz="8.0" w:val="single" w:color="#6C6C6C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36" w:val="left"/>
                    </w:tabs>
                    <w:autoSpaceDE w:val="0"/>
                    <w:widowControl/>
                    <w:spacing w:line="180" w:lineRule="exact" w:before="18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3,045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80" w:lineRule="exact" w:before="198" w:after="0"/>
        <w:ind w:left="62" w:right="0" w:firstLine="0"/>
        <w:jc w:val="left"/>
      </w:pPr>
      <w:r>
        <w:rPr>
          <w:rFonts w:ascii="Arial" w:hAnsi="Arial" w:eastAsia="Arial"/>
          <w:b/>
          <w:i/>
          <w:color w:val="000000"/>
          <w:sz w:val="16"/>
        </w:rPr>
        <w:t>Other Credit Enhancements Received</w:t>
      </w:r>
    </w:p>
    <w:p>
      <w:pPr>
        <w:autoSpaceDN w:val="0"/>
        <w:autoSpaceDE w:val="0"/>
        <w:widowControl/>
        <w:spacing w:line="180" w:lineRule="exact" w:before="60" w:after="1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Borrowing Country With Other Credit Enhancements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4720"/>
        <w:gridCol w:w="4720"/>
      </w:tblGrid>
      <w:tr>
        <w:trPr>
          <w:trHeight w:hRule="exact" w:val="804"/>
        </w:trPr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32" w:right="259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India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Ukraine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Outstanding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40.0" w:type="dxa"/>
            </w:tblPr>
            <w:tblGrid>
              <w:gridCol w:w="2680"/>
              <w:gridCol w:w="2680"/>
            </w:tblGrid>
            <w:tr>
              <w:trPr>
                <w:trHeight w:hRule="exact" w:val="478"/>
              </w:trPr>
              <w:tc>
                <w:tcPr>
                  <w:tcW w:type="dxa" w:w="1346"/>
                  <w:tcBorders>
                    <w:end w:sz="24.0" w:val="single" w:color="#FFFFFF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0" w:after="0"/>
                    <w:ind w:left="720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1,000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1,016 </w:t>
                  </w:r>
                </w:p>
              </w:tc>
              <w:tc>
                <w:tcPr>
                  <w:tcW w:type="dxa" w:w="1344"/>
                  <w:tcBorders>
                    <w:start w:sz="24.0" w:val="single" w:color="#FFFFFF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0" w:after="0"/>
                    <w:ind w:left="1008" w:right="3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—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— 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1346"/>
                  <w:tcBorders>
                    <w:top w:sz="8.0" w:val="single" w:color="#6C6C6C"/>
                    <w:end w:sz="24.0" w:val="single" w:color="#FFFFFF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48" w:val="left"/>
                    </w:tabs>
                    <w:autoSpaceDE w:val="0"/>
                    <w:widowControl/>
                    <w:spacing w:line="180" w:lineRule="exact" w:before="18" w:after="0"/>
                    <w:ind w:left="6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2,016 </w:t>
                  </w:r>
                </w:p>
              </w:tc>
              <w:tc>
                <w:tcPr>
                  <w:tcW w:type="dxa" w:w="1344"/>
                  <w:tcBorders>
                    <w:start w:sz="24.0" w:val="single" w:color="#FFFFFF"/>
                    <w:top w:sz="8.0" w:val="single" w:color="#6C6C6C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76" w:val="left"/>
                    </w:tabs>
                    <w:autoSpaceDE w:val="0"/>
                    <w:widowControl/>
                    <w:spacing w:line="180" w:lineRule="exact" w:before="18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—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245"/>
        </w:trPr>
        <w:tc>
          <w:tcPr>
            <w:tcW w:type="dxa" w:w="8036"/>
            <w:vMerge w:val="restart"/>
            <w:tcBorders>
              <w:end w:sz="24.0" w:val="single" w:color="#FFFFFF"/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2679"/>
              <w:gridCol w:w="2679"/>
              <w:gridCol w:w="2679"/>
            </w:tblGrid>
            <w:tr>
              <w:trPr>
                <w:trHeight w:hRule="exact" w:val="234"/>
              </w:trPr>
              <w:tc>
                <w:tcPr>
                  <w:tcW w:type="dxa" w:w="5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3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Total Guarantees and Credit Enhancements Received</w:t>
                  </w:r>
                </w:p>
              </w:tc>
              <w:tc>
                <w:tcPr>
                  <w:tcW w:type="dxa" w:w="1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0" w:right="264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0" w:right="8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10,866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44"/>
            <w:tcBorders>
              <w:start w:sz="24.0" w:val="single" w:color="#FFFFFF"/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6" w:val="left"/>
              </w:tabs>
              <w:autoSpaceDE w:val="0"/>
              <w:widowControl/>
              <w:spacing w:line="180" w:lineRule="exact" w:before="1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3,045 </w:t>
            </w:r>
          </w:p>
        </w:tc>
      </w:tr>
      <w:tr>
        <w:trPr>
          <w:trHeight w:hRule="exact" w:val="235"/>
        </w:trPr>
        <w:tc>
          <w:tcPr>
            <w:tcW w:type="dxa" w:w="4720"/>
            <w:vMerge/>
            <w:tcBorders>
              <w:end w:sz="24.0" w:val="single" w:color="#FFFFFF"/>
              <w:bottom w:sz="8.0" w:val="single" w:color="#929292"/>
            </w:tcBorders>
          </w:tcPr>
          <w:p/>
        </w:tc>
        <w:tc>
          <w:tcPr>
            <w:tcW w:type="dxa" w:w="1344"/>
            <w:tcBorders>
              <w:start w:sz="24.0" w:val="single" w:color="#FFFFFF"/>
              <w:top w:sz="8.0" w:val="single" w:color="#6C6C6C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8" w:lineRule="exact" w:before="30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Grant Making Facilities</w:t>
      </w:r>
    </w:p>
    <w:p>
      <w:pPr>
        <w:autoSpaceDN w:val="0"/>
        <w:autoSpaceDE w:val="0"/>
        <w:widowControl/>
        <w:spacing w:line="240" w:lineRule="exact" w:before="126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Grant Making Facilities (GMFs) are IBRD's contributions to specific trust funds and are complementary to IBRD’s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work. IBRD deployed $17 million under this program in FY24 ($17 million in FY23). These amounts are reflected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contributions to special programs in IBRD’s Statements of Income, after IDA’s share is determined in accordance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with the cost sharing ratio. </w:t>
      </w:r>
    </w:p>
    <w:p>
      <w:pPr>
        <w:autoSpaceDN w:val="0"/>
        <w:autoSpaceDE w:val="0"/>
        <w:widowControl/>
        <w:spacing w:line="268" w:lineRule="exact" w:before="13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Externally-Funded Activities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Mobilization of external funds from third-party partners includes trust funds. Additional external funds include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reimbursable funds and revenues from fee-based services to member countries, which are related to RAS, EFOs,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other financial products and services, including RAMP. 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Trust Funds</w:t>
      </w:r>
    </w:p>
    <w:p>
      <w:pPr>
        <w:autoSpaceDN w:val="0"/>
        <w:autoSpaceDE w:val="0"/>
        <w:widowControl/>
        <w:spacing w:line="240" w:lineRule="exact" w:before="11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Trust Funds provide development solutions that serve member recipients and donors. Trust funded partnerships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often serve as a platform for IBRD and the partners to access WBG’s diverse technical and financial resources,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achieve development goals whose complexity, scale, and scope exceed any individual partner’s capabilities. </w:t>
      </w:r>
    </w:p>
    <w:p>
      <w:pPr>
        <w:autoSpaceDN w:val="0"/>
        <w:autoSpaceDE w:val="0"/>
        <w:widowControl/>
        <w:spacing w:line="222" w:lineRule="exact" w:before="1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IBRD’s roles and responsibilities in managing trust funds depend on the type of fund, outlined as follows:</w:t>
      </w:r>
    </w:p>
    <w:p>
      <w:pPr>
        <w:autoSpaceDN w:val="0"/>
        <w:tabs>
          <w:tab w:pos="550" w:val="left"/>
        </w:tabs>
        <w:autoSpaceDE w:val="0"/>
        <w:widowControl/>
        <w:spacing w:line="240" w:lineRule="exact" w:before="120" w:after="0"/>
        <w:ind w:left="19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Bank-executed activities for trust funds: IBRD, alone or jointly with one or more of its affiliated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organizations, manages the funds and implements the activities financed. These trust funds support IBRD’s 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800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29</w:t>
      </w:r>
    </w:p>
    <w:p>
      <w:pPr>
        <w:sectPr>
          <w:pgSz w:w="12240" w:h="15840"/>
          <w:pgMar w:top="302" w:right="1370" w:bottom="244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V: Other Development Activities</w:t>
            </w:r>
          </w:p>
        </w:tc>
      </w:tr>
    </w:tbl>
    <w:p>
      <w:pPr>
        <w:autoSpaceDN w:val="0"/>
        <w:autoSpaceDE w:val="0"/>
        <w:widowControl/>
        <w:spacing w:line="240" w:lineRule="exact" w:before="492" w:after="0"/>
        <w:ind w:left="55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work program. IBRD disbursed $612 million in FY24 ($570 million in FY23) of trust fund program funds,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which was included in Non-interest expenses, Administrative in IBRD's Statements of Income.</w:t>
      </w:r>
    </w:p>
    <w:p>
      <w:pPr>
        <w:autoSpaceDN w:val="0"/>
        <w:tabs>
          <w:tab w:pos="550" w:val="left"/>
        </w:tabs>
        <w:autoSpaceDE w:val="0"/>
        <w:widowControl/>
        <w:spacing w:line="240" w:lineRule="exact" w:before="120" w:after="0"/>
        <w:ind w:left="19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Recipient-executed activities for trust funds: Funds are provided to a third party, normally in the form of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project grant financing, and are supervised by IBRD.</w:t>
      </w:r>
    </w:p>
    <w:p>
      <w:pPr>
        <w:autoSpaceDN w:val="0"/>
        <w:tabs>
          <w:tab w:pos="550" w:val="left"/>
        </w:tabs>
        <w:autoSpaceDE w:val="0"/>
        <w:widowControl/>
        <w:spacing w:line="240" w:lineRule="exact" w:before="120" w:after="0"/>
        <w:ind w:left="19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Financial Intermediary Funds (FIFs): IBRD, as trustee, administrator, or treasury manager, offers specific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administrative or financial services with a limited operational role. Arrangements include the administration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of debt service trust funds, fiscal agency funds and other more specialized limited fund management roles.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uses a cost recovery framework for trust funds, to recover the costs of performing agreed roles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administering trust funds, and is guided by principles of transparency, fairness, simplification, standardization,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predictability and consistent treatment across all trust fund donors. </w:t>
      </w:r>
    </w:p>
    <w:p>
      <w:pPr>
        <w:autoSpaceDN w:val="0"/>
        <w:autoSpaceDE w:val="0"/>
        <w:widowControl/>
        <w:spacing w:line="240" w:lineRule="exact" w:before="6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continues to implement measures to improve planning, support sustainability and enhance alignment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external funds with mission priorities through greater use of umbrella trust fund programs, increased cost recovery,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and new budgetary measures to manage external funds usage.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FY24, IBRD’s share of revenue and fees from trust fund administration was $99 million ($62 million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FY23, which is included in Net non-interest expenses – GAAP basis in Table 5 and in IBRD's Statements of Income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- see Notes to Financial Statements, Note L: Trust Funds Administration and Other Services). The increase in fees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was mainly driven by higher disbursements to the trust funds.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Reimbursable Advisory Services (RAS)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While most of IBRD’s advisory and analytical work is financed by its own budget or donor contributions (e.g., Trust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Funds), clients may also pay for services. IBRD offers technical assistance and other advisory services to its member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countries, in connection with, and independent of, lending operations. Available services include, for example,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assigning qualified professionals to survey developmental opportunities in member countries; analyzing member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countries fiscal, economic, and developmental environments; helping members devise coordinated development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programs; and improving their asset and liability management techniques. In FY24, IBRD earned revenue of $47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million ($52 million in FY23) from RAS, which are included in Net non-interest expenses – GAAP basis in Table 5.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Externally Financed Outputs (EFOs) 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offers donors the ability to contribute to specific projects and programs. EFO contributions are recorded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restricted revenue when received because they are for contractually specified purposes. In FY24, IBRD had $8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 of restricted revenue, compared with $3 million in FY23, which are included in Net non-interest expenses –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GAAP basis in Table 5.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Restrictions are released once the funds are used for the purposes specified by donors. In FY24, there was a release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$8 million ($14 million in FY23). 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Other Financial Products and Services</w:t>
      </w:r>
    </w:p>
    <w:p>
      <w:pPr>
        <w:autoSpaceDN w:val="0"/>
        <w:autoSpaceDE w:val="0"/>
        <w:widowControl/>
        <w:spacing w:line="244" w:lineRule="exact" w:before="14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2"/>
        </w:rPr>
        <w:t>Managing Financial Risks for Clients</w:t>
      </w:r>
    </w:p>
    <w:p>
      <w:pPr>
        <w:autoSpaceDN w:val="0"/>
        <w:autoSpaceDE w:val="0"/>
        <w:widowControl/>
        <w:spacing w:line="240" w:lineRule="exact" w:before="126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helps member countries build resilience by facilitating access to risk management solutions to mitigate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financial effects of currency, interest rate, and commodity price volatility, disasters, and extreme weather events. 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Box 4 below lists some financial solutions and disaster risk financing instruments IBRD offers:</w:t>
      </w:r>
    </w:p>
    <w:p>
      <w:pPr>
        <w:autoSpaceDN w:val="0"/>
        <w:autoSpaceDE w:val="0"/>
        <w:widowControl/>
        <w:spacing w:line="202" w:lineRule="exact" w:before="146" w:after="36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Box 4: Financing Instruments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0"/>
        <w:gridCol w:w="4720"/>
      </w:tblGrid>
      <w:tr>
        <w:trPr>
          <w:trHeight w:hRule="exact" w:val="314"/>
        </w:trPr>
        <w:tc>
          <w:tcPr>
            <w:tcW w:type="dxa" w:w="4500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Hedging Transactions</w:t>
            </w:r>
          </w:p>
        </w:tc>
        <w:tc>
          <w:tcPr>
            <w:tcW w:type="dxa" w:w="4860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Disaster Risk Financing</w:t>
            </w:r>
          </w:p>
        </w:tc>
      </w:tr>
      <w:tr>
        <w:trPr>
          <w:trHeight w:hRule="exact" w:val="720"/>
        </w:trPr>
        <w:tc>
          <w:tcPr>
            <w:tcW w:type="dxa" w:w="4500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584" w:right="158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Interest Rate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Commodity Price</w:t>
            </w:r>
          </w:p>
        </w:tc>
        <w:tc>
          <w:tcPr>
            <w:tcW w:type="dxa" w:w="4860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52" w:right="1152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Catastrophe Derivatives and Bonds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Insurance &amp; Reinsurance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Regional Pooling Facilities</w:t>
            </w:r>
          </w:p>
        </w:tc>
      </w:tr>
    </w:tbl>
    <w:p>
      <w:pPr>
        <w:autoSpaceDN w:val="0"/>
        <w:tabs>
          <w:tab w:pos="662" w:val="left"/>
        </w:tabs>
        <w:autoSpaceDE w:val="0"/>
        <w:widowControl/>
        <w:spacing w:line="224" w:lineRule="exact" w:before="169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2024</w:t>
      </w:r>
    </w:p>
    <w:p>
      <w:pPr>
        <w:sectPr>
          <w:pgSz w:w="12240" w:h="15840"/>
          <w:pgMar w:top="302" w:right="1370" w:bottom="252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4720"/>
        <w:gridCol w:w="4720"/>
      </w:tblGrid>
      <w:tr>
        <w:trPr>
          <w:trHeight w:hRule="exact" w:val="272"/>
        </w:trPr>
        <w:tc>
          <w:tcPr>
            <w:tcW w:type="dxa" w:w="3936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V: Other Development Activities</w:t>
            </w:r>
          </w:p>
        </w:tc>
      </w:tr>
    </w:tbl>
    <w:p>
      <w:pPr>
        <w:autoSpaceDN w:val="0"/>
        <w:autoSpaceDE w:val="0"/>
        <w:widowControl/>
        <w:spacing w:line="222" w:lineRule="exact" w:before="51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also intermediates the following risk management transactions for clients: </w:t>
      </w:r>
    </w:p>
    <w:p>
      <w:pPr>
        <w:autoSpaceDN w:val="0"/>
        <w:tabs>
          <w:tab w:pos="550" w:val="left"/>
        </w:tabs>
        <w:autoSpaceDE w:val="0"/>
        <w:widowControl/>
        <w:spacing w:line="240" w:lineRule="exact" w:before="120" w:after="0"/>
        <w:ind w:left="19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/>
          <w:color w:val="000000"/>
          <w:sz w:val="20"/>
        </w:rPr>
        <w:t>Affiliated Organization: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To assist IDA with its asset/liability management IBRD executed currency forward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contracts on its behalf. There were no open trades as of June 30, 2024. </w:t>
      </w:r>
    </w:p>
    <w:p>
      <w:pPr>
        <w:autoSpaceDN w:val="0"/>
        <w:tabs>
          <w:tab w:pos="550" w:val="left"/>
        </w:tabs>
        <w:autoSpaceDE w:val="0"/>
        <w:widowControl/>
        <w:spacing w:line="240" w:lineRule="exact" w:before="120" w:after="0"/>
        <w:ind w:left="19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/>
          <w:color w:val="000000"/>
          <w:sz w:val="20"/>
        </w:rPr>
        <w:t>Unaffiliated Organization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: To assist the International Finance Facility for Immunization (IFFIm) with its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asset/liability management strategy, IBRD executes currency and interest rate swaps on its behalf. In addition,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IBRD, as Treasury Manager, is a counterparty to IFFIm and enters into offsetting swaps with market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counterparties. During FY24, IBRD did not execute any swaps under this agreement.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(See Section IX: Risk Management, for a detailed discussion of IBRD’s risk mitigation of these derivative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transactions).</w:t>
      </w:r>
    </w:p>
    <w:p>
      <w:pPr>
        <w:autoSpaceDN w:val="0"/>
        <w:autoSpaceDE w:val="0"/>
        <w:widowControl/>
        <w:spacing w:line="244" w:lineRule="exact" w:before="13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2"/>
        </w:rPr>
        <w:t>Asset Management</w:t>
      </w:r>
    </w:p>
    <w:p>
      <w:pPr>
        <w:autoSpaceDN w:val="0"/>
        <w:autoSpaceDE w:val="0"/>
        <w:widowControl/>
        <w:spacing w:line="224" w:lineRule="exact" w:before="14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Reserves Advisory and Management Partnership (RAMP) provides services that build clients’ capacity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support the sound management of their official sector assets. Clients include central banks, sovereign wealth funds,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national pension funds, and supranational organizations. RAMP helps clients upgrade their asset management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capabilities, including portfolio and risk management, operational infrastructure, and human resources capacity.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most of these arrangements, IBRD is responsible for managing a portion of the institution’s assets and,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return, receives a fee based on the average value of the portfolio managed (Table 19). The fees earned are used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provide training and capacity-building services. In addition to RAMP, IBRD invests and manages investments on </w:t>
      </w:r>
    </w:p>
    <w:p>
      <w:pPr>
        <w:autoSpaceDN w:val="0"/>
        <w:autoSpaceDE w:val="0"/>
        <w:widowControl/>
        <w:spacing w:line="222" w:lineRule="exact" w:before="3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behalf of IDA, MIGA, and trust funds; those investments are not included in IBRD’s assets.</w:t>
      </w:r>
    </w:p>
    <w:p>
      <w:pPr>
        <w:autoSpaceDN w:val="0"/>
        <w:autoSpaceDE w:val="0"/>
        <w:widowControl/>
        <w:spacing w:line="200" w:lineRule="exact" w:before="20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19: RAMP – Assets and Revenues</w:t>
      </w:r>
    </w:p>
    <w:p>
      <w:pPr>
        <w:autoSpaceDN w:val="0"/>
        <w:autoSpaceDE w:val="0"/>
        <w:widowControl/>
        <w:spacing w:line="178" w:lineRule="exact" w:before="60" w:after="46"/>
        <w:ind w:left="62" w:right="0" w:firstLine="0"/>
        <w:jc w:val="left"/>
      </w:pPr>
      <w:r>
        <w:rPr>
          <w:rFonts w:ascii="Arial" w:hAnsi="Arial" w:eastAsia="Arial"/>
          <w:b w:val="0"/>
          <w:i/>
          <w:color w:val="A6A6A6"/>
          <w:sz w:val="16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88"/>
        </w:trPr>
        <w:tc>
          <w:tcPr>
            <w:tcW w:type="dxa" w:w="481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As of June 30,</w:t>
            </w:r>
          </w:p>
        </w:tc>
        <w:tc>
          <w:tcPr>
            <w:tcW w:type="dxa" w:w="280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9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2024</w:t>
            </w:r>
          </w:p>
        </w:tc>
        <w:tc>
          <w:tcPr>
            <w:tcW w:type="dxa" w:w="32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2023</w:t>
            </w:r>
          </w:p>
        </w:tc>
      </w:tr>
      <w:tr>
        <w:trPr>
          <w:trHeight w:hRule="exact" w:val="264"/>
        </w:trPr>
        <w:tc>
          <w:tcPr>
            <w:tcW w:type="dxa" w:w="481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Assets managed under RAMP</w:t>
            </w:r>
          </w:p>
        </w:tc>
        <w:tc>
          <w:tcPr>
            <w:tcW w:type="dxa" w:w="280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24,851 </w:t>
            </w:r>
          </w:p>
        </w:tc>
        <w:tc>
          <w:tcPr>
            <w:tcW w:type="dxa" w:w="32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24,010 </w:t>
            </w:r>
          </w:p>
        </w:tc>
      </w:tr>
      <w:tr>
        <w:trPr>
          <w:trHeight w:hRule="exact" w:val="350"/>
        </w:trPr>
        <w:tc>
          <w:tcPr>
            <w:tcW w:type="dxa" w:w="481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Revenue from RAMP </w:t>
            </w:r>
          </w:p>
        </w:tc>
        <w:tc>
          <w:tcPr>
            <w:tcW w:type="dxa" w:w="280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32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</w:tr>
    </w:tbl>
    <w:p>
      <w:pPr>
        <w:autoSpaceDN w:val="0"/>
        <w:autoSpaceDE w:val="0"/>
        <w:widowControl/>
        <w:spacing w:line="240" w:lineRule="exact" w:before="16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noted in the discussion of Trust Fund Activities above, IBRD, alone or jointly with one or more of its affiliated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organizations, administers on donors’ behalf funds restricted for specific uses. This administration is governed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agreements with donors, who include members, their agencies and other entities.  These funds are held in trust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are not included on IBRD’s Balance Sheets, except for $637 million of undisbursed third-party contributions made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Bank-executed activities for trust funds, which are recognized on the Balance Sheets. The funds held in trust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as administrator and trustee totaled $42.3 billion in FY24, of which $0.1 billion ($0.1 billion in FY23) relates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to IBRD’s own contributions to these trust funds (Table 20).</w:t>
      </w:r>
    </w:p>
    <w:p>
      <w:pPr>
        <w:autoSpaceDN w:val="0"/>
        <w:autoSpaceDE w:val="0"/>
        <w:widowControl/>
        <w:spacing w:line="200" w:lineRule="exact" w:before="20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20: Funds Held in Trust by IBRD</w:t>
      </w:r>
    </w:p>
    <w:p>
      <w:pPr>
        <w:autoSpaceDN w:val="0"/>
        <w:autoSpaceDE w:val="0"/>
        <w:widowControl/>
        <w:spacing w:line="178" w:lineRule="exact" w:before="60" w:after="32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42"/>
        </w:trPr>
        <w:tc>
          <w:tcPr>
            <w:tcW w:type="dxa" w:w="729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As of June 30,</w:t>
            </w:r>
          </w:p>
        </w:tc>
        <w:tc>
          <w:tcPr>
            <w:tcW w:type="dxa" w:w="32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04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2024</w:t>
            </w:r>
          </w:p>
        </w:tc>
        <w:tc>
          <w:tcPr>
            <w:tcW w:type="dxa" w:w="356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2023</w:t>
            </w:r>
          </w:p>
        </w:tc>
      </w:tr>
      <w:tr>
        <w:trPr>
          <w:trHeight w:hRule="exact" w:val="194"/>
        </w:trPr>
        <w:tc>
          <w:tcPr>
            <w:tcW w:type="dxa" w:w="729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Bank-executed activities</w:t>
            </w:r>
          </w:p>
        </w:tc>
        <w:tc>
          <w:tcPr>
            <w:tcW w:type="dxa" w:w="320"/>
            <w:vMerge w:val="restart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4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258 </w:t>
            </w:r>
          </w:p>
        </w:tc>
        <w:tc>
          <w:tcPr>
            <w:tcW w:type="dxa" w:w="356"/>
            <w:vMerge w:val="restart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257 </w:t>
            </w:r>
          </w:p>
        </w:tc>
      </w:tr>
      <w:tr>
        <w:trPr>
          <w:trHeight w:hRule="exact" w:val="240"/>
        </w:trPr>
        <w:tc>
          <w:tcPr>
            <w:tcW w:type="dxa" w:w="7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Jointly executed with affiliated organizations</w:t>
            </w:r>
          </w:p>
        </w:tc>
        <w:tc>
          <w:tcPr>
            <w:tcW w:type="dxa" w:w="188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1,085 </w:t>
            </w:r>
          </w:p>
        </w:tc>
        <w:tc>
          <w:tcPr>
            <w:tcW w:type="dxa" w:w="188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1,027 </w:t>
            </w:r>
          </w:p>
        </w:tc>
      </w:tr>
      <w:tr>
        <w:trPr>
          <w:trHeight w:hRule="exact" w:val="240"/>
        </w:trPr>
        <w:tc>
          <w:tcPr>
            <w:tcW w:type="dxa" w:w="7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Recipient-executed activities</w:t>
            </w:r>
          </w:p>
        </w:tc>
        <w:tc>
          <w:tcPr>
            <w:tcW w:type="dxa" w:w="188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3,330 </w:t>
            </w:r>
          </w:p>
        </w:tc>
        <w:tc>
          <w:tcPr>
            <w:tcW w:type="dxa" w:w="188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3,142 </w:t>
            </w:r>
          </w:p>
        </w:tc>
      </w:tr>
      <w:tr>
        <w:trPr>
          <w:trHeight w:hRule="exact" w:val="240"/>
        </w:trPr>
        <w:tc>
          <w:tcPr>
            <w:tcW w:type="dxa" w:w="7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Financial intermediary funds</w:t>
            </w:r>
          </w:p>
        </w:tc>
        <w:tc>
          <w:tcPr>
            <w:tcW w:type="dxa" w:w="188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29,826 </w:t>
            </w:r>
          </w:p>
        </w:tc>
        <w:tc>
          <w:tcPr>
            <w:tcW w:type="dxa" w:w="188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28,060 </w:t>
            </w:r>
          </w:p>
        </w:tc>
      </w:tr>
      <w:tr>
        <w:trPr>
          <w:trHeight w:hRule="exact" w:val="286"/>
        </w:trPr>
        <w:tc>
          <w:tcPr>
            <w:tcW w:type="dxa" w:w="729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Execution not yet assigned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88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04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7,807 </w:t>
            </w:r>
          </w:p>
        </w:tc>
        <w:tc>
          <w:tcPr>
            <w:tcW w:type="dxa" w:w="188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1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9,554 </w:t>
            </w:r>
          </w:p>
        </w:tc>
      </w:tr>
      <w:tr>
        <w:trPr>
          <w:trHeight w:hRule="exact" w:val="220"/>
        </w:trPr>
        <w:tc>
          <w:tcPr>
            <w:tcW w:type="dxa" w:w="729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fiduciary assets</w:t>
            </w:r>
          </w:p>
        </w:tc>
        <w:tc>
          <w:tcPr>
            <w:tcW w:type="dxa" w:w="32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4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3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42,306 </w:t>
            </w:r>
          </w:p>
        </w:tc>
        <w:tc>
          <w:tcPr>
            <w:tcW w:type="dxa" w:w="356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42,040 </w:t>
            </w:r>
          </w:p>
        </w:tc>
      </w:tr>
    </w:tbl>
    <w:p>
      <w:pPr>
        <w:autoSpaceDN w:val="0"/>
        <w:autoSpaceDE w:val="0"/>
        <w:widowControl/>
        <w:spacing w:line="180" w:lineRule="exact" w:before="27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a.These represent assets held in trust for which the determination as to the type of execution is yet to be finalized. 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2668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31</w:t>
      </w:r>
    </w:p>
    <w:p>
      <w:pPr>
        <w:sectPr>
          <w:pgSz w:w="12240" w:h="15840"/>
          <w:pgMar w:top="302" w:right="1370" w:bottom="244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5245100</wp:posOffset>
            </wp:positionV>
            <wp:extent cx="5880100" cy="21082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108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VI: Investment Activities</w:t>
            </w:r>
          </w:p>
        </w:tc>
      </w:tr>
    </w:tbl>
    <w:p>
      <w:pPr>
        <w:autoSpaceDN w:val="0"/>
        <w:autoSpaceDE w:val="0"/>
        <w:widowControl/>
        <w:spacing w:line="314" w:lineRule="exact" w:before="55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Section VI: Investment Activities </w:t>
      </w:r>
    </w:p>
    <w:p>
      <w:pPr>
        <w:autoSpaceDN w:val="0"/>
        <w:autoSpaceDE w:val="0"/>
        <w:widowControl/>
        <w:spacing w:line="240" w:lineRule="exact" w:before="20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investment portfolio consists mainly of the liquid asset portfolio. As of June 30, 2024, the net investment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 totaled $82.7 billion with $78.8 billion representing the liquid asset portfolio. This compares with $79.2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billion a year earlier, of which $75.4 billion represented the liquid asset portfolio (see Note C: Investments in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Notes to the Financial Statements). The increased level of liquidity reflects the higher debt issuances exceeding net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loan disbursements during the year.</w:t>
      </w:r>
    </w:p>
    <w:p>
      <w:pPr>
        <w:autoSpaceDN w:val="0"/>
        <w:autoSpaceDE w:val="0"/>
        <w:widowControl/>
        <w:spacing w:line="268" w:lineRule="exact" w:before="29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Liquid Asset Portfolio 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Funds raised through IBRD’s borrowing activities that have not yet been deployed for lending are held in the liquid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asset portfolio to provide liquidity for IBRD’s operations. The portfolio is managed with the goal of ensuring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sufficient cash flows to meet all of IBRD’s financial commitments. While it seeks a reasonable return on this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portfolio, IBRD restricts its liquid assets to high-quality investments, consistent with its investment objective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prioritizing principal protection over yield. Liquid assets are managed conservatively and are primarily held against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disruptions in IBRD’s access to capital markets.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liquid assets are held mainly in highly rated, fixed-income instruments (see Box 7: Eligibility Criteria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IBRD's Investments) and include the following: </w:t>
      </w:r>
    </w:p>
    <w:p>
      <w:pPr>
        <w:autoSpaceDN w:val="0"/>
        <w:tabs>
          <w:tab w:pos="730" w:val="left"/>
        </w:tabs>
        <w:autoSpaceDE w:val="0"/>
        <w:widowControl/>
        <w:spacing w:line="222" w:lineRule="exact" w:before="138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Government and agency obligations</w:t>
      </w:r>
    </w:p>
    <w:p>
      <w:pPr>
        <w:autoSpaceDN w:val="0"/>
        <w:tabs>
          <w:tab w:pos="730" w:val="left"/>
        </w:tabs>
        <w:autoSpaceDE w:val="0"/>
        <w:widowControl/>
        <w:spacing w:line="222" w:lineRule="exact" w:before="138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Time deposits and other unconditional obligations of banks and financial institutions</w:t>
      </w:r>
    </w:p>
    <w:p>
      <w:pPr>
        <w:autoSpaceDN w:val="0"/>
        <w:tabs>
          <w:tab w:pos="730" w:val="left"/>
        </w:tabs>
        <w:autoSpaceDE w:val="0"/>
        <w:widowControl/>
        <w:spacing w:line="222" w:lineRule="exact" w:before="138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Asset-backed securities (including agency mortgage-backed securities)</w:t>
      </w:r>
    </w:p>
    <w:p>
      <w:pPr>
        <w:autoSpaceDN w:val="0"/>
        <w:tabs>
          <w:tab w:pos="730" w:val="left"/>
        </w:tabs>
        <w:autoSpaceDE w:val="0"/>
        <w:widowControl/>
        <w:spacing w:line="222" w:lineRule="exact" w:before="138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Currency, interest rate and other risk management derivatives</w:t>
      </w:r>
    </w:p>
    <w:p>
      <w:pPr>
        <w:autoSpaceDN w:val="0"/>
        <w:tabs>
          <w:tab w:pos="730" w:val="left"/>
        </w:tabs>
        <w:autoSpaceDE w:val="0"/>
        <w:widowControl/>
        <w:spacing w:line="222" w:lineRule="exact" w:before="138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Exchange-traded options and futures</w:t>
      </w:r>
    </w:p>
    <w:p>
      <w:pPr>
        <w:autoSpaceDN w:val="0"/>
        <w:autoSpaceDE w:val="0"/>
        <w:widowControl/>
        <w:spacing w:line="196" w:lineRule="exact" w:before="152" w:after="104"/>
        <w:ind w:left="10" w:right="5184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Figure 13: Liquid Asset Portfolio by Asset Class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dollars, except for ratios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670"/>
        </w:trPr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82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Time 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June 30, 2024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4" w:after="0"/>
              <w:ind w:left="2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Asset-backed 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34" w:after="0"/>
              <w:ind w:left="2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Time 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2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June 30, 2023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2" w:after="0"/>
              <w:ind w:left="1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Asset-backed </w:t>
            </w:r>
          </w:p>
        </w:tc>
      </w:tr>
      <w:tr>
        <w:trPr>
          <w:trHeight w:hRule="exact" w:val="58"/>
        </w:trPr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&amp; </w:t>
            </w:r>
          </w:p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</w:tr>
      <w:tr>
        <w:trPr>
          <w:trHeight w:hRule="exact" w:val="134"/>
        </w:trPr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&amp; </w:t>
            </w:r>
          </w:p>
        </w:tc>
      </w:tr>
      <w:tr>
        <w:trPr>
          <w:trHeight w:hRule="exact" w:val="58"/>
        </w:trPr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Others, 3%</w:t>
            </w:r>
          </w:p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</w:tr>
      <w:tr>
        <w:trPr>
          <w:trHeight w:hRule="exact" w:val="482"/>
        </w:trPr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Others, 1%</w:t>
            </w:r>
          </w:p>
        </w:tc>
      </w:tr>
      <w:tr>
        <w:trPr>
          <w:trHeight w:hRule="exact" w:val="1000"/>
        </w:trPr>
        <w:tc>
          <w:tcPr>
            <w:tcW w:type="dxa" w:w="1573"/>
            <w:vMerge/>
            <w:tcBorders/>
          </w:tcPr>
          <w:p/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3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$</w:t>
            </w:r>
            <w:r>
              <w:rPr>
                <w:rFonts w:ascii="TimesNewRoman" w:hAnsi="TimesNewRoman" w:eastAsia="TimesNewRoman"/>
                <w:b/>
                <w:i w:val="0"/>
                <w:color w:val="000000"/>
                <w:sz w:val="20"/>
              </w:rPr>
              <w:t>78,792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90" w:after="0"/>
              <w:ind w:left="2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Government </w:t>
            </w:r>
          </w:p>
        </w:tc>
        <w:tc>
          <w:tcPr>
            <w:tcW w:type="dxa" w:w="1573"/>
            <w:vMerge/>
            <w:tcBorders/>
          </w:tcPr>
          <w:p/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/>
                <w:i w:val="0"/>
                <w:color w:val="000000"/>
                <w:sz w:val="20"/>
              </w:rPr>
              <w:t>$75,413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2" w:after="0"/>
              <w:ind w:left="0" w:right="1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Government </w:t>
            </w:r>
          </w:p>
        </w:tc>
      </w:tr>
      <w:tr>
        <w:trPr>
          <w:trHeight w:hRule="exact" w:val="212"/>
        </w:trPr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and agency </w:t>
            </w:r>
          </w:p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and agency </w:t>
            </w:r>
          </w:p>
        </w:tc>
      </w:tr>
      <w:tr>
        <w:trPr>
          <w:trHeight w:hRule="exact" w:val="201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Deposits, 58%</w:t>
            </w:r>
          </w:p>
        </w:tc>
        <w:tc>
          <w:tcPr>
            <w:tcW w:type="dxa" w:w="1573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obligations, 39%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Deposits, 49%</w:t>
            </w:r>
          </w:p>
        </w:tc>
        <w:tc>
          <w:tcPr>
            <w:tcW w:type="dxa" w:w="1573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obligations, </w:t>
            </w:r>
          </w:p>
        </w:tc>
      </w:tr>
    </w:tbl>
    <w:p>
      <w:pPr>
        <w:autoSpaceDN w:val="0"/>
        <w:autoSpaceDE w:val="0"/>
        <w:widowControl/>
        <w:spacing w:line="178" w:lineRule="exact" w:before="2" w:after="0"/>
        <w:ind w:left="0" w:right="98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>50%</w:t>
      </w:r>
    </w:p>
    <w:p>
      <w:pPr>
        <w:autoSpaceDN w:val="0"/>
        <w:autoSpaceDE w:val="0"/>
        <w:widowControl/>
        <w:spacing w:line="240" w:lineRule="exact" w:before="40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keeps liquidity volumes above a Prudential Minimum which is defined as 80% of the twelve-month Target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Liquidity Level. The twelve- month Target Liquidity Level is calculated before the end of each fiscal year based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Management’s estimates of projected net loan disbursements approved at the time of projection and debt-service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upcoming fiscal year. This twelve-month estimate becomes the target for the upcoming fiscal year and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Prudential Minimum is 80% of this target (see Section IX: Risk management, for details of how IBRD manages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liquidity risk).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liquid asset portfolio is composed largely of assets denominated in, or swapped into, U.S. dollars, with net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exposure to short-term interest rates after derivatives. The portfolio has an average duration of less than three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months, and the debt funding these liquid assets has a similar currency and duration profile. This is a direct result of 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1092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2024</w:t>
      </w:r>
    </w:p>
    <w:p>
      <w:pPr>
        <w:sectPr>
          <w:pgSz w:w="12240" w:h="15840"/>
          <w:pgMar w:top="302" w:right="1370" w:bottom="252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VI: Investment Activities</w:t>
            </w:r>
          </w:p>
        </w:tc>
      </w:tr>
    </w:tbl>
    <w:p>
      <w:pPr>
        <w:autoSpaceDN w:val="0"/>
        <w:autoSpaceDE w:val="0"/>
        <w:widowControl/>
        <w:spacing w:line="240" w:lineRule="exact" w:before="49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exchange-rate and interest-rate-risk-management policies (see Section IX: Risk management), combined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with appropriate investment guidelines (Box 7).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maturity profile of IBRD’s liquid asset portfolio reflects a high degree of liquidity. As of June 30, 2024, $70.0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billion (approximately 89% of total volume) was due to mature within six months, of which $28.8 billion was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expected to mature within one month.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liquid asset portfolio is held in three sub-portfolios: Stable, Operational, and Discretionary, each may have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different risk profiles and performance guidelines (Table 21). </w:t>
      </w:r>
    </w:p>
    <w:p>
      <w:pPr>
        <w:autoSpaceDN w:val="0"/>
        <w:tabs>
          <w:tab w:pos="550" w:val="left"/>
        </w:tabs>
        <w:autoSpaceDE w:val="0"/>
        <w:widowControl/>
        <w:spacing w:line="240" w:lineRule="exact" w:before="120" w:after="0"/>
        <w:ind w:left="19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/>
          <w:color w:val="000000"/>
          <w:sz w:val="20"/>
        </w:rPr>
        <w:t>Stable portfolio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is mainly an investment portfolio holding all or a portion of the Prudential Minimum level of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liquidity, set at the start of each fiscal year. </w:t>
      </w:r>
    </w:p>
    <w:p>
      <w:pPr>
        <w:autoSpaceDN w:val="0"/>
        <w:tabs>
          <w:tab w:pos="550" w:val="left"/>
        </w:tabs>
        <w:autoSpaceDE w:val="0"/>
        <w:widowControl/>
        <w:spacing w:line="222" w:lineRule="exact" w:before="138" w:after="0"/>
        <w:ind w:left="19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/>
          <w:color w:val="000000"/>
          <w:sz w:val="20"/>
        </w:rPr>
        <w:t>Operational portfolio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is used to meet IBRD’s day-to-day cash flow requirements.</w:t>
      </w:r>
    </w:p>
    <w:p>
      <w:pPr>
        <w:autoSpaceDN w:val="0"/>
        <w:tabs>
          <w:tab w:pos="550" w:val="left"/>
        </w:tabs>
        <w:autoSpaceDE w:val="0"/>
        <w:widowControl/>
        <w:spacing w:line="240" w:lineRule="exact" w:before="120" w:after="0"/>
        <w:ind w:left="19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/>
          <w:color w:val="000000"/>
          <w:sz w:val="20"/>
        </w:rPr>
        <w:t>Discretionary portfolio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gives IBRD the flexibility to execute its borrowing program and can be used to tap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attractive market opportunities. Additional portions of the Prudential Minimum may also be held in this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portfolio. </w:t>
      </w:r>
    </w:p>
    <w:p>
      <w:pPr>
        <w:autoSpaceDN w:val="0"/>
        <w:autoSpaceDE w:val="0"/>
        <w:widowControl/>
        <w:spacing w:line="202" w:lineRule="exact" w:before="20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21: Liquid Asset Portfolio Composition</w:t>
      </w:r>
    </w:p>
    <w:p>
      <w:pPr>
        <w:autoSpaceDN w:val="0"/>
        <w:autoSpaceDE w:val="0"/>
        <w:widowControl/>
        <w:spacing w:line="180" w:lineRule="exact" w:before="60" w:after="28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dollars, except ratios which are in percentages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40"/>
        </w:trPr>
        <w:tc>
          <w:tcPr>
            <w:tcW w:type="dxa" w:w="313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As of June 30,</w:t>
            </w:r>
          </w:p>
        </w:tc>
        <w:tc>
          <w:tcPr>
            <w:tcW w:type="dxa" w:w="296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55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2024</w:t>
            </w:r>
          </w:p>
        </w:tc>
        <w:tc>
          <w:tcPr>
            <w:tcW w:type="dxa" w:w="116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45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%</w:t>
            </w:r>
          </w:p>
        </w:tc>
        <w:tc>
          <w:tcPr>
            <w:tcW w:type="dxa" w:w="136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55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2023</w:t>
            </w:r>
          </w:p>
        </w:tc>
        <w:tc>
          <w:tcPr>
            <w:tcW w:type="dxa" w:w="77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%</w:t>
            </w:r>
          </w:p>
        </w:tc>
      </w:tr>
    </w:tbl>
    <w:p>
      <w:pPr>
        <w:autoSpaceDN w:val="0"/>
        <w:autoSpaceDE w:val="0"/>
        <w:widowControl/>
        <w:spacing w:line="178" w:lineRule="exact" w:before="26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Liquid asset portfolio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212"/>
        </w:trPr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Stable</w:t>
            </w:r>
          </w:p>
        </w:tc>
        <w:tc>
          <w:tcPr>
            <w:tcW w:type="dxa" w:w="41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53,182 </w:t>
            </w:r>
          </w:p>
        </w:tc>
        <w:tc>
          <w:tcPr>
            <w:tcW w:type="dxa" w:w="1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68 %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48,205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64 %</w:t>
            </w:r>
          </w:p>
        </w:tc>
      </w:tr>
      <w:tr>
        <w:trPr>
          <w:trHeight w:hRule="exact" w:val="240"/>
        </w:trPr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Operational</w:t>
            </w:r>
          </w:p>
        </w:tc>
        <w:tc>
          <w:tcPr>
            <w:tcW w:type="dxa" w:w="1573"/>
            <w:vMerge/>
            <w:tcBorders>
              <w:bottom w:sz="8.0" w:val="single" w:color="#6C6C6C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14,254 </w:t>
            </w:r>
          </w:p>
        </w:tc>
        <w:tc>
          <w:tcPr>
            <w:tcW w:type="dxa" w:w="1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6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18 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14,404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19 </w:t>
            </w:r>
          </w:p>
        </w:tc>
      </w:tr>
      <w:tr>
        <w:trPr>
          <w:trHeight w:hRule="exact" w:val="274"/>
        </w:trPr>
        <w:tc>
          <w:tcPr>
            <w:tcW w:type="dxa" w:w="438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Discretionary</w:t>
            </w:r>
          </w:p>
        </w:tc>
        <w:tc>
          <w:tcPr>
            <w:tcW w:type="dxa" w:w="1573"/>
            <w:vMerge/>
            <w:tcBorders>
              <w:bottom w:sz="8.0" w:val="single" w:color="#6C6C6C"/>
            </w:tcBorders>
          </w:tcPr>
          <w:p/>
        </w:tc>
        <w:tc>
          <w:tcPr>
            <w:tcW w:type="dxa" w:w="81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11,356 </w:t>
            </w:r>
          </w:p>
        </w:tc>
        <w:tc>
          <w:tcPr>
            <w:tcW w:type="dxa" w:w="171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6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14 </w:t>
            </w:r>
          </w:p>
        </w:tc>
        <w:tc>
          <w:tcPr>
            <w:tcW w:type="dxa" w:w="81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12,804 </w:t>
            </w:r>
          </w:p>
        </w:tc>
        <w:tc>
          <w:tcPr>
            <w:tcW w:type="dxa" w:w="126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17 </w:t>
            </w:r>
          </w:p>
        </w:tc>
      </w:tr>
      <w:tr>
        <w:trPr>
          <w:trHeight w:hRule="exact" w:val="220"/>
        </w:trPr>
        <w:tc>
          <w:tcPr>
            <w:tcW w:type="dxa" w:w="438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1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78,792 </w:t>
            </w:r>
          </w:p>
        </w:tc>
        <w:tc>
          <w:tcPr>
            <w:tcW w:type="dxa" w:w="171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1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75,413 </w:t>
            </w:r>
          </w:p>
        </w:tc>
        <w:tc>
          <w:tcPr>
            <w:tcW w:type="dxa" w:w="126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</w:tr>
    </w:tbl>
    <w:p>
      <w:pPr>
        <w:autoSpaceDN w:val="0"/>
        <w:autoSpaceDE w:val="0"/>
        <w:widowControl/>
        <w:spacing w:line="202" w:lineRule="exact" w:before="548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22: Liquid Asset Portfolio - Average Balances and Returns</w:t>
      </w:r>
    </w:p>
    <w:p>
      <w:pPr>
        <w:autoSpaceDN w:val="0"/>
        <w:autoSpaceDE w:val="0"/>
        <w:widowControl/>
        <w:spacing w:line="180" w:lineRule="exact" w:before="58" w:after="3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dollars, except rates which are in percentages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0"/>
        <w:gridCol w:w="2360"/>
        <w:gridCol w:w="2360"/>
        <w:gridCol w:w="2360"/>
      </w:tblGrid>
      <w:tr>
        <w:trPr>
          <w:trHeight w:hRule="exact" w:val="242"/>
        </w:trPr>
        <w:tc>
          <w:tcPr>
            <w:tcW w:type="dxa" w:w="635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8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Average Balances</w:t>
            </w:r>
          </w:p>
        </w:tc>
        <w:tc>
          <w:tcPr>
            <w:tcW w:type="dxa" w:w="76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8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3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Financial Returns %</w:t>
            </w:r>
          </w:p>
        </w:tc>
        <w:tc>
          <w:tcPr>
            <w:tcW w:type="dxa" w:w="49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63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81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2024</w:t>
            </w:r>
          </w:p>
        </w:tc>
        <w:tc>
          <w:tcPr>
            <w:tcW w:type="dxa" w:w="76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2023</w:t>
            </w:r>
          </w:p>
        </w:tc>
        <w:tc>
          <w:tcPr>
            <w:tcW w:type="dxa" w:w="178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83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2024</w:t>
            </w:r>
          </w:p>
        </w:tc>
        <w:tc>
          <w:tcPr>
            <w:tcW w:type="dxa" w:w="49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178" w:lineRule="exact" w:before="26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Liquid asset portfolio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32"/>
        </w:trPr>
        <w:tc>
          <w:tcPr>
            <w:tcW w:type="dxa" w:w="4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Stable </w:t>
            </w:r>
          </w:p>
        </w:tc>
        <w:tc>
          <w:tcPr>
            <w:tcW w:type="dxa" w:w="410"/>
            <w:vMerge w:val="restart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51,703 </w:t>
            </w:r>
          </w:p>
        </w:tc>
        <w:tc>
          <w:tcPr>
            <w:tcW w:type="dxa" w:w="450"/>
            <w:vMerge w:val="restart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47,734 </w:t>
            </w:r>
          </w:p>
        </w:tc>
        <w:tc>
          <w:tcPr>
            <w:tcW w:type="dxa" w:w="16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5.80 %</w:t>
            </w:r>
          </w:p>
        </w:tc>
        <w:tc>
          <w:tcPr>
            <w:tcW w:type="dxa" w:w="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4.11 %</w:t>
            </w:r>
          </w:p>
        </w:tc>
      </w:tr>
      <w:tr>
        <w:trPr>
          <w:trHeight w:hRule="exact" w:val="240"/>
        </w:trPr>
        <w:tc>
          <w:tcPr>
            <w:tcW w:type="dxa" w:w="4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Operational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8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14,162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8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13,049 </w:t>
            </w:r>
          </w:p>
        </w:tc>
        <w:tc>
          <w:tcPr>
            <w:tcW w:type="dxa" w:w="16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5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5.95 </w:t>
            </w:r>
          </w:p>
        </w:tc>
        <w:tc>
          <w:tcPr>
            <w:tcW w:type="dxa" w:w="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4.04 </w:t>
            </w:r>
          </w:p>
        </w:tc>
      </w:tr>
      <w:tr>
        <w:trPr>
          <w:trHeight w:hRule="exact" w:val="254"/>
        </w:trPr>
        <w:tc>
          <w:tcPr>
            <w:tcW w:type="dxa" w:w="438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Discretionary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81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11,067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81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15,668 </w:t>
            </w:r>
          </w:p>
        </w:tc>
        <w:tc>
          <w:tcPr>
            <w:tcW w:type="dxa" w:w="161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5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5.79 </w:t>
            </w:r>
          </w:p>
        </w:tc>
        <w:tc>
          <w:tcPr>
            <w:tcW w:type="dxa" w:w="91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4.36 </w:t>
            </w:r>
          </w:p>
        </w:tc>
      </w:tr>
      <w:tr>
        <w:trPr>
          <w:trHeight w:hRule="exact" w:val="220"/>
        </w:trPr>
        <w:tc>
          <w:tcPr>
            <w:tcW w:type="dxa" w:w="438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1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76,932 </w:t>
            </w:r>
          </w:p>
        </w:tc>
        <w:tc>
          <w:tcPr>
            <w:tcW w:type="dxa" w:w="4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76,451 </w:t>
            </w:r>
          </w:p>
        </w:tc>
        <w:tc>
          <w:tcPr>
            <w:tcW w:type="dxa" w:w="161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5.81 %</w:t>
            </w:r>
          </w:p>
        </w:tc>
        <w:tc>
          <w:tcPr>
            <w:tcW w:type="dxa" w:w="91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2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4.16 %</w:t>
            </w:r>
          </w:p>
        </w:tc>
      </w:tr>
      <w:tr>
        <w:trPr>
          <w:trHeight w:hRule="exact" w:val="260"/>
        </w:trPr>
        <w:tc>
          <w:tcPr>
            <w:tcW w:type="dxa" w:w="438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1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28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FY24, IBRD’s total return on the liquid asset portfolio was 5.81%, an increase compared to last year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consistent with the rising interest rate environment. In addition to monitoring gross investment returns relative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their benchmarks, IBRD also monitors overall earnings from the investment portfolio, net of funding costs. In FY24,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had $61 million of revenue, net of funding costs on the investment portfolio as discussed in Section III: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Financial Results.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3510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33</w:t>
      </w:r>
    </w:p>
    <w:p>
      <w:pPr>
        <w:sectPr>
          <w:pgSz w:w="12240" w:h="15840"/>
          <w:pgMar w:top="302" w:right="1370" w:bottom="244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VI: Investment Activities</w:t>
            </w:r>
          </w:p>
        </w:tc>
      </w:tr>
    </w:tbl>
    <w:p>
      <w:pPr>
        <w:autoSpaceDN w:val="0"/>
        <w:autoSpaceDE w:val="0"/>
        <w:widowControl/>
        <w:spacing w:line="268" w:lineRule="exact" w:before="50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Other Investments</w:t>
      </w:r>
    </w:p>
    <w:p>
      <w:pPr>
        <w:autoSpaceDN w:val="0"/>
        <w:autoSpaceDE w:val="0"/>
        <w:widowControl/>
        <w:spacing w:line="240" w:lineRule="exact" w:before="12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addition to the liquid asset portfolio, the investment portfolio also includes holdings related to the PEBP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PCRF. Table 23 below summarizes the net carrying value of other investments:</w:t>
      </w:r>
    </w:p>
    <w:p>
      <w:pPr>
        <w:autoSpaceDN w:val="0"/>
        <w:autoSpaceDE w:val="0"/>
        <w:widowControl/>
        <w:spacing w:line="202" w:lineRule="exact" w:before="200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23: Net Carrying Value of Other Investments</w:t>
      </w:r>
    </w:p>
    <w:p>
      <w:pPr>
        <w:autoSpaceDN w:val="0"/>
        <w:autoSpaceDE w:val="0"/>
        <w:widowControl/>
        <w:spacing w:line="180" w:lineRule="exact" w:before="58" w:after="3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44"/>
        </w:trPr>
        <w:tc>
          <w:tcPr>
            <w:tcW w:type="dxa" w:w="729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As of June 30,</w:t>
            </w:r>
          </w:p>
        </w:tc>
        <w:tc>
          <w:tcPr>
            <w:tcW w:type="dxa" w:w="36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2024</w:t>
            </w:r>
          </w:p>
        </w:tc>
        <w:tc>
          <w:tcPr>
            <w:tcW w:type="dxa" w:w="39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2023</w:t>
            </w:r>
          </w:p>
        </w:tc>
      </w:tr>
      <w:tr>
        <w:trPr>
          <w:trHeight w:hRule="exact" w:val="196"/>
        </w:trPr>
        <w:tc>
          <w:tcPr>
            <w:tcW w:type="dxa" w:w="729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PEBP</w:t>
            </w:r>
          </w:p>
        </w:tc>
        <w:tc>
          <w:tcPr>
            <w:tcW w:type="dxa" w:w="360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2,939 </w:t>
            </w:r>
          </w:p>
        </w:tc>
        <w:tc>
          <w:tcPr>
            <w:tcW w:type="dxa" w:w="396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2,684 </w:t>
            </w:r>
          </w:p>
        </w:tc>
      </w:tr>
      <w:tr>
        <w:trPr>
          <w:trHeight w:hRule="exact" w:val="284"/>
        </w:trPr>
        <w:tc>
          <w:tcPr>
            <w:tcW w:type="dxa" w:w="729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PCRF</w:t>
            </w:r>
          </w:p>
        </w:tc>
        <w:tc>
          <w:tcPr>
            <w:tcW w:type="dxa" w:w="188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664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949 </w:t>
            </w:r>
          </w:p>
        </w:tc>
        <w:tc>
          <w:tcPr>
            <w:tcW w:type="dxa" w:w="188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67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1,098 </w:t>
            </w:r>
          </w:p>
        </w:tc>
      </w:tr>
      <w:tr>
        <w:trPr>
          <w:trHeight w:hRule="exact" w:val="220"/>
        </w:trPr>
        <w:tc>
          <w:tcPr>
            <w:tcW w:type="dxa" w:w="729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6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3,888 </w:t>
            </w:r>
          </w:p>
        </w:tc>
        <w:tc>
          <w:tcPr>
            <w:tcW w:type="dxa" w:w="39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3,782 </w:t>
            </w:r>
          </w:p>
        </w:tc>
      </w:tr>
    </w:tbl>
    <w:p>
      <w:pPr>
        <w:autoSpaceDN w:val="0"/>
        <w:autoSpaceDE w:val="0"/>
        <w:widowControl/>
        <w:spacing w:line="240" w:lineRule="exact" w:before="46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June 2024, IBRD’s Board approved a release of $550 million from the PCRF holdings ($250 million for IBRD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$300 million for IDA) to be used for general purposes. As a result, IBRD's usable equity increased by $250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 due to the transfer of this amount from the Pension reserve to the General reserve within Retained Earnings.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For IDA's share of the PCRF investments, IBRD's payable to IDA was reduced.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9802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2024</w:t>
      </w:r>
    </w:p>
    <w:p>
      <w:pPr>
        <w:sectPr>
          <w:pgSz w:w="12240" w:h="15840"/>
          <w:pgMar w:top="302" w:right="1370" w:bottom="252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6045200</wp:posOffset>
            </wp:positionV>
            <wp:extent cx="5880100" cy="19177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917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VII: Borrowing Activities</w:t>
            </w:r>
          </w:p>
        </w:tc>
      </w:tr>
    </w:tbl>
    <w:p>
      <w:pPr>
        <w:autoSpaceDN w:val="0"/>
        <w:autoSpaceDE w:val="0"/>
        <w:widowControl/>
        <w:spacing w:line="314" w:lineRule="exact" w:before="55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Section VII: Borrowing Activities </w:t>
      </w:r>
    </w:p>
    <w:p>
      <w:pPr>
        <w:autoSpaceDN w:val="0"/>
        <w:autoSpaceDE w:val="0"/>
        <w:widowControl/>
        <w:spacing w:line="240" w:lineRule="exact" w:before="206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has been issuing bonds in the international capital markets since 1947. The proceeds of these bonds support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lending operations which are aimed at promoting sustainable development for IBRD’s borrowing member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countries. </w:t>
      </w:r>
    </w:p>
    <w:p>
      <w:pPr>
        <w:autoSpaceDN w:val="0"/>
        <w:autoSpaceDE w:val="0"/>
        <w:widowControl/>
        <w:spacing w:line="268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Borrowing Portfolio</w:t>
      </w:r>
    </w:p>
    <w:p>
      <w:pPr>
        <w:autoSpaceDN w:val="0"/>
        <w:autoSpaceDE w:val="0"/>
        <w:widowControl/>
        <w:spacing w:line="224" w:lineRule="exact" w:before="14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borrows at attractive rates underpinned by its strong financial profile and shareholder support that together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basis for its triple-A credit rating. As a result of its financial strength and triple-A credit rating, IBRD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recognized as a premier borrower and its bonds and notes are viewed as a high credit quality investment in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global capital markets. </w:t>
      </w:r>
    </w:p>
    <w:p>
      <w:pPr>
        <w:autoSpaceDN w:val="0"/>
        <w:autoSpaceDE w:val="0"/>
        <w:widowControl/>
        <w:spacing w:line="224" w:lineRule="exact" w:before="2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uses the proceeds to finance development activities in creditworthy middle-income and low-income countries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eligible to borrow from IBRD at market-based rates. Funding raised in any given year is used for IBRD’s operations,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including loan disbursements, replacement of maturing debt, and prefunding for lending activities. IBRD determines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its funding requirements based on a three-year rolling horizon and funds about one-third of the projected amount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current fiscal year. </w:t>
      </w:r>
    </w:p>
    <w:p>
      <w:pPr>
        <w:autoSpaceDN w:val="0"/>
        <w:autoSpaceDE w:val="0"/>
        <w:widowControl/>
        <w:spacing w:line="224" w:lineRule="exact" w:before="2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discussed in Section II: Overview, IBRD uses currency and interest rate derivatives in connection with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borrowings for asset and liability management purposes. New medium- and long-term funding is swapped into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variable-rate U.S. dollar instruments, with conversion to other currencies carried out subsequently, as needed. This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accordance with loan funding requirements, so that IBRD can minimize interest rate and currency risk.  IBRD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also uses derivatives to manage the re-pricing risks between loans and borrowings. Further discussion on how IBRD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manages this risk is included in Section IX: Risk Management.</w:t>
      </w:r>
    </w:p>
    <w:p>
      <w:pPr>
        <w:autoSpaceDN w:val="0"/>
        <w:autoSpaceDE w:val="0"/>
        <w:widowControl/>
        <w:spacing w:line="224" w:lineRule="exact" w:before="2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issues short-term debt (maturing in one year or less), and medium- and long-term debt (with a maturity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greater than one year). In FY24, IBRD raised a total of $52.4 billion of medium- and long-term debt (Table 25).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From time to time, IBRD exercises the call option in its callable bond issues; it may also repurchase its debt to meet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other operational or strategic needs such as providing liquidity to its investors (Table 25).</w:t>
      </w:r>
    </w:p>
    <w:p>
      <w:pPr>
        <w:autoSpaceDN w:val="0"/>
        <w:autoSpaceDE w:val="0"/>
        <w:widowControl/>
        <w:spacing w:line="224" w:lineRule="exact" w:before="224" w:after="0"/>
        <w:ind w:left="10" w:right="24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June 30, 2024, the borrowing portfolio totaled $287.1 billion, $20.3 billion higher than June 30, 2023 (see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Note E: Borrowings in the Notes to the Financial Statements). The increase was primarily due to net medium-and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long-term debt issuances during the year (Table 25).</w:t>
      </w:r>
    </w:p>
    <w:p>
      <w:pPr>
        <w:autoSpaceDN w:val="0"/>
        <w:autoSpaceDE w:val="0"/>
        <w:widowControl/>
        <w:spacing w:line="202" w:lineRule="exact" w:before="234" w:after="46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Figure 14: Effect of Derivatives on Currency Composition of the Borrowing Portfolio – 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0.0" w:type="dxa"/>
      </w:tblPr>
      <w:tblGrid>
        <w:gridCol w:w="4720"/>
        <w:gridCol w:w="4720"/>
      </w:tblGrid>
      <w:tr>
        <w:trPr>
          <w:trHeight w:hRule="exact" w:val="1028"/>
        </w:trPr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5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Borrowings excluding derivatives</w:t>
            </w:r>
          </w:p>
          <w:p>
            <w:pPr>
              <w:autoSpaceDN w:val="0"/>
              <w:autoSpaceDE w:val="0"/>
              <w:widowControl/>
              <w:spacing w:line="180" w:lineRule="exact" w:before="368" w:after="0"/>
              <w:ind w:left="0" w:right="1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Euro</w:t>
            </w:r>
          </w:p>
          <w:p>
            <w:pPr>
              <w:autoSpaceDN w:val="0"/>
              <w:autoSpaceDE w:val="0"/>
              <w:widowControl/>
              <w:spacing w:line="180" w:lineRule="exact" w:before="12" w:after="0"/>
              <w:ind w:left="0" w:right="1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15%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74" w:val="left"/>
              </w:tabs>
              <w:autoSpaceDE w:val="0"/>
              <w:widowControl/>
              <w:spacing w:line="330" w:lineRule="exact" w:before="0" w:after="6"/>
              <w:ind w:left="1082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Borrowings Including derivatives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Euro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80.0" w:type="dxa"/>
            </w:tblPr>
            <w:tblGrid>
              <w:gridCol w:w="2210"/>
              <w:gridCol w:w="2210"/>
            </w:tblGrid>
            <w:tr>
              <w:trPr>
                <w:trHeight w:hRule="exact" w:val="338"/>
              </w:trPr>
              <w:tc>
                <w:tcPr>
                  <w:tcW w:type="dxa" w:w="1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8" w:after="0"/>
                    <w:ind w:left="0" w:right="22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13%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76" w:after="0"/>
                    <w:ind w:left="0" w:right="17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Others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78" w:lineRule="exact" w:before="8" w:after="320"/>
        <w:ind w:left="0" w:right="116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>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0.0" w:type="dxa"/>
      </w:tblPr>
      <w:tblGrid>
        <w:gridCol w:w="3147"/>
        <w:gridCol w:w="3147"/>
        <w:gridCol w:w="3147"/>
      </w:tblGrid>
      <w:tr>
        <w:trPr>
          <w:trHeight w:hRule="exact" w:val="234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2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US Dollar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4" w:after="0"/>
              <w:ind w:left="0" w:right="6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Others</w:t>
            </w:r>
          </w:p>
        </w:tc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14" w:after="0"/>
              <w:ind w:left="7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US Dollar</w:t>
            </w:r>
          </w:p>
        </w:tc>
      </w:tr>
      <w:tr>
        <w:trPr>
          <w:trHeight w:hRule="exact" w:val="120"/>
        </w:trPr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2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63%</w:t>
            </w:r>
          </w:p>
        </w:tc>
        <w:tc>
          <w:tcPr>
            <w:tcW w:type="dxa" w:w="3147"/>
            <w:vMerge/>
            <w:tcBorders/>
          </w:tcPr>
          <w:p/>
        </w:tc>
        <w:tc>
          <w:tcPr>
            <w:tcW w:type="dxa" w:w="3147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147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8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22%</w:t>
            </w:r>
          </w:p>
        </w:tc>
        <w:tc>
          <w:tcPr>
            <w:tcW w:type="dxa" w:w="3147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3147"/>
            <w:vMerge/>
            <w:tcBorders/>
          </w:tcPr>
          <w:p/>
        </w:tc>
        <w:tc>
          <w:tcPr>
            <w:tcW w:type="dxa" w:w="3147"/>
            <w:vMerge/>
            <w:tcBorders/>
          </w:tcPr>
          <w:p/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7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87%</w:t>
            </w:r>
          </w:p>
        </w:tc>
      </w:tr>
    </w:tbl>
    <w:p>
      <w:pPr>
        <w:autoSpaceDN w:val="0"/>
        <w:autoSpaceDE w:val="0"/>
        <w:widowControl/>
        <w:spacing w:line="222" w:lineRule="exact" w:before="78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* Denotes percentage less than 0.5%.</w:t>
      </w:r>
    </w:p>
    <w:p>
      <w:pPr>
        <w:autoSpaceDN w:val="0"/>
        <w:autoSpaceDE w:val="0"/>
        <w:widowControl/>
        <w:spacing w:line="224" w:lineRule="exact" w:before="13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June 30, 2024, IBRD’s total borrowing portfolio, after the effects of derivatives, carried variable rates with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weighted average cost of 5.5% (5.1% as of June 30, 2023). The increase in the weighted average cost from the prior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year reflects the increase in the short-term market interest rates during the year. This also resulted in an increase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weighted average loan rates, which are also based on IBRD’s funding cost. IBRD’s lending spread was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therefore not impacted by the increase in short-term interest rates (Figure 2).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1054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35</w:t>
      </w:r>
    </w:p>
    <w:p>
      <w:pPr>
        <w:sectPr>
          <w:pgSz w:w="12240" w:h="15840"/>
          <w:pgMar w:top="302" w:right="1370" w:bottom="244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4720"/>
        <w:gridCol w:w="4720"/>
      </w:tblGrid>
      <w:tr>
        <w:trPr>
          <w:trHeight w:hRule="exact" w:val="272"/>
        </w:trPr>
        <w:tc>
          <w:tcPr>
            <w:tcW w:type="dxa" w:w="3936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VII: Borrowing Activities</w:t>
            </w:r>
          </w:p>
        </w:tc>
      </w:tr>
    </w:tbl>
    <w:p>
      <w:pPr>
        <w:autoSpaceDN w:val="0"/>
        <w:autoSpaceDE w:val="0"/>
        <w:widowControl/>
        <w:spacing w:line="268" w:lineRule="exact" w:before="50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Short-Term Borrowings</w:t>
      </w:r>
    </w:p>
    <w:p>
      <w:pPr>
        <w:autoSpaceDN w:val="0"/>
        <w:autoSpaceDE w:val="0"/>
        <w:widowControl/>
        <w:spacing w:line="240" w:lineRule="exact" w:before="12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Table 24 summarizes IBRD’s short-term borrowings, which mainly include discount notes, securities lent or sold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under securities lending and repurchase agreements, and other short-term borrowings.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Discount Notes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short-term borrowings consist mainly of discount notes issued in U.S. dollars. These borrowings have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weighted average maturity of approximately 129 days. 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Securities Lent or Sold under Repurchase Agreements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These short-term borrowings are secured mainly by highly-rated collateral in the form of securities, including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government-issued debt, and have an average maturity of less than 30 days.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Other Short-Term Borrowings</w:t>
      </w:r>
    </w:p>
    <w:p>
      <w:pPr>
        <w:autoSpaceDN w:val="0"/>
        <w:autoSpaceDE w:val="0"/>
        <w:widowControl/>
        <w:spacing w:line="222" w:lineRule="exact" w:before="14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Other short-term borrowings are mostly money market instruments that have maturities of one year or less. </w:t>
      </w:r>
    </w:p>
    <w:p>
      <w:pPr>
        <w:autoSpaceDN w:val="0"/>
        <w:autoSpaceDE w:val="0"/>
        <w:widowControl/>
        <w:spacing w:line="202" w:lineRule="exact" w:before="184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24: Short-Term Borrowings</w:t>
      </w:r>
    </w:p>
    <w:p>
      <w:pPr>
        <w:autoSpaceDN w:val="0"/>
        <w:autoSpaceDE w:val="0"/>
        <w:widowControl/>
        <w:spacing w:line="180" w:lineRule="exact" w:before="58" w:after="32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dollars, except rates which are in percentages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147"/>
        <w:gridCol w:w="3147"/>
        <w:gridCol w:w="3147"/>
      </w:tblGrid>
      <w:tr>
        <w:trPr>
          <w:trHeight w:hRule="exact" w:val="230"/>
        </w:trPr>
        <w:tc>
          <w:tcPr>
            <w:tcW w:type="dxa" w:w="4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As of June 30,</w:t>
            </w:r>
          </w:p>
        </w:tc>
        <w:tc>
          <w:tcPr>
            <w:tcW w:type="dxa" w:w="4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8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2024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5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202" w:lineRule="exact" w:before="20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Discount notes </w:t>
      </w:r>
      <w:r>
        <w:rPr>
          <w:w w:val="103.99999618530273"/>
          <w:rFonts w:ascii="Arial" w:hAnsi="Arial" w:eastAsia="Arial"/>
          <w:b/>
          <w:i w:val="0"/>
          <w:color w:val="000000"/>
          <w:sz w:val="10"/>
        </w:rPr>
        <w:t>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40"/>
        </w:trPr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Average daily balance during the fiscal year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10,374 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13,389 </w:t>
            </w:r>
          </w:p>
        </w:tc>
      </w:tr>
      <w:tr>
        <w:trPr>
          <w:trHeight w:hRule="exact" w:val="270"/>
        </w:trPr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Weighted-average rate during the fiscal year</w:t>
            </w:r>
          </w:p>
        </w:tc>
        <w:tc>
          <w:tcPr>
            <w:tcW w:type="dxa" w:w="1888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5.39 %</w:t>
            </w:r>
          </w:p>
        </w:tc>
        <w:tc>
          <w:tcPr>
            <w:tcW w:type="dxa" w:w="1888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3.58 %</w:t>
            </w:r>
          </w:p>
        </w:tc>
      </w:tr>
    </w:tbl>
    <w:p>
      <w:pPr>
        <w:autoSpaceDN w:val="0"/>
        <w:autoSpaceDE w:val="0"/>
        <w:widowControl/>
        <w:spacing w:line="202" w:lineRule="exact" w:before="218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Securities lent or sold under repurchase agreements </w:t>
      </w:r>
      <w:r>
        <w:rPr>
          <w:w w:val="103.99999618530273"/>
          <w:rFonts w:ascii="Arial" w:hAnsi="Arial" w:eastAsia="Arial"/>
          <w:b/>
          <w:i w:val="0"/>
          <w:color w:val="000000"/>
          <w:sz w:val="10"/>
        </w:rPr>
        <w:t>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40"/>
        </w:trPr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Average monthly balance during the fiscal year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723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578 </w:t>
            </w:r>
          </w:p>
        </w:tc>
      </w:tr>
      <w:tr>
        <w:trPr>
          <w:trHeight w:hRule="exact" w:val="270"/>
        </w:trPr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Weighted-average rate during the fiscal year</w:t>
            </w:r>
          </w:p>
        </w:tc>
        <w:tc>
          <w:tcPr>
            <w:tcW w:type="dxa" w:w="1888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1.24 %</w:t>
            </w:r>
          </w:p>
        </w:tc>
        <w:tc>
          <w:tcPr>
            <w:tcW w:type="dxa" w:w="1888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2.37 %</w:t>
            </w:r>
          </w:p>
        </w:tc>
      </w:tr>
    </w:tbl>
    <w:p>
      <w:pPr>
        <w:autoSpaceDN w:val="0"/>
        <w:autoSpaceDE w:val="0"/>
        <w:widowControl/>
        <w:spacing w:line="202" w:lineRule="exact" w:before="218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Other short-term borrowings </w:t>
      </w:r>
      <w:r>
        <w:rPr>
          <w:w w:val="103.99999618530273"/>
          <w:rFonts w:ascii="Arial" w:hAnsi="Arial" w:eastAsia="Arial"/>
          <w:b/>
          <w:i w:val="0"/>
          <w:color w:val="000000"/>
          <w:sz w:val="10"/>
        </w:rPr>
        <w:t>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40"/>
        </w:trPr>
        <w:tc>
          <w:tcPr>
            <w:tcW w:type="dxa" w:w="4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Average daily balance during the fiscal year</w:t>
            </w:r>
          </w:p>
        </w:tc>
        <w:tc>
          <w:tcPr>
            <w:tcW w:type="dxa" w:w="202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 </w:t>
            </w:r>
          </w:p>
        </w:tc>
        <w:tc>
          <w:tcPr>
            <w:tcW w:type="dxa" w:w="70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120 </w:t>
            </w:r>
          </w:p>
        </w:tc>
      </w:tr>
      <w:tr>
        <w:trPr>
          <w:trHeight w:hRule="exact" w:val="480"/>
        </w:trPr>
        <w:tc>
          <w:tcPr>
            <w:tcW w:type="dxa" w:w="457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Weighted-average rate during the fiscal year</w:t>
            </w:r>
          </w:p>
        </w:tc>
        <w:tc>
          <w:tcPr>
            <w:tcW w:type="dxa" w:w="1888"/>
            <w:vMerge/>
            <w:tcBorders>
              <w:bottom w:sz="8.0" w:val="single" w:color="#6C6C6C"/>
            </w:tcBorders>
          </w:tcPr>
          <w:p/>
        </w:tc>
        <w:tc>
          <w:tcPr>
            <w:tcW w:type="dxa" w:w="106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5.44 %</w:t>
            </w:r>
          </w:p>
        </w:tc>
        <w:tc>
          <w:tcPr>
            <w:tcW w:type="dxa" w:w="1888"/>
            <w:vMerge/>
            <w:tcBorders>
              <w:bottom w:sz="8.0" w:val="single" w:color="#6C6C6C"/>
            </w:tcBorders>
          </w:tcPr>
          <w:p/>
        </w:tc>
        <w:tc>
          <w:tcPr>
            <w:tcW w:type="dxa" w:w="103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3.03 %</w:t>
            </w:r>
          </w:p>
        </w:tc>
      </w:tr>
    </w:tbl>
    <w:p>
      <w:pPr>
        <w:autoSpaceDN w:val="0"/>
        <w:autoSpaceDE w:val="0"/>
        <w:widowControl/>
        <w:spacing w:line="178" w:lineRule="exact" w:before="2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At amortized cost which approximates fair value. 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Excludes securities related to PEBP and PCRF.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5910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2024</w:t>
      </w:r>
    </w:p>
    <w:p>
      <w:pPr>
        <w:sectPr>
          <w:pgSz w:w="12240" w:h="15840"/>
          <w:pgMar w:top="302" w:right="1370" w:bottom="252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5969000</wp:posOffset>
            </wp:positionV>
            <wp:extent cx="5880100" cy="19177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917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VII: Borrowing Activities</w:t>
            </w:r>
          </w:p>
        </w:tc>
      </w:tr>
    </w:tbl>
    <w:p>
      <w:pPr>
        <w:autoSpaceDN w:val="0"/>
        <w:autoSpaceDE w:val="0"/>
        <w:widowControl/>
        <w:spacing w:line="268" w:lineRule="exact" w:before="50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Medium- and Long-Term Borrowings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FY24, medium- and long-term debt raised directly by IBRD in the capital markets amounted to $52.4 billion with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 average maturity to first call of 5.9 years (Table 25). The increase in medium-and long-term debt issuances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FY24 is primarily due to higher debt servicing and refinancing requirements.</w:t>
      </w:r>
    </w:p>
    <w:p>
      <w:pPr>
        <w:autoSpaceDN w:val="0"/>
        <w:autoSpaceDE w:val="0"/>
        <w:widowControl/>
        <w:spacing w:line="202" w:lineRule="exact" w:before="200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25: Funding Operations Indicators</w:t>
      </w:r>
    </w:p>
    <w:p>
      <w:pPr>
        <w:autoSpaceDN w:val="0"/>
        <w:autoSpaceDE w:val="0"/>
        <w:widowControl/>
        <w:spacing w:line="180" w:lineRule="exact" w:before="58" w:after="34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dollars, except maturities which are in years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147"/>
        <w:gridCol w:w="3147"/>
        <w:gridCol w:w="3147"/>
      </w:tblGrid>
      <w:tr>
        <w:trPr>
          <w:trHeight w:hRule="exact" w:val="240"/>
        </w:trPr>
        <w:tc>
          <w:tcPr>
            <w:tcW w:type="dxa" w:w="64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For the fiscal year ended June 30,</w:t>
            </w:r>
          </w:p>
        </w:tc>
        <w:tc>
          <w:tcPr>
            <w:tcW w:type="dxa" w:w="139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5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2024</w:t>
            </w:r>
          </w:p>
        </w:tc>
        <w:tc>
          <w:tcPr>
            <w:tcW w:type="dxa" w:w="1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5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200" w:lineRule="exact" w:before="6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Issuances </w:t>
      </w:r>
      <w:r>
        <w:rPr>
          <w:w w:val="103.99999618530273"/>
          <w:rFonts w:ascii="Arial" w:hAnsi="Arial" w:eastAsia="Arial"/>
          <w:b/>
          <w:i w:val="0"/>
          <w:color w:val="000000"/>
          <w:sz w:val="10"/>
        </w:rPr>
        <w:t>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40"/>
        </w:trPr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Medium- and long-term funding raised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52,380 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42,186 </w:t>
            </w:r>
          </w:p>
        </w:tc>
      </w:tr>
      <w:tr>
        <w:trPr>
          <w:trHeight w:hRule="exact" w:val="240"/>
        </w:trPr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Average maturity to first call date</w:t>
            </w:r>
          </w:p>
        </w:tc>
        <w:tc>
          <w:tcPr>
            <w:tcW w:type="dxa" w:w="1888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5.9 </w:t>
            </w:r>
          </w:p>
        </w:tc>
        <w:tc>
          <w:tcPr>
            <w:tcW w:type="dxa" w:w="1888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6.3 </w:t>
            </w:r>
          </w:p>
        </w:tc>
      </w:tr>
      <w:tr>
        <w:trPr>
          <w:trHeight w:hRule="exact" w:val="270"/>
        </w:trPr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Average maturity to contractual final maturity</w:t>
            </w:r>
          </w:p>
        </w:tc>
        <w:tc>
          <w:tcPr>
            <w:tcW w:type="dxa" w:w="1888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6.8 </w:t>
            </w:r>
          </w:p>
        </w:tc>
        <w:tc>
          <w:tcPr>
            <w:tcW w:type="dxa" w:w="1888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6.9 </w:t>
            </w:r>
          </w:p>
        </w:tc>
      </w:tr>
    </w:tbl>
    <w:p>
      <w:pPr>
        <w:autoSpaceDN w:val="0"/>
        <w:autoSpaceDE w:val="0"/>
        <w:widowControl/>
        <w:spacing w:line="180" w:lineRule="exact" w:before="240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Maturities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40"/>
        </w:trPr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Medium- and long-term funding matured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29,786 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28,506 </w:t>
            </w:r>
          </w:p>
        </w:tc>
      </w:tr>
      <w:tr>
        <w:trPr>
          <w:trHeight w:hRule="exact" w:val="270"/>
        </w:trPr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Average maturity of debt matured</w:t>
            </w:r>
          </w:p>
        </w:tc>
        <w:tc>
          <w:tcPr>
            <w:tcW w:type="dxa" w:w="1888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4.4 </w:t>
            </w:r>
          </w:p>
        </w:tc>
        <w:tc>
          <w:tcPr>
            <w:tcW w:type="dxa" w:w="1888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5.4 </w:t>
            </w:r>
          </w:p>
        </w:tc>
      </w:tr>
    </w:tbl>
    <w:p>
      <w:pPr>
        <w:autoSpaceDN w:val="0"/>
        <w:autoSpaceDE w:val="0"/>
        <w:widowControl/>
        <w:spacing w:line="180" w:lineRule="exact" w:before="240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Called/Repurchased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482"/>
        </w:trPr>
        <w:tc>
          <w:tcPr>
            <w:tcW w:type="dxa" w:w="511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Medium- and long-term funding called/repurchased</w:t>
            </w:r>
          </w:p>
        </w:tc>
        <w:tc>
          <w:tcPr>
            <w:tcW w:type="dxa" w:w="196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1,960 </w:t>
            </w:r>
          </w:p>
        </w:tc>
        <w:tc>
          <w:tcPr>
            <w:tcW w:type="dxa" w:w="58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3,428 </w:t>
            </w:r>
          </w:p>
        </w:tc>
      </w:tr>
    </w:tbl>
    <w:p>
      <w:pPr>
        <w:autoSpaceDN w:val="0"/>
        <w:autoSpaceDE w:val="0"/>
        <w:widowControl/>
        <w:spacing w:line="180" w:lineRule="exact" w:before="2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a.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 Expected life of IBRD’s bonds are generally between first call date and the contractual final maturity. </w:t>
      </w:r>
    </w:p>
    <w:p>
      <w:pPr>
        <w:autoSpaceDN w:val="0"/>
        <w:autoSpaceDE w:val="0"/>
        <w:widowControl/>
        <w:spacing w:line="200" w:lineRule="exact" w:before="476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26: Maturity Profile of Medium and Long-Term Debt</w:t>
      </w:r>
    </w:p>
    <w:p>
      <w:pPr>
        <w:autoSpaceDN w:val="0"/>
        <w:autoSpaceDE w:val="0"/>
        <w:widowControl/>
        <w:spacing w:line="178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4"/>
        <w:ind w:left="0" w:right="276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>As of 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202"/>
        </w:trPr>
        <w:tc>
          <w:tcPr>
            <w:tcW w:type="dxa" w:w="2550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5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 and Long-Term Debt</w:t>
            </w:r>
          </w:p>
        </w:tc>
        <w:tc>
          <w:tcPr>
            <w:tcW w:type="dxa" w:w="112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Less than 1 </w:t>
            </w:r>
          </w:p>
        </w:tc>
        <w:tc>
          <w:tcPr>
            <w:tcW w:type="dxa" w:w="86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1 to 2 </w:t>
            </w:r>
          </w:p>
        </w:tc>
        <w:tc>
          <w:tcPr>
            <w:tcW w:type="dxa" w:w="96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2 to 3 </w:t>
            </w:r>
          </w:p>
        </w:tc>
        <w:tc>
          <w:tcPr>
            <w:tcW w:type="dxa" w:w="96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3 to 4 </w:t>
            </w:r>
          </w:p>
        </w:tc>
        <w:tc>
          <w:tcPr>
            <w:tcW w:type="dxa" w:w="88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6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4 to 5 </w:t>
            </w:r>
          </w:p>
        </w:tc>
        <w:tc>
          <w:tcPr>
            <w:tcW w:type="dxa" w:w="122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Due After 5 </w:t>
            </w:r>
          </w:p>
        </w:tc>
        <w:tc>
          <w:tcPr>
            <w:tcW w:type="dxa" w:w="830"/>
            <w:vMerge w:val="restart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19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Total</w:t>
            </w:r>
          </w:p>
        </w:tc>
      </w:tr>
      <w:tr>
        <w:trPr>
          <w:trHeight w:hRule="exact" w:val="200"/>
        </w:trPr>
        <w:tc>
          <w:tcPr>
            <w:tcW w:type="dxa" w:w="1180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46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year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18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years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years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years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years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years</w:t>
            </w:r>
          </w:p>
        </w:tc>
        <w:tc>
          <w:tcPr>
            <w:tcW w:type="dxa" w:w="1180"/>
            <w:vMerge/>
            <w:tcBorders>
              <w:top w:sz="8.0" w:val="single" w:color="#6C6C6C"/>
            </w:tcBorders>
          </w:tcPr>
          <w:p/>
        </w:tc>
      </w:tr>
      <w:tr>
        <w:trPr>
          <w:trHeight w:hRule="exact" w:val="512"/>
        </w:trPr>
        <w:tc>
          <w:tcPr>
            <w:tcW w:type="dxa" w:w="1180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6830"/>
            <w:gridSpan w:val="7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76"/>
              <w:gridCol w:w="976"/>
              <w:gridCol w:w="976"/>
              <w:gridCol w:w="976"/>
              <w:gridCol w:w="976"/>
              <w:gridCol w:w="976"/>
              <w:gridCol w:w="976"/>
            </w:tblGrid>
            <w:tr>
              <w:trPr>
                <w:trHeight w:hRule="exact" w:val="220"/>
              </w:trPr>
              <w:tc>
                <w:tcPr>
                  <w:tcW w:type="dxa" w:w="1014"/>
                  <w:tcBorders>
                    <w:top w:sz="8.0" w:val="single" w:color="#6C6C6C"/>
                    <w:end w:sz="24.0" w:val="single" w:color="#FFFFFF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28" w:val="left"/>
                    </w:tabs>
                    <w:autoSpaceDE w:val="0"/>
                    <w:widowControl/>
                    <w:spacing w:line="180" w:lineRule="exact" w:before="18" w:after="0"/>
                    <w:ind w:left="6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32,919 </w:t>
                  </w:r>
                </w:p>
              </w:tc>
              <w:tc>
                <w:tcPr>
                  <w:tcW w:type="dxa" w:w="960"/>
                  <w:tcBorders>
                    <w:start w:sz="24.0" w:val="single" w:color="#FFFFFF"/>
                    <w:top w:sz="8.0" w:val="single" w:color="#6C6C6C"/>
                    <w:end w:sz="24.0" w:val="single" w:color="#FFFFFF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44" w:val="left"/>
                    </w:tabs>
                    <w:autoSpaceDE w:val="0"/>
                    <w:widowControl/>
                    <w:spacing w:line="180" w:lineRule="exact" w:before="18" w:after="0"/>
                    <w:ind w:left="5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32,883 </w:t>
                  </w:r>
                </w:p>
              </w:tc>
              <w:tc>
                <w:tcPr>
                  <w:tcW w:type="dxa" w:w="960"/>
                  <w:tcBorders>
                    <w:start w:sz="24.0" w:val="single" w:color="#FFFFFF"/>
                    <w:top w:sz="8.0" w:val="single" w:color="#6C6C6C"/>
                    <w:end w:sz="24.0" w:val="single" w:color="#FFFFFF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44" w:val="left"/>
                    </w:tabs>
                    <w:autoSpaceDE w:val="0"/>
                    <w:widowControl/>
                    <w:spacing w:line="180" w:lineRule="exact" w:before="18" w:after="0"/>
                    <w:ind w:left="5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31,082 </w:t>
                  </w:r>
                </w:p>
              </w:tc>
              <w:tc>
                <w:tcPr>
                  <w:tcW w:type="dxa" w:w="960"/>
                  <w:tcBorders>
                    <w:start w:sz="24.0" w:val="single" w:color="#FFFFFF"/>
                    <w:top w:sz="8.0" w:val="single" w:color="#6C6C6C"/>
                    <w:end w:sz="24.0" w:val="single" w:color="#FFFFFF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44" w:val="left"/>
                    </w:tabs>
                    <w:autoSpaceDE w:val="0"/>
                    <w:widowControl/>
                    <w:spacing w:line="180" w:lineRule="exact" w:before="18" w:after="0"/>
                    <w:ind w:left="5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29,994 </w:t>
                  </w:r>
                </w:p>
              </w:tc>
              <w:tc>
                <w:tcPr>
                  <w:tcW w:type="dxa" w:w="960"/>
                  <w:tcBorders>
                    <w:start w:sz="24.0" w:val="single" w:color="#FFFFFF"/>
                    <w:top w:sz="8.0" w:val="single" w:color="#6C6C6C"/>
                    <w:end w:sz="24.0" w:val="single" w:color="#FFFFFF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44" w:val="left"/>
                    </w:tabs>
                    <w:autoSpaceDE w:val="0"/>
                    <w:widowControl/>
                    <w:spacing w:line="180" w:lineRule="exact" w:before="18" w:after="0"/>
                    <w:ind w:left="5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32,042 </w:t>
                  </w:r>
                </w:p>
              </w:tc>
              <w:tc>
                <w:tcPr>
                  <w:tcW w:type="dxa" w:w="1036"/>
                  <w:tcBorders>
                    <w:start w:sz="24.0" w:val="single" w:color="#FFFFFF"/>
                    <w:top w:sz="8.0" w:val="single" w:color="#6C6C6C"/>
                    <w:end w:sz="24.0" w:val="single" w:color="#FFFFFF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20" w:val="left"/>
                    </w:tabs>
                    <w:autoSpaceDE w:val="0"/>
                    <w:widowControl/>
                    <w:spacing w:line="180" w:lineRule="exact" w:before="18" w:after="0"/>
                    <w:ind w:left="5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93,834 </w:t>
                  </w:r>
                </w:p>
              </w:tc>
              <w:tc>
                <w:tcPr>
                  <w:tcW w:type="dxa" w:w="940"/>
                  <w:tcBorders>
                    <w:start w:sz="24.0" w:val="single" w:color="#FFFFFF"/>
                    <w:top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$ 252,754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20" w:lineRule="exact" w:before="17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shown below, 61% of IBRD’s medium-and long-term borrowings issued during the year are in U.S. dollars: </w:t>
      </w:r>
    </w:p>
    <w:p>
      <w:pPr>
        <w:autoSpaceDN w:val="0"/>
        <w:autoSpaceDE w:val="0"/>
        <w:widowControl/>
        <w:spacing w:line="200" w:lineRule="exact" w:before="14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Figure 15: Medium- and Long-Term Borrowings Raised by Currency during the year, Excluding Derivatives</w:t>
      </w:r>
    </w:p>
    <w:p>
      <w:pPr>
        <w:autoSpaceDN w:val="0"/>
        <w:tabs>
          <w:tab w:pos="6446" w:val="left"/>
        </w:tabs>
        <w:autoSpaceDE w:val="0"/>
        <w:widowControl/>
        <w:spacing w:line="178" w:lineRule="exact" w:before="94" w:after="0"/>
        <w:ind w:left="177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June 30, 2024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June 30, 2023</w:t>
      </w:r>
    </w:p>
    <w:p>
      <w:pPr>
        <w:autoSpaceDN w:val="0"/>
        <w:tabs>
          <w:tab w:pos="6142" w:val="left"/>
        </w:tabs>
        <w:autoSpaceDE w:val="0"/>
        <w:widowControl/>
        <w:spacing w:line="196" w:lineRule="exact" w:before="298" w:after="0"/>
        <w:ind w:left="1402" w:right="273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Others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Others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25%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20%</w:t>
      </w:r>
    </w:p>
    <w:p>
      <w:pPr>
        <w:autoSpaceDN w:val="0"/>
        <w:tabs>
          <w:tab w:pos="5602" w:val="left"/>
        </w:tabs>
        <w:autoSpaceDE w:val="0"/>
        <w:widowControl/>
        <w:spacing w:line="232" w:lineRule="exact" w:before="478" w:after="102"/>
        <w:ind w:left="862" w:right="345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Euro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14%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Euro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15%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0.0" w:type="dxa"/>
      </w:tblPr>
      <w:tblGrid>
        <w:gridCol w:w="3147"/>
        <w:gridCol w:w="3147"/>
        <w:gridCol w:w="3147"/>
      </w:tblGrid>
      <w:tr>
        <w:trPr>
          <w:trHeight w:hRule="exact" w:val="2000"/>
        </w:trPr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8" w:after="0"/>
              <w:ind w:left="1506" w:right="201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US Dollar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61%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8" w:after="0"/>
              <w:ind w:left="2048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US Dollar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65%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52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37</w:t>
            </w:r>
          </w:p>
        </w:tc>
      </w:tr>
      <w:tr>
        <w:trPr>
          <w:trHeight w:hRule="exact" w:val="1730"/>
        </w:trPr>
        <w:tc>
          <w:tcPr>
            <w:tcW w:type="dxa" w:w="7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526" w:after="0"/>
              <w:ind w:left="18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2024</w:t>
            </w:r>
          </w:p>
        </w:tc>
        <w:tc>
          <w:tcPr>
            <w:tcW w:type="dxa" w:w="314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02" w:right="1370" w:bottom="244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3594100</wp:posOffset>
            </wp:positionV>
            <wp:extent cx="5969000" cy="19177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1917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2"/>
        <w:gridCol w:w="4722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VIII: Capital Activities</w:t>
            </w:r>
          </w:p>
        </w:tc>
      </w:tr>
    </w:tbl>
    <w:p>
      <w:pPr>
        <w:autoSpaceDN w:val="0"/>
        <w:autoSpaceDE w:val="0"/>
        <w:widowControl/>
        <w:spacing w:line="314" w:lineRule="exact" w:before="55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Section VIII: Capital Activities </w:t>
      </w:r>
    </w:p>
    <w:p>
      <w:pPr>
        <w:autoSpaceDN w:val="0"/>
        <w:autoSpaceDE w:val="0"/>
        <w:widowControl/>
        <w:spacing w:line="268" w:lineRule="exact" w:before="2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Capital Structure</w:t>
      </w:r>
    </w:p>
    <w:p>
      <w:pPr>
        <w:autoSpaceDN w:val="0"/>
        <w:autoSpaceDE w:val="0"/>
        <w:widowControl/>
        <w:spacing w:line="244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Principal Shareholders and Voting Power</w:t>
      </w:r>
    </w:p>
    <w:p>
      <w:pPr>
        <w:autoSpaceDN w:val="0"/>
        <w:autoSpaceDE w:val="0"/>
        <w:widowControl/>
        <w:spacing w:line="240" w:lineRule="exact" w:before="130" w:after="0"/>
        <w:ind w:left="10" w:right="24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June 30, 2024, IBRD had 189 member countries, with the top six accounting for 40% of the total voting power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(Figure 16). The percentage of votes held by members rated AA and above by at least two major rating agencies was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33% (Figure 17).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United States is IBRD’s largest shareholder, with 15% of total voting power. Accordingly, it also has the largest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share of IBRD’s uncalled capital, $49,206 million, or 16% of total uncalled capital. 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Subscribed Capital</w:t>
      </w:r>
    </w:p>
    <w:p>
      <w:pPr>
        <w:autoSpaceDN w:val="0"/>
        <w:autoSpaceDE w:val="0"/>
        <w:widowControl/>
        <w:spacing w:line="240" w:lineRule="exact" w:before="130" w:after="86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Total subscribed capital is comprised of paid-in capital and uncalled subscribed capital. See Statement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Subscriptions to Capital Stock and Voting Power in IBRD’s Financial Statements for balances by country.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254"/>
        </w:trPr>
        <w:tc>
          <w:tcPr>
            <w:tcW w:type="dxa" w:w="44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Figure 16: Voting Power of Top Six Members as of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1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25%</w:t>
            </w:r>
          </w:p>
        </w:tc>
        <w:tc>
          <w:tcPr>
            <w:tcW w:type="dxa" w:w="4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1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Figure 17: Percentage of Votes held by Member </w:t>
            </w:r>
          </w:p>
        </w:tc>
      </w:tr>
      <w:tr>
        <w:trPr>
          <w:trHeight w:hRule="exact" w:val="400"/>
        </w:trPr>
        <w:tc>
          <w:tcPr>
            <w:tcW w:type="dxa" w:w="44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June 30, 2024</w:t>
            </w:r>
          </w:p>
        </w:tc>
        <w:tc>
          <w:tcPr>
            <w:tcW w:type="dxa" w:w="1180"/>
            <w:vMerge/>
            <w:tcBorders/>
          </w:tcPr>
          <w:p/>
        </w:tc>
        <w:tc>
          <w:tcPr>
            <w:tcW w:type="dxa" w:w="4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Countries, as of June 30, 2024</w:t>
            </w:r>
          </w:p>
        </w:tc>
      </w:tr>
      <w:tr>
        <w:trPr>
          <w:trHeight w:hRule="exact" w:val="484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3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United States</w:t>
            </w:r>
          </w:p>
        </w:tc>
        <w:tc>
          <w:tcPr>
            <w:tcW w:type="dxa" w:w="2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0" w:right="3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15.49%</w:t>
            </w:r>
          </w:p>
        </w:tc>
        <w:tc>
          <w:tcPr>
            <w:tcW w:type="dxa" w:w="1180"/>
            <w:vMerge/>
            <w:tcBorders/>
          </w:tcPr>
          <w:p/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68" w:after="0"/>
              <w:ind w:left="410" w:right="129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Below AA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67%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68" w:after="0"/>
              <w:ind w:left="137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AA &amp;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Above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33%</w:t>
            </w:r>
          </w:p>
        </w:tc>
      </w:tr>
      <w:tr>
        <w:trPr>
          <w:trHeight w:hRule="exact" w:val="376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6" w:after="0"/>
              <w:ind w:left="0" w:right="5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Japan</w:t>
            </w:r>
          </w:p>
        </w:tc>
        <w:tc>
          <w:tcPr>
            <w:tcW w:type="dxa" w:w="2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2" w:after="0"/>
              <w:ind w:left="6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7.08%</w:t>
            </w:r>
          </w:p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6" w:after="0"/>
              <w:ind w:left="0" w:right="5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China</w:t>
            </w:r>
          </w:p>
        </w:tc>
        <w:tc>
          <w:tcPr>
            <w:tcW w:type="dxa" w:w="2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0" w:after="0"/>
              <w:ind w:left="4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5.91%</w:t>
            </w:r>
          </w:p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5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Germany</w:t>
            </w:r>
          </w:p>
        </w:tc>
        <w:tc>
          <w:tcPr>
            <w:tcW w:type="dxa" w:w="2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6" w:after="0"/>
              <w:ind w:left="2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4.21%</w:t>
            </w:r>
          </w:p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0" w:right="5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France</w:t>
            </w:r>
          </w:p>
        </w:tc>
        <w:tc>
          <w:tcPr>
            <w:tcW w:type="dxa" w:w="2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2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3.86%</w:t>
            </w:r>
          </w:p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0" w:after="0"/>
              <w:ind w:left="2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United Kingdom</w:t>
            </w:r>
          </w:p>
        </w:tc>
        <w:tc>
          <w:tcPr>
            <w:tcW w:type="dxa" w:w="2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6" w:after="0"/>
              <w:ind w:left="2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3.86%</w:t>
            </w:r>
          </w:p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0%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5%</w:t>
            </w:r>
          </w:p>
        </w:tc>
        <w:tc>
          <w:tcPr>
            <w:tcW w:type="dxa" w:w="6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10%</w:t>
            </w:r>
          </w:p>
        </w:tc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15%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20%</w:t>
            </w:r>
          </w:p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  <w:tc>
          <w:tcPr>
            <w:tcW w:type="dxa" w:w="1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39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27: Breakdown of IBRD Subscribed Capital</w:t>
      </w:r>
    </w:p>
    <w:p>
      <w:pPr>
        <w:autoSpaceDN w:val="0"/>
        <w:autoSpaceDE w:val="0"/>
        <w:widowControl/>
        <w:spacing w:line="178" w:lineRule="exact" w:before="60" w:after="32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dollars, except ratios which are in percentages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42"/>
        </w:trPr>
        <w:tc>
          <w:tcPr>
            <w:tcW w:type="dxa" w:w="275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As of June 30,</w:t>
            </w:r>
          </w:p>
        </w:tc>
        <w:tc>
          <w:tcPr>
            <w:tcW w:type="dxa" w:w="252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1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% </w:t>
            </w:r>
          </w:p>
        </w:tc>
        <w:tc>
          <w:tcPr>
            <w:tcW w:type="dxa" w:w="172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2024</w:t>
            </w:r>
          </w:p>
        </w:tc>
        <w:tc>
          <w:tcPr>
            <w:tcW w:type="dxa" w:w="132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0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2023</w:t>
            </w:r>
          </w:p>
        </w:tc>
        <w:tc>
          <w:tcPr>
            <w:tcW w:type="dxa" w:w="107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Variance</w:t>
            </w:r>
          </w:p>
        </w:tc>
      </w:tr>
    </w:tbl>
    <w:p>
      <w:pPr>
        <w:autoSpaceDN w:val="0"/>
        <w:autoSpaceDE w:val="0"/>
        <w:widowControl/>
        <w:spacing w:line="178" w:lineRule="exact" w:before="28" w:after="32"/>
        <w:ind w:left="1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Subscribed capital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238"/>
        </w:trPr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Uncalled Subscribed capital</w:t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93 %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300,620 </w:t>
            </w:r>
          </w:p>
        </w:tc>
        <w:tc>
          <w:tcPr>
            <w:tcW w:type="dxa" w:w="616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296,021 </w:t>
            </w:r>
          </w:p>
        </w:tc>
        <w:tc>
          <w:tcPr>
            <w:tcW w:type="dxa" w:w="49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4,599 </w:t>
            </w:r>
          </w:p>
        </w:tc>
      </w:tr>
      <w:tr>
        <w:trPr>
          <w:trHeight w:hRule="exact" w:val="244"/>
        </w:trPr>
        <w:tc>
          <w:tcPr>
            <w:tcW w:type="dxa" w:w="414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Paid-in capital</w:t>
            </w:r>
          </w:p>
        </w:tc>
        <w:tc>
          <w:tcPr>
            <w:tcW w:type="dxa" w:w="1270"/>
            <w:gridSpan w:val="2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2" w:after="0"/>
              <w:ind w:left="0" w:right="4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7 % </w:t>
            </w:r>
          </w:p>
        </w:tc>
        <w:tc>
          <w:tcPr>
            <w:tcW w:type="dxa" w:w="1044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22,452 </w:t>
            </w:r>
          </w:p>
        </w:tc>
        <w:tc>
          <w:tcPr>
            <w:tcW w:type="dxa" w:w="1180"/>
            <w:vMerge/>
            <w:tcBorders>
              <w:bottom w:sz="8.0" w:val="single" w:color="#6C6C6C"/>
            </w:tcBorders>
          </w:tcPr>
          <w:p/>
        </w:tc>
        <w:tc>
          <w:tcPr>
            <w:tcW w:type="dxa" w:w="105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21,819 </w:t>
            </w:r>
          </w:p>
        </w:tc>
        <w:tc>
          <w:tcPr>
            <w:tcW w:type="dxa" w:w="1180"/>
            <w:vMerge/>
            <w:tcBorders>
              <w:bottom w:sz="8.0" w:val="single" w:color="#6C6C6C"/>
            </w:tcBorders>
          </w:tcPr>
          <w:p/>
        </w:tc>
        <w:tc>
          <w:tcPr>
            <w:tcW w:type="dxa" w:w="77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633 </w:t>
            </w:r>
          </w:p>
        </w:tc>
      </w:tr>
      <w:tr>
        <w:trPr>
          <w:trHeight w:hRule="exact" w:val="220"/>
        </w:trPr>
        <w:tc>
          <w:tcPr>
            <w:tcW w:type="dxa" w:w="414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subscribed capital</w:t>
            </w:r>
          </w:p>
        </w:tc>
        <w:tc>
          <w:tcPr>
            <w:tcW w:type="dxa" w:w="67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60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4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323,072 </w:t>
            </w:r>
          </w:p>
        </w:tc>
        <w:tc>
          <w:tcPr>
            <w:tcW w:type="dxa" w:w="61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317,840 </w:t>
            </w:r>
          </w:p>
        </w:tc>
        <w:tc>
          <w:tcPr>
            <w:tcW w:type="dxa" w:w="49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5,232 </w:t>
            </w:r>
          </w:p>
        </w:tc>
      </w:tr>
    </w:tbl>
    <w:p>
      <w:pPr>
        <w:autoSpaceDN w:val="0"/>
        <w:autoSpaceDE w:val="0"/>
        <w:widowControl/>
        <w:spacing w:line="244" w:lineRule="exact" w:before="478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Uncalled Subscribed Capital</w:t>
      </w:r>
    </w:p>
    <w:p>
      <w:pPr>
        <w:autoSpaceDN w:val="0"/>
        <w:autoSpaceDE w:val="0"/>
        <w:widowControl/>
        <w:spacing w:line="228" w:lineRule="exact" w:before="168" w:after="0"/>
        <w:ind w:left="10" w:right="24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As of June 30, 2024, the total uncalled portion of subscriptions was $300,620 million.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amount may be called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only when required to meet IBRD’s obligations for funds borrowed or loans guaranteed and is, thus, not available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use by IBRD in making loans. Of this amount, $42,162 million was restricted pursuant to resolutions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Governors (though such conditions are not required by IBRD’s Articles). While these resolutions are not legally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binding on future Governors, they do record an understanding among members that this amount will not be called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use by IBRD in its lending activities or for administrative purposes. </w:t>
      </w:r>
    </w:p>
    <w:p>
      <w:pPr>
        <w:autoSpaceDN w:val="0"/>
        <w:autoSpaceDE w:val="0"/>
        <w:widowControl/>
        <w:spacing w:line="224" w:lineRule="exact" w:before="224" w:after="0"/>
        <w:ind w:left="10" w:right="26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No call has ever been made on IBRD’s capital. Any such calls are required to be uniform, but the obligations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members to make payment on such calls are independent of one another. If the amount received on a call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insufficient to meet the obligations of IBRD for which the call is made, IBRD has the right to make further calls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until the amounts received are sufficient to meet such obligations. On any such call or calls, however, no member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required to pay more than the unpaid balance of its capital subscription. 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94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2024</w:t>
      </w:r>
    </w:p>
    <w:p>
      <w:pPr>
        <w:sectPr>
          <w:pgSz w:w="12240" w:h="15840"/>
          <w:pgMar w:top="302" w:right="1366" w:bottom="252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VIII: Capital Activities</w:t>
            </w:r>
          </w:p>
        </w:tc>
      </w:tr>
    </w:tbl>
    <w:p>
      <w:pPr>
        <w:autoSpaceDN w:val="0"/>
        <w:autoSpaceDE w:val="0"/>
        <w:widowControl/>
        <w:spacing w:line="240" w:lineRule="exact" w:before="49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the Bretton Woods Agreements Act and other U.S. legislation, the Secretary of the U.S. Treasury is permitted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pay approximately $7,663 million of the uncalled portion of the subscription of the United States, if called for use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 IBRD, without need for further congressional action.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balance of the uncalled portion of the U.S. subscription, $41,543 million, has been authorized but not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appropriated by the U.S. Congress. Further action by the U.S. Congress is required to enable the Secretary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Treasury to pay any portion of this balance. The General Counsel of the U.S. Treasury has rendered an opinion that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entire uncalled portion of the U.S. subscription is an obligation backed by the full faith and credit of the U.S.,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notwithstanding that congressional appropriations have not been obtained with respect to certain portions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subscription.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Capital Increases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October 2018, the Governors approved a new GCI and SCI as part of a capital package that includes institutional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financial reforms designed to ensure long-term financial sustainability. The capital increases will result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additional subscribed capital of up to $60.1 billion, with $7.5 billion of paid-in capital and $52.6 billion of callable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capital. The subscription period for the GCI and SCI ends on October 1, 2025.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Paid-In Capital</w:t>
      </w:r>
    </w:p>
    <w:p>
      <w:pPr>
        <w:autoSpaceDN w:val="0"/>
        <w:autoSpaceDE w:val="0"/>
        <w:widowControl/>
        <w:spacing w:line="222" w:lineRule="exact" w:before="14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Paid-in capital has two components:</w:t>
      </w:r>
    </w:p>
    <w:p>
      <w:pPr>
        <w:autoSpaceDN w:val="0"/>
        <w:tabs>
          <w:tab w:pos="550" w:val="left"/>
        </w:tabs>
        <w:autoSpaceDE w:val="0"/>
        <w:widowControl/>
        <w:spacing w:line="222" w:lineRule="exact" w:before="138" w:after="0"/>
        <w:ind w:left="19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U.S. dollar portion, which is freely available for use by IBRD.</w:t>
      </w:r>
    </w:p>
    <w:p>
      <w:pPr>
        <w:autoSpaceDN w:val="0"/>
        <w:tabs>
          <w:tab w:pos="550" w:val="left"/>
        </w:tabs>
        <w:autoSpaceDE w:val="0"/>
        <w:widowControl/>
        <w:spacing w:line="240" w:lineRule="exact" w:before="120" w:after="0"/>
        <w:ind w:left="19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National Currency Paid-In Capital (NCPIC) portion, usage of which is subject to certain restrictions under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Articles and is subject to Maintenance-Of-Value (MOV) requirements. For additional details see the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Notes to the Financial Statements, Note A: Summary of Significant Accounting and Related Policies.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Usable Paid-in Capital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Usable paid-in capital represents the portion of paid-in capital that is available to support IBRD’s risk bearing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capacity and includes all U.S. dollar paid-in capital, as well as NCPIC for which use restrictions have been lifted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(referred to as released NCPIC). The adjustments made to paid-in capital to arrive at usable paid-in capital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provided in Table 28.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$514 million increase in usable paid-in capital during  FY24 was primarily due to the receipt of $456 million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GCI and $177 million for SCI during FY24. </w:t>
      </w:r>
    </w:p>
    <w:p>
      <w:pPr>
        <w:autoSpaceDN w:val="0"/>
        <w:autoSpaceDE w:val="0"/>
        <w:widowControl/>
        <w:spacing w:line="202" w:lineRule="exact" w:before="200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28: Usable Paid-In Capital</w:t>
      </w:r>
    </w:p>
    <w:p>
      <w:pPr>
        <w:autoSpaceDN w:val="0"/>
        <w:autoSpaceDE w:val="0"/>
        <w:widowControl/>
        <w:spacing w:line="180" w:lineRule="exact" w:before="58" w:after="28"/>
        <w:ind w:left="1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6"/>
        </w:trPr>
        <w:tc>
          <w:tcPr>
            <w:tcW w:type="dxa" w:w="479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As of June 30,</w:t>
            </w:r>
          </w:p>
        </w:tc>
        <w:tc>
          <w:tcPr>
            <w:tcW w:type="dxa" w:w="100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7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2024</w:t>
            </w:r>
          </w:p>
        </w:tc>
        <w:tc>
          <w:tcPr>
            <w:tcW w:type="dxa" w:w="44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7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2023</w:t>
            </w:r>
          </w:p>
        </w:tc>
        <w:tc>
          <w:tcPr>
            <w:tcW w:type="dxa" w:w="36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0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Variance</w:t>
            </w:r>
          </w:p>
        </w:tc>
      </w:tr>
      <w:tr>
        <w:trPr>
          <w:trHeight w:hRule="exact" w:val="192"/>
        </w:trPr>
        <w:tc>
          <w:tcPr>
            <w:tcW w:type="dxa" w:w="479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Paid-in Capital</w:t>
            </w:r>
          </w:p>
        </w:tc>
        <w:tc>
          <w:tcPr>
            <w:tcW w:type="dxa" w:w="1000"/>
            <w:vMerge w:val="restart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22,452 </w:t>
            </w:r>
          </w:p>
        </w:tc>
        <w:tc>
          <w:tcPr>
            <w:tcW w:type="dxa" w:w="440"/>
            <w:vMerge w:val="restart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21,819 </w:t>
            </w:r>
          </w:p>
        </w:tc>
        <w:tc>
          <w:tcPr>
            <w:tcW w:type="dxa" w:w="360"/>
            <w:vMerge w:val="restart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5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633 </w:t>
            </w:r>
          </w:p>
        </w:tc>
      </w:tr>
      <w:tr>
        <w:trPr>
          <w:trHeight w:hRule="exact" w:val="284"/>
        </w:trPr>
        <w:tc>
          <w:tcPr>
            <w:tcW w:type="dxa" w:w="4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Deferred amounts to maintain value of currency holdings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349"/>
            <w:vMerge/>
            <w:tcBorders>
              <w:top w:sz="8.0" w:val="single" w:color="#6C6C6C"/>
            </w:tcBorders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(558) </w:t>
            </w:r>
          </w:p>
        </w:tc>
        <w:tc>
          <w:tcPr>
            <w:tcW w:type="dxa" w:w="1349"/>
            <w:vMerge/>
            <w:tcBorders>
              <w:top w:sz="8.0" w:val="single" w:color="#6C6C6C"/>
            </w:tcBorders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(436) </w:t>
            </w:r>
          </w:p>
        </w:tc>
        <w:tc>
          <w:tcPr>
            <w:tcW w:type="dxa" w:w="1349"/>
            <w:vMerge/>
            <w:tcBorders>
              <w:top w:sz="8.0" w:val="single" w:color="#6C6C6C"/>
            </w:tcBorders>
          </w:tcPr>
          <w:p/>
        </w:tc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(122) </w:t>
            </w:r>
          </w:p>
        </w:tc>
      </w:tr>
    </w:tbl>
    <w:p>
      <w:pPr>
        <w:autoSpaceDN w:val="0"/>
        <w:autoSpaceDE w:val="0"/>
        <w:widowControl/>
        <w:spacing w:line="178" w:lineRule="exact" w:before="28" w:after="30"/>
        <w:ind w:left="1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Adjustments for unreleased NCPIC: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00"/>
        </w:trPr>
        <w:tc>
          <w:tcPr>
            <w:tcW w:type="dxa" w:w="5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7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Restricted cash</w:t>
            </w:r>
          </w:p>
        </w:tc>
        <w:tc>
          <w:tcPr>
            <w:tcW w:type="dxa" w:w="464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(66) </w:t>
            </w:r>
          </w:p>
        </w:tc>
        <w:tc>
          <w:tcPr>
            <w:tcW w:type="dxa" w:w="50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(51) </w:t>
            </w:r>
          </w:p>
        </w:tc>
        <w:tc>
          <w:tcPr>
            <w:tcW w:type="dxa" w:w="616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(15) </w:t>
            </w:r>
          </w:p>
        </w:tc>
      </w:tr>
      <w:tr>
        <w:trPr>
          <w:trHeight w:hRule="exact" w:val="240"/>
        </w:trPr>
        <w:tc>
          <w:tcPr>
            <w:tcW w:type="dxa" w:w="5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7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Nonnegotiable, noninterest-bearing demand obligations on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(310)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8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(320)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7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</w:t>
            </w:r>
          </w:p>
        </w:tc>
      </w:tr>
      <w:tr>
        <w:trPr>
          <w:trHeight w:hRule="exact" w:val="220"/>
        </w:trPr>
        <w:tc>
          <w:tcPr>
            <w:tcW w:type="dxa" w:w="5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7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account of subscribed capital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7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Receivable amounts to maintain value of currency holdings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(337)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(345)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</w:tr>
      <w:tr>
        <w:trPr>
          <w:trHeight w:hRule="exact" w:val="282"/>
        </w:trPr>
        <w:tc>
          <w:tcPr>
            <w:tcW w:type="dxa" w:w="532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7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MOV payable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86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864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349"/>
            <w:vMerge/>
            <w:tcBorders>
              <w:bottom w:sz="8.0" w:val="single" w:color="#6C6C6C"/>
            </w:tcBorders>
          </w:tcPr>
          <w:p/>
        </w:tc>
        <w:tc>
          <w:tcPr>
            <w:tcW w:type="dxa" w:w="75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532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Adjustments for unreleased NCPIC</w:t>
            </w:r>
          </w:p>
        </w:tc>
        <w:tc>
          <w:tcPr>
            <w:tcW w:type="dxa" w:w="46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(711) </w:t>
            </w:r>
          </w:p>
        </w:tc>
        <w:tc>
          <w:tcPr>
            <w:tcW w:type="dxa" w:w="50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(714) </w:t>
            </w:r>
          </w:p>
        </w:tc>
        <w:tc>
          <w:tcPr>
            <w:tcW w:type="dxa" w:w="61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20"/>
        </w:trPr>
        <w:tc>
          <w:tcPr>
            <w:tcW w:type="dxa" w:w="532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Usable paid-in capital</w:t>
            </w:r>
          </w:p>
        </w:tc>
        <w:tc>
          <w:tcPr>
            <w:tcW w:type="dxa" w:w="46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6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21,183 </w:t>
            </w:r>
          </w:p>
        </w:tc>
        <w:tc>
          <w:tcPr>
            <w:tcW w:type="dxa" w:w="50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6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20,669 </w:t>
            </w:r>
          </w:p>
        </w:tc>
        <w:tc>
          <w:tcPr>
            <w:tcW w:type="dxa" w:w="61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514 </w:t>
            </w:r>
          </w:p>
        </w:tc>
      </w:tr>
      <w:tr>
        <w:trPr>
          <w:trHeight w:hRule="exact" w:val="304"/>
        </w:trPr>
        <w:tc>
          <w:tcPr>
            <w:tcW w:type="dxa" w:w="532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0" w:lineRule="exact" w:before="28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The MOV on released National Currency Paid-In Capital (NCPIC) is considered to be deferred.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2232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39</w:t>
      </w:r>
    </w:p>
    <w:p>
      <w:pPr>
        <w:sectPr>
          <w:pgSz w:w="12240" w:h="15840"/>
          <w:pgMar w:top="302" w:right="1370" w:bottom="244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4720"/>
        <w:gridCol w:w="4720"/>
      </w:tblGrid>
      <w:tr>
        <w:trPr>
          <w:trHeight w:hRule="exact" w:val="272"/>
        </w:trPr>
        <w:tc>
          <w:tcPr>
            <w:tcW w:type="dxa" w:w="3936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VIII: Capital Activities</w:t>
            </w:r>
          </w:p>
        </w:tc>
      </w:tr>
    </w:tbl>
    <w:p>
      <w:pPr>
        <w:autoSpaceDN w:val="0"/>
        <w:autoSpaceDE w:val="0"/>
        <w:widowControl/>
        <w:spacing w:line="268" w:lineRule="exact" w:before="50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Usable Equity</w:t>
      </w:r>
    </w:p>
    <w:p>
      <w:pPr>
        <w:autoSpaceDN w:val="0"/>
        <w:autoSpaceDE w:val="0"/>
        <w:widowControl/>
        <w:spacing w:line="240" w:lineRule="exact" w:before="124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Usable equity represents the amount of equity that is available to support IBRD’s lending operations. Usable equity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is central to the three frameworks IBRD uses to manage its capital adequacy, credit risk, and equity earnings.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frameworks, described in Section IX: Risk Management, are: </w:t>
      </w:r>
    </w:p>
    <w:p>
      <w:pPr>
        <w:autoSpaceDN w:val="0"/>
        <w:tabs>
          <w:tab w:pos="730" w:val="left"/>
        </w:tabs>
        <w:autoSpaceDE w:val="0"/>
        <w:widowControl/>
        <w:spacing w:line="222" w:lineRule="exact" w:before="138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Strategic Capital Adequacy Framework </w:t>
      </w:r>
    </w:p>
    <w:p>
      <w:pPr>
        <w:autoSpaceDN w:val="0"/>
        <w:tabs>
          <w:tab w:pos="730" w:val="left"/>
        </w:tabs>
        <w:autoSpaceDE w:val="0"/>
        <w:widowControl/>
        <w:spacing w:line="222" w:lineRule="exact" w:before="138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Credit Risk and Loan Loss Provisioning Framework </w:t>
      </w:r>
    </w:p>
    <w:p>
      <w:pPr>
        <w:autoSpaceDN w:val="0"/>
        <w:tabs>
          <w:tab w:pos="730" w:val="left"/>
        </w:tabs>
        <w:autoSpaceDE w:val="0"/>
        <w:widowControl/>
        <w:spacing w:line="222" w:lineRule="exact" w:before="174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Other ALM Framework</w:t>
      </w:r>
    </w:p>
    <w:p>
      <w:pPr>
        <w:autoSpaceDN w:val="0"/>
        <w:autoSpaceDE w:val="0"/>
        <w:widowControl/>
        <w:spacing w:line="240" w:lineRule="exact" w:before="13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Usable equity consists of usable paid-in capital, and elements of retained earnings and reserves (Table 29).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components of retained earnings and reserves included in usable equity are as follows: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Special Reserve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: Amount set aside pursuant to IBRD’s Articles, held in liquid form and to be used only for meeting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IBRD’s liabilities on its borrowings and guarantees;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General Reserve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: Generally consists of earnings from prior fiscal years which the Board has approved for retention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IBRD’s equity. On August 6, 2024, the Board approved the transfer of $834 million to the General Reserve from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FY24 net income;</w:t>
      </w:r>
    </w:p>
    <w:p>
      <w:pPr>
        <w:autoSpaceDN w:val="0"/>
        <w:autoSpaceDE w:val="0"/>
        <w:widowControl/>
        <w:spacing w:line="224" w:lineRule="exact" w:before="13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Cumulative Translation Adjustments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: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Comprise translation adjustments that arise upon revaluing currency balances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U.S. dollars for reporting purposes. IBRD’s functional currencies are the U.S. dollar and euro and changes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cumulative translation adjustments only relate to translation adjustments on euro-denominated balances. Translation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adjustments associated with non-functional currencies are reflected in other adjustments in Table 29. Usable equity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excludes cumulative translation adjustments associated with unrealized mark-to-market gains/losses on non-trading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portfolios;</w:t>
      </w:r>
    </w:p>
    <w:p>
      <w:pPr>
        <w:autoSpaceDN w:val="0"/>
        <w:autoSpaceDE w:val="0"/>
        <w:widowControl/>
        <w:spacing w:line="224" w:lineRule="exact" w:before="2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Other Adjustments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: These adjustments relate to the income earned on PEBP assets before FY11, and currency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translation adjustments on non-functional currencies. These also reflect the measure of the underfunded status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pension plans, if any, which is based on the funding methodology used by the Pension Finance Committee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determine sustainable funding levels for the pension plans.</w:t>
      </w:r>
    </w:p>
    <w:p>
      <w:pPr>
        <w:autoSpaceDN w:val="0"/>
        <w:autoSpaceDE w:val="0"/>
        <w:widowControl/>
        <w:spacing w:line="240" w:lineRule="exact" w:before="20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increase in usable equity in FY24, primarily reflects the increase in reserve retention out of the FY24 allocable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income and the increase in usable paid-in capital.</w:t>
      </w:r>
    </w:p>
    <w:p>
      <w:pPr>
        <w:autoSpaceDN w:val="0"/>
        <w:autoSpaceDE w:val="0"/>
        <w:widowControl/>
        <w:spacing w:line="202" w:lineRule="exact" w:before="20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29: Usable Equity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56" w:after="32"/>
        <w:ind w:left="0" w:right="1688" w:firstLine="0"/>
        <w:jc w:val="right"/>
      </w:pPr>
      <w:r>
        <w:rPr>
          <w:rFonts w:ascii="ArialMT" w:hAnsi="ArialMT" w:eastAsia="ArialMT"/>
          <w:b w:val="0"/>
          <w:i w:val="0"/>
          <w:color w:val="A6A6A6"/>
          <w:sz w:val="16"/>
        </w:rPr>
        <w:t>Variance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201"/>
        </w:trPr>
        <w:tc>
          <w:tcPr>
            <w:tcW w:type="dxa" w:w="3226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16"/>
              </w:rPr>
              <w:t>As of June 30,</w:t>
            </w:r>
          </w:p>
        </w:tc>
        <w:tc>
          <w:tcPr>
            <w:tcW w:type="dxa" w:w="344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56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16"/>
              </w:rPr>
              <w:t>2024</w:t>
            </w:r>
          </w:p>
        </w:tc>
        <w:tc>
          <w:tcPr>
            <w:tcW w:type="dxa" w:w="384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96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6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16"/>
              </w:rPr>
              <w:t>2023</w:t>
            </w:r>
          </w:p>
        </w:tc>
        <w:tc>
          <w:tcPr>
            <w:tcW w:type="dxa" w:w="404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16"/>
              </w:rPr>
              <w:t>Total</w:t>
            </w:r>
          </w:p>
        </w:tc>
        <w:tc>
          <w:tcPr>
            <w:tcW w:type="dxa" w:w="324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16"/>
              </w:rPr>
              <w:t xml:space="preserve">Due to </w:t>
            </w:r>
          </w:p>
        </w:tc>
        <w:tc>
          <w:tcPr>
            <w:tcW w:type="dxa" w:w="244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16"/>
              </w:rPr>
              <w:t xml:space="preserve">Due to Translation </w:t>
            </w:r>
          </w:p>
        </w:tc>
      </w:tr>
      <w:tr>
        <w:trPr>
          <w:trHeight w:hRule="exact" w:val="234"/>
        </w:trPr>
        <w:tc>
          <w:tcPr>
            <w:tcW w:type="dxa" w:w="858"/>
            <w:vMerge/>
            <w:tcBorders>
              <w:bottom w:sz="8.0" w:val="single" w:color="#6C6C6C"/>
            </w:tcBorders>
          </w:tcPr>
          <w:p/>
        </w:tc>
        <w:tc>
          <w:tcPr>
            <w:tcW w:type="dxa" w:w="858"/>
            <w:vMerge/>
            <w:tcBorders>
              <w:bottom w:sz="8.0" w:val="single" w:color="#6C6C6C"/>
            </w:tcBorders>
          </w:tcPr>
          <w:p/>
        </w:tc>
        <w:tc>
          <w:tcPr>
            <w:tcW w:type="dxa" w:w="858"/>
            <w:vMerge/>
            <w:tcBorders>
              <w:bottom w:sz="8.0" w:val="single" w:color="#6C6C6C"/>
            </w:tcBorders>
          </w:tcPr>
          <w:p/>
        </w:tc>
        <w:tc>
          <w:tcPr>
            <w:tcW w:type="dxa" w:w="858"/>
            <w:vMerge/>
            <w:tcBorders>
              <w:bottom w:sz="8.0" w:val="single" w:color="#6C6C6C"/>
            </w:tcBorders>
          </w:tcPr>
          <w:p/>
        </w:tc>
        <w:tc>
          <w:tcPr>
            <w:tcW w:type="dxa" w:w="858"/>
            <w:vMerge/>
            <w:tcBorders>
              <w:bottom w:sz="8.0" w:val="single" w:color="#6C6C6C"/>
            </w:tcBorders>
          </w:tcPr>
          <w:p/>
        </w:tc>
        <w:tc>
          <w:tcPr>
            <w:tcW w:type="dxa" w:w="858"/>
            <w:vMerge/>
            <w:tcBorders>
              <w:bottom w:sz="8.0" w:val="single" w:color="#6C6C6C"/>
            </w:tcBorders>
          </w:tcPr>
          <w:p/>
        </w:tc>
        <w:tc>
          <w:tcPr>
            <w:tcW w:type="dxa" w:w="858"/>
            <w:vMerge/>
            <w:tcBorders>
              <w:bottom w:sz="8.0" w:val="single" w:color="#6C6C6C"/>
            </w:tcBorders>
          </w:tcPr>
          <w:p/>
        </w:tc>
        <w:tc>
          <w:tcPr>
            <w:tcW w:type="dxa" w:w="858"/>
            <w:vMerge/>
            <w:tcBorders>
              <w:bottom w:sz="8.0" w:val="single" w:color="#6C6C6C"/>
            </w:tcBorders>
          </w:tcPr>
          <w:p/>
        </w:tc>
        <w:tc>
          <w:tcPr>
            <w:tcW w:type="dxa" w:w="81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16"/>
              </w:rPr>
              <w:t>Activities</w:t>
            </w:r>
          </w:p>
        </w:tc>
        <w:tc>
          <w:tcPr>
            <w:tcW w:type="dxa" w:w="858"/>
            <w:vMerge/>
            <w:tcBorders>
              <w:bottom w:sz="8.0" w:val="single" w:color="#6C6C6C"/>
            </w:tcBorders>
          </w:tcPr>
          <w:p/>
        </w:tc>
        <w:tc>
          <w:tcPr>
            <w:tcW w:type="dxa" w:w="139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16"/>
              </w:rPr>
              <w:t>Adjustment</w:t>
            </w:r>
          </w:p>
        </w:tc>
      </w:tr>
      <w:tr>
        <w:trPr>
          <w:trHeight w:hRule="exact" w:val="206"/>
        </w:trPr>
        <w:tc>
          <w:tcPr>
            <w:tcW w:type="dxa" w:w="322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Usable paid-in capital</w:t>
            </w:r>
          </w:p>
        </w:tc>
        <w:tc>
          <w:tcPr>
            <w:tcW w:type="dxa" w:w="344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21,183 </w:t>
            </w:r>
          </w:p>
        </w:tc>
        <w:tc>
          <w:tcPr>
            <w:tcW w:type="dxa" w:w="384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20,669 </w:t>
            </w:r>
          </w:p>
        </w:tc>
        <w:tc>
          <w:tcPr>
            <w:tcW w:type="dxa" w:w="404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514 </w:t>
            </w:r>
          </w:p>
        </w:tc>
        <w:tc>
          <w:tcPr>
            <w:tcW w:type="dxa" w:w="324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652 </w:t>
            </w:r>
          </w:p>
        </w:tc>
        <w:tc>
          <w:tcPr>
            <w:tcW w:type="dxa" w:w="244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(138) </w:t>
            </w:r>
          </w:p>
        </w:tc>
      </w:tr>
      <w:tr>
        <w:trPr>
          <w:trHeight w:hRule="exact" w:val="260"/>
        </w:trPr>
        <w:tc>
          <w:tcPr>
            <w:tcW w:type="dxa" w:w="3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Special reserve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293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293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3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General reserve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34,058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32,974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1,084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1,084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3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Cumulative translation adjustment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(1,126)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(1,004)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(122)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(122) </w:t>
            </w:r>
          </w:p>
        </w:tc>
      </w:tr>
      <w:tr>
        <w:trPr>
          <w:trHeight w:hRule="exact" w:val="254"/>
        </w:trPr>
        <w:tc>
          <w:tcPr>
            <w:tcW w:type="dxa" w:w="322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adjustments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5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247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79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173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69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1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39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 </w:t>
            </w:r>
          </w:p>
        </w:tc>
      </w:tr>
      <w:tr>
        <w:trPr>
          <w:trHeight w:hRule="exact" w:val="220"/>
        </w:trPr>
        <w:tc>
          <w:tcPr>
            <w:tcW w:type="dxa" w:w="322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Equity (usable equity)</w:t>
            </w:r>
          </w:p>
        </w:tc>
        <w:tc>
          <w:tcPr>
            <w:tcW w:type="dxa" w:w="34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54,655 </w:t>
            </w:r>
          </w:p>
        </w:tc>
        <w:tc>
          <w:tcPr>
            <w:tcW w:type="dxa" w:w="38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53,105 </w:t>
            </w:r>
          </w:p>
        </w:tc>
        <w:tc>
          <w:tcPr>
            <w:tcW w:type="dxa" w:w="40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1,550 </w:t>
            </w:r>
          </w:p>
        </w:tc>
        <w:tc>
          <w:tcPr>
            <w:tcW w:type="dxa" w:w="32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1,736 </w:t>
            </w:r>
          </w:p>
        </w:tc>
        <w:tc>
          <w:tcPr>
            <w:tcW w:type="dxa" w:w="24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(186) </w:t>
            </w:r>
          </w:p>
        </w:tc>
      </w:tr>
      <w:tr>
        <w:trPr>
          <w:trHeight w:hRule="exact" w:val="260"/>
        </w:trPr>
        <w:tc>
          <w:tcPr>
            <w:tcW w:type="dxa" w:w="322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1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Includes prospectively, the transfer to the General Reserve, which for FY24 (FY23) was approved by the Board on August 6,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2024 (August 3, 2023). FY24 also includes the transfer from the Pension Reserve related to the release of PCRF assets. </w:t>
      </w:r>
    </w:p>
    <w:p>
      <w:pPr>
        <w:autoSpaceDN w:val="0"/>
        <w:autoSpaceDE w:val="0"/>
        <w:widowControl/>
        <w:spacing w:line="180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Includes cumulative translation gains on non-functional currencies of $295 million for FY24 ($221 million gains for FY23).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247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2024</w:t>
      </w:r>
    </w:p>
    <w:p>
      <w:pPr>
        <w:sectPr>
          <w:pgSz w:w="12240" w:h="15840"/>
          <w:pgMar w:top="302" w:right="1370" w:bottom="252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IX: Risk Management</w:t>
            </w:r>
          </w:p>
        </w:tc>
      </w:tr>
    </w:tbl>
    <w:p>
      <w:pPr>
        <w:autoSpaceDN w:val="0"/>
        <w:autoSpaceDE w:val="0"/>
        <w:widowControl/>
        <w:spacing w:line="314" w:lineRule="exact" w:before="55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Section IX: Risk Management </w:t>
      </w:r>
    </w:p>
    <w:p>
      <w:pPr>
        <w:autoSpaceDN w:val="0"/>
        <w:autoSpaceDE w:val="0"/>
        <w:widowControl/>
        <w:spacing w:line="268" w:lineRule="exact" w:before="2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Risk Governance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risk management processes and practices evolve to reflect changes in activities in response to market, credit,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product, operational, and other developments. The Board, particularly the Audit Committee (AC), periodically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reviews trends in IBRD’s risk profiles and performance, and any major developments in risk management policies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controls.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believes that effective risk management is critical for its overall operations. Accordingly, the risk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governance structure is designed to manage the principal risks IBRD assumes in its activities,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supports Management in its oversight function, particularly in coordinating different aspects of risk management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connection with risks that are common across functional areas. 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financial and operational risk governance structure is built on the “three lines model” where: </w:t>
      </w:r>
    </w:p>
    <w:p>
      <w:pPr>
        <w:autoSpaceDN w:val="0"/>
        <w:tabs>
          <w:tab w:pos="730" w:val="left"/>
        </w:tabs>
        <w:autoSpaceDE w:val="0"/>
        <w:widowControl/>
        <w:spacing w:line="222" w:lineRule="exact" w:before="138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Business units are responsible for directly managing risks in their respective functional areas; 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0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Vice President and WBG Chief Risk Officer (CRO) provides direction, challenge, and oversight over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financial and operational risk activities; and </w:t>
      </w:r>
    </w:p>
    <w:p>
      <w:pPr>
        <w:autoSpaceDN w:val="0"/>
        <w:tabs>
          <w:tab w:pos="730" w:val="left"/>
        </w:tabs>
        <w:autoSpaceDE w:val="0"/>
        <w:widowControl/>
        <w:spacing w:line="222" w:lineRule="exact" w:before="138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Internal Audit provides independent oversight.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risk management process comprises risk identification, assessment, response and risk monitoring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reporting. IBRD has policies and procedures under which risk owners are responsible for identifying, assessing,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responding to, monitoring and reporting risks. </w:t>
      </w:r>
    </w:p>
    <w:p>
      <w:pPr>
        <w:autoSpaceDN w:val="0"/>
        <w:autoSpaceDE w:val="0"/>
        <w:widowControl/>
        <w:spacing w:line="268" w:lineRule="exact" w:before="38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Risk Oversight and Coverage</w:t>
      </w:r>
    </w:p>
    <w:p>
      <w:pPr>
        <w:autoSpaceDN w:val="0"/>
        <w:autoSpaceDE w:val="0"/>
        <w:widowControl/>
        <w:spacing w:line="242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Financial and Operational Risk Management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CRO oversees both financial and operational risks. These risks include (i) country credit risks in the core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sovereign-lending business, (ii) market and counterparty risks, including liquidity and model risks, and (iii)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operational risks relating to people, processes and systems, or from external events. In addition, the CRO works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closely with IFC, MIGA, and IDA’s Management, to review, measure, aggregate, and report on risks, and share best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practices across the WBG. The CRO also helps enhance cooperation between the entities and facilitates knowledge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sharing in the risk management function.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three departments report directly to the CRO:</w:t>
      </w:r>
    </w:p>
    <w:p>
      <w:pPr>
        <w:autoSpaceDN w:val="0"/>
        <w:autoSpaceDE w:val="0"/>
        <w:widowControl/>
        <w:spacing w:line="222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Credit Risk Department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2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Identifies, measures, monitors, and manages country credit risk faced by IBRD. By agreement with the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Board, the individual country credit risk ratings are not shared with the Board and are not made public.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0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Assesses loan portfolio risk, determines the adequacy of provisions for losses on loans and other exposures,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monitors borrowers that are vulnerable to crises in the near term. These reviews are taken into account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determining the overall country programs and lending operations, and they are included in the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assessment of IBRD’s capital adequacy.</w:t>
      </w:r>
    </w:p>
    <w:p>
      <w:pPr>
        <w:autoSpaceDN w:val="0"/>
        <w:tabs>
          <w:tab w:pos="730" w:val="left"/>
        </w:tabs>
        <w:autoSpaceDE w:val="0"/>
        <w:widowControl/>
        <w:spacing w:line="222" w:lineRule="exact" w:before="138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Reviews proposed new financial products for any implications for country credit risk.</w:t>
      </w:r>
    </w:p>
    <w:p>
      <w:pPr>
        <w:autoSpaceDN w:val="0"/>
        <w:autoSpaceDE w:val="0"/>
        <w:widowControl/>
        <w:spacing w:line="222" w:lineRule="exact" w:before="24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Market and Counterparty Risk Department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2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Responsible for market, liquidity, and counterparty credit risk oversight, assessment, and reporting. It does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these in coordination with IBRD’s financial managers who are responsible for the day-to-day execution of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trades for the liquid asset and derivative portfolios, within applicable policy and guideline limits.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0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Ensures effective oversight, including: (i) maintaining sound credit assessments, (ii) addressing transaction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product risk issues, (iii) providing an independent review function, (iv) monitoring market and 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934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41</w:t>
      </w:r>
    </w:p>
    <w:p>
      <w:pPr>
        <w:sectPr>
          <w:pgSz w:w="12240" w:h="15840"/>
          <w:pgMar w:top="302" w:right="1370" w:bottom="244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IX: Risk Management</w:t>
            </w:r>
          </w:p>
        </w:tc>
      </w:tr>
    </w:tbl>
    <w:p>
      <w:pPr>
        <w:autoSpaceDN w:val="0"/>
        <w:autoSpaceDE w:val="0"/>
        <w:widowControl/>
        <w:spacing w:line="240" w:lineRule="exact" w:before="492" w:after="0"/>
        <w:ind w:left="72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counterparty risk in the investment, borrowing and client operation portfolios, and (v) the model risk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financial and capital models. It also provides reports to the Audit Committee and the Board on the extent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and nature of risks, risk management, and oversight.</w:t>
      </w:r>
    </w:p>
    <w:p>
      <w:pPr>
        <w:autoSpaceDN w:val="0"/>
        <w:tabs>
          <w:tab w:pos="724" w:val="left"/>
        </w:tabs>
        <w:autoSpaceDE w:val="0"/>
        <w:widowControl/>
        <w:spacing w:line="224" w:lineRule="exact" w:before="136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Responsible for validation of market data and models used for fair valuation of financial instruments.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Undertakes model verification to ensure robust implementation of the models for fair-valued products.</w:t>
      </w:r>
    </w:p>
    <w:p>
      <w:pPr>
        <w:autoSpaceDN w:val="0"/>
        <w:autoSpaceDE w:val="0"/>
        <w:widowControl/>
        <w:spacing w:line="222" w:lineRule="exact" w:before="226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Operational Risk Department</w:t>
      </w:r>
    </w:p>
    <w:p>
      <w:pPr>
        <w:autoSpaceDN w:val="0"/>
        <w:tabs>
          <w:tab w:pos="724" w:val="left"/>
        </w:tabs>
        <w:autoSpaceDE w:val="0"/>
        <w:widowControl/>
        <w:spacing w:line="222" w:lineRule="exact" w:before="138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Provides direction and oversight for operational risk activities by business function.</w:t>
      </w:r>
    </w:p>
    <w:p>
      <w:pPr>
        <w:autoSpaceDN w:val="0"/>
        <w:tabs>
          <w:tab w:pos="724" w:val="left"/>
        </w:tabs>
        <w:autoSpaceDE w:val="0"/>
        <w:widowControl/>
        <w:spacing w:line="240" w:lineRule="exact" w:before="120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Key operational risk management responsibilities include: (i) administering the Operational Risk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Committee (ORC) for IBRD, (ii) implementing the operational risk management framework which is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aligned with Basel principles and provides direction to business unit partners to ensure consistent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application, (iii) assisting and guiding business units in identifying and prioritizing significant operational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risks and enabling monitoring and reporting of risks through suitable metrics (or risk indicators), (iv)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helping identify emerging risks and trends through monitoring of internal and external risk events, (v)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supporting risk response and mitigating actions, and prepares a corporate Operational Risk Report for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review and discussion by the ORC.</w:t>
      </w:r>
    </w:p>
    <w:p>
      <w:pPr>
        <w:autoSpaceDN w:val="0"/>
        <w:tabs>
          <w:tab w:pos="724" w:val="left"/>
        </w:tabs>
        <w:autoSpaceDE w:val="0"/>
        <w:widowControl/>
        <w:spacing w:line="240" w:lineRule="exact" w:before="120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Responsible for the oversight of the enterprise risk, operational risk, business continuity, operational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resilience, corporate insurance, and data privacy functions.</w:t>
      </w:r>
    </w:p>
    <w:p>
      <w:pPr>
        <w:autoSpaceDN w:val="0"/>
        <w:autoSpaceDE w:val="0"/>
        <w:widowControl/>
        <w:spacing w:line="240" w:lineRule="exact" w:before="23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risk of IBRD’s operations not meeting their development outcomes (development outcome risk) in IBRD’s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lending activities is monitored at the corporate level by Operations Policy and Country Services (OPCS).  Where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fraud and corruption risks may impact IBRD-financed projects, OPCS, the regions and practice groups, and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Integrity Vice Presidency jointly address such issues.</w:t>
      </w:r>
    </w:p>
    <w:p>
      <w:pPr>
        <w:autoSpaceDN w:val="0"/>
        <w:autoSpaceDE w:val="0"/>
        <w:widowControl/>
        <w:spacing w:line="244" w:lineRule="exact" w:before="130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Risk Committees</w:t>
      </w:r>
    </w:p>
    <w:p>
      <w:pPr>
        <w:autoSpaceDN w:val="0"/>
        <w:autoSpaceDE w:val="0"/>
        <w:widowControl/>
        <w:spacing w:line="202" w:lineRule="exact" w:before="156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Figure 18: Management Risk Committee Structure for Financial and Operational Risks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8491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exact" w:before="174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Financial Risk Committees:</w:t>
      </w:r>
    </w:p>
    <w:p>
      <w:pPr>
        <w:autoSpaceDN w:val="0"/>
        <w:autoSpaceDE w:val="0"/>
        <w:widowControl/>
        <w:spacing w:line="240" w:lineRule="exact" w:before="130" w:after="0"/>
        <w:ind w:left="4" w:right="20" w:firstLine="0"/>
        <w:jc w:val="both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The Finance and Risk Committee (FRC)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, a Vice President level committee, provides a high-level governance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structure for decisions that may have financial risks. The FRC was created under the authority of the Managing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Director and WBG Chief Financial Officer (MDCFO) to approve, clear, or discuss: (a) risk policy and procedure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documents related to financial integrity, income sustainability and balance sheet strength, and (b) issues and new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business initiatives with policy implications related to IBRD’s financial risks, including country credit, market,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counterparty, liquidity and model risks; and operational risks related to the finance business functions. The FRC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helps to integrate individual components of finance and risk management activities by building on mechanisms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processes already in place and provides a forum for discussing and communicating significant risk related issues.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FRC meets regularly to discuss the financial performance, new products and services, and risk management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IBRD.</w:t>
      </w:r>
    </w:p>
    <w:p>
      <w:pPr>
        <w:autoSpaceDN w:val="0"/>
        <w:tabs>
          <w:tab w:pos="656" w:val="left"/>
        </w:tabs>
        <w:autoSpaceDE w:val="0"/>
        <w:widowControl/>
        <w:spacing w:line="224" w:lineRule="exact" w:before="115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2024</w:t>
      </w:r>
    </w:p>
    <w:p>
      <w:pPr>
        <w:sectPr>
          <w:pgSz w:w="12240" w:h="15840"/>
          <w:pgMar w:top="302" w:right="1370" w:bottom="25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IX: Risk Management</w:t>
            </w:r>
          </w:p>
        </w:tc>
      </w:tr>
    </w:tbl>
    <w:p>
      <w:pPr>
        <w:autoSpaceDN w:val="0"/>
        <w:autoSpaceDE w:val="0"/>
        <w:widowControl/>
        <w:spacing w:line="240" w:lineRule="exact" w:before="492" w:after="0"/>
        <w:ind w:left="10" w:right="20" w:firstLine="0"/>
        <w:jc w:val="both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New Business Committee (NBC)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is a standing subcommittee of the FRC. The NBC provides advice, guidance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recommendations to the FRC, by performing due diligence over new financial products or services to ensure that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has a full understanding of the rationale, costs, risks and rewards of the product or service being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considered.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Asset Liability Management Committee (ALCO)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, a Vice President-level committee chaired by the MDCFO,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provides a high-level forum to ensure prudent balance sheet management of IBRD by: a) monitoring its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positions and Asset-Liability Management (ALM) activities for compliance with its respective guidelines, policies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procedures, including borrowing and investment activities; b) identifying and providing recommendations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emerging ALM issues for IBRD, as well as those related to capital, balance-sheet planning, and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sustainability and c) serving as a reviewing and recommending body for ongoing decisions as part of implementing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ALM policies and procedures of IBRD, including those that impact lending rates and net income.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Operational Risk Committees:</w:t>
      </w:r>
    </w:p>
    <w:p>
      <w:pPr>
        <w:autoSpaceDN w:val="0"/>
        <w:autoSpaceDE w:val="0"/>
        <w:widowControl/>
        <w:spacing w:line="224" w:lineRule="exact" w:before="146" w:after="0"/>
        <w:ind w:left="10" w:right="20" w:firstLine="0"/>
        <w:jc w:val="both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The Enterprise Risk Committee (ERC)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is a Vice President-level committee chaired by the Managing Director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Chief Administrative Officer (MDCAO) that oversees IBRD’s non-financial risks through reviewing, discussing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and/or formulating proposed policies, procedures, directives, guidance, and other matters requested by its members.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ERC’s scope comprises of: a) operational risk, including business continuity, corporate security, cyber security,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IT service continuity; b) enterprise risk; c) Integrity Vice Presidency (INT) and Ethics and Business Conduct (EBC)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policies and methodologies; d) shared services; and e) any other matters brought by the MDCAO. The ERC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leverages existing risk management mechanisms that are in place to provide a corporate view of operational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non-financial risks. </w:t>
      </w:r>
    </w:p>
    <w:p>
      <w:pPr>
        <w:autoSpaceDN w:val="0"/>
        <w:autoSpaceDE w:val="0"/>
        <w:widowControl/>
        <w:spacing w:line="240" w:lineRule="exact" w:before="208" w:after="0"/>
        <w:ind w:left="10" w:right="20" w:firstLine="0"/>
        <w:jc w:val="both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Operational Risk Committee (ORC)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is the main governance committee for operational risk and provides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mechanism for an integrated review and response across IBRD units on operational risks associated with people,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processes, and systems, including business continuity, and recognizing that business units remain responsible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managing operational risks. The Committee’s key responsibilities include monitoring significant operational risk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matters and events on a quarterly basis to ensure that appropriate risk-response measures are taken and reviewing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concluding on IBRD’s overall operational risk profile. The ORC is chaired by the CROVP and escalates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significant risks and decisions to the FRC and ERC.</w:t>
      </w:r>
    </w:p>
    <w:p>
      <w:pPr>
        <w:autoSpaceDN w:val="0"/>
        <w:autoSpaceDE w:val="0"/>
        <w:widowControl/>
        <w:spacing w:line="202" w:lineRule="exact" w:before="146" w:after="36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Box 5: Summary of IBRD's Specific Risk Categories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0"/>
        <w:gridCol w:w="4720"/>
      </w:tblGrid>
      <w:tr>
        <w:trPr>
          <w:trHeight w:hRule="exact" w:val="314"/>
        </w:trPr>
        <w:tc>
          <w:tcPr>
            <w:tcW w:type="dxa" w:w="3166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6" w:after="0"/>
              <w:ind w:left="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>Types of Risk</w:t>
            </w:r>
          </w:p>
        </w:tc>
        <w:tc>
          <w:tcPr>
            <w:tcW w:type="dxa" w:w="6074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6" w:after="0"/>
              <w:ind w:left="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>How the Risk is Managed</w:t>
            </w:r>
          </w:p>
        </w:tc>
      </w:tr>
      <w:tr>
        <w:trPr>
          <w:trHeight w:hRule="exact" w:val="826"/>
        </w:trPr>
        <w:tc>
          <w:tcPr>
            <w:tcW w:type="dxa" w:w="3166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80" w:right="1152" w:hanging="82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>Credit Risk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 Country Credit Risk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 Counterparty Credit Risk</w:t>
            </w:r>
          </w:p>
        </w:tc>
        <w:tc>
          <w:tcPr>
            <w:tcW w:type="dxa" w:w="6074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84" w:after="0"/>
              <w:ind w:left="96" w:right="10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IBRD’s credit-risk-bearing capacity and individual country exposure limits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Counterparty credit limits and collateral </w:t>
            </w:r>
          </w:p>
        </w:tc>
      </w:tr>
      <w:tr>
        <w:trPr>
          <w:trHeight w:hRule="exact" w:val="1140"/>
        </w:trPr>
        <w:tc>
          <w:tcPr>
            <w:tcW w:type="dxa" w:w="3166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180" w:right="1296" w:hanging="82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>Market Risk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 Interest Rate Risk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 Exchange Rate Risk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 Liquidity Risk                 </w:t>
            </w:r>
          </w:p>
        </w:tc>
        <w:tc>
          <w:tcPr>
            <w:tcW w:type="dxa" w:w="6074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44" w:after="0"/>
              <w:ind w:left="96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Interest rate derivatives to match the sensitivity of assets and liabilities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Currency derivatives to align the currency composition of assets and liabilities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5"/>
              </w:rPr>
              <w:t>Prudential minimum liquidity level</w:t>
            </w:r>
          </w:p>
        </w:tc>
      </w:tr>
      <w:tr>
        <w:trPr>
          <w:trHeight w:hRule="exact" w:val="464"/>
        </w:trPr>
        <w:tc>
          <w:tcPr>
            <w:tcW w:type="dxa" w:w="3166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6" w:after="0"/>
              <w:ind w:left="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>Operational Risk</w:t>
            </w:r>
          </w:p>
        </w:tc>
        <w:tc>
          <w:tcPr>
            <w:tcW w:type="dxa" w:w="6074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96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Risk assessment and monitoring of key risk indicators and internal and external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5"/>
              </w:rPr>
              <w:t>operational risk events</w:t>
            </w:r>
          </w:p>
        </w:tc>
      </w:tr>
    </w:tbl>
    <w:p>
      <w:pPr>
        <w:autoSpaceDN w:val="0"/>
        <w:autoSpaceDE w:val="0"/>
        <w:widowControl/>
        <w:spacing w:line="244" w:lineRule="exact" w:before="284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Other Risk Councils </w:t>
      </w:r>
    </w:p>
    <w:p>
      <w:pPr>
        <w:autoSpaceDN w:val="0"/>
        <w:autoSpaceDE w:val="0"/>
        <w:widowControl/>
        <w:spacing w:line="240" w:lineRule="exact" w:before="128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Financial Risk Council and Non-Financial Risk Council were established in FY24 to facilitate regular and better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coordination and collaboration across WBG entities in financial and non-financial risk functions, respectively.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councils, chaired by the MDCFO and MDCAO, respectively, meet regularly to identify opportunities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collaboration across the risk functions that serve to enhance the effectiveness of each of the risk functions while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respecting the fiduciary obligations of each entity and considering the different mandates, clients, products,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business models. They also provide a common forum for the systematic exchange of information and encourage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joint reporting of risks across the entities to form an overall picture on risk and for the purposes of information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sharing, identifying interdependencies, connections, and concentrations of risk.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1060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43</w:t>
      </w:r>
    </w:p>
    <w:p>
      <w:pPr>
        <w:sectPr>
          <w:pgSz w:w="12240" w:h="15840"/>
          <w:pgMar w:top="302" w:right="1370" w:bottom="244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IX: Risk Management</w:t>
            </w:r>
          </w:p>
        </w:tc>
      </w:tr>
    </w:tbl>
    <w:p>
      <w:pPr>
        <w:autoSpaceDN w:val="0"/>
        <w:autoSpaceDE w:val="0"/>
        <w:widowControl/>
        <w:spacing w:line="268" w:lineRule="exact" w:before="508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Management of IBRD’s Risks</w:t>
      </w:r>
    </w:p>
    <w:p>
      <w:pPr>
        <w:autoSpaceDN w:val="0"/>
        <w:autoSpaceDE w:val="0"/>
        <w:widowControl/>
        <w:spacing w:line="224" w:lineRule="exact" w:before="14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assumes financial risks in order to achieve its development and strategic objectives. IBRD’s financial risk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framework is designed to enable and support the institution in achieving its goals in a financially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sustainable manner. IBRD manages credit, market and operational risks for its financial activities, which include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lending, borrowing and investing (Box 5). The primary financial risk to IBRD is the country credit risk inherent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its loan portfolio. IBRD is also exposed to risks in its liquid asset and derivative portfolios, where the major risks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interest rate, exchange rate, commercial counterparty credit, and liquidity risks. IBRD’s operational risk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framework is based on a structured and uniform approach to identify, assess and monitor key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operational risks across business units. </w:t>
      </w:r>
    </w:p>
    <w:p>
      <w:pPr>
        <w:autoSpaceDN w:val="0"/>
        <w:autoSpaceDE w:val="0"/>
        <w:widowControl/>
        <w:spacing w:line="224" w:lineRule="exact" w:before="224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an effort to maximize IBRD’s capacity to lend to member countries for development purposes, IBRD limits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exposure to market and counterparty credit risks. In addition, to ensure that the financial risks associated with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loans and other exposures do not exceed its risk-bearing capacity, IBRD uses a strategic capital adequacy framework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as a key medium-term capital planning tool.</w:t>
      </w:r>
    </w:p>
    <w:p>
      <w:pPr>
        <w:autoSpaceDN w:val="0"/>
        <w:autoSpaceDE w:val="0"/>
        <w:widowControl/>
        <w:spacing w:line="268" w:lineRule="exact" w:before="224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Capital Adequacy </w:t>
      </w:r>
    </w:p>
    <w:p>
      <w:pPr>
        <w:autoSpaceDN w:val="0"/>
        <w:autoSpaceDE w:val="0"/>
        <w:widowControl/>
        <w:spacing w:line="240" w:lineRule="exact" w:before="12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holds capital to cover the credit, market and operational risks inherent in its operating activities and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assets. Country credit risk is the most substantive risk covered by IBRD’s equity. </w:t>
      </w:r>
    </w:p>
    <w:p>
      <w:pPr>
        <w:autoSpaceDN w:val="0"/>
        <w:autoSpaceDE w:val="0"/>
        <w:widowControl/>
        <w:spacing w:line="224" w:lineRule="exact" w:before="136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capital adequacy is the degree to which its equity is sufficient to withstand unexpected shocks. IBRD’s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Board monitors IBRD’s capital adequacy within a strategic capital adequacy framework and uses the Equity-to-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Loans ratio as a key indicator of capital adequacy. The framework seeks to ensure that IBRD’s equity is aligned with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financial risk associated with its loan portfolio and other exposures over a medium-term capital-planning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horizon. In April 2023, as part of the evolution process, the Board approved a reduction in the policy minimum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Equity-to-Loans ratio from 20% to 19% based on IBRD's review of the capital adequacy framework. The minimum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Equity-to-Loans ratio policy continues to support IBRD's triple-A rating and long-term financial sustainability.</w:t>
      </w:r>
    </w:p>
    <w:p>
      <w:pPr>
        <w:autoSpaceDN w:val="0"/>
        <w:autoSpaceDE w:val="0"/>
        <w:widowControl/>
        <w:spacing w:line="224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shown in Table 30, IBRD’s Equity-to-Loans ratio decreased by 0.5% from 22.0% as of June 30, 2023 to 21.5%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June 30, 2024, primarily due to the increase in total loan exposure exceeding the increase in usable equity,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remained above the 19% minimum ratio under the strategic capital adequacy framework. Higher usable equity was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mainly due to the higher General Reserve from the retention of earnings out of FY24 Allocable Income, and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release of PCRF assets to general use within IBRD's balance sheet. Usable equity also increased due to the receipt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capital subscriptions. </w:t>
      </w:r>
    </w:p>
    <w:p>
      <w:pPr>
        <w:autoSpaceDN w:val="0"/>
        <w:autoSpaceDE w:val="0"/>
        <w:widowControl/>
        <w:spacing w:line="224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FY24, IBRD received $0.6 billion of paid-in capital subscribed under the 2018 General and Selective Capital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Increases (GCI and SCI), bringing the cumulative amounts received to $6.0 billion, representing 80% of the total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amount expected over the subscription period. In line with IBRD's currency management policy, exchange rate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movements during the year did not have an impact on IBRD's Equity-to-Loans ratio. Under the currency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policy, to minimize exchange rate risk, IBRD matches its borrowing obligations in any one currency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(after derivatives) with assets in the same currency. In addition, IBRD periodically undertakes currency conversions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to align the currency composition of its equity with that of its outstanding loans, across major currencies.</w:t>
      </w:r>
    </w:p>
    <w:p>
      <w:pPr>
        <w:autoSpaceDN w:val="0"/>
        <w:autoSpaceDE w:val="0"/>
        <w:widowControl/>
        <w:spacing w:line="202" w:lineRule="exact" w:before="234" w:after="138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Figure 19: Equity-to-Loans Ratio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1572"/>
        <w:gridCol w:w="1572"/>
        <w:gridCol w:w="1572"/>
        <w:gridCol w:w="1572"/>
        <w:gridCol w:w="1572"/>
        <w:gridCol w:w="1572"/>
      </w:tblGrid>
      <w:tr>
        <w:trPr>
          <w:trHeight w:hRule="exact" w:val="1976"/>
        </w:trPr>
        <w:tc>
          <w:tcPr>
            <w:tcW w:type="dxa" w:w="560"/>
            <w:vMerge w:val="restart"/>
            <w:tcBorders>
              <w:bottom w:sz="18.000009536743164" w:val="single" w:color="#24242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86" w:right="5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26%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24%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22%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20%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18%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16%</w:t>
            </w:r>
          </w:p>
        </w:tc>
        <w:tc>
          <w:tcPr>
            <w:tcW w:type="dxa" w:w="71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81300" cy="11811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181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00"/>
        </w:trPr>
        <w:tc>
          <w:tcPr>
            <w:tcW w:type="dxa" w:w="1572"/>
            <w:vMerge/>
            <w:tcBorders>
              <w:bottom w:sz="18.000009536743164" w:val="single" w:color="#242424"/>
            </w:tcBorders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Jun-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Jun-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Jun-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Jun-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Jun-</w:t>
            </w:r>
          </w:p>
        </w:tc>
      </w:tr>
      <w:tr>
        <w:trPr>
          <w:trHeight w:hRule="exact" w:val="280"/>
        </w:trPr>
        <w:tc>
          <w:tcPr>
            <w:tcW w:type="dxa" w:w="1572"/>
            <w:vMerge/>
            <w:tcBorders>
              <w:bottom w:sz="18.000009536743164" w:val="single" w:color="#242424"/>
            </w:tcBorders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7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4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24</w:t>
            </w:r>
          </w:p>
        </w:tc>
      </w:tr>
      <w:tr>
        <w:trPr>
          <w:trHeight w:hRule="exact" w:val="198"/>
        </w:trPr>
        <w:tc>
          <w:tcPr>
            <w:tcW w:type="dxa" w:w="1572"/>
            <w:vMerge/>
            <w:tcBorders>
              <w:bottom w:sz="18.000009536743164" w:val="single" w:color="#242424"/>
            </w:tcBorders>
          </w:tcPr>
          <w:p/>
        </w:tc>
        <w:tc>
          <w:tcPr>
            <w:tcW w:type="dxa" w:w="2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Equity-to-Loans ratio</w:t>
            </w:r>
          </w:p>
        </w:tc>
        <w:tc>
          <w:tcPr>
            <w:tcW w:type="dxa" w:w="50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4" w:after="0"/>
              <w:ind w:left="5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Policy minimum</w:t>
            </w:r>
          </w:p>
        </w:tc>
      </w:tr>
      <w:tr>
        <w:trPr>
          <w:trHeight w:hRule="exact" w:val="642"/>
        </w:trPr>
        <w:tc>
          <w:tcPr>
            <w:tcW w:type="dxa" w:w="560"/>
            <w:vMerge w:val="restart"/>
            <w:tcBorders>
              <w:top w:sz="18.000009536743164" w:val="single" w:color="#24242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9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44</w:t>
            </w:r>
          </w:p>
        </w:tc>
        <w:tc>
          <w:tcPr>
            <w:tcW w:type="dxa" w:w="3144"/>
            <w:gridSpan w:val="2"/>
            <w:vMerge/>
            <w:tcBorders/>
          </w:tcPr>
          <w:p/>
        </w:tc>
        <w:tc>
          <w:tcPr>
            <w:tcW w:type="dxa" w:w="4716"/>
            <w:gridSpan w:val="3"/>
            <w:vMerge/>
            <w:tcBorders/>
          </w:tcPr>
          <w:p/>
        </w:tc>
      </w:tr>
      <w:tr>
        <w:trPr>
          <w:trHeight w:hRule="exact" w:val="776"/>
        </w:trPr>
        <w:tc>
          <w:tcPr>
            <w:tcW w:type="dxa" w:w="1572"/>
            <w:vMerge/>
            <w:tcBorders>
              <w:top w:sz="18.000009536743164" w:val="single" w:color="#242424"/>
            </w:tcBorders>
          </w:tcPr>
          <w:p/>
        </w:tc>
        <w:tc>
          <w:tcPr>
            <w:tcW w:type="dxa" w:w="71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7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02" w:right="1370" w:bottom="25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IX: Risk Management</w:t>
            </w:r>
          </w:p>
        </w:tc>
      </w:tr>
    </w:tbl>
    <w:p>
      <w:pPr>
        <w:autoSpaceDN w:val="0"/>
        <w:autoSpaceDE w:val="0"/>
        <w:widowControl/>
        <w:spacing w:line="202" w:lineRule="exact" w:before="574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30: Equity-to-Loans Ratio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56" w:after="38"/>
        <w:ind w:left="0" w:right="1434" w:firstLine="0"/>
        <w:jc w:val="right"/>
      </w:pPr>
      <w:r>
        <w:rPr>
          <w:rFonts w:ascii="Arial" w:hAnsi="Arial" w:eastAsia="Arial"/>
          <w:b w:val="0"/>
          <w:i/>
          <w:color w:val="494949"/>
          <w:sz w:val="16"/>
        </w:rPr>
        <w:t>Variance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221"/>
        </w:trPr>
        <w:tc>
          <w:tcPr>
            <w:tcW w:type="dxa" w:w="3720"/>
            <w:vMerge w:val="restart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3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As of June 30,</w:t>
            </w:r>
          </w:p>
        </w:tc>
        <w:tc>
          <w:tcPr>
            <w:tcW w:type="dxa" w:w="1100"/>
            <w:gridSpan w:val="2"/>
            <w:vMerge w:val="restart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32" w:after="0"/>
              <w:ind w:left="0" w:right="18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2024</w:t>
            </w:r>
          </w:p>
        </w:tc>
        <w:tc>
          <w:tcPr>
            <w:tcW w:type="dxa" w:w="1530"/>
            <w:gridSpan w:val="3"/>
            <w:vMerge w:val="restart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2023</w:t>
            </w:r>
          </w:p>
        </w:tc>
        <w:tc>
          <w:tcPr>
            <w:tcW w:type="dxa" w:w="750"/>
            <w:vMerge w:val="restart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32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Total</w:t>
            </w:r>
          </w:p>
        </w:tc>
        <w:tc>
          <w:tcPr>
            <w:tcW w:type="dxa" w:w="330"/>
            <w:vMerge w:val="restart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2" w:after="0"/>
              <w:ind w:left="0" w:right="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Due to </w:t>
            </w:r>
          </w:p>
        </w:tc>
        <w:tc>
          <w:tcPr>
            <w:tcW w:type="dxa" w:w="250"/>
            <w:vMerge w:val="restart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Due to </w:t>
            </w:r>
          </w:p>
        </w:tc>
      </w:tr>
      <w:tr>
        <w:trPr>
          <w:trHeight w:hRule="exact" w:val="80"/>
        </w:trPr>
        <w:tc>
          <w:tcPr>
            <w:tcW w:type="dxa" w:w="858"/>
            <w:vMerge/>
            <w:tcBorders>
              <w:bottom w:sz="8.0" w:val="single" w:color="#6C6C6C"/>
            </w:tcBorders>
          </w:tcPr>
          <w:p/>
        </w:tc>
        <w:tc>
          <w:tcPr>
            <w:tcW w:type="dxa" w:w="1716"/>
            <w:gridSpan w:val="2"/>
            <w:vMerge/>
            <w:tcBorders>
              <w:bottom w:sz="8.0" w:val="single" w:color="#6C6C6C"/>
            </w:tcBorders>
          </w:tcPr>
          <w:p/>
        </w:tc>
        <w:tc>
          <w:tcPr>
            <w:tcW w:type="dxa" w:w="2574"/>
            <w:gridSpan w:val="3"/>
            <w:vMerge/>
            <w:tcBorders>
              <w:bottom w:sz="8.0" w:val="single" w:color="#6C6C6C"/>
            </w:tcBorders>
          </w:tcPr>
          <w:p/>
        </w:tc>
        <w:tc>
          <w:tcPr>
            <w:tcW w:type="dxa" w:w="858"/>
            <w:vMerge/>
            <w:tcBorders>
              <w:bottom w:sz="8.0" w:val="single" w:color="#6C6C6C"/>
            </w:tcBorders>
          </w:tcPr>
          <w:p/>
        </w:tc>
        <w:tc>
          <w:tcPr>
            <w:tcW w:type="dxa" w:w="858"/>
            <w:vMerge/>
            <w:tcBorders>
              <w:bottom w:sz="8.0" w:val="single" w:color="#6C6C6C"/>
            </w:tcBorders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858"/>
            <w:vMerge/>
            <w:tcBorders>
              <w:bottom w:sz="8.0" w:val="single" w:color="#6C6C6C"/>
            </w:tcBorders>
          </w:tcPr>
          <w:p/>
        </w:tc>
        <w:tc>
          <w:tcPr>
            <w:tcW w:type="dxa" w:w="89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Translation </w:t>
            </w:r>
          </w:p>
        </w:tc>
      </w:tr>
      <w:tr>
        <w:trPr>
          <w:trHeight w:hRule="exact" w:val="120"/>
        </w:trPr>
        <w:tc>
          <w:tcPr>
            <w:tcW w:type="dxa" w:w="858"/>
            <w:vMerge/>
            <w:tcBorders>
              <w:bottom w:sz="8.0" w:val="single" w:color="#6C6C6C"/>
            </w:tcBorders>
          </w:tcPr>
          <w:p/>
        </w:tc>
        <w:tc>
          <w:tcPr>
            <w:tcW w:type="dxa" w:w="1716"/>
            <w:gridSpan w:val="2"/>
            <w:vMerge/>
            <w:tcBorders>
              <w:bottom w:sz="8.0" w:val="single" w:color="#6C6C6C"/>
            </w:tcBorders>
          </w:tcPr>
          <w:p/>
        </w:tc>
        <w:tc>
          <w:tcPr>
            <w:tcW w:type="dxa" w:w="2574"/>
            <w:gridSpan w:val="3"/>
            <w:vMerge/>
            <w:tcBorders>
              <w:bottom w:sz="8.0" w:val="single" w:color="#6C6C6C"/>
            </w:tcBorders>
          </w:tcPr>
          <w:p/>
        </w:tc>
        <w:tc>
          <w:tcPr>
            <w:tcW w:type="dxa" w:w="858"/>
            <w:vMerge/>
            <w:tcBorders>
              <w:bottom w:sz="8.0" w:val="single" w:color="#6C6C6C"/>
            </w:tcBorders>
          </w:tcPr>
          <w:p/>
        </w:tc>
        <w:tc>
          <w:tcPr>
            <w:tcW w:type="dxa" w:w="858"/>
            <w:vMerge/>
            <w:tcBorders>
              <w:bottom w:sz="8.0" w:val="single" w:color="#6C6C6C"/>
            </w:tcBorders>
          </w:tcPr>
          <w:p/>
        </w:tc>
        <w:tc>
          <w:tcPr>
            <w:tcW w:type="dxa" w:w="810"/>
            <w:vMerge w:val="restart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Activities</w:t>
            </w:r>
          </w:p>
        </w:tc>
        <w:tc>
          <w:tcPr>
            <w:tcW w:type="dxa" w:w="858"/>
            <w:vMerge/>
            <w:tcBorders>
              <w:bottom w:sz="8.0" w:val="single" w:color="#6C6C6C"/>
            </w:tcBorders>
          </w:tcPr>
          <w:p/>
        </w:tc>
        <w:tc>
          <w:tcPr>
            <w:tcW w:type="dxa" w:w="85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858"/>
            <w:vMerge/>
            <w:tcBorders>
              <w:bottom w:sz="8.0" w:val="single" w:color="#6C6C6C"/>
            </w:tcBorders>
          </w:tcPr>
          <w:p/>
        </w:tc>
        <w:tc>
          <w:tcPr>
            <w:tcW w:type="dxa" w:w="1716"/>
            <w:gridSpan w:val="2"/>
            <w:vMerge/>
            <w:tcBorders>
              <w:bottom w:sz="8.0" w:val="single" w:color="#6C6C6C"/>
            </w:tcBorders>
          </w:tcPr>
          <w:p/>
        </w:tc>
        <w:tc>
          <w:tcPr>
            <w:tcW w:type="dxa" w:w="2574"/>
            <w:gridSpan w:val="3"/>
            <w:vMerge/>
            <w:tcBorders>
              <w:bottom w:sz="8.0" w:val="single" w:color="#6C6C6C"/>
            </w:tcBorders>
          </w:tcPr>
          <w:p/>
        </w:tc>
        <w:tc>
          <w:tcPr>
            <w:tcW w:type="dxa" w:w="858"/>
            <w:vMerge/>
            <w:tcBorders>
              <w:bottom w:sz="8.0" w:val="single" w:color="#6C6C6C"/>
            </w:tcBorders>
          </w:tcPr>
          <w:p/>
        </w:tc>
        <w:tc>
          <w:tcPr>
            <w:tcW w:type="dxa" w:w="858"/>
            <w:vMerge/>
            <w:tcBorders>
              <w:bottom w:sz="8.0" w:val="single" w:color="#6C6C6C"/>
            </w:tcBorders>
          </w:tcPr>
          <w:p/>
        </w:tc>
        <w:tc>
          <w:tcPr>
            <w:tcW w:type="dxa" w:w="858"/>
            <w:vMerge/>
            <w:tcBorders>
              <w:bottom w:sz="8.0" w:val="single" w:color="#6C6C6C"/>
            </w:tcBorders>
          </w:tcPr>
          <w:p/>
        </w:tc>
        <w:tc>
          <w:tcPr>
            <w:tcW w:type="dxa" w:w="858"/>
            <w:vMerge/>
            <w:tcBorders>
              <w:bottom w:sz="8.0" w:val="single" w:color="#6C6C6C"/>
            </w:tcBorders>
          </w:tcPr>
          <w:p/>
        </w:tc>
        <w:tc>
          <w:tcPr>
            <w:tcW w:type="dxa" w:w="89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Adjustment</w:t>
            </w:r>
          </w:p>
        </w:tc>
      </w:tr>
      <w:tr>
        <w:trPr>
          <w:trHeight w:hRule="exact" w:val="200"/>
        </w:trPr>
        <w:tc>
          <w:tcPr>
            <w:tcW w:type="dxa" w:w="372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Usable paid-in capital</w:t>
            </w:r>
          </w:p>
        </w:tc>
        <w:tc>
          <w:tcPr>
            <w:tcW w:type="dxa" w:w="29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21,183 </w:t>
            </w:r>
          </w:p>
        </w:tc>
        <w:tc>
          <w:tcPr>
            <w:tcW w:type="dxa" w:w="33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20,669 </w:t>
            </w:r>
          </w:p>
        </w:tc>
        <w:tc>
          <w:tcPr>
            <w:tcW w:type="dxa" w:w="44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514 </w:t>
            </w:r>
          </w:p>
        </w:tc>
        <w:tc>
          <w:tcPr>
            <w:tcW w:type="dxa" w:w="330"/>
            <w:vMerge w:val="restart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652 </w:t>
            </w:r>
          </w:p>
        </w:tc>
        <w:tc>
          <w:tcPr>
            <w:tcW w:type="dxa" w:w="250"/>
            <w:vMerge w:val="restart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(138) </w:t>
            </w:r>
          </w:p>
        </w:tc>
      </w:tr>
      <w:tr>
        <w:trPr>
          <w:trHeight w:hRule="exact" w:val="240"/>
        </w:trPr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Special reserve</w:t>
            </w:r>
          </w:p>
        </w:tc>
        <w:tc>
          <w:tcPr>
            <w:tcW w:type="dxa" w:w="1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293 </w:t>
            </w:r>
          </w:p>
        </w:tc>
        <w:tc>
          <w:tcPr>
            <w:tcW w:type="dxa" w:w="153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5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293 </w:t>
            </w:r>
          </w:p>
        </w:tc>
        <w:tc>
          <w:tcPr>
            <w:tcW w:type="dxa" w:w="7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General reserve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34,058 </w:t>
            </w:r>
          </w:p>
        </w:tc>
        <w:tc>
          <w:tcPr>
            <w:tcW w:type="dxa" w:w="153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5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32,974 </w:t>
            </w:r>
          </w:p>
        </w:tc>
        <w:tc>
          <w:tcPr>
            <w:tcW w:type="dxa" w:w="7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1,084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1,084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60"/>
        </w:trPr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Cumulative translation adjustment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(1,126) </w:t>
            </w:r>
          </w:p>
        </w:tc>
        <w:tc>
          <w:tcPr>
            <w:tcW w:type="dxa" w:w="153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(1,004) </w:t>
            </w:r>
          </w:p>
        </w:tc>
        <w:tc>
          <w:tcPr>
            <w:tcW w:type="dxa" w:w="7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(122)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(122) </w:t>
            </w:r>
          </w:p>
        </w:tc>
      </w:tr>
      <w:tr>
        <w:trPr>
          <w:trHeight w:hRule="exact" w:val="260"/>
        </w:trPr>
        <w:tc>
          <w:tcPr>
            <w:tcW w:type="dxa" w:w="372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adjustments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100"/>
            <w:gridSpan w:val="2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247 </w:t>
            </w:r>
          </w:p>
        </w:tc>
        <w:tc>
          <w:tcPr>
            <w:tcW w:type="dxa" w:w="1530"/>
            <w:gridSpan w:val="3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5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173 </w:t>
            </w:r>
          </w:p>
        </w:tc>
        <w:tc>
          <w:tcPr>
            <w:tcW w:type="dxa" w:w="75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1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9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 </w:t>
            </w:r>
          </w:p>
        </w:tc>
      </w:tr>
      <w:tr>
        <w:trPr>
          <w:trHeight w:hRule="exact" w:val="220"/>
        </w:trPr>
        <w:tc>
          <w:tcPr>
            <w:tcW w:type="dxa" w:w="372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Equity (usable equity)</w:t>
            </w:r>
          </w:p>
        </w:tc>
        <w:tc>
          <w:tcPr>
            <w:tcW w:type="dxa" w:w="29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54,655 </w:t>
            </w:r>
          </w:p>
        </w:tc>
        <w:tc>
          <w:tcPr>
            <w:tcW w:type="dxa" w:w="33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53,105 </w:t>
            </w:r>
          </w:p>
        </w:tc>
        <w:tc>
          <w:tcPr>
            <w:tcW w:type="dxa" w:w="44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1,550 </w:t>
            </w:r>
          </w:p>
        </w:tc>
        <w:tc>
          <w:tcPr>
            <w:tcW w:type="dxa" w:w="33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1,736 </w:t>
            </w:r>
          </w:p>
        </w:tc>
        <w:tc>
          <w:tcPr>
            <w:tcW w:type="dxa" w:w="2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(186) </w:t>
            </w:r>
          </w:p>
        </w:tc>
      </w:tr>
      <w:tr>
        <w:trPr>
          <w:trHeight w:hRule="exact" w:val="480"/>
        </w:trPr>
        <w:tc>
          <w:tcPr>
            <w:tcW w:type="dxa" w:w="372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8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 exposures</w:t>
            </w:r>
          </w:p>
        </w:tc>
        <w:tc>
          <w:tcPr>
            <w:tcW w:type="dxa" w:w="1100"/>
            <w:gridSpan w:val="2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$ 263,190 </w:t>
            </w:r>
          </w:p>
        </w:tc>
        <w:tc>
          <w:tcPr>
            <w:tcW w:type="dxa" w:w="1090"/>
            <w:gridSpan w:val="2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$ 243,896 </w:t>
            </w:r>
          </w:p>
        </w:tc>
        <w:tc>
          <w:tcPr>
            <w:tcW w:type="dxa" w:w="44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8" w:after="0"/>
              <w:ind w:left="1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19,294 </w:t>
            </w:r>
          </w:p>
        </w:tc>
        <w:tc>
          <w:tcPr>
            <w:tcW w:type="dxa" w:w="330"/>
            <w:vMerge w:val="restart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20,115 </w:t>
            </w:r>
          </w:p>
        </w:tc>
        <w:tc>
          <w:tcPr>
            <w:tcW w:type="dxa" w:w="250"/>
            <w:vMerge w:val="restart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8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(821) </w:t>
            </w:r>
          </w:p>
        </w:tc>
      </w:tr>
      <w:tr>
        <w:trPr>
          <w:trHeight w:hRule="exact" w:val="220"/>
        </w:trPr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Adjustments to reflect third-party guarantees </w:t>
            </w:r>
          </w:p>
        </w:tc>
        <w:tc>
          <w:tcPr>
            <w:tcW w:type="dxa" w:w="110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6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(10,658) </w:t>
            </w:r>
          </w:p>
        </w:tc>
        <w:tc>
          <w:tcPr>
            <w:tcW w:type="dxa" w:w="1530"/>
            <w:gridSpan w:val="3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(1,877) </w:t>
            </w:r>
          </w:p>
        </w:tc>
        <w:tc>
          <w:tcPr>
            <w:tcW w:type="dxa" w:w="75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(8,781)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(8,775)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9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(6) </w:t>
            </w:r>
          </w:p>
        </w:tc>
      </w:tr>
      <w:tr>
        <w:trPr>
          <w:trHeight w:hRule="exact" w:val="220"/>
        </w:trPr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received</w:t>
            </w:r>
          </w:p>
        </w:tc>
        <w:tc>
          <w:tcPr>
            <w:tcW w:type="dxa" w:w="1716"/>
            <w:gridSpan w:val="2"/>
            <w:vMerge/>
            <w:tcBorders/>
          </w:tcPr>
          <w:p/>
        </w:tc>
        <w:tc>
          <w:tcPr>
            <w:tcW w:type="dxa" w:w="2574"/>
            <w:gridSpan w:val="3"/>
            <w:vMerge/>
            <w:tcBorders/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58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Present value of guarantees provided</w:t>
            </w:r>
          </w:p>
        </w:tc>
        <w:tc>
          <w:tcPr>
            <w:tcW w:type="dxa" w:w="1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3,488 </w:t>
            </w:r>
          </w:p>
        </w:tc>
        <w:tc>
          <w:tcPr>
            <w:tcW w:type="dxa" w:w="153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2,840 </w:t>
            </w:r>
          </w:p>
        </w:tc>
        <w:tc>
          <w:tcPr>
            <w:tcW w:type="dxa" w:w="7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648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676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(28) </w:t>
            </w:r>
          </w:p>
        </w:tc>
      </w:tr>
      <w:tr>
        <w:trPr>
          <w:trHeight w:hRule="exact" w:val="240"/>
        </w:trPr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Effective but undisbursed DDOs</w:t>
            </w:r>
          </w:p>
        </w:tc>
        <w:tc>
          <w:tcPr>
            <w:tcW w:type="dxa" w:w="1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1,261 </w:t>
            </w:r>
          </w:p>
        </w:tc>
        <w:tc>
          <w:tcPr>
            <w:tcW w:type="dxa" w:w="153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5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 </w:t>
            </w:r>
          </w:p>
        </w:tc>
        <w:tc>
          <w:tcPr>
            <w:tcW w:type="dxa" w:w="7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1,161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1,167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(6) </w:t>
            </w:r>
          </w:p>
        </w:tc>
      </w:tr>
      <w:tr>
        <w:trPr>
          <w:trHeight w:hRule="exact" w:val="240"/>
        </w:trPr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Relevant accumulated provisions</w:t>
            </w:r>
          </w:p>
        </w:tc>
        <w:tc>
          <w:tcPr>
            <w:tcW w:type="dxa" w:w="1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(2,942) </w:t>
            </w:r>
          </w:p>
        </w:tc>
        <w:tc>
          <w:tcPr>
            <w:tcW w:type="dxa" w:w="153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(2,853) </w:t>
            </w:r>
          </w:p>
        </w:tc>
        <w:tc>
          <w:tcPr>
            <w:tcW w:type="dxa" w:w="7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(89)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(96)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</w:tr>
      <w:tr>
        <w:trPr>
          <w:trHeight w:hRule="exact" w:val="240"/>
        </w:trPr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Deferred loan income</w:t>
            </w:r>
          </w:p>
        </w:tc>
        <w:tc>
          <w:tcPr>
            <w:tcW w:type="dxa" w:w="1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(594) </w:t>
            </w:r>
          </w:p>
        </w:tc>
        <w:tc>
          <w:tcPr>
            <w:tcW w:type="dxa" w:w="153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5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(520) </w:t>
            </w:r>
          </w:p>
        </w:tc>
        <w:tc>
          <w:tcPr>
            <w:tcW w:type="dxa" w:w="7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(74)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(77)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54"/>
        </w:trPr>
        <w:tc>
          <w:tcPr>
            <w:tcW w:type="dxa" w:w="372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exposures and adjustments, net</w:t>
            </w:r>
          </w:p>
        </w:tc>
        <w:tc>
          <w:tcPr>
            <w:tcW w:type="dxa" w:w="1100"/>
            <w:gridSpan w:val="2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377 </w:t>
            </w:r>
          </w:p>
        </w:tc>
        <w:tc>
          <w:tcPr>
            <w:tcW w:type="dxa" w:w="1530"/>
            <w:gridSpan w:val="3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5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320 </w:t>
            </w:r>
          </w:p>
        </w:tc>
        <w:tc>
          <w:tcPr>
            <w:tcW w:type="dxa" w:w="75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57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1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57 </w:t>
            </w:r>
          </w:p>
        </w:tc>
        <w:tc>
          <w:tcPr>
            <w:tcW w:type="dxa" w:w="858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89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372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Loans (total exposure)</w:t>
            </w:r>
          </w:p>
        </w:tc>
        <w:tc>
          <w:tcPr>
            <w:tcW w:type="dxa" w:w="1100"/>
            <w:gridSpan w:val="2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$ 254,122 </w:t>
            </w:r>
          </w:p>
        </w:tc>
        <w:tc>
          <w:tcPr>
            <w:tcW w:type="dxa" w:w="1090"/>
            <w:gridSpan w:val="2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$ 241,906 </w:t>
            </w:r>
          </w:p>
        </w:tc>
        <w:tc>
          <w:tcPr>
            <w:tcW w:type="dxa" w:w="44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1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12,216 </w:t>
            </w:r>
          </w:p>
        </w:tc>
        <w:tc>
          <w:tcPr>
            <w:tcW w:type="dxa" w:w="33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13,067 </w:t>
            </w:r>
          </w:p>
        </w:tc>
        <w:tc>
          <w:tcPr>
            <w:tcW w:type="dxa" w:w="2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(851) </w:t>
            </w:r>
          </w:p>
        </w:tc>
      </w:tr>
      <w:tr>
        <w:trPr>
          <w:trHeight w:hRule="exact" w:val="636"/>
        </w:trPr>
        <w:tc>
          <w:tcPr>
            <w:tcW w:type="dxa" w:w="372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Equity-to-Loans Ratio</w:t>
            </w:r>
          </w:p>
        </w:tc>
        <w:tc>
          <w:tcPr>
            <w:tcW w:type="dxa" w:w="1100"/>
            <w:gridSpan w:val="2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6" w:after="0"/>
              <w:ind w:left="0" w:right="2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21.5 %</w:t>
            </w:r>
          </w:p>
        </w:tc>
        <w:tc>
          <w:tcPr>
            <w:tcW w:type="dxa" w:w="1530"/>
            <w:gridSpan w:val="3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6" w:after="0"/>
              <w:ind w:left="0" w:right="24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22.0 % </w:t>
            </w:r>
          </w:p>
        </w:tc>
        <w:tc>
          <w:tcPr>
            <w:tcW w:type="dxa" w:w="7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3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9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242" w:val="left"/>
        </w:tabs>
        <w:autoSpaceDE w:val="0"/>
        <w:widowControl/>
        <w:spacing w:line="178" w:lineRule="exact" w:before="3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Includes transfer to the General Reserve, which for FY24 (FY23) was approved by the Board on August 6, 2024 (August 3,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2023).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52" w:after="0"/>
        <w:ind w:left="62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Excludes cumulative translation amounts associated with the unrealized mark-to-market gains/losses on non-trading portfolios,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net.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Includes cumulative translation gains on non-functional currencies of $295 million for FY24 ($221 million gains for FY23).</w:t>
      </w:r>
    </w:p>
    <w:p>
      <w:pPr>
        <w:autoSpaceDN w:val="0"/>
        <w:autoSpaceDE w:val="0"/>
        <w:widowControl/>
        <w:spacing w:line="268" w:lineRule="exact" w:before="20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Credit Risk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faces two types of credit risk: country credit risk and counterparty credit risk. Country credit risk is the risk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loss due to a country not meeting its contractual obligations, and counterparty credit risk is the risk of loss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attributable to a counterparty not honoring its contractual obligations. IBRD is exposed to commercial as well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non-commercial counterparty credit risk.</w:t>
      </w:r>
    </w:p>
    <w:p>
      <w:pPr>
        <w:autoSpaceDN w:val="0"/>
        <w:autoSpaceDE w:val="0"/>
        <w:widowControl/>
        <w:spacing w:line="244" w:lineRule="exact" w:before="13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Country Credit Risk </w:t>
      </w:r>
    </w:p>
    <w:p>
      <w:pPr>
        <w:autoSpaceDN w:val="0"/>
        <w:autoSpaceDE w:val="0"/>
        <w:widowControl/>
        <w:spacing w:line="240" w:lineRule="exact" w:before="128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mandate is to take only sovereign credit risk in its lending activities. Within country credit risk, three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distinct types of risks can be identified: idiosyncratic risk, correlation risk, and concentration risk. Idiosyncratic risk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is the risk of an individual borrowing country’s exposure falling into nonaccrual status for country-specific reasons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(such as policy slippage or political instability). Correlation risk is the risk that exposure to two or more borrowing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countries will fall into nonaccrual in response to common global or regional economic, political, or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developments. Concentration risk is the risk resulting from having a large portion of exposure outstanding which, if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exposure fell into nonaccrual, would result in IBRD’s financial health being excessively impaired. Concentration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risk needs to be evaluated both on a stand-alone basis (exposure of one borrowing country) and when taking into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account correlation when more than one borrowing country is affected by a common event, such that when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combined, IBRD’s exposure to a common risk is elevated.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estimate idiosyncratic risk and stand-alone concentration risk, the Credit Risk Department looks at IBRD’s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exposure to each borrowing country and each borrowing country’s expected default to IBRD as captured in its credit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rating. Credit ratings and default probabilities reflect country economic, financial and political circumstances,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also consider Environmental, Social and Governance (ESG) risk factors. For correlation risk, the Credit Risk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Department models the potential common factors that could impact borrowing countries simultaneously. The 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1048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45</w:t>
      </w:r>
    </w:p>
    <w:p>
      <w:pPr>
        <w:sectPr>
          <w:pgSz w:w="12240" w:h="15840"/>
          <w:pgMar w:top="302" w:right="1370" w:bottom="244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IX: Risk Management</w:t>
            </w:r>
          </w:p>
        </w:tc>
      </w:tr>
    </w:tbl>
    <w:p>
      <w:pPr>
        <w:autoSpaceDN w:val="0"/>
        <w:autoSpaceDE w:val="0"/>
        <w:widowControl/>
        <w:spacing w:line="240" w:lineRule="exact" w:before="492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existence of correlation increases the likelihood of large nonaccrual events, as most of these nonaccrual events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involve the joint default of two or more obligors in the portfolio.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manages country credit risk by using individual country exposure limits and takes into account factors such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population size and the economic situation of the country. In addition, IBRD conducts stress tests of the effects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changes in market variables and of potential geopolitical events on its portfolio to complement its capital adequacy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framework. </w:t>
      </w:r>
    </w:p>
    <w:p>
      <w:pPr>
        <w:autoSpaceDN w:val="0"/>
        <w:autoSpaceDE w:val="0"/>
        <w:widowControl/>
        <w:spacing w:line="244" w:lineRule="exact" w:before="13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Portfolio Concentration Risk</w:t>
      </w:r>
    </w:p>
    <w:p>
      <w:pPr>
        <w:autoSpaceDN w:val="0"/>
        <w:autoSpaceDE w:val="0"/>
        <w:widowControl/>
        <w:spacing w:line="240" w:lineRule="exact" w:before="126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 concentration risk, which arises when a small group of borrowing countries account for a large share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loans outstanding, is a key concern for IBRD. It is carefully managed for each borrowing country, in part, through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 exposure limit for the aggregate balance of loans outstanding, the present value of guarantees, and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undisbursed portion of Deferred Drawdown Options (DDOs) that have become effective, among other potential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exposures. Under current guidelines, IBRD’s exposure to a single borrowing country is restricted to the lower of 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Equitable Access Limit (EAL) or the Single Borrower Limit (SBL).</w:t>
      </w:r>
    </w:p>
    <w:p>
      <w:pPr>
        <w:autoSpaceDN w:val="0"/>
        <w:autoSpaceDE w:val="0"/>
        <w:widowControl/>
        <w:spacing w:line="244" w:lineRule="exact" w:before="13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Equitable Access Limit</w:t>
      </w:r>
    </w:p>
    <w:p>
      <w:pPr>
        <w:autoSpaceDN w:val="0"/>
        <w:autoSpaceDE w:val="0"/>
        <w:widowControl/>
        <w:spacing w:line="240" w:lineRule="exact" w:before="126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EAL is equal to 10% of IBRD’s Statutory Lending Limit (SLL). Under IBRD’s Articles, as applied, total loans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outstanding, including participations in loans and callable guarantees, may not exceed the sum of unimpaired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subscribed capital, reserves and surplus, referred to as the SLL. As of June 30, 2024, the SLL totaled $356.7 billion,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which the outstanding loans and callable guarantees totaled $270.4 billion, or 76% of the SLL. The EAL was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$35.7 billion, as of June 30, 2024. The SLL was originally intended to ensure that sufficient resources are available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meet IBRD’s obligations to bondholders in the highly unlikely event of substantial and historically unprecedented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losses on IBRD’s loans. IBRD has subsequently adopted an internal risk-based capital adequacy framework based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 risk management practices that have evolved significantly since the time the SLL was established. The SLL is not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 risk-based metric, and could constrain IBRD’s lending capacity below levels that are consistent with its risk-based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framework. Accordingly, IBRD is in the process of amending the Articles to remove the SLL. The Board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Governors approved a Resolution to remove the SLL on July 10, 2023. IBRD is now going through the final stage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amendment process, which requires acceptance by three-fifths of the members having eighty-five percent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voting power.</w:t>
      </w:r>
    </w:p>
    <w:p>
      <w:pPr>
        <w:autoSpaceDN w:val="0"/>
        <w:autoSpaceDE w:val="0"/>
        <w:widowControl/>
        <w:spacing w:line="244" w:lineRule="exact" w:before="13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 xml:space="preserve">Single Borrower Limit </w:t>
      </w:r>
    </w:p>
    <w:p>
      <w:pPr>
        <w:autoSpaceDN w:val="0"/>
        <w:autoSpaceDE w:val="0"/>
        <w:widowControl/>
        <w:spacing w:line="240" w:lineRule="exact" w:before="126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SBL amount is established, in part, by assessing its impact on overall portfolio risk relative to equity. The SBL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caps the maximum exposure to IBRD’s most creditworthy and largest borrowing countries in terms of population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economic size. The SBL framework reflects a dual-SBL system, with the SBL for countries above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Graduation Discussion Income (GDI) threshold set lower than the SBL for countries below GDI. GDI is the level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GNI per capita of a member country above which graduation from IBRD starts being discussed. The GDI threshold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was $7,805 as of July 1, 2023. Under the dual-SBL system, the SBL for FY24 was $28.9 billion for highly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creditworthy countries below the GDI and $21.2 billion for highly creditworthy countries above the GDI.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July 18, 2024, the Board approved the FY25 SBL limits of $30.9 billion and $22.2 billion, respectively. The SBL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framework also contain</w:t>
      </w:r>
      <w:r>
        <w:rPr>
          <w:rFonts w:ascii="TimesNewRoman" w:hAnsi="TimesNewRoman" w:eastAsia="TimesNewRoman"/>
          <w:b w:val="0"/>
          <w:i w:val="0"/>
          <w:color w:val="000000"/>
          <w:sz w:val="20"/>
          <w:u w:val="single"/>
        </w:rPr>
        <w:t>ed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a 50-basis point surcharge (SBL surcharge) payable on the incremental exposure in excess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the SBL surcharge threshold (defined as $2.5 billion below the SBL for the respective GDI group). In April 2024,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Board approved the removal of the SBL surcharge. In the event that a borrowing country eligible for one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limits set under the SBL framework is downgraded to the high-risk category, management may determine that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borrowing country continue to be eligible for borrowing at the currently applicable limit, but the borrowing country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would not be eligible for any future increases in the SBL approved by the Board. During FY24, there were two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countries below-GDI and two countries above-GDI, which have their exposure limits set at the applicable SBLs.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all other countries, the individual country exposure limits were set below the relevant SBL.</w:t>
      </w:r>
    </w:p>
    <w:p>
      <w:pPr>
        <w:autoSpaceDN w:val="0"/>
        <w:autoSpaceDE w:val="0"/>
        <w:widowControl/>
        <w:spacing w:line="240" w:lineRule="exact" w:before="6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June 30, 2024, the ten countries with the highest exposures accounted for about 58% of IBRD’s total exposure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(Figure 20: Country Exposures as of June 30, 2024). IBRD’s largest exposure to a single borrowing country was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$21.4 billion on June 30, 2024. Monitoring these exposures relative to the limit, however, requires consideration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repayment profiles of existing loans, as well as disbursement profiles and projected new loans and guarantees.</w:t>
      </w:r>
    </w:p>
    <w:p>
      <w:pPr>
        <w:autoSpaceDN w:val="0"/>
        <w:tabs>
          <w:tab w:pos="656" w:val="left"/>
        </w:tabs>
        <w:autoSpaceDE w:val="0"/>
        <w:widowControl/>
        <w:spacing w:line="224" w:lineRule="exact" w:before="123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2024</w:t>
      </w:r>
    </w:p>
    <w:p>
      <w:pPr>
        <w:sectPr>
          <w:pgSz w:w="12240" w:h="15840"/>
          <w:pgMar w:top="302" w:right="1370" w:bottom="25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IX: Risk Management</w:t>
            </w:r>
          </w:p>
        </w:tc>
      </w:tr>
    </w:tbl>
    <w:p>
      <w:pPr>
        <w:autoSpaceDN w:val="0"/>
        <w:autoSpaceDE w:val="0"/>
        <w:widowControl/>
        <w:spacing w:line="244" w:lineRule="exact" w:before="506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Sustainable Annual Lending Level (SALL)</w:t>
      </w:r>
    </w:p>
    <w:p>
      <w:pPr>
        <w:autoSpaceDN w:val="0"/>
        <w:autoSpaceDE w:val="0"/>
        <w:widowControl/>
        <w:spacing w:line="240" w:lineRule="exact" w:before="66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“Financial Sustainability Framework” (FSF) requires IBRD to align its annual lending levels to its long-term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sustainable capacity, while retaining flexibility to respond to crises by maintaining a crisis buffer. </w:t>
      </w:r>
    </w:p>
    <w:p>
      <w:pPr>
        <w:autoSpaceDN w:val="0"/>
        <w:autoSpaceDE w:val="0"/>
        <w:widowControl/>
        <w:spacing w:line="240" w:lineRule="exact" w:before="6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SALL is the maximum annual commitment level sustainable, in real terms, for 10 years in line with IBRD’s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capital adequacy framework and the Statutory Lending Limit set out in IBRD’s Articles, as determined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management. Under the FSF, the Board annually approves a crisis buffer. The crisis buffer-adjusted sustainable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annual lending level (SALL-Adj) serves as the upper bound for regular lending in the next year. For the fiscal year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ending June 30, 2024, the Board had approved a crisis buffer of $10.0 billion and a SALL-Adj of $36.0 billion.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June 25, 2024, the Board approved a crisis buffer of $10.0 billion for FY25. The corresponding SALL-Adj, which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will be the core lending ceiling for FY25, is $39.0 billion. The total lending capacity for FY25 from the SALL-Adj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could increase based on the receipt of additional bilateral guarantees as well as portfolio guarantees and hybrid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capital.</w:t>
      </w:r>
    </w:p>
    <w:p>
      <w:pPr>
        <w:autoSpaceDN w:val="0"/>
        <w:autoSpaceDE w:val="0"/>
        <w:widowControl/>
        <w:spacing w:line="196" w:lineRule="exact" w:before="256" w:after="0"/>
        <w:ind w:left="4" w:right="504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Figure 20: Country Exposures as of June 30, 2024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In billions of U.S. dollars</w:t>
      </w:r>
    </w:p>
    <w:p>
      <w:pPr>
        <w:autoSpaceDN w:val="0"/>
        <w:tabs>
          <w:tab w:pos="5642" w:val="left"/>
        </w:tabs>
        <w:autoSpaceDE w:val="0"/>
        <w:widowControl/>
        <w:spacing w:line="134" w:lineRule="exact" w:before="186" w:after="210"/>
        <w:ind w:left="2978" w:right="3600" w:firstLine="0"/>
        <w:jc w:val="left"/>
      </w:pP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a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>Top Ten Country Exposures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>
        <w:trPr>
          <w:trHeight w:hRule="exact" w:val="328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India</w:t>
            </w:r>
          </w:p>
        </w:tc>
        <w:tc>
          <w:tcPr>
            <w:tcW w:type="dxa" w:w="6980"/>
            <w:gridSpan w:val="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635"/>
              <w:gridCol w:w="635"/>
              <w:gridCol w:w="635"/>
              <w:gridCol w:w="635"/>
              <w:gridCol w:w="635"/>
              <w:gridCol w:w="635"/>
              <w:gridCol w:w="635"/>
              <w:gridCol w:w="635"/>
              <w:gridCol w:w="635"/>
              <w:gridCol w:w="635"/>
              <w:gridCol w:w="635"/>
            </w:tblGrid>
            <w:tr>
              <w:trPr>
                <w:trHeight w:hRule="exact" w:val="116"/>
              </w:trPr>
              <w:tc>
                <w:tcPr>
                  <w:tcW w:type="dxa" w:w="6316"/>
                  <w:tcBorders>
                    <w:start w:sz="5.999999523162842" w:val="single" w:color="#484948"/>
                    <w:bottom w:sz="5.999999523162842" w:val="single" w:color="#898A8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076" w:val="left"/>
                      <w:tab w:pos="3136" w:val="left"/>
                      <w:tab w:pos="3466" w:val="left"/>
                      <w:tab w:pos="3856" w:val="left"/>
                      <w:tab w:pos="3976" w:val="left"/>
                      <w:tab w:pos="3990" w:val="left"/>
                      <w:tab w:pos="4230" w:val="left"/>
                      <w:tab w:pos="5446" w:val="left"/>
                      <w:tab w:pos="5746" w:val="left"/>
                    </w:tabs>
                    <w:autoSpaceDE w:val="0"/>
                    <w:widowControl/>
                    <w:spacing w:line="234" w:lineRule="exact" w:before="0" w:after="0"/>
                    <w:ind w:left="2536" w:right="288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 xml:space="preserve">21.4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 xml:space="preserve">20.3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 xml:space="preserve">16.1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 xml:space="preserve">15.2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 xml:space="preserve">15.2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 xml:space="preserve">14.8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 xml:space="preserve">13.4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 xml:space="preserve">12.3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 xml:space="preserve">12.0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>10.1</w:t>
                  </w:r>
                </w:p>
              </w:tc>
              <w:tc>
                <w:tcPr>
                  <w:tcW w:type="dxa" w:w="635"/>
                  <w:tcBorders>
                    <w:start w:sz="5.999999523162842" w:val="single" w:color="#484948"/>
                    <w:bottom w:sz="5.999999523162842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5"/>
                  <w:tcBorders>
                    <w:start w:sz="5.999999523162842" w:val="single" w:color="#484948"/>
                    <w:bottom w:sz="5.999999523162842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5"/>
                  <w:tcBorders>
                    <w:start w:sz="5.999999523162842" w:val="single" w:color="#484948"/>
                    <w:bottom w:sz="5.999999523162842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5"/>
                  <w:tcBorders>
                    <w:start w:sz="5.999999523162842" w:val="single" w:color="#484948"/>
                    <w:bottom w:sz="5.999999523162842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5"/>
                  <w:tcBorders>
                    <w:start w:sz="5.999999523162842" w:val="single" w:color="#484948"/>
                    <w:bottom w:sz="5.999999523162842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5"/>
                  <w:tcBorders>
                    <w:start w:sz="5.999999523162842" w:val="single" w:color="#484948"/>
                    <w:bottom w:sz="5.999999523162842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5"/>
                  <w:tcBorders>
                    <w:start w:sz="5.999999523162842" w:val="single" w:color="#484948"/>
                    <w:bottom w:sz="5.999999523162842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5"/>
                  <w:tcBorders>
                    <w:start w:sz="5.999999523162842" w:val="single" w:color="#484948"/>
                    <w:bottom w:sz="5.999999523162842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5"/>
                  <w:tcBorders>
                    <w:start w:sz="5.999999523162842" w:val="single" w:color="#484948"/>
                    <w:bottom w:sz="5.999999523162842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5"/>
                  <w:tcBorders>
                    <w:start w:sz="5.999999523162842" w:val="single" w:color="#484948"/>
                    <w:bottom w:sz="5.999999523162842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38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Indonesia</w:t>
            </w:r>
          </w:p>
        </w:tc>
        <w:tc>
          <w:tcPr>
            <w:tcW w:type="dxa" w:w="8712"/>
            <w:gridSpan w:val="12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Colombia</w:t>
            </w:r>
          </w:p>
        </w:tc>
        <w:tc>
          <w:tcPr>
            <w:tcW w:type="dxa" w:w="8712"/>
            <w:gridSpan w:val="12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Brazil</w:t>
            </w:r>
          </w:p>
        </w:tc>
        <w:tc>
          <w:tcPr>
            <w:tcW w:type="dxa" w:w="8712"/>
            <w:gridSpan w:val="12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Mexico</w:t>
            </w:r>
          </w:p>
        </w:tc>
        <w:tc>
          <w:tcPr>
            <w:tcW w:type="dxa" w:w="8712"/>
            <w:gridSpan w:val="12"/>
            <w:vMerge/>
            <w:tcBorders/>
          </w:tcPr>
          <w:p/>
        </w:tc>
      </w:tr>
      <w:tr>
        <w:trPr>
          <w:trHeight w:hRule="exact" w:val="29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China</w:t>
            </w:r>
          </w:p>
        </w:tc>
        <w:tc>
          <w:tcPr>
            <w:tcW w:type="dxa" w:w="8712"/>
            <w:gridSpan w:val="12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Philippines</w:t>
            </w:r>
          </w:p>
        </w:tc>
        <w:tc>
          <w:tcPr>
            <w:tcW w:type="dxa" w:w="8712"/>
            <w:gridSpan w:val="12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Türkiye</w:t>
            </w:r>
          </w:p>
        </w:tc>
        <w:tc>
          <w:tcPr>
            <w:tcW w:type="dxa" w:w="8712"/>
            <w:gridSpan w:val="12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Egypt, Arab Republic of</w:t>
            </w:r>
          </w:p>
        </w:tc>
        <w:tc>
          <w:tcPr>
            <w:tcW w:type="dxa" w:w="8712"/>
            <w:gridSpan w:val="12"/>
            <w:vMerge/>
            <w:tcBorders/>
          </w:tcPr>
          <w:p/>
        </w:tc>
      </w:tr>
      <w:tr>
        <w:trPr>
          <w:trHeight w:hRule="exact" w:val="334"/>
        </w:trPr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Argentina</w:t>
            </w:r>
          </w:p>
        </w:tc>
        <w:tc>
          <w:tcPr>
            <w:tcW w:type="dxa" w:w="8712"/>
            <w:gridSpan w:val="12"/>
            <w:vMerge/>
            <w:tcBorders/>
          </w:tcPr>
          <w:p/>
        </w:tc>
      </w:tr>
      <w:tr>
        <w:trPr>
          <w:trHeight w:hRule="exact" w:val="312"/>
        </w:trPr>
        <w:tc>
          <w:tcPr>
            <w:tcW w:type="dxa" w:w="726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22</w:t>
            </w:r>
          </w:p>
        </w:tc>
      </w:tr>
    </w:tbl>
    <w:p>
      <w:pPr>
        <w:autoSpaceDN w:val="0"/>
        <w:autoSpaceDE w:val="0"/>
        <w:widowControl/>
        <w:spacing w:line="180" w:lineRule="exact" w:before="100" w:after="0"/>
        <w:ind w:left="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Exposure includes loans outstanding and guarantees provided and are net of guarantees received. </w:t>
      </w:r>
    </w:p>
    <w:p>
      <w:pPr>
        <w:autoSpaceDN w:val="0"/>
        <w:autoSpaceDE w:val="0"/>
        <w:widowControl/>
        <w:spacing w:line="214" w:lineRule="exact" w:before="128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June 30, 2024, IBRD's loans outstanding to Ukraine were $14.2 billion, and guarantees provided to Ukraine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were $0.5 billion. Guarantees received from third parties for the benefit of Ukraine were $8.1 billion.</w:t>
      </w:r>
    </w:p>
    <w:p>
      <w:pPr>
        <w:autoSpaceDN w:val="0"/>
        <w:autoSpaceDE w:val="0"/>
        <w:widowControl/>
        <w:spacing w:line="242" w:lineRule="exact" w:before="17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Credit-Risk-Bearing Capacity</w:t>
      </w:r>
    </w:p>
    <w:p>
      <w:pPr>
        <w:autoSpaceDN w:val="0"/>
        <w:autoSpaceDE w:val="0"/>
        <w:widowControl/>
        <w:spacing w:line="240" w:lineRule="exact" w:before="126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uses risk models to estimate the size of a potential nonaccrual shock that IBRD could face over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next three years at a given confidence level.  The model-estimated nonaccrual shock is a single measure of the credit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quality of the portfolio that combines the following:</w:t>
      </w:r>
    </w:p>
    <w:p>
      <w:pPr>
        <w:autoSpaceDN w:val="0"/>
        <w:tabs>
          <w:tab w:pos="724" w:val="left"/>
        </w:tabs>
        <w:autoSpaceDE w:val="0"/>
        <w:widowControl/>
        <w:spacing w:line="220" w:lineRule="exact" w:before="140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country-credit-risk ratings and their associated expected risk of default; </w:t>
      </w:r>
    </w:p>
    <w:p>
      <w:pPr>
        <w:autoSpaceDN w:val="0"/>
        <w:tabs>
          <w:tab w:pos="724" w:val="left"/>
        </w:tabs>
        <w:autoSpaceDE w:val="0"/>
        <w:widowControl/>
        <w:spacing w:line="220" w:lineRule="exact" w:before="80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Covariance risks; </w:t>
      </w:r>
    </w:p>
    <w:p>
      <w:pPr>
        <w:autoSpaceDN w:val="0"/>
        <w:tabs>
          <w:tab w:pos="724" w:val="left"/>
        </w:tabs>
        <w:autoSpaceDE w:val="0"/>
        <w:widowControl/>
        <w:spacing w:line="220" w:lineRule="exact" w:before="80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loan portfolio’s distribution across risk rating categories; and</w:t>
      </w:r>
    </w:p>
    <w:p>
      <w:pPr>
        <w:autoSpaceDN w:val="0"/>
        <w:tabs>
          <w:tab w:pos="724" w:val="left"/>
        </w:tabs>
        <w:autoSpaceDE w:val="0"/>
        <w:widowControl/>
        <w:spacing w:line="220" w:lineRule="exact" w:before="80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exposure concentration. </w:t>
      </w:r>
    </w:p>
    <w:p>
      <w:pPr>
        <w:autoSpaceDN w:val="0"/>
        <w:autoSpaceDE w:val="0"/>
        <w:widowControl/>
        <w:spacing w:line="240" w:lineRule="exact" w:before="6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shock estimated by this risk model is used in IBRD’s capital adequacy testing to determine the impact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potential nonaccrual events on equity and income earning capacity.</w:t>
      </w:r>
    </w:p>
    <w:p>
      <w:pPr>
        <w:autoSpaceDN w:val="0"/>
        <w:autoSpaceDE w:val="0"/>
        <w:widowControl/>
        <w:spacing w:line="242" w:lineRule="exact" w:before="136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Expected Losses, Overdue Payments, and Non-Performing Loans</w:t>
      </w:r>
    </w:p>
    <w:p>
      <w:pPr>
        <w:autoSpaceDN w:val="0"/>
        <w:autoSpaceDE w:val="0"/>
        <w:widowControl/>
        <w:spacing w:line="240" w:lineRule="exact" w:before="126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loan loss provision is calculated by taking into account IBRD’s total estimated exposure, the Expected Default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Frequency (EDF), i.e. probability of default, and the assumed loss in the event of default.  Expected losses inherent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the loan portfolio attributable to country credit risk are covered by the accumulated provision for losses on loans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other exposures, while unexpected losses owing to country credit risk are covered by equity (see Notes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Financial Statements, Note A: Summary of Significant Accounting and Related Policies and Note D: Loans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Other Exposures).</w:t>
      </w:r>
    </w:p>
    <w:p>
      <w:pPr>
        <w:autoSpaceDN w:val="0"/>
        <w:tabs>
          <w:tab w:pos="9088" w:val="left"/>
        </w:tabs>
        <w:autoSpaceDE w:val="0"/>
        <w:widowControl/>
        <w:spacing w:line="224" w:lineRule="exact" w:before="756" w:after="0"/>
        <w:ind w:left="32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47</w:t>
      </w:r>
    </w:p>
    <w:p>
      <w:pPr>
        <w:sectPr>
          <w:pgSz w:w="12240" w:h="15840"/>
          <w:pgMar w:top="302" w:right="1370" w:bottom="24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IX: Risk Management</w:t>
            </w:r>
          </w:p>
        </w:tc>
      </w:tr>
    </w:tbl>
    <w:p>
      <w:pPr>
        <w:autoSpaceDN w:val="0"/>
        <w:autoSpaceDE w:val="0"/>
        <w:widowControl/>
        <w:spacing w:line="240" w:lineRule="exact" w:before="49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When a borrower fails to make payments due to IBRD on any principal, interest, or other charges, IBRD may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suspend disbursements immediately on all loans to that borrower. IBRD’s current practice is to exercise this option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using a graduated approach (Box 6). These practices also apply to member countries eligible to borrow from both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and IDA, and whose payments on IDA loans may become overdue. It is IBRD’s practice not to reschedule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interest or principal payments on its loans or participate in debt rescheduling agreements with respect to its loans.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June 30, 2024, there were no principal or interest amounts on loans in accrual status, that were overdue by more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than three months.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June 30, 2024, IBRD had $263.2 billion of loans outstanding, of which 0.5% were in nonaccrual status, all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related to Zimbabwe and Belarus. IBRD’s accumulated provision for losses on loans and other exposures was $3.0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billion, which represents a provisioning rate of less than 1% of the underlying exposures ($2.9 billion as of June 30,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2023, less than 1% of the underlying exposures).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year, IBRD received $4 million ($3 million in FY23) from borrowers in non-accrual status as payments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towards amounts overdue, of which $4 million ($2 million in FY23) relates to the interest income recognized in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Statements of Income. The exposure to Zimbabwe was $426 million as of June 30, 2024, compared with $427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 as of June 30, 2023. The exposure to Belarus was $984 million as of June 30, 2024, compared with $998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million as of June 30, 2023.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No loans to any borrowing country were restored to accrual status during the year.</w:t>
      </w:r>
    </w:p>
    <w:p>
      <w:pPr>
        <w:autoSpaceDN w:val="0"/>
        <w:autoSpaceDE w:val="0"/>
        <w:widowControl/>
        <w:spacing w:line="202" w:lineRule="exact" w:before="146" w:after="36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Box 6: Treatment of Overdue Payments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0"/>
        <w:gridCol w:w="4720"/>
      </w:tblGrid>
      <w:tr>
        <w:trPr>
          <w:trHeight w:hRule="exact" w:val="1994"/>
        </w:trPr>
        <w:tc>
          <w:tcPr>
            <w:tcW w:type="dxa" w:w="990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86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Overdue by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30 days</w:t>
            </w:r>
          </w:p>
        </w:tc>
        <w:tc>
          <w:tcPr>
            <w:tcW w:type="dxa" w:w="8370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42" w:right="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Where the borrower is the member country, no new loans to the member country, or to any other borrower in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country, will be presented to the Board for approval, nor will any previously approved loan be signed, until payments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for all amounts 30 days overdue or longer have been received. Where the borrower is not the member country, no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new loans to that borrower will be signed or approved. In either case, the borrower will lose its eligibility for any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waiver of interest charges in effect at that time for loans signed before May 16, 2007, and those loans signed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between May 16, 2007, and September 27, 2007, if the borrowers elected not to convert the terms of their loans to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the pricing terms effective September 27, 2007. For loans with the pricing terms applicable from May 16, 2007, 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overdue interest penalty will be charged at a rate of 50 basis points on the overdue principal.  In addition, if 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overdue amount remains unpaid for a period of 30 days, then the borrower will pay a higher interest rate (Reference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rate + spread) plus 50 basis points on the overdue principal amount until the overdue amount is fully paid.</w:t>
            </w:r>
          </w:p>
        </w:tc>
      </w:tr>
      <w:tr>
        <w:trPr>
          <w:trHeight w:hRule="exact" w:val="1156"/>
        </w:trPr>
        <w:tc>
          <w:tcPr>
            <w:tcW w:type="dxa" w:w="990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8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Overdue by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45 days</w:t>
            </w:r>
          </w:p>
        </w:tc>
        <w:tc>
          <w:tcPr>
            <w:tcW w:type="dxa" w:w="8370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42" w:right="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 addition to the provisions cited above for payments overdue by 30 days, to avoid proceeding further on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notification process leading to suspension of disbursements, the country as borrower or guarantor and all borrowers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 the country must pay not only all payments overdue by 30 days or more, but also all payments due regardless of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the number of days since they have fallen due. Where the borrower is not the member country, no new loans to, or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guaranteed by, the member country, will be signed or approved. Additionally, all borrowers in the country will lose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eligibility for any waivers of interest in effect at the time.</w:t>
            </w:r>
          </w:p>
        </w:tc>
      </w:tr>
      <w:tr>
        <w:trPr>
          <w:trHeight w:hRule="exact" w:val="840"/>
        </w:trPr>
        <w:tc>
          <w:tcPr>
            <w:tcW w:type="dxa" w:w="990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8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Overdue by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60 days</w:t>
            </w:r>
          </w:p>
        </w:tc>
        <w:tc>
          <w:tcPr>
            <w:tcW w:type="dxa" w:w="8370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42" w:right="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 addition to the suspension of approval for new loans and signing of previously approved loans, disbursements 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all loans to, or guaranteed by, the member country are suspended until all overdue amounts are paid. This policy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applies even when the borrower is not the member country. Under exceptional circumstances, disbursements can be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made to a member country upon the Board’s approval.</w:t>
            </w:r>
          </w:p>
        </w:tc>
      </w:tr>
      <w:tr>
        <w:trPr>
          <w:trHeight w:hRule="exact" w:val="1604"/>
        </w:trPr>
        <w:tc>
          <w:tcPr>
            <w:tcW w:type="dxa" w:w="990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96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Overdue by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more than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six months</w:t>
            </w:r>
          </w:p>
        </w:tc>
        <w:tc>
          <w:tcPr>
            <w:tcW w:type="dxa" w:w="8370"/>
            <w:tcBorders>
              <w:start w:sz="8.0" w:val="single" w:color="#6C6C6C"/>
              <w:top w:sz="8.0" w:val="single" w:color="#6C6C6C"/>
              <w:end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42" w:right="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 addition to the suspension of disbursements on all loans to, or guaranteed by, the member country, all loans made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to or guaranteed by a member of IBRD are placed in nonaccrual status, unless IBRD's management determines that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the overdue amount will be collected in the immediate future. Unpaid interest and other charges accrued but not yet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paid on loans outstanding are deducted from the revenue for the current period. Interest and other charges 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nonaccruing exposures are included in revenue only to the extent that payments have been received by IBRD. 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decision on the restoration of accrual status is made upon arrears clearance. If collectability risk is considered to be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particularly high at the time of arrears clearance, the member’s exposures may not automatically emerge from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nonaccrual status until a suitable period of payment performance has passed. </w:t>
            </w:r>
          </w:p>
        </w:tc>
      </w:tr>
    </w:tbl>
    <w:p>
      <w:pPr>
        <w:autoSpaceDN w:val="0"/>
        <w:autoSpaceDE w:val="0"/>
        <w:widowControl/>
        <w:spacing w:line="244" w:lineRule="exact" w:before="284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Counterparty Credit Risk</w:t>
      </w:r>
    </w:p>
    <w:p>
      <w:pPr>
        <w:autoSpaceDN w:val="0"/>
        <w:autoSpaceDE w:val="0"/>
        <w:widowControl/>
        <w:spacing w:line="220" w:lineRule="exact" w:before="14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is exposed to commercial and non-commercial counterparty credit risk. </w:t>
      </w:r>
    </w:p>
    <w:p>
      <w:pPr>
        <w:autoSpaceDN w:val="0"/>
        <w:autoSpaceDE w:val="0"/>
        <w:widowControl/>
        <w:spacing w:line="244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2"/>
        </w:rPr>
        <w:t>Commercial Counterparty Credit Risk</w:t>
      </w:r>
    </w:p>
    <w:p>
      <w:pPr>
        <w:autoSpaceDN w:val="0"/>
        <w:autoSpaceDE w:val="0"/>
        <w:widowControl/>
        <w:spacing w:line="224" w:lineRule="exact" w:before="14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Commercial counterparty credit risk is the risk that counterparties fail to meet their payment obligations under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terms of the contract or other financial instruments. Effective management of counterparty credit risk is vital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success of IBRD’s funding, investment, and asset/liability management activities. The monitoring and management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of these risks is continuous as the market environment evolves.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980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2024</w:t>
      </w:r>
    </w:p>
    <w:p>
      <w:pPr>
        <w:sectPr>
          <w:pgSz w:w="12240" w:h="15840"/>
          <w:pgMar w:top="302" w:right="1370" w:bottom="252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IX: Risk Management</w:t>
            </w:r>
          </w:p>
        </w:tc>
      </w:tr>
    </w:tbl>
    <w:p>
      <w:pPr>
        <w:autoSpaceDN w:val="0"/>
        <w:autoSpaceDE w:val="0"/>
        <w:widowControl/>
        <w:spacing w:line="224" w:lineRule="exact" w:before="508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mitigates the counterparty credit risk from its investment and derivative holdings through the credit approval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process, the use of collateral agreements and risk limits, and other monitoring procedures. The credit approval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process involves evaluating counterparty and product-specific creditworthiness, assigning internal credit ratings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limits, and determining the risk profile of specific transactions. Credit limits are set and monitored throughout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year. Counterparty exposure is updated daily, considering the current market values of assets held, estimates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potential future movements of exposure for derivative instruments, and related counterparty collateral agreements,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where collateral posting requirements are based on thresholds driven by public credit ratings. Collateral held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includes cash and highly rated liquid investment securities. Commercial credit risk management includes ESG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related assessments in the approval and monitoring of higher exposure counterparties for the liquid asset portfolio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for derivative counterparties. In addition, third-party ESG scores of the liquid asset portfolio and derivative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exposures are monitored. </w:t>
      </w:r>
    </w:p>
    <w:p>
      <w:pPr>
        <w:autoSpaceDN w:val="0"/>
        <w:autoSpaceDE w:val="0"/>
        <w:widowControl/>
        <w:spacing w:line="224" w:lineRule="exact" w:before="224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liquid asset investment portfolio consists mostly of sovereign government bonds, debt instruments issued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sovereign government agencies, and bank time deposits. More than half of these investments are with issuers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counterparties rated triple-A and AA (Table 31). </w:t>
      </w:r>
    </w:p>
    <w:p>
      <w:pPr>
        <w:autoSpaceDN w:val="0"/>
        <w:autoSpaceDE w:val="0"/>
        <w:widowControl/>
        <w:spacing w:line="244" w:lineRule="exact" w:before="222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2"/>
        </w:rPr>
        <w:t>Derivative Instruments</w:t>
      </w:r>
    </w:p>
    <w:p>
      <w:pPr>
        <w:autoSpaceDN w:val="0"/>
        <w:autoSpaceDE w:val="0"/>
        <w:widowControl/>
        <w:spacing w:line="240" w:lineRule="exact" w:before="126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the normal course of its business, IBRD enters into various derivative instruments to manage foreign exchange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interest rate risks. These derivatives are used mainly to meet the financial needs of IBRD borrowers and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 the institution’s exposure to fluctuations in interest and exchange rates. These transactions are conducted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with other financial institutions and, by their nature, entail commercial counterparty credit risk.</w:t>
      </w:r>
    </w:p>
    <w:p>
      <w:pPr>
        <w:autoSpaceDN w:val="0"/>
        <w:autoSpaceDE w:val="0"/>
        <w:widowControl/>
        <w:spacing w:line="240" w:lineRule="exact" w:before="12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While the volume of derivative activity can be measured by the contracted notional value of derivatives, notional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value is not an accurate measure of credit or market risk. IBRD uses the estimated replacement cost of the derivative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instrument, or potential future exposure to measure counterparty credit risk with these trading partners.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IBRD’s collateral arrangements, IBRD receives collateral when mark-to-market exposure is greater than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ratings based collateral threshold. As of June 30, 2024, IBRD had received collateral of cash and securities totaling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$0.3 billion. </w:t>
      </w:r>
    </w:p>
    <w:p>
      <w:pPr>
        <w:autoSpaceDN w:val="0"/>
        <w:autoSpaceDE w:val="0"/>
        <w:widowControl/>
        <w:spacing w:line="240" w:lineRule="exact" w:before="12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is not required to post collateral under its derivative agreements as long as it maintains a triple-A credit rating.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(For the contractual value, notional amounts, related credit risk exposure amounts, and the amount IBRD would be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required to post in the event of a downgrade, see Notes to Financial Statements, Note F: Derivative Instruments).</w:t>
      </w:r>
    </w:p>
    <w:p>
      <w:pPr>
        <w:autoSpaceDN w:val="0"/>
        <w:autoSpaceDE w:val="0"/>
        <w:widowControl/>
        <w:spacing w:line="244" w:lineRule="exact" w:before="13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2"/>
        </w:rPr>
        <w:t>Investment Securities</w:t>
      </w:r>
    </w:p>
    <w:p>
      <w:pPr>
        <w:autoSpaceDN w:val="0"/>
        <w:autoSpaceDE w:val="0"/>
        <w:widowControl/>
        <w:spacing w:line="240" w:lineRule="exact" w:before="126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Board-approved General Investment Authorization provides the basic authority for IBRD to invest its liquid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assets. Furthermore, all investment activities are conducted in accordance with a more detailed set of Investment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Guidelines. The Investment Guidelines are approved by the MDCFO and implemented by the Treasurer.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 Guidelines set out detailed trading and operational rules, including which instruments are eligible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investment, and establish risk parameters relative to benchmarks. These include an overall consultative loss limit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duration deviation, specifying concentration limits on counterparties and instrument classes, as well as clear lines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responsibility for risk monitoring and compliance.  Credit risk is controlled by applying eligibility criteria (Box 7). 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overall market risk of the investment portfolio is subject to a consultative loss limit to reflect a level of tolerance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 risk of underperforming the benchmark in any fiscal year.  IBRD has procedures in place to monitor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performance against this limit and potential risks, and it takes appropriate actions if the limit is reached. All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investments are subject to additional conditions specified by the Chief Risk Officer, as deemed necessary. 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exposure to futures and options and resale agreements is marginal. For futures and options, IBRD generally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closes out open positions prior to expiration. Futures are settled on a daily basis. In addition, IBRD monitors the fair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value of resale securities received and, if necessary, closes out transactions and enters into new repriced transactions. </w:t>
      </w:r>
    </w:p>
    <w:p>
      <w:pPr>
        <w:autoSpaceDN w:val="0"/>
        <w:autoSpaceDE w:val="0"/>
        <w:widowControl/>
        <w:spacing w:line="240" w:lineRule="exact" w:before="12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has broadened its universe of investment assets in an effort to achieve greater diversification in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 and better risk-adjusted investment performance. This exposure is monitored by the Market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Counterparty Risk Department.</w:t>
      </w:r>
    </w:p>
    <w:p>
      <w:pPr>
        <w:autoSpaceDN w:val="0"/>
        <w:tabs>
          <w:tab w:pos="9088" w:val="left"/>
        </w:tabs>
        <w:autoSpaceDE w:val="0"/>
        <w:widowControl/>
        <w:spacing w:line="224" w:lineRule="exact" w:before="1352" w:after="0"/>
        <w:ind w:left="32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49</w:t>
      </w:r>
    </w:p>
    <w:p>
      <w:pPr>
        <w:sectPr>
          <w:pgSz w:w="12240" w:h="15840"/>
          <w:pgMar w:top="302" w:right="1370" w:bottom="24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IX: Risk Management</w:t>
            </w:r>
          </w:p>
        </w:tc>
      </w:tr>
    </w:tbl>
    <w:p>
      <w:pPr>
        <w:autoSpaceDN w:val="0"/>
        <w:autoSpaceDE w:val="0"/>
        <w:widowControl/>
        <w:spacing w:line="226" w:lineRule="exact" w:before="494" w:after="18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Box 7: Eligibility Criteria for IBRD's Investments </w:t>
      </w:r>
      <w:r>
        <w:rPr>
          <w:w w:val="97.49999841054282"/>
          <w:rFonts w:ascii="Arial" w:hAnsi="Arial" w:eastAsia="Arial"/>
          <w:b/>
          <w:i w:val="0"/>
          <w:color w:val="000000"/>
          <w:sz w:val="12"/>
        </w:rPr>
        <w:t>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4132"/>
        </w:trPr>
        <w:tc>
          <w:tcPr>
            <w:tcW w:type="dxa" w:w="94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4705"/>
              <w:gridCol w:w="4705"/>
            </w:tblGrid>
            <w:tr>
              <w:trPr>
                <w:trHeight w:hRule="exact" w:val="240"/>
              </w:trPr>
              <w:tc>
                <w:tcPr>
                  <w:tcW w:type="dxa" w:w="2954"/>
                  <w:tcBorders>
                    <w:start w:sz="8.0" w:val="single" w:color="#6C6C6C"/>
                    <w:top w:sz="8.0" w:val="single" w:color="#6C6C6C"/>
                    <w:end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2" w:after="0"/>
                    <w:ind w:left="4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Instrument Securities</w:t>
                  </w:r>
                </w:p>
              </w:tc>
              <w:tc>
                <w:tcPr>
                  <w:tcW w:type="dxa" w:w="6406"/>
                  <w:tcBorders>
                    <w:start w:sz="8.0" w:val="single" w:color="#6C6C6C"/>
                    <w:top w:sz="8.0" w:val="single" w:color="#6C6C6C"/>
                    <w:end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2" w:after="0"/>
                    <w:ind w:left="4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Description</w:t>
                  </w:r>
                </w:p>
              </w:tc>
            </w:tr>
            <w:tr>
              <w:trPr>
                <w:trHeight w:hRule="exact" w:val="794"/>
              </w:trPr>
              <w:tc>
                <w:tcPr>
                  <w:tcW w:type="dxa" w:w="2954"/>
                  <w:tcBorders>
                    <w:start w:sz="8.0" w:val="single" w:color="#6C6C6C"/>
                    <w:top w:sz="8.0" w:val="single" w:color="#6C6C6C"/>
                    <w:end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96" w:after="0"/>
                    <w:ind w:left="4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Sovereigns</w:t>
                  </w:r>
                </w:p>
              </w:tc>
              <w:tc>
                <w:tcPr>
                  <w:tcW w:type="dxa" w:w="6406"/>
                  <w:tcBorders>
                    <w:start w:sz="8.0" w:val="single" w:color="#6C6C6C"/>
                    <w:top w:sz="8.0" w:val="single" w:color="#6C6C6C"/>
                    <w:end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exact" w:before="0" w:after="0"/>
                    <w:ind w:left="44" w:right="0" w:firstLine="0"/>
                    <w:jc w:val="both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IBRD may only invest in obligations issued or unconditionally guaranteed by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governments of member countries with a minimum credit rating of AA-.  However, no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rating is required if government obligations are denominated in the national currency of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the issuer.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tcW w:type="dxa" w:w="2954"/>
                  <w:tcBorders>
                    <w:start w:sz="8.0" w:val="single" w:color="#6C6C6C"/>
                    <w:top w:sz="8.0" w:val="single" w:color="#6C6C6C"/>
                    <w:end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98" w:after="0"/>
                    <w:ind w:left="4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Agencies</w:t>
                  </w:r>
                </w:p>
              </w:tc>
              <w:tc>
                <w:tcPr>
                  <w:tcW w:type="dxa" w:w="6406"/>
                  <w:tcBorders>
                    <w:start w:sz="8.0" w:val="single" w:color="#6C6C6C"/>
                    <w:top w:sz="8.0" w:val="single" w:color="#6C6C6C"/>
                    <w:end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exact" w:before="0" w:after="0"/>
                    <w:ind w:left="44" w:right="0" w:firstLine="0"/>
                    <w:jc w:val="both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IBRD may invest only in obligations issued by an agency or instrumentality of a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government of a member country, a multilateral organization, or any other official entity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(other than the government of a member country), with a minimum credit rating of AA-.</w:t>
                  </w:r>
                </w:p>
              </w:tc>
            </w:tr>
            <w:tr>
              <w:trPr>
                <w:trHeight w:hRule="exact" w:val="196"/>
              </w:trPr>
              <w:tc>
                <w:tcPr>
                  <w:tcW w:type="dxa" w:w="2954"/>
                  <w:tcBorders>
                    <w:start w:sz="8.0" w:val="single" w:color="#6C6C6C"/>
                    <w:top w:sz="8.0" w:val="single" w:color="#6C6C6C"/>
                    <w:end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Corporates and asset-backed securities</w:t>
                  </w:r>
                </w:p>
              </w:tc>
              <w:tc>
                <w:tcPr>
                  <w:tcW w:type="dxa" w:w="6406"/>
                  <w:tcBorders>
                    <w:start w:sz="8.0" w:val="single" w:color="#6C6C6C"/>
                    <w:top w:sz="8.0" w:val="single" w:color="#6C6C6C"/>
                    <w:end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0" w:after="0"/>
                    <w:ind w:left="4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IBRD may only invest in securities with a triple-A credit rating.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2954"/>
                  <w:tcBorders>
                    <w:start w:sz="8.0" w:val="single" w:color="#6C6C6C"/>
                    <w:top w:sz="8.0" w:val="single" w:color="#6C6C6C"/>
                    <w:end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78" w:after="0"/>
                    <w:ind w:left="6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Time deposits </w:t>
                  </w:r>
                  <w:r>
                    <w:rPr>
                      <w:w w:val="103.99999618530273"/>
                      <w:rFonts w:ascii="ArialMT" w:hAnsi="ArialMT" w:eastAsia="ArialMT"/>
                      <w:b w:val="0"/>
                      <w:i w:val="0"/>
                      <w:color w:val="000000"/>
                      <w:sz w:val="10"/>
                    </w:rPr>
                    <w:t>b</w:t>
                  </w:r>
                </w:p>
              </w:tc>
              <w:tc>
                <w:tcPr>
                  <w:tcW w:type="dxa" w:w="6406"/>
                  <w:tcBorders>
                    <w:start w:sz="8.0" w:val="single" w:color="#6C6C6C"/>
                    <w:top w:sz="8.0" w:val="single" w:color="#6C6C6C"/>
                    <w:end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8" w:lineRule="exact" w:before="0" w:after="0"/>
                    <w:ind w:left="4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IBRD may only invest in time deposits issued or guaranteed by financial institutions,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whose senior debt securities are rated at least A-.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2954"/>
                  <w:tcBorders>
                    <w:start w:sz="8.0" w:val="single" w:color="#6C6C6C"/>
                    <w:top w:sz="8.0" w:val="single" w:color="#6C6C6C"/>
                    <w:end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02" w:after="0"/>
                    <w:ind w:left="4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Commercial Paper</w:t>
                  </w:r>
                </w:p>
              </w:tc>
              <w:tc>
                <w:tcPr>
                  <w:tcW w:type="dxa" w:w="6406"/>
                  <w:tcBorders>
                    <w:start w:sz="8.0" w:val="single" w:color="#6C6C6C"/>
                    <w:top w:sz="8.0" w:val="single" w:color="#6C6C6C"/>
                    <w:end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8" w:lineRule="exact" w:before="0" w:after="0"/>
                    <w:ind w:left="4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IBRD may only invest in short-term borrowings (less than 190 days) from commercial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banks, corporates, and financial institutions with at least two Prime-1 ratings.</w:t>
                  </w:r>
                </w:p>
              </w:tc>
            </w:tr>
            <w:tr>
              <w:trPr>
                <w:trHeight w:hRule="exact" w:val="644"/>
              </w:trPr>
              <w:tc>
                <w:tcPr>
                  <w:tcW w:type="dxa" w:w="2954"/>
                  <w:tcBorders>
                    <w:start w:sz="8.0" w:val="single" w:color="#6C6C6C"/>
                    <w:top w:sz="8.0" w:val="single" w:color="#6C6C6C"/>
                    <w:end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16" w:after="0"/>
                    <w:ind w:left="62" w:right="412" w:firstLine="0"/>
                    <w:jc w:val="both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Securities lending, and borrowing,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repurchases, resales, and reverse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repurchases</w:t>
                  </w:r>
                </w:p>
              </w:tc>
              <w:tc>
                <w:tcPr>
                  <w:tcW w:type="dxa" w:w="6406"/>
                  <w:tcBorders>
                    <w:start w:sz="8.0" w:val="single" w:color="#6C6C6C"/>
                    <w:top w:sz="8.0" w:val="single" w:color="#6C6C6C"/>
                    <w:end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16" w:after="0"/>
                    <w:ind w:left="44" w:right="0" w:firstLine="0"/>
                    <w:jc w:val="both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IBRD may engage in securities lending against adequate collateral, repurchases and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reverse repurchases, against adequate margin protection, of the securities described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under the sovereigns, agencies, and corporates and asset-backed security categories.</w:t>
                  </w:r>
                </w:p>
              </w:tc>
            </w:tr>
            <w:tr>
              <w:trPr>
                <w:trHeight w:hRule="exact" w:val="806"/>
              </w:trPr>
              <w:tc>
                <w:tcPr>
                  <w:tcW w:type="dxa" w:w="2954"/>
                  <w:tcBorders>
                    <w:start w:sz="8.0" w:val="single" w:color="#6C6C6C"/>
                    <w:top w:sz="8.0" w:val="single" w:color="#6C6C6C"/>
                    <w:end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12" w:after="0"/>
                    <w:ind w:left="4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Collateral Assets</w:t>
                  </w:r>
                </w:p>
              </w:tc>
              <w:tc>
                <w:tcPr>
                  <w:tcW w:type="dxa" w:w="6406"/>
                  <w:tcBorders>
                    <w:start w:sz="8.0" w:val="single" w:color="#6C6C6C"/>
                    <w:top w:sz="8.0" w:val="single" w:color="#6C6C6C"/>
                    <w:end w:sz="8.0" w:val="single" w:color="#6C6C6C"/>
                    <w:bottom w:sz="8.0" w:val="single" w:color="#6C6C6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10" w:after="0"/>
                    <w:ind w:left="44" w:right="0" w:firstLine="0"/>
                    <w:jc w:val="both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IBRD may engage in collateralized forward transactions, such as swap, repurchase,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resale, securities lending, or equivalent transactions that involve certain underlying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assets not independently eligible for investment. In each case, adequate margin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protection needs to be received.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90"/>
        </w:trPr>
        <w:tc>
          <w:tcPr>
            <w:tcW w:type="dxa" w:w="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a.</w:t>
            </w:r>
          </w:p>
        </w:tc>
        <w:tc>
          <w:tcPr>
            <w:tcW w:type="dxa" w:w="9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All investments are subject to approval by the Market and Counterparty Risk Department and must appear on the “Approved </w:t>
            </w:r>
          </w:p>
        </w:tc>
      </w:tr>
    </w:tbl>
    <w:p>
      <w:pPr>
        <w:autoSpaceDN w:val="0"/>
        <w:autoSpaceDE w:val="0"/>
        <w:widowControl/>
        <w:spacing w:line="178" w:lineRule="exact" w:before="6" w:after="0"/>
        <w:ind w:left="44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List” created by the department.</w:t>
      </w:r>
    </w:p>
    <w:p>
      <w:pPr>
        <w:autoSpaceDN w:val="0"/>
        <w:tabs>
          <w:tab w:pos="444" w:val="left"/>
        </w:tabs>
        <w:autoSpaceDE w:val="0"/>
        <w:widowControl/>
        <w:spacing w:line="192" w:lineRule="exact" w:before="40" w:after="0"/>
        <w:ind w:left="8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Time deposits include certificates of deposit, bankers’ acceptances, and other obligations issued or unconditionally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guaranteed by banks or other financial institutions.</w:t>
      </w:r>
    </w:p>
    <w:p>
      <w:pPr>
        <w:autoSpaceDN w:val="0"/>
        <w:autoSpaceDE w:val="0"/>
        <w:widowControl/>
        <w:spacing w:line="244" w:lineRule="exact" w:before="18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2"/>
        </w:rPr>
        <w:t>Commercial Counterparty Credit Risk Exposure</w:t>
      </w:r>
    </w:p>
    <w:p>
      <w:pPr>
        <w:autoSpaceDN w:val="0"/>
        <w:autoSpaceDE w:val="0"/>
        <w:widowControl/>
        <w:spacing w:line="240" w:lineRule="exact" w:before="12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a result of IBRD’s use of collateral arrangements for swap transactions, its residual commercial counterparty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credit risk is concentrated in the investment portfolio, in instruments issued by sovereign governments and non-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sovereign holdings (including agencies, asset-backed securities) (Table 31). </w:t>
      </w:r>
    </w:p>
    <w:p>
      <w:pPr>
        <w:autoSpaceDN w:val="0"/>
        <w:autoSpaceDE w:val="0"/>
        <w:widowControl/>
        <w:spacing w:line="216" w:lineRule="exact" w:before="172" w:after="0"/>
        <w:ind w:left="62" w:right="2016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Table 31: Commercial Credit Exposure, Net of Collateral Held, by Counterparty Rating </w:t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46" w:after="16"/>
        <w:ind w:left="0" w:right="3014" w:firstLine="0"/>
        <w:jc w:val="right"/>
      </w:pPr>
      <w:r>
        <w:rPr>
          <w:rFonts w:ascii="Arial" w:hAnsi="Arial" w:eastAsia="Arial"/>
          <w:b w:val="0"/>
          <w:i/>
          <w:color w:val="A6A6A6"/>
          <w:sz w:val="16"/>
        </w:rPr>
        <w:t>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6656"/>
        </w:trPr>
        <w:tc>
          <w:tcPr>
            <w:tcW w:type="dxa" w:w="47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710" w:after="0"/>
              <w:ind w:left="242" w:right="22" w:hanging="180"/>
              <w:jc w:val="both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a. Av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fro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sin</w:t>
            </w:r>
          </w:p>
          <w:p>
            <w:pPr>
              <w:autoSpaceDN w:val="0"/>
              <w:autoSpaceDE w:val="0"/>
              <w:widowControl/>
              <w:spacing w:line="178" w:lineRule="exact" w:before="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*  Indi</w:t>
            </w:r>
          </w:p>
          <w:p>
            <w:pPr>
              <w:autoSpaceDN w:val="0"/>
              <w:autoSpaceDE w:val="0"/>
              <w:widowControl/>
              <w:spacing w:line="224" w:lineRule="exact" w:before="88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50</w:t>
            </w:r>
          </w:p>
        </w:tc>
        <w:tc>
          <w:tcPr>
            <w:tcW w:type="dxa" w:w="891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507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Investments</w:t>
            </w:r>
          </w:p>
          <w:p>
            <w:pPr>
              <w:autoSpaceDN w:val="0"/>
              <w:autoSpaceDE w:val="0"/>
              <w:widowControl/>
              <w:spacing w:line="178" w:lineRule="exact" w:before="2060" w:after="0"/>
              <w:ind w:left="0" w:right="295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June 30, 2023</w:t>
            </w:r>
          </w:p>
          <w:p>
            <w:pPr>
              <w:autoSpaceDN w:val="0"/>
              <w:autoSpaceDE w:val="0"/>
              <w:widowControl/>
              <w:spacing w:line="180" w:lineRule="exact" w:before="42" w:after="0"/>
              <w:ind w:left="0" w:right="507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Investments</w:t>
            </w:r>
          </w:p>
          <w:p>
            <w:pPr>
              <w:autoSpaceDN w:val="0"/>
              <w:autoSpaceDE w:val="0"/>
              <w:widowControl/>
              <w:spacing w:line="192" w:lineRule="exact" w:before="2064" w:after="0"/>
              <w:ind w:left="0" w:right="7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erage rating is calculated using available ratings from the three major rating agencies; however, if ratings are not available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m each of the three rating agencies, IBRD uses the average of the ratings available from any of such rating agencies or a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single rating to the extent that an instrument or issuer (as applicable) is rated by only one rating agency.</w:t>
            </w:r>
          </w:p>
          <w:p>
            <w:pPr>
              <w:autoSpaceDN w:val="0"/>
              <w:autoSpaceDE w:val="0"/>
              <w:widowControl/>
              <w:spacing w:line="178" w:lineRule="exact" w:before="7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*  Indicates percentage less than 0.5%.</w:t>
            </w:r>
          </w:p>
          <w:p>
            <w:pPr>
              <w:autoSpaceDN w:val="0"/>
              <w:autoSpaceDE w:val="0"/>
              <w:widowControl/>
              <w:spacing w:line="224" w:lineRule="exact" w:before="886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2024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213"/>
        </w:trPr>
        <w:tc>
          <w:tcPr>
            <w:tcW w:type="dxa" w:w="246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Counterparty Rating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494949"/>
                <w:sz w:val="10"/>
              </w:rPr>
              <w:t>a</w:t>
            </w:r>
          </w:p>
        </w:tc>
        <w:tc>
          <w:tcPr>
            <w:tcW w:type="dxa" w:w="21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6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Sovereigns</w:t>
            </w:r>
          </w:p>
        </w:tc>
        <w:tc>
          <w:tcPr>
            <w:tcW w:type="dxa" w:w="1500"/>
            <w:gridSpan w:val="2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Non-Sovereigns</w:t>
            </w:r>
          </w:p>
        </w:tc>
        <w:tc>
          <w:tcPr>
            <w:tcW w:type="dxa" w:w="284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Net Swap </w:t>
            </w:r>
          </w:p>
        </w:tc>
        <w:tc>
          <w:tcPr>
            <w:tcW w:type="dxa" w:w="30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2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Total </w:t>
            </w:r>
          </w:p>
        </w:tc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45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% of </w:t>
            </w:r>
          </w:p>
        </w:tc>
      </w:tr>
      <w:tr>
        <w:trPr>
          <w:trHeight w:hRule="exact" w:val="220"/>
        </w:trPr>
        <w:tc>
          <w:tcPr>
            <w:tcW w:type="dxa" w:w="944"/>
            <w:vMerge/>
            <w:tcBorders>
              <w:bottom w:sz="8.0" w:val="single" w:color="#6C6C6C"/>
            </w:tcBorders>
          </w:tcPr>
          <w:p/>
        </w:tc>
        <w:tc>
          <w:tcPr>
            <w:tcW w:type="dxa" w:w="944"/>
            <w:vMerge/>
            <w:tcBorders>
              <w:bottom w:sz="8.0" w:val="single" w:color="#6C6C6C"/>
            </w:tcBorders>
          </w:tcPr>
          <w:p/>
        </w:tc>
        <w:tc>
          <w:tcPr>
            <w:tcW w:type="dxa" w:w="944"/>
            <w:vMerge/>
            <w:tcBorders>
              <w:bottom w:sz="8.0" w:val="single" w:color="#6C6C6C"/>
            </w:tcBorders>
          </w:tcPr>
          <w:p/>
        </w:tc>
        <w:tc>
          <w:tcPr>
            <w:tcW w:type="dxa" w:w="1888"/>
            <w:gridSpan w:val="2"/>
            <w:vMerge/>
            <w:tcBorders>
              <w:bottom w:sz="8.0" w:val="single" w:color="#6C6C6C"/>
            </w:tcBorders>
          </w:tcPr>
          <w:p/>
        </w:tc>
        <w:tc>
          <w:tcPr>
            <w:tcW w:type="dxa" w:w="944"/>
            <w:vMerge/>
            <w:tcBorders>
              <w:bottom w:sz="8.0" w:val="single" w:color="#6C6C6C"/>
            </w:tcBorders>
          </w:tcPr>
          <w:p/>
        </w:tc>
        <w:tc>
          <w:tcPr>
            <w:tcW w:type="dxa" w:w="108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8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Exposure</w:t>
            </w:r>
          </w:p>
        </w:tc>
        <w:tc>
          <w:tcPr>
            <w:tcW w:type="dxa" w:w="944"/>
            <w:vMerge/>
            <w:tcBorders>
              <w:bottom w:sz="8.0" w:val="single" w:color="#6C6C6C"/>
            </w:tcBorders>
          </w:tcPr>
          <w:p/>
        </w:tc>
        <w:tc>
          <w:tcPr>
            <w:tcW w:type="dxa" w:w="1064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Exposure</w:t>
            </w:r>
          </w:p>
        </w:tc>
        <w:tc>
          <w:tcPr>
            <w:tcW w:type="dxa" w:w="136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Total</w:t>
            </w:r>
          </w:p>
        </w:tc>
      </w:tr>
      <w:tr>
        <w:trPr>
          <w:trHeight w:hRule="exact" w:val="220"/>
        </w:trPr>
        <w:tc>
          <w:tcPr>
            <w:tcW w:type="dxa" w:w="246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AAA</w:t>
            </w:r>
          </w:p>
        </w:tc>
        <w:tc>
          <w:tcPr>
            <w:tcW w:type="dxa" w:w="210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21,337 </w:t>
            </w:r>
          </w:p>
        </w:tc>
        <w:tc>
          <w:tcPr>
            <w:tcW w:type="dxa" w:w="56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8,157 </w:t>
            </w:r>
          </w:p>
        </w:tc>
        <w:tc>
          <w:tcPr>
            <w:tcW w:type="dxa" w:w="284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8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0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29,494 </w:t>
            </w:r>
          </w:p>
        </w:tc>
        <w:tc>
          <w:tcPr>
            <w:tcW w:type="dxa" w:w="136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38 %</w:t>
            </w:r>
          </w:p>
        </w:tc>
      </w:tr>
      <w:tr>
        <w:trPr>
          <w:trHeight w:hRule="exact" w:val="220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AA</w:t>
            </w:r>
          </w:p>
        </w:tc>
        <w:tc>
          <w:tcPr>
            <w:tcW w:type="dxa" w:w="944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156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31,763 </w:t>
            </w:r>
          </w:p>
        </w:tc>
        <w:tc>
          <w:tcPr>
            <w:tcW w:type="dxa" w:w="944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 </w:t>
            </w:r>
          </w:p>
        </w:tc>
        <w:tc>
          <w:tcPr>
            <w:tcW w:type="dxa" w:w="944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31,938 </w:t>
            </w:r>
          </w:p>
        </w:tc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41 </w:t>
            </w:r>
          </w:p>
        </w:tc>
      </w:tr>
      <w:tr>
        <w:trPr>
          <w:trHeight w:hRule="exact" w:val="220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944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7,096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8,711 </w:t>
            </w:r>
          </w:p>
        </w:tc>
        <w:tc>
          <w:tcPr>
            <w:tcW w:type="dxa" w:w="944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135 </w:t>
            </w:r>
          </w:p>
        </w:tc>
        <w:tc>
          <w:tcPr>
            <w:tcW w:type="dxa" w:w="944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15,942 </w:t>
            </w:r>
          </w:p>
        </w:tc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21 </w:t>
            </w:r>
          </w:p>
        </w:tc>
      </w:tr>
      <w:tr>
        <w:trPr>
          <w:trHeight w:hRule="exact" w:val="220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BBB</w:t>
            </w:r>
          </w:p>
        </w:tc>
        <w:tc>
          <w:tcPr>
            <w:tcW w:type="dxa" w:w="944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 </w:t>
            </w:r>
          </w:p>
        </w:tc>
        <w:tc>
          <w:tcPr>
            <w:tcW w:type="dxa" w:w="944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44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 </w:t>
            </w:r>
          </w:p>
        </w:tc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246"/>
        </w:trPr>
        <w:tc>
          <w:tcPr>
            <w:tcW w:type="dxa" w:w="246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BB or lower/unrated</w:t>
            </w:r>
          </w:p>
        </w:tc>
        <w:tc>
          <w:tcPr>
            <w:tcW w:type="dxa" w:w="944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11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500"/>
            <w:gridSpan w:val="2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944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8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944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64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136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204"/>
        </w:trPr>
        <w:tc>
          <w:tcPr>
            <w:tcW w:type="dxa" w:w="246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1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28,592 </w:t>
            </w:r>
          </w:p>
        </w:tc>
        <w:tc>
          <w:tcPr>
            <w:tcW w:type="dxa" w:w="56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48,669 </w:t>
            </w:r>
          </w:p>
        </w:tc>
        <w:tc>
          <w:tcPr>
            <w:tcW w:type="dxa" w:w="28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8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156 </w:t>
            </w:r>
          </w:p>
        </w:tc>
        <w:tc>
          <w:tcPr>
            <w:tcW w:type="dxa" w:w="30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4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77,417 </w:t>
            </w:r>
          </w:p>
        </w:tc>
        <w:tc>
          <w:tcPr>
            <w:tcW w:type="dxa" w:w="136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213"/>
        </w:trPr>
        <w:tc>
          <w:tcPr>
            <w:tcW w:type="dxa" w:w="246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2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Counterparty Rating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494949"/>
                <w:sz w:val="10"/>
              </w:rPr>
              <w:t>a</w:t>
            </w:r>
          </w:p>
        </w:tc>
        <w:tc>
          <w:tcPr>
            <w:tcW w:type="dxa" w:w="21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Sovereigns</w:t>
            </w:r>
          </w:p>
        </w:tc>
        <w:tc>
          <w:tcPr>
            <w:tcW w:type="dxa" w:w="1500"/>
            <w:gridSpan w:val="2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Non-Sovereigns</w:t>
            </w:r>
          </w:p>
        </w:tc>
        <w:tc>
          <w:tcPr>
            <w:tcW w:type="dxa" w:w="284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Net Swap </w:t>
            </w:r>
          </w:p>
        </w:tc>
        <w:tc>
          <w:tcPr>
            <w:tcW w:type="dxa" w:w="30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Total </w:t>
            </w:r>
          </w:p>
        </w:tc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5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% of </w:t>
            </w:r>
          </w:p>
        </w:tc>
      </w:tr>
      <w:tr>
        <w:trPr>
          <w:trHeight w:hRule="exact" w:val="220"/>
        </w:trPr>
        <w:tc>
          <w:tcPr>
            <w:tcW w:type="dxa" w:w="944"/>
            <w:vMerge/>
            <w:tcBorders>
              <w:bottom w:sz="8.0" w:val="single" w:color="#6C6C6C"/>
            </w:tcBorders>
          </w:tcPr>
          <w:p/>
        </w:tc>
        <w:tc>
          <w:tcPr>
            <w:tcW w:type="dxa" w:w="944"/>
            <w:vMerge/>
            <w:tcBorders>
              <w:bottom w:sz="8.0" w:val="single" w:color="#6C6C6C"/>
            </w:tcBorders>
          </w:tcPr>
          <w:p/>
        </w:tc>
        <w:tc>
          <w:tcPr>
            <w:tcW w:type="dxa" w:w="944"/>
            <w:vMerge/>
            <w:tcBorders>
              <w:bottom w:sz="8.0" w:val="single" w:color="#6C6C6C"/>
            </w:tcBorders>
          </w:tcPr>
          <w:p/>
        </w:tc>
        <w:tc>
          <w:tcPr>
            <w:tcW w:type="dxa" w:w="1888"/>
            <w:gridSpan w:val="2"/>
            <w:vMerge/>
            <w:tcBorders>
              <w:bottom w:sz="8.0" w:val="single" w:color="#6C6C6C"/>
            </w:tcBorders>
          </w:tcPr>
          <w:p/>
        </w:tc>
        <w:tc>
          <w:tcPr>
            <w:tcW w:type="dxa" w:w="944"/>
            <w:vMerge/>
            <w:tcBorders>
              <w:bottom w:sz="8.0" w:val="single" w:color="#6C6C6C"/>
            </w:tcBorders>
          </w:tcPr>
          <w:p/>
        </w:tc>
        <w:tc>
          <w:tcPr>
            <w:tcW w:type="dxa" w:w="108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8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Exposure</w:t>
            </w:r>
          </w:p>
        </w:tc>
        <w:tc>
          <w:tcPr>
            <w:tcW w:type="dxa" w:w="944"/>
            <w:vMerge/>
            <w:tcBorders>
              <w:bottom w:sz="8.0" w:val="single" w:color="#6C6C6C"/>
            </w:tcBorders>
          </w:tcPr>
          <w:p/>
        </w:tc>
        <w:tc>
          <w:tcPr>
            <w:tcW w:type="dxa" w:w="1064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Exposure</w:t>
            </w:r>
          </w:p>
        </w:tc>
        <w:tc>
          <w:tcPr>
            <w:tcW w:type="dxa" w:w="136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Total</w:t>
            </w:r>
          </w:p>
        </w:tc>
      </w:tr>
      <w:tr>
        <w:trPr>
          <w:trHeight w:hRule="exact" w:val="220"/>
        </w:trPr>
        <w:tc>
          <w:tcPr>
            <w:tcW w:type="dxa" w:w="246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AAA</w:t>
            </w:r>
          </w:p>
        </w:tc>
        <w:tc>
          <w:tcPr>
            <w:tcW w:type="dxa" w:w="210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9,583 </w:t>
            </w:r>
          </w:p>
        </w:tc>
        <w:tc>
          <w:tcPr>
            <w:tcW w:type="dxa" w:w="56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8,844 </w:t>
            </w:r>
          </w:p>
        </w:tc>
        <w:tc>
          <w:tcPr>
            <w:tcW w:type="dxa" w:w="284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8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0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18,427 </w:t>
            </w:r>
          </w:p>
        </w:tc>
        <w:tc>
          <w:tcPr>
            <w:tcW w:type="dxa" w:w="136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23 %</w:t>
            </w:r>
          </w:p>
        </w:tc>
      </w:tr>
      <w:tr>
        <w:trPr>
          <w:trHeight w:hRule="exact" w:val="220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AA</w:t>
            </w:r>
          </w:p>
        </w:tc>
        <w:tc>
          <w:tcPr>
            <w:tcW w:type="dxa" w:w="944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6,778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36,481 </w:t>
            </w:r>
          </w:p>
        </w:tc>
        <w:tc>
          <w:tcPr>
            <w:tcW w:type="dxa" w:w="944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 </w:t>
            </w:r>
          </w:p>
        </w:tc>
        <w:tc>
          <w:tcPr>
            <w:tcW w:type="dxa" w:w="944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43,313 </w:t>
            </w:r>
          </w:p>
        </w:tc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54 </w:t>
            </w:r>
          </w:p>
        </w:tc>
      </w:tr>
      <w:tr>
        <w:trPr>
          <w:trHeight w:hRule="exact" w:val="220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944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7,240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11,505 </w:t>
            </w:r>
          </w:p>
        </w:tc>
        <w:tc>
          <w:tcPr>
            <w:tcW w:type="dxa" w:w="944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131 </w:t>
            </w:r>
          </w:p>
        </w:tc>
        <w:tc>
          <w:tcPr>
            <w:tcW w:type="dxa" w:w="944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18,876 </w:t>
            </w:r>
          </w:p>
        </w:tc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23 </w:t>
            </w:r>
          </w:p>
        </w:tc>
      </w:tr>
      <w:tr>
        <w:trPr>
          <w:trHeight w:hRule="exact" w:val="220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BBB</w:t>
            </w:r>
          </w:p>
        </w:tc>
        <w:tc>
          <w:tcPr>
            <w:tcW w:type="dxa" w:w="944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 </w:t>
            </w:r>
          </w:p>
        </w:tc>
        <w:tc>
          <w:tcPr>
            <w:tcW w:type="dxa" w:w="944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44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 </w:t>
            </w:r>
          </w:p>
        </w:tc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246"/>
        </w:trPr>
        <w:tc>
          <w:tcPr>
            <w:tcW w:type="dxa" w:w="246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BB or lower/unrated</w:t>
            </w:r>
          </w:p>
        </w:tc>
        <w:tc>
          <w:tcPr>
            <w:tcW w:type="dxa" w:w="944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11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500"/>
            <w:gridSpan w:val="2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944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8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44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64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136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184"/>
        </w:trPr>
        <w:tc>
          <w:tcPr>
            <w:tcW w:type="dxa" w:w="246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1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23,605 </w:t>
            </w:r>
          </w:p>
        </w:tc>
        <w:tc>
          <w:tcPr>
            <w:tcW w:type="dxa" w:w="56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6"/>
            <w:tcBorders>
              <w:top w:sz="8.0" w:val="single" w:color="#6C6C6C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56,865 </w:t>
            </w:r>
          </w:p>
        </w:tc>
        <w:tc>
          <w:tcPr>
            <w:tcW w:type="dxa" w:w="28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8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185 </w:t>
            </w:r>
          </w:p>
        </w:tc>
        <w:tc>
          <w:tcPr>
            <w:tcW w:type="dxa" w:w="30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4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80,655 </w:t>
            </w:r>
          </w:p>
        </w:tc>
        <w:tc>
          <w:tcPr>
            <w:tcW w:type="dxa" w:w="136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02" w:right="1370" w:bottom="252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IX: Risk Management</w:t>
            </w:r>
          </w:p>
        </w:tc>
      </w:tr>
    </w:tbl>
    <w:p>
      <w:pPr>
        <w:autoSpaceDN w:val="0"/>
        <w:autoSpaceDE w:val="0"/>
        <w:widowControl/>
        <w:spacing w:line="240" w:lineRule="exact" w:before="49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overall commercial counterparty credit exposure, net of collateral held, was $80.7 billion as of June 30,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2024. As shown on Table 31, the credit quality of IBRD’s portfolio remains concentrated in the upper end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credit spectrum, with 77% of the portfolio rated AA or above and the remaining portfolio primarily rated A. The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rated counterparties primarily consisted of sovereigns and financial institutions (limited to short-term deposits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swaps).</w:t>
      </w:r>
    </w:p>
    <w:p>
      <w:pPr>
        <w:autoSpaceDN w:val="0"/>
        <w:autoSpaceDE w:val="0"/>
        <w:widowControl/>
        <w:spacing w:line="244" w:lineRule="exact" w:before="19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2"/>
        </w:rPr>
        <w:t>Non-Commercial Counterparty Credit Risk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addition to its derivative transactions with commercial counterparties, IBRD offers derivative-intermediation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other services to borrowing member countries, as well as to affiliated and non-affiliated organizations, to help meet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their development needs or to carry out their development mandates (Table 32): </w:t>
      </w:r>
    </w:p>
    <w:p>
      <w:pPr>
        <w:autoSpaceDN w:val="0"/>
        <w:autoSpaceDE w:val="0"/>
        <w:widowControl/>
        <w:spacing w:line="196" w:lineRule="exact" w:before="152" w:after="0"/>
        <w:ind w:left="10" w:right="4896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Table 32: Non-Commercial Counterparty Credit Risk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134" w:after="2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Exposures as of 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208"/>
        </w:trPr>
        <w:tc>
          <w:tcPr>
            <w:tcW w:type="dxa" w:w="2030"/>
            <w:gridSpan w:val="2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Non-Commercial </w:t>
            </w:r>
          </w:p>
        </w:tc>
        <w:tc>
          <w:tcPr>
            <w:tcW w:type="dxa" w:w="1312"/>
            <w:gridSpan w:val="2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Instrument used</w:t>
            </w:r>
          </w:p>
        </w:tc>
        <w:tc>
          <w:tcPr>
            <w:tcW w:type="dxa" w:w="3888"/>
            <w:gridSpan w:val="2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8" w:after="0"/>
              <w:ind w:left="8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Purpose of derivative transaction</w:t>
            </w:r>
          </w:p>
        </w:tc>
        <w:tc>
          <w:tcPr>
            <w:tcW w:type="dxa" w:w="90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Notional</w:t>
            </w:r>
          </w:p>
        </w:tc>
        <w:tc>
          <w:tcPr>
            <w:tcW w:type="dxa" w:w="128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Net Exposure</w:t>
            </w:r>
          </w:p>
        </w:tc>
      </w:tr>
      <w:tr>
        <w:trPr>
          <w:trHeight w:hRule="exact" w:val="212"/>
        </w:trPr>
        <w:tc>
          <w:tcPr>
            <w:tcW w:type="dxa" w:w="2030"/>
            <w:gridSpan w:val="2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Counterparty</w:t>
            </w:r>
          </w:p>
        </w:tc>
        <w:tc>
          <w:tcPr>
            <w:tcW w:type="dxa" w:w="2360"/>
            <w:gridSpan w:val="2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2360"/>
            <w:gridSpan w:val="2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180"/>
            <w:vMerge/>
            <w:tcBorders>
              <w:bottom w:sz="8.0" w:val="single" w:color="#6C6C6C"/>
            </w:tcBorders>
          </w:tcPr>
          <w:p/>
        </w:tc>
        <w:tc>
          <w:tcPr>
            <w:tcW w:type="dxa" w:w="1180"/>
            <w:vMerge/>
            <w:tcBorders>
              <w:bottom w:sz="8.0" w:val="single" w:color="#6C6C6C"/>
            </w:tcBorders>
          </w:tcPr>
          <w:p/>
        </w:tc>
      </w:tr>
      <w:tr>
        <w:trPr>
          <w:trHeight w:hRule="exact" w:val="206"/>
        </w:trPr>
        <w:tc>
          <w:tcPr>
            <w:tcW w:type="dxa" w:w="2030"/>
            <w:gridSpan w:val="2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Borrowing Member </w:t>
            </w:r>
          </w:p>
        </w:tc>
        <w:tc>
          <w:tcPr>
            <w:tcW w:type="dxa" w:w="113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Derivatives</w:t>
            </w:r>
          </w:p>
        </w:tc>
        <w:tc>
          <w:tcPr>
            <w:tcW w:type="dxa" w:w="3484"/>
            <w:gridSpan w:val="2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Assist borrowing member countries with </w:t>
            </w:r>
          </w:p>
        </w:tc>
        <w:tc>
          <w:tcPr>
            <w:tcW w:type="dxa" w:w="58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7,832 $ </w:t>
            </w:r>
          </w:p>
        </w:tc>
        <w:tc>
          <w:tcPr>
            <w:tcW w:type="dxa" w:w="128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02"/>
        </w:trPr>
        <w:tc>
          <w:tcPr>
            <w:tcW w:type="dxa" w:w="20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Countries</w:t>
            </w:r>
          </w:p>
        </w:tc>
        <w:tc>
          <w:tcPr>
            <w:tcW w:type="dxa" w:w="7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managing risks</w:t>
            </w:r>
          </w:p>
        </w:tc>
      </w:tr>
      <w:tr>
        <w:trPr>
          <w:trHeight w:hRule="exact" w:val="240"/>
        </w:trPr>
        <w:tc>
          <w:tcPr>
            <w:tcW w:type="dxa" w:w="20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Non-Affiliated Organization</w:t>
            </w:r>
          </w:p>
        </w:tc>
        <w:tc>
          <w:tcPr>
            <w:tcW w:type="dxa" w:w="1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Derivatives</w:t>
            </w:r>
          </w:p>
        </w:tc>
        <w:tc>
          <w:tcPr>
            <w:tcW w:type="dxa" w:w="40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Assist IFFIm with managing risks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2,132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32"/>
        </w:trPr>
        <w:tc>
          <w:tcPr>
            <w:tcW w:type="dxa" w:w="723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9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9,964 $ </w:t>
            </w:r>
          </w:p>
        </w:tc>
        <w:tc>
          <w:tcPr>
            <w:tcW w:type="dxa" w:w="128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2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4"/>
        </w:trPr>
        <w:tc>
          <w:tcPr>
            <w:tcW w:type="dxa" w:w="7230"/>
            <w:gridSpan w:val="6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vMerge/>
            <w:tcBorders>
              <w:bottom w:sz="8.0" w:val="single" w:color="#6C6C6C"/>
            </w:tcBorders>
          </w:tcPr>
          <w:p/>
        </w:tc>
        <w:tc>
          <w:tcPr>
            <w:tcW w:type="dxa" w:w="1180"/>
            <w:vMerge/>
            <w:tcBorders>
              <w:bottom w:sz="8.0" w:val="single" w:color="#6C6C6C"/>
            </w:tcBorders>
          </w:tcPr>
          <w:p/>
        </w:tc>
      </w:tr>
      <w:tr>
        <w:trPr>
          <w:trHeight w:hRule="exact" w:val="462"/>
        </w:trPr>
        <w:tc>
          <w:tcPr>
            <w:tcW w:type="dxa" w:w="57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0" w:after="0"/>
              <w:ind w:left="0" w:right="13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840"/>
            <w:gridSpan w:val="7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0" w:after="0"/>
              <w:ind w:left="16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/>
                <w:color w:val="000000"/>
                <w:sz w:val="20"/>
              </w:rPr>
              <w:t>Borrowing Member Countries: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 Currency and interest rate swap transactions are executed between IBRD 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73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its borrowers under master derivative agreements. As of June 30, 2024, the notional amounts were $7.8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billion with no net exposure to IBRD under these agreements. Expected losses inherent in these exposures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due to country credit risk are incorporated in the fair value of these instruments.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60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/>
          <w:color w:val="000000"/>
          <w:sz w:val="20"/>
        </w:rPr>
        <w:t>Affiliated Organizations: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Derivative contracts were executed between IBRD and IDA, under an agreement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allowing IBRD to intermediate derivative contracts on behalf of IDA. As of June 30, 2024, IBRD did not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have any exposure to IDA under these agreements. </w:t>
      </w:r>
    </w:p>
    <w:p>
      <w:pPr>
        <w:autoSpaceDN w:val="0"/>
        <w:tabs>
          <w:tab w:pos="730" w:val="left"/>
        </w:tabs>
        <w:autoSpaceDE w:val="0"/>
        <w:widowControl/>
        <w:spacing w:line="224" w:lineRule="exact" w:before="60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/>
          <w:color w:val="000000"/>
          <w:sz w:val="20"/>
        </w:rPr>
        <w:t>Non-Affiliated Organizations: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IBRD has a master derivatives agreement with IFFIm, under which several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transactions have been executed. As of June 30, 2024, the notional amounts were $2.1 billion with no net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fair value exposures to IBRD under this agreement. IBRD has the right to call for collateral above an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agreed specified threshold. As of June 30, 2024, IBRD had not exercised this right, but it reserves the right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the existing terms of the agreement. Rather than calling for collateral, IBRD and IFFIm have agreed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manage IBRD’s exposure by applying a risk management buffer to the gearing ratio limit. The gearing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ratio limit represents the maximum amount of IFFIm’s net financial obligations less cash and liquid assets,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as a percentage of the net present value of its financial assets.</w:t>
      </w:r>
    </w:p>
    <w:p>
      <w:pPr>
        <w:autoSpaceDN w:val="0"/>
        <w:autoSpaceDE w:val="0"/>
        <w:widowControl/>
        <w:spacing w:line="244" w:lineRule="exact" w:before="11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2"/>
        </w:rPr>
        <w:t>Credit and Debit Valuation Adjustments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Most outstanding derivative positions are transacted over the counter and therefore valued using internally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developed valuation models. For commercial and non-commercial counterparties where IBRD has a net exposure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(net receivable position), IBRD calculates a Credit Valuation Adjustment (CVA) to reflect credit risk. For net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derivative positions with commercial and non-commercial counterparties where IBRD is in a net payable position,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calculates a Debit Valuation Adjustment (DVA) to reflect its own credit risk.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CVA is calculated using future projected exposures of the derivative contracts, net of collateral received under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credit support agreements, and the probability of counterparty default based on the Credit Default Swaps (CDS)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spread and, where applicable, proxy CDS spreads. IBRD does not currently hedge this exposure. The DVA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calculation is generally consistent with the CVA methodology and incorporates IBRD’s own credit spread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observed through the CDS market. As of June 30, 2024, IBRD recorded a CVA on its Balance Sheet of $29 million,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a DVA of $409 million. 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1864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51</w:t>
      </w:r>
    </w:p>
    <w:p>
      <w:pPr>
        <w:sectPr>
          <w:pgSz w:w="12240" w:h="15840"/>
          <w:pgMar w:top="302" w:right="1370" w:bottom="244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IX: Risk Management</w:t>
            </w:r>
          </w:p>
        </w:tc>
      </w:tr>
    </w:tbl>
    <w:p>
      <w:pPr>
        <w:autoSpaceDN w:val="0"/>
        <w:autoSpaceDE w:val="0"/>
        <w:widowControl/>
        <w:spacing w:line="244" w:lineRule="exact" w:before="502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Changes in Credit Spreads</w:t>
      </w:r>
    </w:p>
    <w:p>
      <w:pPr>
        <w:autoSpaceDN w:val="0"/>
        <w:autoSpaceDE w:val="0"/>
        <w:widowControl/>
        <w:spacing w:line="240" w:lineRule="exact" w:before="13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sensitivity of IBRD’s portfolios to credit represents the change in fair value corresponding to changes in credit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spreads.</w:t>
      </w:r>
    </w:p>
    <w:p>
      <w:pPr>
        <w:autoSpaceDN w:val="0"/>
        <w:tabs>
          <w:tab w:pos="550" w:val="left"/>
        </w:tabs>
        <w:autoSpaceDE w:val="0"/>
        <w:widowControl/>
        <w:spacing w:line="240" w:lineRule="exact" w:before="60" w:after="0"/>
        <w:ind w:left="19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/>
          <w:color w:val="000000"/>
          <w:sz w:val="20"/>
        </w:rPr>
        <w:t>Investments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: IBRD purchases investment-grade securities for its liquid asset portfolio. Credit risk is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controlled through appropriate eligibility criteria (Box 7). The overall risk of the investment portfolio is also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constrained by a consultative loss limit. In line with these risk management strategies, the potential effect of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default risk on IBRD’s investment portfolio is therefore small.</w:t>
      </w:r>
    </w:p>
    <w:p>
      <w:pPr>
        <w:autoSpaceDN w:val="0"/>
        <w:tabs>
          <w:tab w:pos="550" w:val="left"/>
        </w:tabs>
        <w:autoSpaceDE w:val="0"/>
        <w:widowControl/>
        <w:spacing w:line="240" w:lineRule="exact" w:before="120" w:after="0"/>
        <w:ind w:left="19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/>
          <w:color w:val="000000"/>
          <w:sz w:val="20"/>
        </w:rPr>
        <w:t>Borrowings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: IBRD’s own credit risk reflects the cost of funding relative to applicable reference rates.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Changes in IBRD’s credit spreads result in unrealized mark-to-market gains/losses, recorded as Net Change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 DVA on Fair Value Option elected liabilities in the Statements of Comprehensive Income.</w:t>
      </w:r>
    </w:p>
    <w:p>
      <w:pPr>
        <w:autoSpaceDN w:val="0"/>
        <w:tabs>
          <w:tab w:pos="544" w:val="left"/>
        </w:tabs>
        <w:autoSpaceDE w:val="0"/>
        <w:widowControl/>
        <w:spacing w:line="240" w:lineRule="exact" w:before="120" w:after="0"/>
        <w:ind w:left="18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/>
          <w:color w:val="000000"/>
          <w:sz w:val="20"/>
        </w:rPr>
        <w:t>Loans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: IBRD’s fair value model represents a hypothetical exit price of the loan portfolio. It incorporates CDS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spreads as an indicator of the credit risk for each borrower, after adjusting recovery levels to incorporate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institutional experience and assumptions. These assumptions are reviewed annually. IBRD does not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hedge its sovereign credit exposure but Management assesses its credit risk through a loan-loss provisioning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framework. The loan loss provision represents the expected losses inherent in its accrual and nonaccrual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portfolios. IBRD’s country credit risk is managed by using individual country exposure limits and by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monitoring its credit-risk-bearing capacity. </w:t>
      </w:r>
    </w:p>
    <w:p>
      <w:pPr>
        <w:autoSpaceDN w:val="0"/>
        <w:tabs>
          <w:tab w:pos="544" w:val="left"/>
        </w:tabs>
        <w:autoSpaceDE w:val="0"/>
        <w:widowControl/>
        <w:spacing w:line="240" w:lineRule="exact" w:before="120" w:after="0"/>
        <w:ind w:left="18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/>
          <w:color w:val="000000"/>
          <w:sz w:val="20"/>
        </w:rPr>
        <w:t>Derivatives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: IBRD uses derivatives to manage exposures to currency and interest rate risks in its investment,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loan, other ALM and borrowing portfolios. It is therefore exposed to commercial counterparty credit risk on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these instruments. This risk is managed through:</w:t>
      </w:r>
    </w:p>
    <w:p>
      <w:pPr>
        <w:autoSpaceDN w:val="0"/>
        <w:tabs>
          <w:tab w:pos="1084" w:val="left"/>
        </w:tabs>
        <w:autoSpaceDE w:val="0"/>
        <w:widowControl/>
        <w:spacing w:line="222" w:lineRule="exact" w:before="138" w:after="0"/>
        <w:ind w:left="72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◦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Stringent selection of commercial derivative counterparties, </w:t>
      </w:r>
    </w:p>
    <w:p>
      <w:pPr>
        <w:autoSpaceDN w:val="0"/>
        <w:tabs>
          <w:tab w:pos="1084" w:val="left"/>
        </w:tabs>
        <w:autoSpaceDE w:val="0"/>
        <w:widowControl/>
        <w:spacing w:line="222" w:lineRule="exact" w:before="78" w:after="0"/>
        <w:ind w:left="72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◦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Daily marking-to-market of derivative positions, and </w:t>
      </w:r>
    </w:p>
    <w:p>
      <w:pPr>
        <w:autoSpaceDN w:val="0"/>
        <w:tabs>
          <w:tab w:pos="1084" w:val="left"/>
        </w:tabs>
        <w:autoSpaceDE w:val="0"/>
        <w:widowControl/>
        <w:spacing w:line="222" w:lineRule="exact" w:before="78" w:after="0"/>
        <w:ind w:left="72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◦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Use of collateral and collateral thresholds for all commercial counterparties.</w:t>
      </w:r>
    </w:p>
    <w:p>
      <w:pPr>
        <w:autoSpaceDN w:val="0"/>
        <w:autoSpaceDE w:val="0"/>
        <w:widowControl/>
        <w:spacing w:line="268" w:lineRule="exact" w:before="268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Market Risk</w:t>
      </w:r>
    </w:p>
    <w:p>
      <w:pPr>
        <w:autoSpaceDN w:val="0"/>
        <w:autoSpaceDE w:val="0"/>
        <w:widowControl/>
        <w:spacing w:line="240" w:lineRule="exact" w:before="6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is exposed to changes in interest and exchange rates, and it uses various strategies to minimize its exposure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market risk. </w:t>
      </w:r>
    </w:p>
    <w:p>
      <w:pPr>
        <w:autoSpaceDN w:val="0"/>
        <w:autoSpaceDE w:val="0"/>
        <w:widowControl/>
        <w:spacing w:line="244" w:lineRule="exact" w:before="130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Interest Rate Risk</w:t>
      </w:r>
    </w:p>
    <w:p>
      <w:pPr>
        <w:autoSpaceDN w:val="0"/>
        <w:autoSpaceDE w:val="0"/>
        <w:widowControl/>
        <w:spacing w:line="240" w:lineRule="exact" w:before="7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its current interest rate risk management strategy, IBRD seeks to match the interest rate sensitivity of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assets (loan and investment trading portfolios) with those of its liabilities (borrowing portfolio) by using derivatives,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such as interest rate swaps. These derivatives effectively convert IBRD’s financial assets and liabilities into variable-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rate instruments. Before these derivatives, 90% of the outstanding borrowings had fixed interest rates, and 12%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loans had fixed interest rates as of June 30, 2024. After considering the effects of these derivatives, virtually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entire borrowing and loan portfolios are carried at variable interest rates.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Alignment of Assets and Liabilities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– IBRD borrows in multiple currency and interest rate bases worldwide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lends the proceeds of those borrowings to eligible member countries. IBRD offers its borrowers the option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converting the currency and interest rate bases on their loans where there is a liquid swap market, thereby enabling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them to select loan terms that are best suited to their circumstances.  Such options meet borrowers’ preferences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help mitigate their currency and interest rate risk. In the absence of active risk management, IBRD would be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exposed to substantial market risk and asset-liability management imbalances. To address such imbalances, IBRD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uses derivatives to swap its payment obligations on bonds to a currency and interest rate basis that is aligned with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 portfolio. Likewise, when a borrower exercises a conversion option on a loan to change its currency or interest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rate basis, IBRD uses derivatives to convert its exposure back to a currency and interest rate basis, that is aligned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with its loan portfolio. Thus, IBRD’s payment obligations on its borrowings are aligned with its loans funded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such borrowings – generally, after the effect of derivatives, IBRD primarily pays U.S. dollar, short-term variable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rates on its borrowings, and receives U.S. dollar, short-term variable rates on its loans. Figure 21 below illustrates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use of derivatives in the loan and borrowing portfolios:</w:t>
      </w:r>
    </w:p>
    <w:p>
      <w:pPr>
        <w:autoSpaceDN w:val="0"/>
        <w:tabs>
          <w:tab w:pos="656" w:val="left"/>
        </w:tabs>
        <w:autoSpaceDE w:val="0"/>
        <w:widowControl/>
        <w:spacing w:line="224" w:lineRule="exact" w:before="120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52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2024</w:t>
      </w:r>
    </w:p>
    <w:p>
      <w:pPr>
        <w:sectPr>
          <w:pgSz w:w="12240" w:h="15840"/>
          <w:pgMar w:top="302" w:right="1370" w:bottom="25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IX: Risk Management</w:t>
            </w:r>
          </w:p>
        </w:tc>
      </w:tr>
    </w:tbl>
    <w:p>
      <w:pPr>
        <w:autoSpaceDN w:val="0"/>
        <w:autoSpaceDE w:val="0"/>
        <w:widowControl/>
        <w:spacing w:line="202" w:lineRule="exact" w:before="518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Figure 21: Use of Derivatives for Loans and Borrowings</w:t>
      </w:r>
    </w:p>
    <w:p>
      <w:pPr>
        <w:autoSpaceDN w:val="0"/>
        <w:autoSpaceDE w:val="0"/>
        <w:widowControl/>
        <w:spacing w:line="240" w:lineRule="auto" w:before="46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00" cy="1905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162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Derivatives are also used to manage market risk in the liquidity portfolio. In line with its development mandate,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maintains a large liquidity balance to ensure that it can make payments on its borrowing obligations and loan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disbursements, even in the event of severe market disruptions. Pending disbursement, the liquidity portfolio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invested on a global basis in multiple currencies and interest rates. Derivatives are also used to align the currency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duration of investments with the debt funding the liquidity portfolio. Figure 22 below illustrates the use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derivatives in the liquidity portfolio:</w:t>
      </w:r>
    </w:p>
    <w:p>
      <w:pPr>
        <w:autoSpaceDN w:val="0"/>
        <w:autoSpaceDE w:val="0"/>
        <w:widowControl/>
        <w:spacing w:line="202" w:lineRule="exact" w:before="146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Figure 22: Use of Derivatives for Investments</w:t>
      </w:r>
    </w:p>
    <w:p>
      <w:pPr>
        <w:autoSpaceDN w:val="0"/>
        <w:autoSpaceDE w:val="0"/>
        <w:widowControl/>
        <w:spacing w:line="240" w:lineRule="auto" w:before="46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00" cy="2095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162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Other ALM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– Given most loans carry variable rates, for the portion of loans that are funded by equity, loan interest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revenue, if left unmanaged, would be highly sensitive to fluctuations in short-term interest rates. The Equity-to-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Loans ratio of 21.5% indicates the portion of loans funded by equity. To manage this exposure, Management has put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place a framework with the primary goal of stabilizing this revenue. Under this framework, IBRD uses derivatives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convert the variable rate cash flows on loans funded by equity back to fixed rate cash flows, thereby stabilizing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 interest revenue over time. See Figure 23 below. </w:t>
      </w:r>
    </w:p>
    <w:p>
      <w:pPr>
        <w:autoSpaceDN w:val="0"/>
        <w:autoSpaceDE w:val="0"/>
        <w:widowControl/>
        <w:spacing w:line="202" w:lineRule="exact" w:before="146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Figure 23: Use of Derivatives for Other ALM</w:t>
      </w:r>
    </w:p>
    <w:p>
      <w:pPr>
        <w:autoSpaceDN w:val="0"/>
        <w:autoSpaceDE w:val="0"/>
        <w:widowControl/>
        <w:spacing w:line="240" w:lineRule="auto" w:before="46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43200" cy="98932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89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162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Although interest rates have been rising, low and negative interest rates present a challenge for various IBRD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portfolios.</w:t>
      </w:r>
    </w:p>
    <w:p>
      <w:pPr>
        <w:autoSpaceDN w:val="0"/>
        <w:tabs>
          <w:tab w:pos="9088" w:val="left"/>
        </w:tabs>
        <w:autoSpaceDE w:val="0"/>
        <w:widowControl/>
        <w:spacing w:line="224" w:lineRule="exact" w:before="978" w:after="0"/>
        <w:ind w:left="32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53</w:t>
      </w:r>
    </w:p>
    <w:p>
      <w:pPr>
        <w:sectPr>
          <w:pgSz w:w="12240" w:h="15840"/>
          <w:pgMar w:top="302" w:right="1370" w:bottom="24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IX: Risk Management</w:t>
            </w:r>
          </w:p>
        </w:tc>
      </w:tr>
    </w:tbl>
    <w:p>
      <w:pPr>
        <w:autoSpaceDN w:val="0"/>
        <w:autoSpaceDE w:val="0"/>
        <w:widowControl/>
        <w:spacing w:line="244" w:lineRule="exact" w:before="506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2"/>
        </w:rPr>
        <w:t>Loans to borrowing countries:</w:t>
      </w:r>
    </w:p>
    <w:p>
      <w:pPr>
        <w:autoSpaceDN w:val="0"/>
        <w:autoSpaceDE w:val="0"/>
        <w:widowControl/>
        <w:spacing w:line="222" w:lineRule="exact" w:before="14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IBRD’s loan agreements, if an interest rate formula yields a negative rate, the interest rate charged is zero. </w:t>
      </w:r>
    </w:p>
    <w:p>
      <w:pPr>
        <w:autoSpaceDN w:val="0"/>
        <w:autoSpaceDE w:val="0"/>
        <w:widowControl/>
        <w:spacing w:line="244" w:lineRule="exact" w:before="13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2"/>
        </w:rPr>
        <w:t>Liquid Asset Portfolio:</w:t>
      </w:r>
    </w:p>
    <w:p>
      <w:pPr>
        <w:autoSpaceDN w:val="0"/>
        <w:autoSpaceDE w:val="0"/>
        <w:widowControl/>
        <w:spacing w:line="240" w:lineRule="exact" w:before="126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existing guidelines allow for the investment in a wide variety of credit products in both developed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emerging market economies (see investment eligibility criteria in Box 7). In FY24, IBRD’s liquid asset portfolio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incurred unrealized mark-to-market losses due to the sharp increase in interest rates.</w:t>
      </w:r>
    </w:p>
    <w:p>
      <w:pPr>
        <w:autoSpaceDN w:val="0"/>
        <w:autoSpaceDE w:val="0"/>
        <w:widowControl/>
        <w:spacing w:line="240" w:lineRule="exact" w:before="12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interest rate risk on IBRD’s liquid asset portfolio, including the risk that the value of assets in the portfolio will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fluctuate in response to changes in market interest rates, is managed within specified duration-mismatch limits.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liquid asset portfolio has spread exposure because IBRD holds instruments other than short-term bank deposits.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These investments generally yield positive returns over the risk-free reference rate (SOFR) but can generate mark-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to-market gains or losses if the credit spread moves.</w:t>
      </w:r>
    </w:p>
    <w:p>
      <w:pPr>
        <w:autoSpaceDN w:val="0"/>
        <w:autoSpaceDE w:val="0"/>
        <w:widowControl/>
        <w:spacing w:line="222" w:lineRule="exact" w:before="18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4" w:lineRule="exact" w:before="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Fixed Spread Loan Refinancing Risk</w:t>
      </w:r>
    </w:p>
    <w:p>
      <w:pPr>
        <w:autoSpaceDN w:val="0"/>
        <w:autoSpaceDE w:val="0"/>
        <w:widowControl/>
        <w:spacing w:line="240" w:lineRule="exact" w:before="66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Refinancing risk for funding fixed-spread loans relates to the potential impact of any future deterioration in IBRD's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funding spread relative to what was computed in the fixed-spread when the loan was initially disbursed. IBRD does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not match the maturity of its funding with that of its fixed spread loans as this would result in significantly higher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financing costs for all loans. Instead, IBRD targets a shorter average funding maturity and manages the refinancing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risk by charging a risk premium.</w:t>
      </w:r>
    </w:p>
    <w:p>
      <w:pPr>
        <w:autoSpaceDN w:val="0"/>
        <w:autoSpaceDE w:val="0"/>
        <w:widowControl/>
        <w:spacing w:line="222" w:lineRule="exact" w:before="138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Effective April 1, 2021, IBRD’s offering of loans on fixed spread terms has been suspended.</w:t>
      </w:r>
    </w:p>
    <w:p>
      <w:pPr>
        <w:autoSpaceDN w:val="0"/>
        <w:autoSpaceDE w:val="0"/>
        <w:widowControl/>
        <w:spacing w:line="244" w:lineRule="exact" w:before="13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Other Interest Rate Risks</w:t>
      </w:r>
    </w:p>
    <w:p>
      <w:pPr>
        <w:autoSpaceDN w:val="0"/>
        <w:autoSpaceDE w:val="0"/>
        <w:widowControl/>
        <w:spacing w:line="240" w:lineRule="exact" w:before="126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Interest rate risk also arises from other variables, including differences in timing between the contractual maturities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or re-pricing of IBRD’s assets, liabilities, and derivative instruments. On variable-rate assets and liabilities, IBRD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exposed to timing mismatches between the re-set dates on its variable-rate receivables and payables. IBRD monitors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these exposures and may execute overlay interest rates swaps to reduce sizable timing mismatches.</w:t>
      </w:r>
    </w:p>
    <w:p>
      <w:pPr>
        <w:autoSpaceDN w:val="0"/>
        <w:autoSpaceDE w:val="0"/>
        <w:widowControl/>
        <w:spacing w:line="244" w:lineRule="exact" w:before="13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Alternative Reference Rate</w:t>
      </w:r>
    </w:p>
    <w:p>
      <w:pPr>
        <w:autoSpaceDN w:val="0"/>
        <w:autoSpaceDE w:val="0"/>
        <w:widowControl/>
        <w:spacing w:line="240" w:lineRule="exact" w:before="126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June 30, 2023, all the LIBOR rates ceased to be provided by any administrator or were no longer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representative, in line with previous announcements by the Financial Conduct Authority (FCA), the regulator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LIBOR. In consideration of the regulatory guidance and in preparation for the global markets’ transition away from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LIBOR, IBRD took the necessary steps to facilitate a smooth and orderly transition of its financial instruments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alternative reference rates. This transition started on January 1, 2022 and was completed as of December 31, 2023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for all applicable portfolios.</w:t>
      </w:r>
    </w:p>
    <w:p>
      <w:pPr>
        <w:autoSpaceDN w:val="0"/>
        <w:autoSpaceDE w:val="0"/>
        <w:widowControl/>
        <w:spacing w:line="244" w:lineRule="exact" w:before="130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Exchange Rate Risk </w:t>
      </w:r>
    </w:p>
    <w:p>
      <w:pPr>
        <w:autoSpaceDN w:val="0"/>
        <w:autoSpaceDE w:val="0"/>
        <w:widowControl/>
        <w:spacing w:line="240" w:lineRule="exact" w:before="13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holds the majority of its assets and liabilities in U.S. dollars and euro. However, the reported levels of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assets, liabilities, income, and expenses in the financial statements are affected by exchange rate movements in all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currencies in which IBRD transacts, relative to its reporting currency, the U.S. dollar. IBRD’s functional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currencies are the U.S. dollar and euro. Currency translation adjustments relating to euro-denominated balances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reflected in other comprehensive income, a component of equity. Currency translation adjustments relating to non-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euro denominated balances (non-functional currencies) are reported in the Statements of Income. While IBRD’s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equity could be affected by exchange rate movements, IBRD’s risk management policies work to minimize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exchange rate risk in its capital adequacy, by immunizing the Equity-to-Loans ratio against exchange rate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movements.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minimize exchange risk, IBRD matches its borrowing obligations in any one currency (after derivatives) with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assets in the same currency (Figure 24). In addition, IBRD undertakes periodic currency conversions to align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currency composition of its equity with that of its outstanding loans across major currencies. Together, these policies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are designed to minimize the impact of exchange rate fluctuations on the Equity-to-Loans ratio; thereby preserving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ability to better absorb unexpected losses from arrears on loan repayments, regardless of exchange rate </w:t>
      </w:r>
    </w:p>
    <w:p>
      <w:pPr>
        <w:autoSpaceDN w:val="0"/>
        <w:tabs>
          <w:tab w:pos="656" w:val="left"/>
        </w:tabs>
        <w:autoSpaceDE w:val="0"/>
        <w:widowControl/>
        <w:spacing w:line="224" w:lineRule="exact" w:before="107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54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2024</w:t>
      </w:r>
    </w:p>
    <w:p>
      <w:pPr>
        <w:sectPr>
          <w:pgSz w:w="12240" w:h="15840"/>
          <w:pgMar w:top="302" w:right="1370" w:bottom="25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1422400</wp:posOffset>
            </wp:positionV>
            <wp:extent cx="5880100" cy="19177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917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IX: Risk Management</w:t>
            </w:r>
          </w:p>
        </w:tc>
      </w:tr>
    </w:tbl>
    <w:p>
      <w:pPr>
        <w:autoSpaceDN w:val="0"/>
        <w:autoSpaceDE w:val="0"/>
        <w:widowControl/>
        <w:spacing w:line="240" w:lineRule="exact" w:before="49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movements.  As a result, exchange rate movements during the year generally do not have an impact on the overall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Equity-to-Loans ratio.</w:t>
      </w:r>
    </w:p>
    <w:p>
      <w:pPr>
        <w:autoSpaceDN w:val="0"/>
        <w:autoSpaceDE w:val="0"/>
        <w:widowControl/>
        <w:spacing w:line="202" w:lineRule="exact" w:before="146" w:after="46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Figure 24: Currency Composition of Loan and Borrowing Portfolios as of 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3147"/>
        <w:gridCol w:w="3147"/>
        <w:gridCol w:w="3147"/>
      </w:tblGrid>
      <w:tr>
        <w:trPr>
          <w:trHeight w:hRule="exact" w:val="524"/>
        </w:trPr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Loans outstanding (including Derivatives)</w:t>
            </w:r>
          </w:p>
          <w:p>
            <w:pPr>
              <w:autoSpaceDN w:val="0"/>
              <w:autoSpaceDE w:val="0"/>
              <w:widowControl/>
              <w:spacing w:line="156" w:lineRule="exact" w:before="132" w:after="6"/>
              <w:ind w:left="10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Others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0.0" w:type="dxa"/>
            </w:tblPr>
            <w:tblGrid>
              <w:gridCol w:w="2090"/>
              <w:gridCol w:w="2090"/>
            </w:tblGrid>
            <w:tr>
              <w:trPr>
                <w:trHeight w:hRule="exact" w:val="318"/>
              </w:trPr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6" w:after="0"/>
                    <w:ind w:left="0" w:right="86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>*</w:t>
                  </w:r>
                </w:p>
              </w:tc>
              <w:tc>
                <w:tcPr>
                  <w:tcW w:type="dxa" w:w="1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156" w:after="0"/>
                    <w:ind w:left="0" w:right="53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>Euro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56" w:lineRule="exact" w:before="6" w:after="0"/>
              <w:ind w:left="0" w:right="10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18%</w:t>
            </w:r>
          </w:p>
          <w:p>
            <w:pPr>
              <w:autoSpaceDN w:val="0"/>
              <w:autoSpaceDE w:val="0"/>
              <w:widowControl/>
              <w:spacing w:line="168" w:lineRule="exact" w:before="1238" w:after="0"/>
              <w:ind w:left="312" w:right="302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U.S. Dollars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82%</w:t>
            </w:r>
          </w:p>
        </w:tc>
        <w:tc>
          <w:tcPr>
            <w:tcW w:type="dxa" w:w="4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42" w:val="left"/>
              </w:tabs>
              <w:autoSpaceDE w:val="0"/>
              <w:widowControl/>
              <w:spacing w:line="262" w:lineRule="exact" w:before="0" w:after="0"/>
              <w:ind w:left="606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Borrowings funding loans (including Derivatives)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Others</w:t>
            </w:r>
          </w:p>
        </w:tc>
      </w:tr>
      <w:tr>
        <w:trPr>
          <w:trHeight w:hRule="exact" w:val="240"/>
        </w:trPr>
        <w:tc>
          <w:tcPr>
            <w:tcW w:type="dxa" w:w="3147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7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*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0" w:right="1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Euro</w:t>
            </w:r>
          </w:p>
        </w:tc>
      </w:tr>
      <w:tr>
        <w:trPr>
          <w:trHeight w:hRule="exact" w:val="1870"/>
        </w:trPr>
        <w:tc>
          <w:tcPr>
            <w:tcW w:type="dxa" w:w="3147"/>
            <w:vMerge/>
            <w:tcBorders/>
          </w:tcPr>
          <w:p/>
        </w:tc>
        <w:tc>
          <w:tcPr>
            <w:tcW w:type="dxa" w:w="4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1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18%</w:t>
            </w:r>
          </w:p>
          <w:p>
            <w:pPr>
              <w:autoSpaceDN w:val="0"/>
              <w:autoSpaceDE w:val="0"/>
              <w:widowControl/>
              <w:spacing w:line="156" w:lineRule="exact" w:before="1208" w:after="0"/>
              <w:ind w:left="9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U.S. Dollars</w:t>
            </w:r>
          </w:p>
          <w:p>
            <w:pPr>
              <w:autoSpaceDN w:val="0"/>
              <w:autoSpaceDE w:val="0"/>
              <w:widowControl/>
              <w:spacing w:line="156" w:lineRule="exact" w:before="12" w:after="0"/>
              <w:ind w:left="9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82%</w:t>
            </w:r>
          </w:p>
        </w:tc>
      </w:tr>
    </w:tbl>
    <w:p>
      <w:pPr>
        <w:autoSpaceDN w:val="0"/>
        <w:autoSpaceDE w:val="0"/>
        <w:widowControl/>
        <w:spacing w:line="180" w:lineRule="exact" w:before="438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* Denotes percentage less than 0.5%.</w:t>
      </w:r>
    </w:p>
    <w:p>
      <w:pPr>
        <w:autoSpaceDN w:val="0"/>
        <w:autoSpaceDE w:val="0"/>
        <w:widowControl/>
        <w:spacing w:line="244" w:lineRule="exact" w:before="114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Liquidity Risk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Liquidity risk arises in the general funding of IBRD’s activities and in managing its financial position. It includes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risk of IBRD being unable to fund its portfolio of assets at appropriate maturities and rates, and the risk of being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unable to liquidate a position in a timely manner at a reasonable price.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IBRD’s liquidity management guidelines, aggregate liquid asset holdings are kept at or above a specified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Prudential Minimum to safeguard against cash flow interruptions.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Target Liquidity Level represents twelve-months’ coverage as calculated at the start of every fiscal year.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Prudential Minimum is defined as 80% of the Target Liquidity Level. The maximum guideline of 150%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Target Liquidity Level continues to function as a guideline rather than a hard ceiling (Table 33). </w:t>
      </w:r>
    </w:p>
    <w:p>
      <w:pPr>
        <w:autoSpaceDN w:val="0"/>
        <w:autoSpaceDE w:val="0"/>
        <w:widowControl/>
        <w:spacing w:line="200" w:lineRule="exact" w:before="202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33: Liquidity Levels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0"/>
        <w:gridCol w:w="2360"/>
        <w:gridCol w:w="2360"/>
        <w:gridCol w:w="2360"/>
      </w:tblGrid>
      <w:tr>
        <w:trPr>
          <w:trHeight w:hRule="exact" w:val="212"/>
        </w:trPr>
        <w:tc>
          <w:tcPr>
            <w:tcW w:type="dxa" w:w="327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 Effective for FY24</w:t>
            </w:r>
          </w:p>
        </w:tc>
        <w:tc>
          <w:tcPr>
            <w:tcW w:type="dxa" w:w="48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In billions of </w:t>
            </w:r>
          </w:p>
        </w:tc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% of Target </w:t>
            </w:r>
          </w:p>
        </w:tc>
      </w:tr>
      <w:tr>
        <w:trPr>
          <w:trHeight w:hRule="exact" w:val="224"/>
        </w:trPr>
        <w:tc>
          <w:tcPr>
            <w:tcW w:type="dxa" w:w="2360"/>
            <w:vMerge/>
            <w:tcBorders>
              <w:bottom w:sz="8.0" w:val="single" w:color="#6C6C6C"/>
            </w:tcBorders>
          </w:tcPr>
          <w:p/>
        </w:tc>
        <w:tc>
          <w:tcPr>
            <w:tcW w:type="dxa" w:w="2360"/>
            <w:vMerge/>
            <w:tcBorders>
              <w:bottom w:sz="8.0" w:val="single" w:color="#6C6C6C"/>
            </w:tcBorders>
          </w:tcPr>
          <w:p/>
        </w:tc>
        <w:tc>
          <w:tcPr>
            <w:tcW w:type="dxa" w:w="110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7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U.S. dollars</w:t>
            </w:r>
          </w:p>
        </w:tc>
        <w:tc>
          <w:tcPr>
            <w:tcW w:type="dxa" w:w="1244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1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Liquidity Level</w:t>
            </w:r>
          </w:p>
        </w:tc>
      </w:tr>
      <w:tr>
        <w:trPr>
          <w:trHeight w:hRule="exact" w:val="240"/>
        </w:trPr>
        <w:tc>
          <w:tcPr>
            <w:tcW w:type="dxa" w:w="327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Target Liquidity Level</w:t>
            </w:r>
          </w:p>
        </w:tc>
        <w:tc>
          <w:tcPr>
            <w:tcW w:type="dxa" w:w="480"/>
            <w:vMerge w:val="restart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59.0 </w:t>
            </w:r>
          </w:p>
        </w:tc>
        <w:tc>
          <w:tcPr>
            <w:tcW w:type="dxa" w:w="1244"/>
            <w:vMerge w:val="restart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150 %</w:t>
            </w:r>
          </w:p>
        </w:tc>
      </w:tr>
      <w:tr>
        <w:trPr>
          <w:trHeight w:hRule="exact" w:val="236"/>
        </w:trPr>
        <w:tc>
          <w:tcPr>
            <w:tcW w:type="dxa" w:w="3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Guideline Maximum Liquidity Level</w:t>
            </w:r>
          </w:p>
        </w:tc>
        <w:tc>
          <w:tcPr>
            <w:tcW w:type="dxa" w:w="2360"/>
            <w:vMerge/>
            <w:tcBorders>
              <w:top w:sz="8.0" w:val="single" w:color="#6C6C6C"/>
            </w:tcBorders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88.5 </w:t>
            </w:r>
          </w:p>
        </w:tc>
        <w:tc>
          <w:tcPr>
            <w:tcW w:type="dxa" w:w="2360"/>
            <w:vMerge/>
            <w:tcBorders>
              <w:top w:sz="8.0" w:val="single" w:color="#6C6C6C"/>
            </w:tcBorders>
          </w:tcPr>
          <w:p/>
        </w:tc>
      </w:tr>
      <w:tr>
        <w:trPr>
          <w:trHeight w:hRule="exact" w:val="244"/>
        </w:trPr>
        <w:tc>
          <w:tcPr>
            <w:tcW w:type="dxa" w:w="3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Prudential Minimum Liquidity Level</w:t>
            </w:r>
          </w:p>
        </w:tc>
        <w:tc>
          <w:tcPr>
            <w:tcW w:type="dxa" w:w="48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74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47.2 </w:t>
            </w:r>
          </w:p>
        </w:tc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80 %</w:t>
            </w:r>
          </w:p>
        </w:tc>
      </w:tr>
      <w:tr>
        <w:trPr>
          <w:trHeight w:hRule="exact" w:val="240"/>
        </w:trPr>
        <w:tc>
          <w:tcPr>
            <w:tcW w:type="dxa" w:w="327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Liquid Asset Portfolio as of June 30, 2024</w:t>
            </w:r>
          </w:p>
        </w:tc>
        <w:tc>
          <w:tcPr>
            <w:tcW w:type="dxa" w:w="2360"/>
            <w:vMerge/>
            <w:tcBorders>
              <w:bottom w:sz="8.0" w:val="single" w:color="#6C6C6C"/>
            </w:tcBorders>
          </w:tcPr>
          <w:p/>
        </w:tc>
        <w:tc>
          <w:tcPr>
            <w:tcW w:type="dxa" w:w="110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78.8 </w:t>
            </w:r>
          </w:p>
        </w:tc>
        <w:tc>
          <w:tcPr>
            <w:tcW w:type="dxa" w:w="1244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134 %</w:t>
            </w:r>
          </w:p>
        </w:tc>
      </w:tr>
    </w:tbl>
    <w:p>
      <w:pPr>
        <w:autoSpaceDN w:val="0"/>
        <w:autoSpaceDE w:val="0"/>
        <w:widowControl/>
        <w:spacing w:line="240" w:lineRule="exact" w:before="16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FY25 Target Liquidity Level is set at $65.0 billion, $6.0 billion higher than FY24 Target Liquidity Level due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higher projected debt service in FY25.</w:t>
      </w:r>
    </w:p>
    <w:p>
      <w:pPr>
        <w:autoSpaceDN w:val="0"/>
        <w:autoSpaceDE w:val="0"/>
        <w:widowControl/>
        <w:spacing w:line="268" w:lineRule="exact" w:before="13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Operational Risk </w:t>
      </w:r>
    </w:p>
    <w:p>
      <w:pPr>
        <w:autoSpaceDN w:val="0"/>
        <w:autoSpaceDE w:val="0"/>
        <w:widowControl/>
        <w:spacing w:line="240" w:lineRule="exact" w:before="126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Operational risk is defined as the risk of financial loss or damage to IBRD’s reputation resulting from inadequate 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failed internal processes, people and systems, or from external events.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recognizes the importance of operational risk management activities, which are embedded in its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operations. As part of its business activities, IBRD is exposed to a range of operational risks including physical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security, staff health and safety, information security and data privacy, business continuity, and third-party risks.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approach to identifying and managing operational risk includes a dedicated program for these risks and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robust process that includes assessing and prioritizing operational risks, monitoring and reporting relevant key risk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indicators, aggregating and analyzing internal and external events, identifying emerging risks that may affect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business units, and developing risk responses and mitigating actions.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1692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55</w:t>
      </w:r>
    </w:p>
    <w:p>
      <w:pPr>
        <w:sectPr>
          <w:pgSz w:w="12240" w:h="15840"/>
          <w:pgMar w:top="302" w:right="1370" w:bottom="244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IX: Risk Management</w:t>
            </w:r>
          </w:p>
        </w:tc>
      </w:tr>
    </w:tbl>
    <w:p>
      <w:pPr>
        <w:autoSpaceDN w:val="0"/>
        <w:autoSpaceDE w:val="0"/>
        <w:widowControl/>
        <w:spacing w:line="244" w:lineRule="exact" w:before="502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Cybersecurity Risk Management</w:t>
      </w:r>
    </w:p>
    <w:p>
      <w:pPr>
        <w:autoSpaceDN w:val="0"/>
        <w:autoSpaceDE w:val="0"/>
        <w:widowControl/>
        <w:spacing w:line="240" w:lineRule="exact" w:before="13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operations rely on the secure processing, storage and transmission of confidential and other information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computer systems and networks. Like other financial institutions, cybersecurity risk continues to be significant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due to the evolving sophistication and complexity of the cyber threat landscape. These risks are unavoidable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and IBRD seeks to manage them on a cost-effective basis consistent with its risk appetite.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protect the security of its computer systems, software, networks and other technology assets, IBRD has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developed a cybersecurity risk management program, aligned with its Operational Risk Management Framework.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This program consists of cybersecurity policies, procedures, compliance and awareness programs. A multi-layered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approach for cybersecurity risk management is employed to prevent and detect malicious activity, both from within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organization and from external sources. In response to emerging cyber threats such as malware including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ransomware, denial of service, phishing attacks and artificial intelligence related risks, IBRD adapts its technical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process-level controls and enhances user awareness to mitigate the risk. When relying on third-party vendors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technology-enabled services, additional meaningful and diligent measures are applied to gain assurance regarding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security of its information and technology assets including, as appropriate, legal and cybersecurity contractual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safeguards in third-party vendor agreements and the review and monitoring of third-party control environments.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periodically assesses the maturity and effectiveness of its cyber defenses through risk mitigation techniques,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including but not limited to, targeted testing, internal and external audits, incident response desktop exercises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industry benchmarking.</w:t>
      </w:r>
    </w:p>
    <w:p>
      <w:pPr>
        <w:autoSpaceDN w:val="0"/>
        <w:tabs>
          <w:tab w:pos="656" w:val="left"/>
        </w:tabs>
        <w:autoSpaceDE w:val="0"/>
        <w:widowControl/>
        <w:spacing w:line="224" w:lineRule="exact" w:before="902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56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2024</w:t>
      </w:r>
    </w:p>
    <w:p>
      <w:pPr>
        <w:sectPr>
          <w:pgSz w:w="12240" w:h="15840"/>
          <w:pgMar w:top="302" w:right="1370" w:bottom="25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4720"/>
        <w:gridCol w:w="4720"/>
      </w:tblGrid>
      <w:tr>
        <w:trPr>
          <w:trHeight w:hRule="exact" w:val="272"/>
        </w:trPr>
        <w:tc>
          <w:tcPr>
            <w:tcW w:type="dxa" w:w="3936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X: Contractual Obligations</w:t>
            </w:r>
          </w:p>
        </w:tc>
      </w:tr>
    </w:tbl>
    <w:p>
      <w:pPr>
        <w:autoSpaceDN w:val="0"/>
        <w:autoSpaceDE w:val="0"/>
        <w:widowControl/>
        <w:spacing w:line="314" w:lineRule="exact" w:before="55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Section X: Contractual Obligations</w:t>
      </w:r>
    </w:p>
    <w:p>
      <w:pPr>
        <w:autoSpaceDN w:val="0"/>
        <w:autoSpaceDE w:val="0"/>
        <w:widowControl/>
        <w:spacing w:line="240" w:lineRule="exact" w:before="20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conducting its business, IBRD takes on contractual obligations that may require future payments. These include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borrowings, operating leases, contractual purchases, capital expenditures, and other long-term liabilities. Table 34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shows IBRD’s contractual obligations for the next five years and thereafter; it excludes the following obligations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reflected on IBRD’s Balance Sheets: undisbursed loans, amounts payable for currency and interest rate swaps,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amounts payable for investment securities purchased, guarantees, and cash received under agency arrangements. </w:t>
      </w:r>
    </w:p>
    <w:p>
      <w:pPr>
        <w:autoSpaceDN w:val="0"/>
        <w:tabs>
          <w:tab w:pos="550" w:val="left"/>
        </w:tabs>
        <w:autoSpaceDE w:val="0"/>
        <w:widowControl/>
        <w:spacing w:line="222" w:lineRule="exact" w:before="138" w:after="0"/>
        <w:ind w:left="19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/>
          <w:color w:val="000000"/>
          <w:sz w:val="20"/>
        </w:rPr>
        <w:t>Borrowings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: IBRD issues debt in the form of securities to private and governmental buyers.</w:t>
      </w:r>
    </w:p>
    <w:p>
      <w:pPr>
        <w:autoSpaceDN w:val="0"/>
        <w:tabs>
          <w:tab w:pos="550" w:val="left"/>
        </w:tabs>
        <w:autoSpaceDE w:val="0"/>
        <w:widowControl/>
        <w:spacing w:line="240" w:lineRule="exact" w:before="120" w:after="0"/>
        <w:ind w:left="19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/>
          <w:color w:val="000000"/>
          <w:sz w:val="20"/>
        </w:rPr>
        <w:t>Operating Leases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: IBRD leases real estate and equipment under lease agreements for varying periods.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Operating lease expenditures represents future cash payments for real estate-related obligations and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equipment, based on contractual amounts. </w:t>
      </w:r>
    </w:p>
    <w:p>
      <w:pPr>
        <w:autoSpaceDN w:val="0"/>
        <w:tabs>
          <w:tab w:pos="550" w:val="left"/>
        </w:tabs>
        <w:autoSpaceDE w:val="0"/>
        <w:widowControl/>
        <w:spacing w:line="240" w:lineRule="exact" w:before="120" w:after="0"/>
        <w:ind w:left="19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/>
          <w:color w:val="000000"/>
          <w:sz w:val="20"/>
        </w:rPr>
        <w:t>Contractual Purchases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:  IBRD is a party to various obligations to purchase products and services, which are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purchase commitments in the ordinary course of business. </w:t>
      </w:r>
    </w:p>
    <w:p>
      <w:pPr>
        <w:autoSpaceDN w:val="0"/>
        <w:tabs>
          <w:tab w:pos="550" w:val="left"/>
        </w:tabs>
        <w:autoSpaceDE w:val="0"/>
        <w:widowControl/>
        <w:spacing w:line="240" w:lineRule="exact" w:before="120" w:after="0"/>
        <w:ind w:left="19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/>
          <w:color w:val="000000"/>
          <w:sz w:val="20"/>
        </w:rPr>
        <w:t>Other Long-Term Liabilities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: IBRD provides a variety of benefits to its employees. As some of these benefits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are of a long-term nature, IBRD records the associated liability on its Balance Sheets. The obligations payable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represents expected benefit payments as well as contributions to the pension plans. These include future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service and pay accruals for current staff and new staff projections for the next 10 years.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Operating leases, contractual purchases and capital expenditures, and other long-term obligations include obligations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shared with IDA, IFC, and MIGA under cost-sharing and service arrangements. These arrangements reflect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WBG strategy of maximizing synergies, to best leverage resources for development (see Notes to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Statements, Note H for Transactions with Affiliated Organizations).</w:t>
      </w:r>
    </w:p>
    <w:p>
      <w:pPr>
        <w:autoSpaceDN w:val="0"/>
        <w:autoSpaceDE w:val="0"/>
        <w:widowControl/>
        <w:spacing w:line="202" w:lineRule="exact" w:before="200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34: Contractual Obligations</w:t>
      </w:r>
    </w:p>
    <w:p>
      <w:pPr>
        <w:autoSpaceDN w:val="0"/>
        <w:autoSpaceDE w:val="0"/>
        <w:widowControl/>
        <w:spacing w:line="180" w:lineRule="exact" w:before="58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22"/>
        <w:ind w:left="0" w:right="248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As of 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</w:tblGrid>
      <w:tr>
        <w:trPr>
          <w:trHeight w:hRule="exact" w:val="206"/>
        </w:trPr>
        <w:tc>
          <w:tcPr>
            <w:tcW w:type="dxa" w:w="3120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50"/>
            <w:gridSpan w:val="2"/>
            <w:vMerge w:val="restart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Due in 1 year </w:t>
            </w:r>
          </w:p>
        </w:tc>
        <w:tc>
          <w:tcPr>
            <w:tcW w:type="dxa" w:w="1260"/>
            <w:gridSpan w:val="2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Due after 1 </w:t>
            </w:r>
          </w:p>
        </w:tc>
        <w:tc>
          <w:tcPr>
            <w:tcW w:type="dxa" w:w="1260"/>
            <w:gridSpan w:val="2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Due after 3 </w:t>
            </w:r>
          </w:p>
        </w:tc>
        <w:tc>
          <w:tcPr>
            <w:tcW w:type="dxa" w:w="1260"/>
            <w:gridSpan w:val="2"/>
            <w:vMerge w:val="restart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Due After 5 </w:t>
            </w:r>
          </w:p>
        </w:tc>
        <w:tc>
          <w:tcPr>
            <w:tcW w:type="dxa" w:w="1230"/>
            <w:gridSpan w:val="3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Total</w:t>
            </w:r>
          </w:p>
        </w:tc>
      </w:tr>
      <w:tr>
        <w:trPr>
          <w:trHeight w:hRule="exact" w:val="100"/>
        </w:trPr>
        <w:tc>
          <w:tcPr>
            <w:tcW w:type="dxa" w:w="787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574"/>
            <w:gridSpan w:val="2"/>
            <w:vMerge/>
            <w:tcBorders>
              <w:top w:sz="8.0" w:val="single" w:color="#6C6C6C"/>
            </w:tcBorders>
          </w:tcPr>
          <w:p/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Year up to 3 </w:t>
            </w:r>
          </w:p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Years up to 5 </w:t>
            </w:r>
          </w:p>
        </w:tc>
        <w:tc>
          <w:tcPr>
            <w:tcW w:type="dxa" w:w="1574"/>
            <w:gridSpan w:val="2"/>
            <w:vMerge/>
            <w:tcBorders>
              <w:top w:sz="8.0" w:val="single" w:color="#6C6C6C"/>
            </w:tcBorders>
          </w:tcPr>
          <w:p/>
        </w:tc>
        <w:tc>
          <w:tcPr>
            <w:tcW w:type="dxa" w:w="2361"/>
            <w:gridSpan w:val="3"/>
            <w:vMerge/>
            <w:tcBorders>
              <w:top w:sz="8.0" w:val="single" w:color="#6C6C6C"/>
              <w:bottom w:sz="8.0" w:val="single" w:color="#6C6C6C"/>
            </w:tcBorders>
          </w:tcPr>
          <w:p/>
        </w:tc>
      </w:tr>
      <w:tr>
        <w:trPr>
          <w:trHeight w:hRule="exact" w:val="100"/>
        </w:trPr>
        <w:tc>
          <w:tcPr>
            <w:tcW w:type="dxa" w:w="787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250"/>
            <w:gridSpan w:val="2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or Less</w:t>
            </w:r>
          </w:p>
        </w:tc>
        <w:tc>
          <w:tcPr>
            <w:tcW w:type="dxa" w:w="1574"/>
            <w:gridSpan w:val="2"/>
            <w:vMerge/>
            <w:tcBorders/>
          </w:tcPr>
          <w:p/>
        </w:tc>
        <w:tc>
          <w:tcPr>
            <w:tcW w:type="dxa" w:w="1574"/>
            <w:gridSpan w:val="2"/>
            <w:vMerge/>
            <w:tcBorders/>
          </w:tcPr>
          <w:p/>
        </w:tc>
        <w:tc>
          <w:tcPr>
            <w:tcW w:type="dxa" w:w="1260"/>
            <w:gridSpan w:val="2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years</w:t>
            </w:r>
          </w:p>
        </w:tc>
        <w:tc>
          <w:tcPr>
            <w:tcW w:type="dxa" w:w="2361"/>
            <w:gridSpan w:val="3"/>
            <w:vMerge/>
            <w:tcBorders>
              <w:top w:sz="8.0" w:val="single" w:color="#6C6C6C"/>
              <w:bottom w:sz="8.0" w:val="single" w:color="#6C6C6C"/>
            </w:tcBorders>
          </w:tcPr>
          <w:p/>
        </w:tc>
      </w:tr>
      <w:tr>
        <w:trPr>
          <w:trHeight w:hRule="exact" w:val="240"/>
        </w:trPr>
        <w:tc>
          <w:tcPr>
            <w:tcW w:type="dxa" w:w="787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574"/>
            <w:gridSpan w:val="2"/>
            <w:vMerge/>
            <w:tcBorders>
              <w:bottom w:sz="8.0" w:val="single" w:color="#6C6C6C"/>
            </w:tcBorders>
          </w:tcPr>
          <w:p/>
        </w:tc>
        <w:tc>
          <w:tcPr>
            <w:tcW w:type="dxa" w:w="1260"/>
            <w:gridSpan w:val="2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Years</w:t>
            </w:r>
          </w:p>
        </w:tc>
        <w:tc>
          <w:tcPr>
            <w:tcW w:type="dxa" w:w="1260"/>
            <w:gridSpan w:val="2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Years</w:t>
            </w:r>
          </w:p>
        </w:tc>
        <w:tc>
          <w:tcPr>
            <w:tcW w:type="dxa" w:w="1574"/>
            <w:gridSpan w:val="2"/>
            <w:vMerge/>
            <w:tcBorders>
              <w:bottom w:sz="8.0" w:val="single" w:color="#6C6C6C"/>
            </w:tcBorders>
          </w:tcPr>
          <w:p/>
        </w:tc>
        <w:tc>
          <w:tcPr>
            <w:tcW w:type="dxa" w:w="2361"/>
            <w:gridSpan w:val="3"/>
            <w:vMerge/>
            <w:tcBorders>
              <w:top w:sz="8.0" w:val="single" w:color="#6C6C6C"/>
              <w:bottom w:sz="8.0" w:val="single" w:color="#6C6C6C"/>
            </w:tcBorders>
          </w:tcPr>
          <w:p/>
        </w:tc>
      </w:tr>
      <w:tr>
        <w:trPr>
          <w:trHeight w:hRule="exact" w:val="220"/>
        </w:trPr>
        <w:tc>
          <w:tcPr>
            <w:tcW w:type="dxa" w:w="3120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Borrowings (at fair value)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Operating leases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Contractual purchases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long-term liabilities</w:t>
            </w:r>
          </w:p>
        </w:tc>
        <w:tc>
          <w:tcPr>
            <w:tcW w:type="dxa" w:w="41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41,955 </w:t>
            </w:r>
          </w:p>
        </w:tc>
        <w:tc>
          <w:tcPr>
            <w:tcW w:type="dxa" w:w="43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63,965 </w:t>
            </w:r>
          </w:p>
        </w:tc>
        <w:tc>
          <w:tcPr>
            <w:tcW w:type="dxa" w:w="43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62,036 </w:t>
            </w:r>
          </w:p>
        </w:tc>
        <w:tc>
          <w:tcPr>
            <w:tcW w:type="dxa" w:w="43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93,834 </w:t>
            </w:r>
          </w:p>
        </w:tc>
        <w:tc>
          <w:tcPr>
            <w:tcW w:type="dxa" w:w="39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gridSpan w:val="2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261,790 </w:t>
            </w:r>
          </w:p>
        </w:tc>
      </w:tr>
      <w:tr>
        <w:trPr>
          <w:trHeight w:hRule="exact" w:val="240"/>
        </w:trPr>
        <w:tc>
          <w:tcPr>
            <w:tcW w:type="dxa" w:w="787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2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1,134 </w:t>
            </w:r>
          </w:p>
        </w:tc>
        <w:tc>
          <w:tcPr>
            <w:tcW w:type="dxa" w:w="12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1,317 </w:t>
            </w:r>
          </w:p>
        </w:tc>
      </w:tr>
      <w:tr>
        <w:trPr>
          <w:trHeight w:hRule="exact" w:val="240"/>
        </w:trPr>
        <w:tc>
          <w:tcPr>
            <w:tcW w:type="dxa" w:w="787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2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 </w:t>
            </w:r>
          </w:p>
        </w:tc>
      </w:tr>
      <w:tr>
        <w:trPr>
          <w:trHeight w:hRule="exact" w:val="260"/>
        </w:trPr>
        <w:tc>
          <w:tcPr>
            <w:tcW w:type="dxa" w:w="787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250"/>
            <w:gridSpan w:val="2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736 </w:t>
            </w:r>
          </w:p>
        </w:tc>
        <w:tc>
          <w:tcPr>
            <w:tcW w:type="dxa" w:w="1260"/>
            <w:gridSpan w:val="2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147 </w:t>
            </w:r>
          </w:p>
        </w:tc>
        <w:tc>
          <w:tcPr>
            <w:tcW w:type="dxa" w:w="1260"/>
            <w:gridSpan w:val="2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104 </w:t>
            </w:r>
          </w:p>
        </w:tc>
        <w:tc>
          <w:tcPr>
            <w:tcW w:type="dxa" w:w="1260"/>
            <w:gridSpan w:val="2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204 </w:t>
            </w:r>
          </w:p>
        </w:tc>
        <w:tc>
          <w:tcPr>
            <w:tcW w:type="dxa" w:w="1230"/>
            <w:gridSpan w:val="3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1,191 </w:t>
            </w:r>
          </w:p>
        </w:tc>
      </w:tr>
      <w:tr>
        <w:trPr>
          <w:trHeight w:hRule="exact" w:val="220"/>
        </w:trPr>
        <w:tc>
          <w:tcPr>
            <w:tcW w:type="dxa" w:w="312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1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42,805 </w:t>
            </w:r>
          </w:p>
        </w:tc>
        <w:tc>
          <w:tcPr>
            <w:tcW w:type="dxa" w:w="43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64,199 </w:t>
            </w:r>
          </w:p>
        </w:tc>
        <w:tc>
          <w:tcPr>
            <w:tcW w:type="dxa" w:w="43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62,185 </w:t>
            </w:r>
          </w:p>
        </w:tc>
        <w:tc>
          <w:tcPr>
            <w:tcW w:type="dxa" w:w="43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95,172 </w:t>
            </w:r>
          </w:p>
        </w:tc>
        <w:tc>
          <w:tcPr>
            <w:tcW w:type="dxa" w:w="39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gridSpan w:val="2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264,361 </w:t>
            </w:r>
          </w:p>
        </w:tc>
      </w:tr>
      <w:tr>
        <w:trPr>
          <w:trHeight w:hRule="exact" w:val="5470"/>
        </w:trPr>
        <w:tc>
          <w:tcPr>
            <w:tcW w:type="dxa" w:w="312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86"/>
            <w:gridSpan w:val="10"/>
            <w:tcBorders>
              <w:top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Management's Discussion and Analysis: June 30, 2024</w:t>
            </w:r>
          </w:p>
        </w:tc>
        <w:tc>
          <w:tcPr>
            <w:tcW w:type="dxa" w:w="47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5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02" w:right="1370" w:bottom="244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XI: Pension and Other Post-Retirement Benefits</w:t>
            </w:r>
          </w:p>
        </w:tc>
      </w:tr>
    </w:tbl>
    <w:p>
      <w:pPr>
        <w:autoSpaceDN w:val="0"/>
        <w:autoSpaceDE w:val="0"/>
        <w:widowControl/>
        <w:spacing w:line="314" w:lineRule="exact" w:before="55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Section XI: Pension and Other Post-Retirement Benefits</w:t>
      </w:r>
    </w:p>
    <w:p>
      <w:pPr>
        <w:autoSpaceDN w:val="0"/>
        <w:autoSpaceDE w:val="0"/>
        <w:widowControl/>
        <w:spacing w:line="268" w:lineRule="exact" w:before="2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Governance</w:t>
      </w:r>
    </w:p>
    <w:p>
      <w:pPr>
        <w:autoSpaceDN w:val="0"/>
        <w:autoSpaceDE w:val="0"/>
        <w:widowControl/>
        <w:spacing w:line="224" w:lineRule="exact" w:before="14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participates, along with IFC and MIGA, in pension and post-retirement benefit plans. The Staff Retirement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Plan (SRP), Retired Staff Benefits Plan (RSBP), and PEBP (collectively called the “Plans”) are defined benefit plans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cover substantially all WBG employees, retirees and their beneficiaries. Costs, assets, and liabilities associated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with the Plans are allocated among IBRD, IFC, and MIGA, based on their employees' respective participation in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Plans. Costs allocated to IBRD are subsequently shared with IDA, based on an agreed cost-sharing ratio (see Notes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to Financial Statements, Note K: Pension and Other Post-Retirement Benefits).</w:t>
      </w:r>
    </w:p>
    <w:p>
      <w:pPr>
        <w:autoSpaceDN w:val="0"/>
        <w:autoSpaceDE w:val="0"/>
        <w:widowControl/>
        <w:spacing w:line="240" w:lineRule="exact" w:before="10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benefits of the Plans at retirement are determined pursuant to the Plan Documents adopted by the Board (Plan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Document). IBRD has a contractual obligation to make benefit payments to the Plans’ beneficiaries. The governance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mechanism of the Plans, including the funding and investment policies described here, are designed to support this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objective.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There are two committees that govern the Plans. From a governance standpoint, both committees are independent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IBRD and the Board.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0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Pension Finance Committee (PFC), which is responsible for the financial management of the Plans and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is supported by the Pension Finance Administrator.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0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Pension Benefits Administration Committee (PBAC), which is responsible for the administration of the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benefits of the Plans.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Contributions to the SRP and RSBP are irrevocable, with assets held in separate trusts, and the PEBP assets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included in IBRD's investment portfolio. IBRD acts as trustee for the Plans and the assets are used for the exclusive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benefit of the participants and their beneficiaries. The objective of the Plans is to accumulate sufficient assets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meet future pension benefit obligations. As of June 30, 2024, IBRD and IDA’s share of the assets amounted to $32.4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billion (Table 35). This represents the accumulated contributions paid into the plans net of benefit payments,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together with the accumulated value of investment earnings, net of related expenses. </w:t>
      </w:r>
    </w:p>
    <w:p>
      <w:pPr>
        <w:autoSpaceDN w:val="0"/>
        <w:autoSpaceDE w:val="0"/>
        <w:widowControl/>
        <w:spacing w:line="268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Funding and Investment Policies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key policies underpinning the financial management of the Plans, including the determination of WBG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contributions and the investment of Plan assets, are the funding and investment policies. The objective of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policies is to ensure that the Plans have sufficient assets to meet benefit payments over the long term. The funding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policy, as approved by the PFC, establishes the rules that determine the WBG’s contributions. The policy seeks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fund the Plans in a consistent and timely manner, while at the same time avoiding excessive volatility in WBG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contributions. The funding policy determines how much the WBG must contribute annually to sustain and ensure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accumulation of sufficient assets over time to meet the expected benefit payments. Under the Plan Document,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PFC determines the WBG contribution based on actuarial valuations. IBRD is required to make the contribution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determined by the PFC. In FY24, the WBG’s rate for contributions to the Plans was 14.75% of salaries.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Projected Benefit Obligation (PBO) is derived from AA-rated corporate bonds, as required by U.S. GAAP.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selection of this rate as the basis for the discount rate is to establish a liability equivalent to an amount that if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invested in high-quality fixed income securities would match the benefit payment stream. While this measure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based on an objective, observable market rate, it does not necessarily reflect the realized or expected returns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Plan which depend on how the Plans are managed and invested. The PBO for funding purposes is discounted using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3.5% real discount rate since the funding strategy for the Plans is based on a target of 3.5% real return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investments. This rate constitutes the long-term return objective for the Plan’s assets, referred to as the Long-Term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Real Return Objective (LTRRO), which Management has followed since the year ended June 30, 1999 and last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reaffirmed under the strategic asset allocation review in April 2024. If the return on pension assets is 3.5% in real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terms and contributions are made at the actuarially required rates (which reflect the long-term cost of the plan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benefit), the Plan benefits will be funded over time.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assets of the Plans are diversified across a variety of asset classes, with the objective of achieving returns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consistent with the LTRRO over the long term without taking undue risks. The returns on investments for the Plans 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910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58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2024</w:t>
      </w:r>
    </w:p>
    <w:p>
      <w:pPr>
        <w:sectPr>
          <w:pgSz w:w="12240" w:h="15840"/>
          <w:pgMar w:top="302" w:right="1370" w:bottom="252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4720"/>
        <w:gridCol w:w="4720"/>
      </w:tblGrid>
      <w:tr>
        <w:trPr>
          <w:trHeight w:hRule="exact" w:val="272"/>
        </w:trPr>
        <w:tc>
          <w:tcPr>
            <w:tcW w:type="dxa" w:w="3936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XI: Pension and Other Post-Retirement Benefits</w:t>
            </w:r>
          </w:p>
        </w:tc>
      </w:tr>
    </w:tbl>
    <w:p>
      <w:pPr>
        <w:autoSpaceDN w:val="0"/>
        <w:autoSpaceDE w:val="0"/>
        <w:widowControl/>
        <w:spacing w:line="240" w:lineRule="exact" w:before="49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have met or exceeded the LTRRO on a consistent basis in the long term as well as in recent years. The PFC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periodically reviews the LTRRO for realism and appropriateness. See Notes to Financial Statements, Note K: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Pension and Other Post-Retirement Benefits for asset allocation, expected return on Plan assets and assumptions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used to determine the PBO.</w:t>
      </w:r>
    </w:p>
    <w:p>
      <w:pPr>
        <w:autoSpaceDN w:val="0"/>
        <w:autoSpaceDE w:val="0"/>
        <w:widowControl/>
        <w:spacing w:line="268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Environmental, Social and Governance (ESG) Policies</w:t>
      </w:r>
    </w:p>
    <w:p>
      <w:pPr>
        <w:autoSpaceDN w:val="0"/>
        <w:autoSpaceDE w:val="0"/>
        <w:widowControl/>
        <w:spacing w:line="224" w:lineRule="exact" w:before="14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Plan has a long-standing ESG policy that reflects the latest developments in and understanding of responsible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investments and ESG integration. The ESG policy is based on a principled and pragmatic approach in accordance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with and subject to the fiduciary standard applicable to the administration and investment of Plan assets. The Plan’s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ESG policy outlines a practical approach to ESG integration and responsible ownership, providing an operational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framework for a consistent consideration of relevant ESG issues applicable to each asset class, as well as for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conduct of corporate engagement and proxy voting on the Plan’s equity holdings.</w:t>
      </w:r>
    </w:p>
    <w:p>
      <w:pPr>
        <w:autoSpaceDN w:val="0"/>
        <w:autoSpaceDE w:val="0"/>
        <w:widowControl/>
        <w:spacing w:line="268" w:lineRule="exact" w:before="21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Projected Benefit Obligations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Given that pension plan liabilities can be defined and measured in different ways, it is possible to have different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funded status measures for the same plans.  The most widely used and publicly disclosed measure of pension plan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liabilities is the PBO measure required under U.S. GAAP. It reflects the present value of all retirement benefits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earned by participants (adjusted for assumed inflation) as of a given date, including projected salary increases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retirement. Therefore, the PBO measure is an appropriate metric for assessing the ability of the Plans to cover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expected benefits as of a certain date. The underlying actuarial assumptions used to determine the PBO, accumulated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benefit obligations, and funded status associated with the Plans are based on financial market interest rates,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experience, and Management's best estimate of future benefit changes, economic conditions and earnings from plan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assets. </w:t>
      </w:r>
    </w:p>
    <w:p>
      <w:pPr>
        <w:autoSpaceDN w:val="0"/>
        <w:autoSpaceDE w:val="0"/>
        <w:widowControl/>
        <w:spacing w:line="202" w:lineRule="exact" w:before="20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35: Funded Status of the Plans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20"/>
        <w:ind w:left="0" w:right="2150" w:firstLine="0"/>
        <w:jc w:val="right"/>
      </w:pPr>
      <w:r>
        <w:rPr>
          <w:rFonts w:ascii="Arial" w:hAnsi="Arial" w:eastAsia="Arial"/>
          <w:b w:val="0"/>
          <w:i/>
          <w:color w:val="B6B6B6"/>
          <w:sz w:val="16"/>
        </w:rPr>
        <w:t>As of 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240"/>
        </w:trPr>
        <w:tc>
          <w:tcPr>
            <w:tcW w:type="dxa" w:w="378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SRP</w:t>
            </w:r>
          </w:p>
        </w:tc>
        <w:tc>
          <w:tcPr>
            <w:tcW w:type="dxa" w:w="140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4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RSBP</w:t>
            </w:r>
          </w:p>
        </w:tc>
        <w:tc>
          <w:tcPr>
            <w:tcW w:type="dxa" w:w="136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0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PEBP</w:t>
            </w:r>
          </w:p>
        </w:tc>
        <w:tc>
          <w:tcPr>
            <w:tcW w:type="dxa" w:w="9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Total</w:t>
            </w:r>
          </w:p>
        </w:tc>
      </w:tr>
      <w:tr>
        <w:trPr>
          <w:trHeight w:hRule="exact" w:val="230"/>
        </w:trPr>
        <w:tc>
          <w:tcPr>
            <w:tcW w:type="dxa" w:w="378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PBO</w:t>
            </w:r>
          </w:p>
        </w:tc>
        <w:tc>
          <w:tcPr>
            <w:tcW w:type="dxa" w:w="450"/>
            <w:vMerge w:val="restart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4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(22,166) $ </w:t>
            </w:r>
          </w:p>
        </w:tc>
        <w:tc>
          <w:tcPr>
            <w:tcW w:type="dxa" w:w="140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(3,408) $ </w:t>
            </w:r>
          </w:p>
        </w:tc>
        <w:tc>
          <w:tcPr>
            <w:tcW w:type="dxa" w:w="136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(2,097) $ </w:t>
            </w:r>
          </w:p>
        </w:tc>
        <w:tc>
          <w:tcPr>
            <w:tcW w:type="dxa" w:w="95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(27,671) </w:t>
            </w:r>
          </w:p>
        </w:tc>
      </w:tr>
      <w:tr>
        <w:trPr>
          <w:trHeight w:hRule="exact" w:val="250"/>
        </w:trPr>
        <w:tc>
          <w:tcPr>
            <w:tcW w:type="dxa" w:w="378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Plan assets</w:t>
            </w:r>
          </w:p>
        </w:tc>
        <w:tc>
          <w:tcPr>
            <w:tcW w:type="dxa" w:w="1573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44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5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25,689 </w:t>
            </w:r>
          </w:p>
        </w:tc>
        <w:tc>
          <w:tcPr>
            <w:tcW w:type="dxa" w:w="140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4,540 </w:t>
            </w:r>
          </w:p>
        </w:tc>
        <w:tc>
          <w:tcPr>
            <w:tcW w:type="dxa" w:w="136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2,135 </w:t>
            </w:r>
          </w:p>
        </w:tc>
        <w:tc>
          <w:tcPr>
            <w:tcW w:type="dxa" w:w="950"/>
            <w:tcBorders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32,364 </w:t>
            </w:r>
          </w:p>
        </w:tc>
      </w:tr>
      <w:tr>
        <w:trPr>
          <w:trHeight w:hRule="exact" w:val="480"/>
        </w:trPr>
        <w:tc>
          <w:tcPr>
            <w:tcW w:type="dxa" w:w="378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position</w:t>
            </w:r>
          </w:p>
        </w:tc>
        <w:tc>
          <w:tcPr>
            <w:tcW w:type="dxa" w:w="4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4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3,523 $ </w:t>
            </w:r>
          </w:p>
        </w:tc>
        <w:tc>
          <w:tcPr>
            <w:tcW w:type="dxa" w:w="140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1,132 $ </w:t>
            </w:r>
          </w:p>
        </w:tc>
        <w:tc>
          <w:tcPr>
            <w:tcW w:type="dxa" w:w="136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38 $ </w:t>
            </w:r>
          </w:p>
        </w:tc>
        <w:tc>
          <w:tcPr>
            <w:tcW w:type="dxa" w:w="9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4,693 </w:t>
            </w:r>
          </w:p>
        </w:tc>
      </w:tr>
      <w:tr>
        <w:trPr>
          <w:trHeight w:hRule="exact" w:val="240"/>
        </w:trPr>
        <w:tc>
          <w:tcPr>
            <w:tcW w:type="dxa" w:w="378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IBRD's funded status</w:t>
            </w:r>
          </w:p>
        </w:tc>
        <w:tc>
          <w:tcPr>
            <w:tcW w:type="dxa" w:w="4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2,235 </w:t>
            </w:r>
          </w:p>
        </w:tc>
      </w:tr>
    </w:tbl>
    <w:p>
      <w:pPr>
        <w:autoSpaceDN w:val="0"/>
        <w:autoSpaceDE w:val="0"/>
        <w:widowControl/>
        <w:spacing w:line="180" w:lineRule="exact" w:before="260" w:after="20"/>
        <w:ind w:left="0" w:right="2150" w:firstLine="0"/>
        <w:jc w:val="right"/>
      </w:pPr>
      <w:r>
        <w:rPr>
          <w:rFonts w:ascii="Arial" w:hAnsi="Arial" w:eastAsia="Arial"/>
          <w:b w:val="0"/>
          <w:i/>
          <w:color w:val="B6B6B6"/>
          <w:sz w:val="16"/>
        </w:rPr>
        <w:t>As of June 30, 2023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240"/>
        </w:trPr>
        <w:tc>
          <w:tcPr>
            <w:tcW w:type="dxa" w:w="378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SRP</w:t>
            </w:r>
          </w:p>
        </w:tc>
        <w:tc>
          <w:tcPr>
            <w:tcW w:type="dxa" w:w="140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4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RSBP</w:t>
            </w:r>
          </w:p>
        </w:tc>
        <w:tc>
          <w:tcPr>
            <w:tcW w:type="dxa" w:w="136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0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PEBP</w:t>
            </w:r>
          </w:p>
        </w:tc>
        <w:tc>
          <w:tcPr>
            <w:tcW w:type="dxa" w:w="9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A6A6A6"/>
                <w:sz w:val="16"/>
              </w:rPr>
              <w:t>Total</w:t>
            </w:r>
          </w:p>
        </w:tc>
      </w:tr>
      <w:tr>
        <w:trPr>
          <w:trHeight w:hRule="exact" w:val="230"/>
        </w:trPr>
        <w:tc>
          <w:tcPr>
            <w:tcW w:type="dxa" w:w="378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PBO</w:t>
            </w:r>
          </w:p>
        </w:tc>
        <w:tc>
          <w:tcPr>
            <w:tcW w:type="dxa" w:w="450"/>
            <w:vMerge w:val="restart"/>
            <w:tcBorders>
              <w:top w:sz="8.0" w:val="single" w:color="#6C6C6C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4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(21,208) $ </w:t>
            </w:r>
          </w:p>
        </w:tc>
        <w:tc>
          <w:tcPr>
            <w:tcW w:type="dxa" w:w="140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(3,341) $ </w:t>
            </w:r>
          </w:p>
        </w:tc>
        <w:tc>
          <w:tcPr>
            <w:tcW w:type="dxa" w:w="136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(2,057) $ </w:t>
            </w:r>
          </w:p>
        </w:tc>
        <w:tc>
          <w:tcPr>
            <w:tcW w:type="dxa" w:w="950"/>
            <w:tcBorders>
              <w:top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(26,606) </w:t>
            </w:r>
          </w:p>
        </w:tc>
      </w:tr>
      <w:tr>
        <w:trPr>
          <w:trHeight w:hRule="exact" w:val="250"/>
        </w:trPr>
        <w:tc>
          <w:tcPr>
            <w:tcW w:type="dxa" w:w="378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Plan assets</w:t>
            </w:r>
          </w:p>
        </w:tc>
        <w:tc>
          <w:tcPr>
            <w:tcW w:type="dxa" w:w="1573"/>
            <w:vMerge/>
            <w:tcBorders>
              <w:top w:sz="8.0" w:val="single" w:color="#6C6C6C"/>
              <w:bottom w:sz="8.0" w:val="single" w:color="#000000"/>
            </w:tcBorders>
          </w:tcPr>
          <w:p/>
        </w:tc>
        <w:tc>
          <w:tcPr>
            <w:tcW w:type="dxa" w:w="144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5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24,565 </w:t>
            </w:r>
          </w:p>
        </w:tc>
        <w:tc>
          <w:tcPr>
            <w:tcW w:type="dxa" w:w="140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4,281 </w:t>
            </w:r>
          </w:p>
        </w:tc>
        <w:tc>
          <w:tcPr>
            <w:tcW w:type="dxa" w:w="136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1,953 </w:t>
            </w:r>
          </w:p>
        </w:tc>
        <w:tc>
          <w:tcPr>
            <w:tcW w:type="dxa" w:w="95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30,799 </w:t>
            </w:r>
          </w:p>
        </w:tc>
      </w:tr>
      <w:tr>
        <w:trPr>
          <w:trHeight w:hRule="exact" w:val="480"/>
        </w:trPr>
        <w:tc>
          <w:tcPr>
            <w:tcW w:type="dxa" w:w="3780"/>
            <w:tcBorders>
              <w:top w:sz="8.0" w:val="single" w:color="#000000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position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40"/>
            <w:tcBorders>
              <w:top w:sz="8.0" w:val="single" w:color="#000000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3,357 $ </w:t>
            </w:r>
          </w:p>
        </w:tc>
        <w:tc>
          <w:tcPr>
            <w:tcW w:type="dxa" w:w="1400"/>
            <w:tcBorders>
              <w:top w:sz="8.0" w:val="single" w:color="#000000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940 $ </w:t>
            </w:r>
          </w:p>
        </w:tc>
        <w:tc>
          <w:tcPr>
            <w:tcW w:type="dxa" w:w="1360"/>
            <w:tcBorders>
              <w:top w:sz="8.0" w:val="single" w:color="#000000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(104) $ </w:t>
            </w:r>
          </w:p>
        </w:tc>
        <w:tc>
          <w:tcPr>
            <w:tcW w:type="dxa" w:w="950"/>
            <w:tcBorders>
              <w:top w:sz="8.0" w:val="single" w:color="#000000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4,193 </w:t>
            </w:r>
          </w:p>
        </w:tc>
      </w:tr>
      <w:tr>
        <w:trPr>
          <w:trHeight w:hRule="exact" w:val="240"/>
        </w:trPr>
        <w:tc>
          <w:tcPr>
            <w:tcW w:type="dxa" w:w="378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IBRD's funded status</w:t>
            </w:r>
          </w:p>
        </w:tc>
        <w:tc>
          <w:tcPr>
            <w:tcW w:type="dxa" w:w="4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1,980 </w:t>
            </w:r>
          </w:p>
        </w:tc>
      </w:tr>
    </w:tbl>
    <w:p>
      <w:pPr>
        <w:autoSpaceDN w:val="0"/>
        <w:autoSpaceDE w:val="0"/>
        <w:widowControl/>
        <w:spacing w:line="224" w:lineRule="exact" w:before="16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discount rate used to convert future obligations into today’s dollars is derived from high-grade, AA-rated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corporate bond yields as required by U.S. GAAP. The overfunded status of the pension plans for IBRD and IDA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$4,693 million as of June 30, 2024, net of PEBP assets, primarily reflects the increase in the value of the Plan Assets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due to higher-than-expected asset returns. As the Plans are managed with a long-term horizon, results over shorter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time periods may be impacted positively or negatively by market fluctuations.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2560" w:after="0"/>
        <w:ind w:left="3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59</w:t>
      </w:r>
    </w:p>
    <w:p>
      <w:pPr>
        <w:sectPr>
          <w:pgSz w:w="12240" w:h="15840"/>
          <w:pgMar w:top="302" w:right="1370" w:bottom="244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8"/>
              </w:rPr>
              <w:t>Section XII: Critical Accounting Policies and the Use of Estimates</w:t>
            </w:r>
          </w:p>
        </w:tc>
      </w:tr>
    </w:tbl>
    <w:p>
      <w:pPr>
        <w:autoSpaceDN w:val="0"/>
        <w:autoSpaceDE w:val="0"/>
        <w:widowControl/>
        <w:spacing w:line="314" w:lineRule="exact" w:before="55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Section XII: Critical Accounting Policies and the Use of Estimates</w:t>
      </w:r>
    </w:p>
    <w:p>
      <w:pPr>
        <w:autoSpaceDN w:val="0"/>
        <w:autoSpaceDE w:val="0"/>
        <w:widowControl/>
        <w:spacing w:line="240" w:lineRule="exact" w:before="20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significant accounting policies, as well as estimates made by Management, are integral to its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reporting. While all of these policies require a certain level of judgment and estimates, significant policies require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to make highly difficult, complex, and subjective judgments as these relate to matters inherently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uncertain and susceptible to change. Note A to the financial statements contains a summary of IBRD’s significant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accounting policies including a discussion of recently issued accounting pronouncements.</w:t>
      </w:r>
    </w:p>
    <w:p>
      <w:pPr>
        <w:autoSpaceDN w:val="0"/>
        <w:autoSpaceDE w:val="0"/>
        <w:widowControl/>
        <w:spacing w:line="268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Fair Value of Financial Instruments 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fair values of financial instruments are based on a three-level hierarchy. For financial instruments classified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Level 1 or 2, less judgment is applied in arriving at fair value measures as the inputs are based on observable market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data. For financial instruments classified as Level 3, unobservable inputs are used. These require Management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make important assumptions and judgments in determining fair value measures. Investments measured at net asset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value per share (or its equivalent) are not classified in the fair value hierarchy. </w:t>
      </w:r>
    </w:p>
    <w:p>
      <w:pPr>
        <w:autoSpaceDN w:val="0"/>
        <w:autoSpaceDE w:val="0"/>
        <w:widowControl/>
        <w:spacing w:line="224" w:lineRule="exact" w:before="13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Most of IBRD’s financial instruments which are recorded at fair value are classified as Levels 1 and 2. Table 36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presents the summary of the fair value of financial instruments recorded at fair value on a recurring basis, and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amounts measured using significant Level 3 inputs. IBRD’s level 3 instruments are mainly structured bonds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related swaps held in the borrowing portfolio; these use market observable inputs and unobservable inputs such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correlations and interest rate volatilities. There were no Level 3 instruments in IBRD’s investment or loan portfolios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as of June 30, 2024. All of IBRD’s loans were carried at amortized cost as of June 30, 2024.</w:t>
      </w:r>
    </w:p>
    <w:p>
      <w:pPr>
        <w:autoSpaceDN w:val="0"/>
        <w:autoSpaceDE w:val="0"/>
        <w:widowControl/>
        <w:spacing w:line="202" w:lineRule="exact" w:before="288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36: Fair Value Level 3 Summary</w:t>
      </w:r>
    </w:p>
    <w:p>
      <w:pPr>
        <w:autoSpaceDN w:val="0"/>
        <w:autoSpaceDE w:val="0"/>
        <w:widowControl/>
        <w:spacing w:line="180" w:lineRule="exact" w:before="58" w:after="3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42"/>
        </w:trPr>
        <w:tc>
          <w:tcPr>
            <w:tcW w:type="dxa" w:w="382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For the fiscal year ended June 30,</w:t>
            </w:r>
          </w:p>
        </w:tc>
        <w:tc>
          <w:tcPr>
            <w:tcW w:type="dxa" w:w="304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2024</w:t>
            </w:r>
          </w:p>
        </w:tc>
        <w:tc>
          <w:tcPr>
            <w:tcW w:type="dxa" w:w="11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72" w:after="0"/>
              <w:ind w:left="0" w:right="46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Total </w:t>
            </w:r>
          </w:p>
        </w:tc>
        <w:tc>
          <w:tcPr>
            <w:tcW w:type="dxa" w:w="50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gridSpan w:val="2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2023</w:t>
            </w:r>
          </w:p>
        </w:tc>
        <w:tc>
          <w:tcPr>
            <w:tcW w:type="dxa" w:w="121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3826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4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1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Level 3</w:t>
            </w:r>
          </w:p>
        </w:tc>
        <w:tc>
          <w:tcPr>
            <w:tcW w:type="dxa" w:w="2098"/>
            <w:gridSpan w:val="2"/>
            <w:vMerge/>
            <w:tcBorders/>
          </w:tcPr>
          <w:p/>
        </w:tc>
        <w:tc>
          <w:tcPr>
            <w:tcW w:type="dxa" w:w="500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gridSpan w:val="2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Level 3</w:t>
            </w:r>
          </w:p>
        </w:tc>
        <w:tc>
          <w:tcPr>
            <w:tcW w:type="dxa" w:w="1210"/>
            <w:vMerge w:val="restart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1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Total Balance</w:t>
            </w:r>
          </w:p>
        </w:tc>
      </w:tr>
      <w:tr>
        <w:trPr>
          <w:trHeight w:hRule="exact" w:val="226"/>
        </w:trPr>
        <w:tc>
          <w:tcPr>
            <w:tcW w:type="dxa" w:w="1049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49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49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160"/>
            <w:gridSpan w:val="2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18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Balance</w:t>
            </w:r>
          </w:p>
        </w:tc>
        <w:tc>
          <w:tcPr>
            <w:tcW w:type="dxa" w:w="1049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2098"/>
            <w:gridSpan w:val="2"/>
            <w:vMerge/>
            <w:tcBorders>
              <w:top w:sz="8.0" w:val="single" w:color="#6C6C6C"/>
              <w:bottom w:sz="8.0" w:val="single" w:color="#6C6C6C"/>
            </w:tcBorders>
          </w:tcPr>
          <w:p/>
        </w:tc>
        <w:tc>
          <w:tcPr>
            <w:tcW w:type="dxa" w:w="1049"/>
            <w:vMerge/>
            <w:tcBorders>
              <w:top w:sz="8.0" w:val="single" w:color="#6C6C6C"/>
              <w:bottom w:sz="8.0" w:val="single" w:color="#6C6C6C"/>
            </w:tcBorders>
          </w:tcPr>
          <w:p/>
        </w:tc>
      </w:tr>
      <w:tr>
        <w:trPr>
          <w:trHeight w:hRule="exact" w:val="234"/>
        </w:trPr>
        <w:tc>
          <w:tcPr>
            <w:tcW w:type="dxa" w:w="3826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Assets at fair value</w:t>
            </w:r>
          </w:p>
        </w:tc>
        <w:tc>
          <w:tcPr>
            <w:tcW w:type="dxa" w:w="304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263 </w:t>
            </w:r>
          </w:p>
        </w:tc>
        <w:tc>
          <w:tcPr>
            <w:tcW w:type="dxa" w:w="28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94,842 </w:t>
            </w:r>
          </w:p>
        </w:tc>
        <w:tc>
          <w:tcPr>
            <w:tcW w:type="dxa" w:w="50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221 </w:t>
            </w:r>
          </w:p>
        </w:tc>
        <w:tc>
          <w:tcPr>
            <w:tcW w:type="dxa" w:w="26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10"/>
            <w:tcBorders>
              <w:top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92,093 </w:t>
            </w:r>
          </w:p>
        </w:tc>
      </w:tr>
      <w:tr>
        <w:trPr>
          <w:trHeight w:hRule="exact" w:val="348"/>
        </w:trPr>
        <w:tc>
          <w:tcPr>
            <w:tcW w:type="dxa" w:w="3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 a percentage of total assets</w:t>
            </w:r>
          </w:p>
        </w:tc>
        <w:tc>
          <w:tcPr>
            <w:tcW w:type="dxa" w:w="304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0.28 %</w:t>
            </w:r>
          </w:p>
        </w:tc>
        <w:tc>
          <w:tcPr>
            <w:tcW w:type="dxa" w:w="11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$ 296,712 </w:t>
            </w:r>
          </w:p>
        </w:tc>
        <w:tc>
          <w:tcPr>
            <w:tcW w:type="dxa" w:w="50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4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0.24 %</w:t>
            </w:r>
          </w:p>
        </w:tc>
        <w:tc>
          <w:tcPr>
            <w:tcW w:type="dxa" w:w="1210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277,016 </w:t>
            </w:r>
          </w:p>
        </w:tc>
      </w:tr>
      <w:tr>
        <w:trPr>
          <w:trHeight w:hRule="exact" w:val="332"/>
        </w:trPr>
        <w:tc>
          <w:tcPr>
            <w:tcW w:type="dxa" w:w="3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Liabilities at fair value</w:t>
            </w:r>
          </w:p>
        </w:tc>
        <w:tc>
          <w:tcPr>
            <w:tcW w:type="dxa" w:w="1049"/>
            <w:vMerge/>
            <w:tcBorders>
              <w:bottom w:sz="8.0" w:val="single" w:color="#6C6C6C"/>
            </w:tcBorders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6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4,349 </w:t>
            </w:r>
          </w:p>
        </w:tc>
        <w:tc>
          <w:tcPr>
            <w:tcW w:type="dxa" w:w="2098"/>
            <w:gridSpan w:val="2"/>
            <w:vMerge/>
            <w:tcBorders/>
          </w:tcPr>
          <w:p/>
        </w:tc>
        <w:tc>
          <w:tcPr>
            <w:tcW w:type="dxa" w:w="1049"/>
            <w:vMerge/>
            <w:tcBorders>
              <w:bottom w:sz="8.0" w:val="single" w:color="#6C6C6C"/>
            </w:tcBorders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3,949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6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49"/>
            <w:vMerge/>
            <w:tcBorders>
              <w:bottom w:sz="8.0" w:val="single" w:color="#6C6C6C"/>
            </w:tcBorders>
          </w:tcPr>
          <w:p/>
        </w:tc>
      </w:tr>
      <w:tr>
        <w:trPr>
          <w:trHeight w:hRule="exact" w:val="496"/>
        </w:trPr>
        <w:tc>
          <w:tcPr>
            <w:tcW w:type="dxa" w:w="382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 a percentage of total liabilities</w:t>
            </w:r>
          </w:p>
        </w:tc>
        <w:tc>
          <w:tcPr>
            <w:tcW w:type="dxa" w:w="1049"/>
            <w:vMerge/>
            <w:tcBorders>
              <w:bottom w:sz="8.0" w:val="single" w:color="#6C6C6C"/>
            </w:tcBorders>
          </w:tcPr>
          <w:p/>
        </w:tc>
        <w:tc>
          <w:tcPr>
            <w:tcW w:type="dxa" w:w="110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1.47 %</w:t>
            </w:r>
          </w:p>
        </w:tc>
        <w:tc>
          <w:tcPr>
            <w:tcW w:type="dxa" w:w="2098"/>
            <w:gridSpan w:val="2"/>
            <w:vMerge/>
            <w:tcBorders/>
          </w:tcPr>
          <w:p/>
        </w:tc>
        <w:tc>
          <w:tcPr>
            <w:tcW w:type="dxa" w:w="1049"/>
            <w:vMerge/>
            <w:tcBorders>
              <w:bottom w:sz="8.0" w:val="single" w:color="#6C6C6C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1.43 %</w:t>
            </w:r>
          </w:p>
        </w:tc>
        <w:tc>
          <w:tcPr>
            <w:tcW w:type="dxa" w:w="1049"/>
            <w:vMerge/>
            <w:tcBorders>
              <w:bottom w:sz="8.0" w:val="single" w:color="#6C6C6C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16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reviews the methodology, inputs, and assumptions on a quarterly basis to assess the appropriateness of the fair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value hierarchy classification of each financial instrument.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Some financial instruments are valued using pricing models. The valuation group, independent of the treasury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financial reporting functions, reviews all financial instrument models affecting financial reporting through fair value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assesses model appropriateness and consistency. The review looks at whether the models accurately reflect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characteristics of the transaction and its risks, the suitability and convergence properties of numerical algorithms,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reliability of data sources, the consistency of the treatment with models for similar products, and sensitivity to input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parameters and assumptions that cannot be priced from the market.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Reviews are conducted of new and/or changed models, as well as previously validated models, to assess whether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any changes in the product or market may have affected the model’s continued validity and whether any theoretical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or competitive developments may require reassessment of the model’s adequacy.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financial models used for input to IBRD’s financial statements are subject to both internal and periodic external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verification and review by qualified personnel.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cases where Management relies on instrument valuations supplied by external pricing vendors, procedures are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place to validate the appropriateness of the models used, as well as the inputs applied in determining those values.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1654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2024</w:t>
      </w:r>
    </w:p>
    <w:p>
      <w:pPr>
        <w:sectPr>
          <w:pgSz w:w="12240" w:h="15840"/>
          <w:pgMar w:top="302" w:right="1370" w:bottom="252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8"/>
              </w:rPr>
              <w:t>Section XII: Critical Accounting Policies and the Use of Estimates</w:t>
            </w:r>
          </w:p>
        </w:tc>
      </w:tr>
    </w:tbl>
    <w:p>
      <w:pPr>
        <w:autoSpaceDN w:val="0"/>
        <w:autoSpaceDE w:val="0"/>
        <w:widowControl/>
        <w:spacing w:line="268" w:lineRule="exact" w:before="508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Provision for Losses on Loans and Other Exposures </w:t>
      </w:r>
    </w:p>
    <w:p>
      <w:pPr>
        <w:autoSpaceDN w:val="0"/>
        <w:autoSpaceDE w:val="0"/>
        <w:widowControl/>
        <w:spacing w:line="224" w:lineRule="exact" w:before="14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evaluates estimated exposures over the life of loans and other exposures, to incorporate undisbursed loan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commitments in the measure of exposure, and to incorporate estimations of future market conditions for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reasonable and supportable forecast period along with historical experience. The overall provision for expected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losses is the sum of the computed annual losses, taking into account borrower risk ratings and associated expected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default frequencies, estimates of exposure, and severity of loss given default.</w:t>
      </w:r>
    </w:p>
    <w:p>
      <w:pPr>
        <w:autoSpaceDN w:val="0"/>
        <w:autoSpaceDE w:val="0"/>
        <w:widowControl/>
        <w:spacing w:line="222" w:lineRule="exact" w:before="226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For loans carried at fair value, if any, the credit risk assessment is a determinant of fair value.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determination of a borrower's risk rating is based on complex variables such as: political risk, external debt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liquidity, fiscal policy and the public debt burden, balance of payments risks, economic structure and growth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prospects, monetary and exchange rate policy, and financial sector risks and corporate sector debt and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vulnerabilities. Additionally, estimations of disbursements and repayments of exposures are made, as well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estimations of future interest cash flows based on forward looking market variables, and the impact of any credit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enhancement arrangements IBRD has received. 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periodically reviews these variables and reassesses the adequacy of the accumulated provision accordingly.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Actual losses may differ from expected losses owing to unforeseen changes in any of the variables affecting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creditworthiness or estimates inherent in the exposure measurements of borrowers.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Credit Risk Committee monitors aspects of country credit risk, in particular, reviewing the provision for losses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 loans and guarantees taking into account, among other factors, any changes in exposure, risk ratings of borrowing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member countries, or changes between the accrual and nonaccrual portfolios. 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accumulated provision for loan losses is reported separately in the Balance Sheets as a reduction from IBRD’s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total loans outstanding. The accumulated provision for losses on loan commitments and other exposures is included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accounts payable and miscellaneous liabilities. Increases or decreases in the accumulated provision for losses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loans and other exposures are reported in the Statements of Income as a Provision for losses on loans and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exposures (see Notes to Financial Statements: Note A: Summary of Significant Accounting and Related Policies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Note D: Loans and Other Exposures).</w:t>
      </w:r>
    </w:p>
    <w:p>
      <w:pPr>
        <w:autoSpaceDN w:val="0"/>
        <w:autoSpaceDE w:val="0"/>
        <w:widowControl/>
        <w:spacing w:line="268" w:lineRule="exact" w:before="136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Pension and Other Post-Retirement Benefits </w:t>
      </w:r>
    </w:p>
    <w:p>
      <w:pPr>
        <w:autoSpaceDN w:val="0"/>
        <w:autoSpaceDE w:val="0"/>
        <w:widowControl/>
        <w:spacing w:line="240" w:lineRule="exact" w:before="124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underlying actuarial assumptions used to determine the PBO, accumulated benefit obligations, and funded status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associated with IBRD pension and other post-retirement benefit plans are based on financial market interest rates,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experience, and Management's best estimate of future benefit changes and economic conditions. All costs, assets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liabilities associated with these plans are allocated between IBRD, IFC, and MIGA based upon their employees’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respective participation in the plans. Costs allocated to IBRD are then shared between IBRD and IDA based on 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agreed cost-sharing ratio. IDA, IFC and MIGA reimburse IBRD for their proportionate share of any contributions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made to these plans by IBRD. Contributions to the plans are calculated as a percentage of salary (see Notes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Financial Statements, Note K: Pension and Other Post-Retirement Benefits).</w:t>
      </w:r>
    </w:p>
    <w:p>
      <w:pPr>
        <w:autoSpaceDN w:val="0"/>
        <w:tabs>
          <w:tab w:pos="9088" w:val="left"/>
        </w:tabs>
        <w:autoSpaceDE w:val="0"/>
        <w:widowControl/>
        <w:spacing w:line="224" w:lineRule="exact" w:before="4504" w:after="0"/>
        <w:ind w:left="32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61</w:t>
      </w:r>
    </w:p>
    <w:p>
      <w:pPr>
        <w:sectPr>
          <w:pgSz w:w="12240" w:h="15840"/>
          <w:pgMar w:top="302" w:right="1370" w:bottom="24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XIII: Governance and Controls</w:t>
            </w:r>
          </w:p>
        </w:tc>
      </w:tr>
    </w:tbl>
    <w:p>
      <w:pPr>
        <w:autoSpaceDN w:val="0"/>
        <w:autoSpaceDE w:val="0"/>
        <w:widowControl/>
        <w:spacing w:line="314" w:lineRule="exact" w:before="55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Section XIII: Governance and Controls</w:t>
      </w:r>
    </w:p>
    <w:p>
      <w:pPr>
        <w:autoSpaceDN w:val="0"/>
        <w:autoSpaceDE w:val="0"/>
        <w:widowControl/>
        <w:spacing w:line="268" w:lineRule="exact" w:before="2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Business Conduct 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WBG promotes a positive work environment in which staff members understand their ethical obligations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institution. In support of this commitment, the institution has in place a Code of Conduct. The WBG has both 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Ethics Help Line and a Fraud and Corruption hotline. A third-party service offers many methods of worldwide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communication. Reporting channels include telephone, mail, email, or confidential submission through a website.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has procedures in place for receiving, retaining, and handling recommendations and concerns relating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business conduct identified during the accounting, internal control, and auditing processes.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WBG staff rules clarify and codify the staff’s obligations in reporting suspected fraud, corruption, or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misconduct that may threaten the operations or governance of the WBG. These rules also offer protection from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retaliation.</w:t>
      </w:r>
    </w:p>
    <w:p>
      <w:pPr>
        <w:autoSpaceDN w:val="0"/>
        <w:autoSpaceDE w:val="0"/>
        <w:widowControl/>
        <w:spacing w:line="202" w:lineRule="exact" w:before="14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Figure 25: Governance Structure</w:t>
      </w:r>
    </w:p>
    <w:p>
      <w:pPr>
        <w:autoSpaceDN w:val="0"/>
        <w:autoSpaceDE w:val="0"/>
        <w:widowControl/>
        <w:spacing w:line="240" w:lineRule="auto" w:before="16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1526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8" w:lineRule="exact" w:before="5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General Governance</w:t>
      </w:r>
    </w:p>
    <w:p>
      <w:pPr>
        <w:autoSpaceDN w:val="0"/>
        <w:autoSpaceDE w:val="0"/>
        <w:widowControl/>
        <w:spacing w:line="240" w:lineRule="exact" w:before="124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decision-making structure consists of the Board of Governors, Executive Directors (the Board),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President, Management, and staff. The Board of Governors is the highest decision-making authority. Governors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appointed by their member governments for a five-year term, which is renewable. The Board of Governors may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delegate authority to the Executive Directors to exercise any of its powers, except for certain powers enumerated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Articles. IBRD has its own policies and frameworks that are carried out by staff that share responsibilities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over both IBRD and IDA. </w:t>
      </w:r>
    </w:p>
    <w:p>
      <w:pPr>
        <w:autoSpaceDN w:val="0"/>
        <w:autoSpaceDE w:val="0"/>
        <w:widowControl/>
        <w:spacing w:line="224" w:lineRule="exact" w:before="13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addition, IBRD and IDA have joint internal institutional oversight units which play an assurance role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shareholders and management that IBRD’s work is impactful and accountable, informed by best practices,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delivered to the highest ethical standards with risk management controls and governance processes that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functioning effectively. </w:t>
      </w:r>
    </w:p>
    <w:p>
      <w:pPr>
        <w:autoSpaceDN w:val="0"/>
        <w:autoSpaceDE w:val="0"/>
        <w:widowControl/>
        <w:spacing w:line="268" w:lineRule="exact" w:before="22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Executive Directors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accordance with IBRD’s Articles, Executive Directors are appointed or elected every two years by their member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governments.  The Board currently has 25 Executive Directors, who represent all 189 member countries. Executive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Directors are neither officers nor staff of IBRD. The President is the only member of the Board from management,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he serves as a non-voting member and as Chairman of the Board.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Board is required to consider proposals made by the President on IBRD loans, grants and guarantees and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other policies that affect its general operations. The Board is also responsible for presenting to the Governors, at the 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862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2024</w:t>
      </w:r>
    </w:p>
    <w:p>
      <w:pPr>
        <w:sectPr>
          <w:pgSz w:w="12240" w:h="15840"/>
          <w:pgMar w:top="302" w:right="1370" w:bottom="252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XIII: Governance and Controls</w:t>
            </w:r>
          </w:p>
        </w:tc>
      </w:tr>
    </w:tbl>
    <w:p>
      <w:pPr>
        <w:autoSpaceDN w:val="0"/>
        <w:autoSpaceDE w:val="0"/>
        <w:widowControl/>
        <w:spacing w:line="240" w:lineRule="exact" w:before="492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Annual Meetings, audited accounts, an administrative budget, and an annual report on operations and policies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other matters.</w:t>
      </w:r>
    </w:p>
    <w:p>
      <w:pPr>
        <w:autoSpaceDN w:val="0"/>
        <w:autoSpaceDE w:val="0"/>
        <w:widowControl/>
        <w:spacing w:line="240" w:lineRule="exact" w:before="12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Board and its committees are in continuous sessions based in Washington DC, as business requires. Each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committee's terms of reference establish its respective roles and responsibilities. As committees do not vote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issues, their role is primarily to serve the Board in discharging its responsibilities. </w:t>
      </w:r>
    </w:p>
    <w:p>
      <w:pPr>
        <w:autoSpaceDN w:val="0"/>
        <w:autoSpaceDE w:val="0"/>
        <w:widowControl/>
        <w:spacing w:line="240" w:lineRule="exact" w:before="12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committees are made up of eight members and function under their respective stipulated terms of reference.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These committees are as follows:</w:t>
      </w:r>
    </w:p>
    <w:p>
      <w:pPr>
        <w:autoSpaceDN w:val="0"/>
        <w:tabs>
          <w:tab w:pos="724" w:val="left"/>
        </w:tabs>
        <w:autoSpaceDE w:val="0"/>
        <w:widowControl/>
        <w:spacing w:line="240" w:lineRule="exact" w:before="120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Audit Committee - assists the Board in overseeing IBRD’s finances, accounting, risk management and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internal controls (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>see further explanation below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40" w:lineRule="exact" w:before="120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Budget Committee - assists the Board in approving the World Bank’s budget and in overseeing the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preparation and execution of IBRD’s business plans. The committee provides guidance to management on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strategic directions of IBRD.</w:t>
      </w:r>
    </w:p>
    <w:p>
      <w:pPr>
        <w:autoSpaceDN w:val="0"/>
        <w:tabs>
          <w:tab w:pos="724" w:val="left"/>
        </w:tabs>
        <w:autoSpaceDE w:val="0"/>
        <w:widowControl/>
        <w:spacing w:line="240" w:lineRule="exact" w:before="120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Committee on Development Effectiveness - supports the Board in assessing IBRD’s development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effectiveness, providing guidance on strategic directions of IBRD, and monitoring the quality and results of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operations.</w:t>
      </w:r>
    </w:p>
    <w:p>
      <w:pPr>
        <w:autoSpaceDN w:val="0"/>
        <w:tabs>
          <w:tab w:pos="724" w:val="left"/>
        </w:tabs>
        <w:autoSpaceDE w:val="0"/>
        <w:widowControl/>
        <w:spacing w:line="240" w:lineRule="exact" w:before="120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Committee on Governance and Executive Directors’ Administrative Matters - assists the Board on issues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related to the governance of IBRD, the Board’s own effectiveness, and the administrative policy applicable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to Executive Directors’ offices.</w:t>
      </w:r>
    </w:p>
    <w:p>
      <w:pPr>
        <w:autoSpaceDN w:val="0"/>
        <w:tabs>
          <w:tab w:pos="724" w:val="left"/>
        </w:tabs>
        <w:autoSpaceDE w:val="0"/>
        <w:widowControl/>
        <w:spacing w:line="240" w:lineRule="exact" w:before="120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Human Resources Committee - strengthens the efficiency and effectiveness of the Board in discharging its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oversight responsibility on the World Bank’s human resources strategy, policies and practices, and their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alignment with the business needs of the organization.</w:t>
      </w:r>
    </w:p>
    <w:p>
      <w:pPr>
        <w:autoSpaceDN w:val="0"/>
        <w:autoSpaceDE w:val="0"/>
        <w:widowControl/>
        <w:spacing w:line="268" w:lineRule="exact" w:before="136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Audit Committee</w:t>
      </w:r>
    </w:p>
    <w:p>
      <w:pPr>
        <w:autoSpaceDN w:val="0"/>
        <w:autoSpaceDE w:val="0"/>
        <w:widowControl/>
        <w:spacing w:line="244" w:lineRule="exact" w:before="134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Membership</w:t>
      </w:r>
    </w:p>
    <w:p>
      <w:pPr>
        <w:autoSpaceDN w:val="0"/>
        <w:autoSpaceDE w:val="0"/>
        <w:widowControl/>
        <w:spacing w:line="240" w:lineRule="exact" w:before="13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Audit Committee consists of eight Executive Directors. Membership in the Committee is determined by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Board, based on nominations by the Chairman of the Board, following informal consultation with Executive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Directors. </w:t>
      </w:r>
    </w:p>
    <w:p>
      <w:pPr>
        <w:autoSpaceDN w:val="0"/>
        <w:autoSpaceDE w:val="0"/>
        <w:widowControl/>
        <w:spacing w:line="244" w:lineRule="exact" w:before="130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Key Responsibilities</w:t>
      </w:r>
    </w:p>
    <w:p>
      <w:pPr>
        <w:autoSpaceDN w:val="0"/>
        <w:autoSpaceDE w:val="0"/>
        <w:widowControl/>
        <w:spacing w:line="240" w:lineRule="exact" w:before="13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Audit Committee is appointed by the Board for the primary purpose of assisting the Board in overseeing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finances, accounting, risk management, internal controls and institutional integrity. Specific responsibilities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include:</w:t>
      </w:r>
    </w:p>
    <w:p>
      <w:pPr>
        <w:autoSpaceDN w:val="0"/>
        <w:tabs>
          <w:tab w:pos="724" w:val="left"/>
        </w:tabs>
        <w:autoSpaceDE w:val="0"/>
        <w:widowControl/>
        <w:spacing w:line="222" w:lineRule="exact" w:before="138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Oversight of the integrity of IBRD’s financial statements. </w:t>
      </w:r>
    </w:p>
    <w:p>
      <w:pPr>
        <w:autoSpaceDN w:val="0"/>
        <w:tabs>
          <w:tab w:pos="724" w:val="left"/>
        </w:tabs>
        <w:autoSpaceDE w:val="0"/>
        <w:widowControl/>
        <w:spacing w:line="222" w:lineRule="exact" w:before="138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Appointment, qualifications, independence and performance of the External Auditor. </w:t>
      </w:r>
    </w:p>
    <w:p>
      <w:pPr>
        <w:autoSpaceDN w:val="0"/>
        <w:tabs>
          <w:tab w:pos="724" w:val="left"/>
        </w:tabs>
        <w:autoSpaceDE w:val="0"/>
        <w:widowControl/>
        <w:spacing w:line="222" w:lineRule="exact" w:before="138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Performance of the Group Internal Audit. </w:t>
      </w:r>
    </w:p>
    <w:p>
      <w:pPr>
        <w:autoSpaceDN w:val="0"/>
        <w:tabs>
          <w:tab w:pos="724" w:val="left"/>
        </w:tabs>
        <w:autoSpaceDE w:val="0"/>
        <w:widowControl/>
        <w:spacing w:line="240" w:lineRule="exact" w:before="120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Adequacy and effectiveness of financial and accounting policies and internal controls and the mechanisms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deter, prevent and penalize fraud and corruption in IBRD operations and corporate procurement. </w:t>
      </w:r>
    </w:p>
    <w:p>
      <w:pPr>
        <w:autoSpaceDN w:val="0"/>
        <w:tabs>
          <w:tab w:pos="724" w:val="left"/>
        </w:tabs>
        <w:autoSpaceDE w:val="0"/>
        <w:widowControl/>
        <w:spacing w:line="222" w:lineRule="exact" w:before="138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Effective management of financial, fiduciary and compliance risks in IBRD. </w:t>
      </w:r>
    </w:p>
    <w:p>
      <w:pPr>
        <w:autoSpaceDN w:val="0"/>
        <w:tabs>
          <w:tab w:pos="724" w:val="left"/>
        </w:tabs>
        <w:autoSpaceDE w:val="0"/>
        <w:widowControl/>
        <w:spacing w:line="222" w:lineRule="exact" w:before="138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Oversight of the institutional arrangements and processes for risk management across IBRD.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carrying out its role, the Audit Committee discusses financial issues and policies that affect IBRD’s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position and capital adequacy with Management, external auditors, and internal auditors. It recommends the annual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audited financial statements for approval to the Board. The Audit Committee monitors and reviews developments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corporate governance and its own role on an ongoing basis.</w:t>
      </w:r>
    </w:p>
    <w:p>
      <w:pPr>
        <w:autoSpaceDN w:val="0"/>
        <w:tabs>
          <w:tab w:pos="9088" w:val="left"/>
        </w:tabs>
        <w:autoSpaceDE w:val="0"/>
        <w:widowControl/>
        <w:spacing w:line="224" w:lineRule="exact" w:before="1528" w:after="0"/>
        <w:ind w:left="32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63</w:t>
      </w:r>
    </w:p>
    <w:p>
      <w:pPr>
        <w:sectPr>
          <w:pgSz w:w="12240" w:h="15840"/>
          <w:pgMar w:top="302" w:right="1370" w:bottom="24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XIII: Governance and Controls</w:t>
            </w:r>
          </w:p>
        </w:tc>
      </w:tr>
    </w:tbl>
    <w:p>
      <w:pPr>
        <w:autoSpaceDN w:val="0"/>
        <w:autoSpaceDE w:val="0"/>
        <w:widowControl/>
        <w:spacing w:line="244" w:lineRule="exact" w:before="502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Executive Sessions</w:t>
      </w:r>
    </w:p>
    <w:p>
      <w:pPr>
        <w:autoSpaceDN w:val="0"/>
        <w:autoSpaceDE w:val="0"/>
        <w:widowControl/>
        <w:spacing w:line="240" w:lineRule="exact" w:before="13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the Audit Committee's terms of reference, it may convene in executive session at any time, without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Management’s presence.  The Audit Committee meets separately in executive session with the external and internal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auditors. </w:t>
      </w:r>
    </w:p>
    <w:p>
      <w:pPr>
        <w:autoSpaceDN w:val="0"/>
        <w:autoSpaceDE w:val="0"/>
        <w:widowControl/>
        <w:spacing w:line="244" w:lineRule="exact" w:before="130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Access to Resources and to Management</w:t>
      </w:r>
    </w:p>
    <w:p>
      <w:pPr>
        <w:autoSpaceDN w:val="0"/>
        <w:autoSpaceDE w:val="0"/>
        <w:widowControl/>
        <w:spacing w:line="240" w:lineRule="exact" w:before="13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Throughout the year, the Audit Committee receives a large volume of information to enable it to carry out its duties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meets both formally and informally throughout the year to discuss relevant matters. It has complete access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Management, and reviews and discusses with Management topics considered in its terms of reference. </w:t>
      </w:r>
    </w:p>
    <w:p>
      <w:pPr>
        <w:autoSpaceDN w:val="0"/>
        <w:autoSpaceDE w:val="0"/>
        <w:widowControl/>
        <w:spacing w:line="240" w:lineRule="exact" w:before="12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Audit Committee has the authority to seek advice and assistance from outside legal, accounting, or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advisors as it deems necessary. </w:t>
      </w:r>
    </w:p>
    <w:p>
      <w:pPr>
        <w:autoSpaceDN w:val="0"/>
        <w:autoSpaceDE w:val="0"/>
        <w:widowControl/>
        <w:spacing w:line="268" w:lineRule="exact" w:before="136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Auditor Independence </w:t>
      </w:r>
    </w:p>
    <w:p>
      <w:pPr>
        <w:autoSpaceDN w:val="0"/>
        <w:autoSpaceDE w:val="0"/>
        <w:widowControl/>
        <w:spacing w:line="222" w:lineRule="exact" w:before="142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appointment of the external auditor for IBRD is governed by a set of Board-approved principles. These include: </w:t>
      </w:r>
    </w:p>
    <w:p>
      <w:pPr>
        <w:autoSpaceDN w:val="0"/>
        <w:tabs>
          <w:tab w:pos="724" w:val="left"/>
        </w:tabs>
        <w:autoSpaceDE w:val="0"/>
        <w:widowControl/>
        <w:spacing w:line="222" w:lineRule="exact" w:before="98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Limits on the external auditor’s provision of non-audit-related services</w:t>
      </w:r>
    </w:p>
    <w:p>
      <w:pPr>
        <w:autoSpaceDN w:val="0"/>
        <w:tabs>
          <w:tab w:pos="724" w:val="left"/>
        </w:tabs>
        <w:autoSpaceDE w:val="0"/>
        <w:widowControl/>
        <w:spacing w:line="240" w:lineRule="exact" w:before="120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Requiring all audit-related services to be pre-approved on a case-by-case basis by the Board, upon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recommendation of the Audit Committee, and</w:t>
      </w:r>
    </w:p>
    <w:p>
      <w:pPr>
        <w:autoSpaceDN w:val="0"/>
        <w:tabs>
          <w:tab w:pos="724" w:val="left"/>
        </w:tabs>
        <w:autoSpaceDE w:val="0"/>
        <w:widowControl/>
        <w:spacing w:line="240" w:lineRule="exact" w:before="120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Renewal of the external audit contract every five years, with a limit of two consecutive terms and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mandatory rotation thereafter.</w:t>
      </w:r>
    </w:p>
    <w:p>
      <w:pPr>
        <w:autoSpaceDN w:val="0"/>
        <w:autoSpaceDE w:val="0"/>
        <w:widowControl/>
        <w:spacing w:line="240" w:lineRule="exact" w:before="12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external auditor may provide non-prohibited, non-audit related services subject to monetary limits. Broadly,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list of prohibited non-audit services include those that would put the external auditor in the roles typically performed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by management and in a position of auditing their own work, such as accounting services, internal audit services,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provision of investment advice. The total non-audit services fees over the term of the relevant external audit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contract shall not exceed 70% of the audit fees over the same period.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Communication between the external auditor and the Audit Committee is ongoing and carried out as often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deemed necessary by either party. The Audit Committee meets periodically with the external auditor and individual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committee members have independent access to the external auditor. IBRD’s external auditors also follow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communication requirements with the Audit Committee set out under generally accepted auditing standards in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United States. </w:t>
      </w:r>
    </w:p>
    <w:p>
      <w:pPr>
        <w:autoSpaceDN w:val="0"/>
        <w:autoSpaceDE w:val="0"/>
        <w:widowControl/>
        <w:spacing w:line="268" w:lineRule="exact" w:before="136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External Auditors</w:t>
      </w:r>
    </w:p>
    <w:p>
      <w:pPr>
        <w:autoSpaceDN w:val="0"/>
        <w:autoSpaceDE w:val="0"/>
        <w:widowControl/>
        <w:spacing w:line="240" w:lineRule="exact" w:before="12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external auditor is appointed to a five-year term, with a limit of two consecutive terms, and is subject to annual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reappointment based on the recommendation of the Audit Committee and approval of a resolution by the Board. </w:t>
      </w:r>
    </w:p>
    <w:p>
      <w:pPr>
        <w:autoSpaceDN w:val="0"/>
        <w:autoSpaceDE w:val="0"/>
        <w:widowControl/>
        <w:spacing w:line="240" w:lineRule="exact" w:before="12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May 2022, IBRD’s Board approved Deloitte &amp; Touche LLP as IBRD’s external auditor for a second five-year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term commencing in FY24. </w:t>
      </w:r>
    </w:p>
    <w:p>
      <w:pPr>
        <w:autoSpaceDN w:val="0"/>
        <w:autoSpaceDE w:val="0"/>
        <w:widowControl/>
        <w:spacing w:line="268" w:lineRule="exact" w:before="136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Senior Management Changes</w:t>
      </w:r>
    </w:p>
    <w:p>
      <w:pPr>
        <w:autoSpaceDN w:val="0"/>
        <w:autoSpaceDE w:val="0"/>
        <w:widowControl/>
        <w:spacing w:line="240" w:lineRule="exact" w:before="12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 February 20, 2024, Wencai Zhang was appointed as Managing Director and WBG Chief Administrative Officer,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effective March 18, 2024, replacing Shaolin Yang who was previously in this role.</w:t>
      </w:r>
    </w:p>
    <w:p>
      <w:pPr>
        <w:autoSpaceDN w:val="0"/>
        <w:tabs>
          <w:tab w:pos="656" w:val="left"/>
        </w:tabs>
        <w:autoSpaceDE w:val="0"/>
        <w:widowControl/>
        <w:spacing w:line="224" w:lineRule="exact" w:before="325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2024</w:t>
      </w:r>
    </w:p>
    <w:p>
      <w:pPr>
        <w:sectPr>
          <w:pgSz w:w="12240" w:h="15840"/>
          <w:pgMar w:top="302" w:right="1370" w:bottom="25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XIII: Governance and Controls</w:t>
            </w:r>
          </w:p>
        </w:tc>
      </w:tr>
    </w:tbl>
    <w:p>
      <w:pPr>
        <w:autoSpaceDN w:val="0"/>
        <w:autoSpaceDE w:val="0"/>
        <w:widowControl/>
        <w:spacing w:line="268" w:lineRule="exact" w:before="508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Internal Control</w:t>
      </w:r>
    </w:p>
    <w:p>
      <w:pPr>
        <w:autoSpaceDN w:val="0"/>
        <w:autoSpaceDE w:val="0"/>
        <w:widowControl/>
        <w:spacing w:line="244" w:lineRule="exact" w:before="134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Internal Control Over Financial Reporting</w:t>
      </w:r>
    </w:p>
    <w:p>
      <w:pPr>
        <w:autoSpaceDN w:val="0"/>
        <w:autoSpaceDE w:val="0"/>
        <w:widowControl/>
        <w:spacing w:line="240" w:lineRule="exact" w:before="13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Each fiscal year, Management evaluates the internal controls over financial reporting to determine whether any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changes made in these controls during the fiscal year materially affect, or would be reasonably likely to materially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affect, IBRD’s internal control over financial reporting. The internal control framework promulgated by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Committee of Sponsoring Organizations of the Treadway Commission (COSO), “Internal Control - Integrated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Framework (2013)” provides guidance for designing, implementing and conducting internal control and assessing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effectiveness. IBRD uses the 2013 COSO framework to assess the effectiveness of the internal control over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reporting. As of June 30, 2024, management maintained effective internal control over financial reporting. See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“Management’s report regarding effectiveness of Internal Control over Financial Reporting” on page 70.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internal control over financial reporting was audited by Deloitte &amp; Touche LLP, and their report expresses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 unqualified opinion on the effectiveness of IBRD’s internal control over financial reporting as of June 30, 2024.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See Independent Auditor’s Report on page 74.</w:t>
      </w:r>
    </w:p>
    <w:p>
      <w:pPr>
        <w:autoSpaceDN w:val="0"/>
        <w:autoSpaceDE w:val="0"/>
        <w:widowControl/>
        <w:spacing w:line="244" w:lineRule="exact" w:before="130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Disclosure Controls and Procedures</w:t>
      </w:r>
    </w:p>
    <w:p>
      <w:pPr>
        <w:autoSpaceDN w:val="0"/>
        <w:autoSpaceDE w:val="0"/>
        <w:widowControl/>
        <w:spacing w:line="240" w:lineRule="exact" w:before="13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Disclosure controls and procedures are designed to ensure that information required to be disclosed is gathered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communicated to Management, as appropriate, to allow timely decisions regarding required disclosure by IBRD.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conducted an evaluation of the effectiveness of such controls and procedures and the President and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MDCFO have concluded that these controls and procedures were effective as of June 30, 2024.</w:t>
      </w:r>
    </w:p>
    <w:p>
      <w:pPr>
        <w:autoSpaceDN w:val="0"/>
        <w:tabs>
          <w:tab w:pos="9088" w:val="left"/>
        </w:tabs>
        <w:autoSpaceDE w:val="0"/>
        <w:widowControl/>
        <w:spacing w:line="224" w:lineRule="exact" w:before="8728" w:after="0"/>
        <w:ind w:left="32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65</w:t>
      </w:r>
    </w:p>
    <w:p>
      <w:pPr>
        <w:sectPr>
          <w:pgSz w:w="12240" w:h="15840"/>
          <w:pgMar w:top="302" w:right="1370" w:bottom="24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Appendix</w:t>
            </w:r>
          </w:p>
        </w:tc>
      </w:tr>
    </w:tbl>
    <w:p>
      <w:pPr>
        <w:autoSpaceDN w:val="0"/>
        <w:autoSpaceDE w:val="0"/>
        <w:widowControl/>
        <w:spacing w:line="314" w:lineRule="exact" w:before="55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Appendix</w:t>
      </w:r>
    </w:p>
    <w:p>
      <w:pPr>
        <w:autoSpaceDN w:val="0"/>
        <w:autoSpaceDE w:val="0"/>
        <w:widowControl/>
        <w:spacing w:line="268" w:lineRule="exact" w:before="2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Glossary of Terms</w:t>
      </w:r>
    </w:p>
    <w:p>
      <w:pPr>
        <w:autoSpaceDN w:val="0"/>
        <w:autoSpaceDE w:val="0"/>
        <w:widowControl/>
        <w:spacing w:line="240" w:lineRule="exact" w:before="10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>Articles: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IBRD’s Articles of Agreement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>Below GDI Country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: Country whose Gross National Income per capita is below the Graduation Discussion Income as published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in the Per Capita Income Guidelines for Operational Purposes.</w:t>
      </w:r>
    </w:p>
    <w:p>
      <w:pPr>
        <w:autoSpaceDN w:val="0"/>
        <w:autoSpaceDE w:val="0"/>
        <w:widowControl/>
        <w:spacing w:line="200" w:lineRule="exact" w:before="10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Board: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The Executive Directors as established by IBRD’s Articles of Agreement.</w:t>
      </w:r>
    </w:p>
    <w:p>
      <w:pPr>
        <w:autoSpaceDN w:val="0"/>
        <w:autoSpaceDE w:val="0"/>
        <w:widowControl/>
        <w:spacing w:line="18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>Budget Anchor: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Efficiency measure that IBRD uses to monitor the coverage of its net administrative expenses by its loan spread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revenue. </w:t>
      </w:r>
    </w:p>
    <w:p>
      <w:pPr>
        <w:autoSpaceDN w:val="0"/>
        <w:autoSpaceDE w:val="0"/>
        <w:widowControl/>
        <w:spacing w:line="18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Capital Adequacy: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A measure of IBRD’s ability to withstand unexpected shocks and is based on the amount of IBRD’s usable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equity expressed as a percentage of its loans and other related exposures.</w:t>
      </w:r>
    </w:p>
    <w:p>
      <w:pPr>
        <w:autoSpaceDN w:val="0"/>
        <w:autoSpaceDE w:val="0"/>
        <w:widowControl/>
        <w:spacing w:line="18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>Credit Default Swaps (CDS):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A derivative contract that provides protection against deteriorating credit quality and allows one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party to receive payment in the event of a default or specified credit event by a third party.</w:t>
      </w:r>
    </w:p>
    <w:p>
      <w:pPr>
        <w:autoSpaceDN w:val="0"/>
        <w:autoSpaceDE w:val="0"/>
        <w:widowControl/>
        <w:spacing w:line="18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>Credit Valuation Adjustment (CVA):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The CVA represents the counterparty credit risk exposure and is reflected in the fair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value of derivative instruments. </w:t>
      </w:r>
    </w:p>
    <w:p>
      <w:pPr>
        <w:autoSpaceDN w:val="0"/>
        <w:autoSpaceDE w:val="0"/>
        <w:widowControl/>
        <w:spacing w:line="240" w:lineRule="exact" w:before="6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Debit Valuation Adjustment (DVA):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DVA on Fair Value Option (FVO) Elected Liabilities that corresponds to the change in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fair value of the liability presented under the FVO that relate to the instrument specific credit risk (“own-credit risk”). </w:t>
      </w:r>
      <w:r>
        <w:rPr>
          <w:rFonts w:ascii="TimesNewRoman" w:hAnsi="TimesNewRoman" w:eastAsia="TimesNewRoman"/>
          <w:b/>
          <w:i w:val="0"/>
          <w:color w:val="000000"/>
          <w:sz w:val="18"/>
        </w:rPr>
        <w:t>Duration: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Provides an indication of the sensitivity of underlying yield to changes in interest rates.</w:t>
      </w:r>
    </w:p>
    <w:p>
      <w:pPr>
        <w:autoSpaceDN w:val="0"/>
        <w:autoSpaceDE w:val="0"/>
        <w:widowControl/>
        <w:spacing w:line="180" w:lineRule="exact" w:before="120" w:after="0"/>
        <w:ind w:left="10" w:right="144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>Equity-to-Loans Ratio: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The Board monitors IBRD’s capital adequacy within a Strategic Capital Adequacy Framework, using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the Equity-to-Loans ratio as a key indicator of IBRD’s capital adequacy.  For details on the ratio, see Table 30.</w:t>
      </w:r>
    </w:p>
    <w:p>
      <w:pPr>
        <w:autoSpaceDN w:val="0"/>
        <w:autoSpaceDE w:val="0"/>
        <w:widowControl/>
        <w:spacing w:line="270" w:lineRule="exact" w:before="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Loan Spread Revenue, Net: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The spread between loan returns and associated debt cost, assuming loans are fully funded by debt. </w:t>
      </w:r>
      <w:r>
        <w:rPr>
          <w:rFonts w:ascii="TimesNewRoman" w:hAnsi="TimesNewRoman" w:eastAsia="TimesNewRoman"/>
          <w:b/>
          <w:i w:val="0"/>
          <w:color w:val="000000"/>
          <w:sz w:val="18"/>
        </w:rPr>
        <w:t>Lower-Middle-Income Countries: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FY24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, income groups are classified according to the 2022 gross national income (GNI)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per capita. For lower-middle-income countries, the GNI range was $1,136 to $4,465.</w:t>
      </w:r>
    </w:p>
    <w:p>
      <w:pPr>
        <w:autoSpaceDN w:val="0"/>
        <w:autoSpaceDE w:val="0"/>
        <w:widowControl/>
        <w:spacing w:line="180" w:lineRule="exact" w:before="156" w:after="0"/>
        <w:ind w:left="10" w:right="20" w:firstLine="0"/>
        <w:jc w:val="both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Maintenance of Value (MOV):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Under IBRD’s Articles, members are required to maintain the value of their subscriptions of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national currency paid-in, which is subject to certain restrictions. MOV is determined by measuring the foreign exchange value of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a member’s national currency against the standard of value of IBRD’s capital based on the 1974 SDR. </w:t>
      </w:r>
    </w:p>
    <w:p>
      <w:pPr>
        <w:autoSpaceDN w:val="0"/>
        <w:autoSpaceDE w:val="0"/>
        <w:widowControl/>
        <w:spacing w:line="240" w:lineRule="exact" w:before="6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>Lending Operations: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Total projects from a fiscal year based on project approval date as of June 30 of the fiscal year. </w:t>
      </w:r>
      <w:r>
        <w:rPr>
          <w:rFonts w:ascii="TimesNewRoman" w:hAnsi="TimesNewRoman" w:eastAsia="TimesNewRoman"/>
          <w:b/>
          <w:i w:val="0"/>
          <w:color w:val="000000"/>
          <w:sz w:val="18"/>
        </w:rPr>
        <w:t>Net Commitments: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Commitments net of full terminations and cancellations approved in the same fiscal year and include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guarantee commitments and guarantee facilities that have been approved by the Executive Directors.</w:t>
      </w:r>
    </w:p>
    <w:p>
      <w:pPr>
        <w:autoSpaceDN w:val="0"/>
        <w:autoSpaceDE w:val="0"/>
        <w:widowControl/>
        <w:spacing w:line="200" w:lineRule="exact" w:before="10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>Net Loan Disbursements: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Loan disbursements net of repayments and prepayments.</w:t>
      </w:r>
    </w:p>
    <w:p>
      <w:pPr>
        <w:autoSpaceDN w:val="0"/>
        <w:autoSpaceDE w:val="0"/>
        <w:widowControl/>
        <w:spacing w:line="18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>Prudential Minimum: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 The minimum amount of liquidity that IBRD is required to hold and is defined as 80% of the Target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Liquidity Level. </w:t>
      </w:r>
    </w:p>
    <w:p>
      <w:pPr>
        <w:autoSpaceDN w:val="0"/>
        <w:autoSpaceDE w:val="0"/>
        <w:widowControl/>
        <w:spacing w:line="200" w:lineRule="exact" w:before="10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Sustainable Annual Lending Level (SALL):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The level of lending that can be sustained in real terms over 10 years.</w:t>
      </w:r>
    </w:p>
    <w:p>
      <w:pPr>
        <w:autoSpaceDN w:val="0"/>
        <w:autoSpaceDE w:val="0"/>
        <w:widowControl/>
        <w:spacing w:line="18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>Strategic Capital Adequacy Framework: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Evaluates IBRD’s capital adequacy as measured by stress tests and an appropriate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minimum level for the long-term Equity-to-Loans ratio. The Equity-to-Loans ratio provides a background framework in the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context of annual net income allocation decisions, as well as in the assessment of the initiatives for the use of capital. The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framework has been approved by the Board.</w:t>
      </w:r>
    </w:p>
    <w:p>
      <w:pPr>
        <w:autoSpaceDN w:val="0"/>
        <w:autoSpaceDE w:val="0"/>
        <w:widowControl/>
        <w:spacing w:line="18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Single Borrower Limit (SBL):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The maximum authorized exposure to IBRD’s most creditworthy and largest borrowing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countries in terms of population and economic size.</w:t>
      </w:r>
    </w:p>
    <w:p>
      <w:pPr>
        <w:autoSpaceDN w:val="0"/>
        <w:autoSpaceDE w:val="0"/>
        <w:widowControl/>
        <w:spacing w:line="18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>Statutory Lending Limit (SLL):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Under IBRD’s Articles, as applied, the total amount outstanding of loans, participations in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loans, and callable guarantees may not exceed the sum of unimpaired subscribed capital, reserves and surplus.</w:t>
      </w:r>
    </w:p>
    <w:p>
      <w:pPr>
        <w:autoSpaceDN w:val="0"/>
        <w:autoSpaceDE w:val="0"/>
        <w:widowControl/>
        <w:spacing w:line="18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>Target Liquidity Level (TLL):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The twelve-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month Target Liquidity Level is calculated before the end of each fiscal year based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on Management’s estimates of projected net loan disbursements approved at the time of projection and twelve-month of debt-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service for the upcoming fiscal year. This twelve-month estimate becomes the target for the upcoming fiscal year.</w:t>
      </w:r>
    </w:p>
    <w:p>
      <w:pPr>
        <w:autoSpaceDN w:val="0"/>
        <w:autoSpaceDE w:val="0"/>
        <w:widowControl/>
        <w:spacing w:line="200" w:lineRule="exact" w:before="10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>U.S. GAAP: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Accounting principles generally accepted in the United States of America.</w:t>
      </w:r>
    </w:p>
    <w:p>
      <w:pPr>
        <w:autoSpaceDN w:val="0"/>
        <w:autoSpaceDE w:val="0"/>
        <w:widowControl/>
        <w:spacing w:line="200" w:lineRule="exact" w:before="10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World Bank: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The World Bank consists of IBRD and IDA.</w:t>
      </w:r>
    </w:p>
    <w:p>
      <w:pPr>
        <w:autoSpaceDN w:val="0"/>
        <w:autoSpaceDE w:val="0"/>
        <w:widowControl/>
        <w:spacing w:line="200" w:lineRule="exact" w:before="10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World Bank Group (WBG):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The World Bank Group consists of IBRD, IDA, IFC, MIGA, and ICSID.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1804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2024</w:t>
      </w:r>
    </w:p>
    <w:p>
      <w:pPr>
        <w:sectPr>
          <w:pgSz w:w="12240" w:h="15840"/>
          <w:pgMar w:top="302" w:right="1370" w:bottom="252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5"/>
        <w:gridCol w:w="4715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Appendix</w:t>
            </w:r>
          </w:p>
        </w:tc>
      </w:tr>
    </w:tbl>
    <w:p>
      <w:pPr>
        <w:autoSpaceDN w:val="0"/>
        <w:autoSpaceDE w:val="0"/>
        <w:widowControl/>
        <w:spacing w:line="268" w:lineRule="exact" w:before="508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Abbreviations and Acronyms</w:t>
      </w:r>
    </w:p>
    <w:p>
      <w:pPr>
        <w:autoSpaceDN w:val="0"/>
        <w:autoSpaceDE w:val="0"/>
        <w:widowControl/>
        <w:spacing w:line="200" w:lineRule="exact" w:before="146" w:after="136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>AFDB: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African Development Bank                                                       </w:t>
      </w:r>
      <w:r>
        <w:rPr>
          <w:rFonts w:ascii="TimesNewRoman" w:hAnsi="TimesNewRoman" w:eastAsia="TimesNewRoman"/>
          <w:b/>
          <w:i w:val="0"/>
          <w:color w:val="000000"/>
          <w:sz w:val="18"/>
        </w:rPr>
        <w:t>IFLs: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IBRD Flexible Loans</w:t>
      </w:r>
    </w:p>
    <w:p>
      <w:pPr>
        <w:sectPr>
          <w:pgSz w:w="12240" w:h="15840"/>
          <w:pgMar w:top="302" w:right="1374" w:bottom="24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4" w:right="288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AOCI: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Accumulated Other Comprehensive Income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BOG: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Board of Governors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>COSO: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Committee of Sponsoring Organizations of the </w:t>
      </w:r>
    </w:p>
    <w:p>
      <w:pPr>
        <w:sectPr>
          <w:type w:val="continuous"/>
          <w:pgSz w:w="12240" w:h="15840"/>
          <w:pgMar w:top="302" w:right="1374" w:bottom="244" w:left="1436" w:header="720" w:footer="720" w:gutter="0"/>
          <w:cols w:num="2" w:equalWidth="0">
            <w:col w:w="4706" w:space="0"/>
            <w:col w:w="4723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16"/>
        <w:ind w:left="338" w:right="1296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IPF: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Investment Project Financing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LIBID: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London Interbank Bid Rate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LIBOR: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London Interbank Offered Rate</w:t>
      </w:r>
    </w:p>
    <w:p>
      <w:pPr>
        <w:sectPr>
          <w:type w:val="nextColumn"/>
          <w:pgSz w:w="12240" w:h="15840"/>
          <w:pgMar w:top="302" w:right="1374" w:bottom="244" w:left="1436" w:header="720" w:footer="720" w:gutter="0"/>
          <w:cols w:num="2" w:equalWidth="0">
            <w:col w:w="4706" w:space="0"/>
            <w:col w:w="4723" w:space="0"/>
          </w:cols>
          <w:docGrid w:linePitch="360"/>
        </w:sectPr>
      </w:pPr>
    </w:p>
    <w:p>
      <w:pPr>
        <w:autoSpaceDN w:val="0"/>
        <w:tabs>
          <w:tab w:pos="5044" w:val="left"/>
        </w:tabs>
        <w:autoSpaceDE w:val="0"/>
        <w:widowControl/>
        <w:spacing w:line="200" w:lineRule="exact" w:before="0" w:after="52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Treadway Commission </w:t>
      </w:r>
      <w:r>
        <w:tab/>
      </w:r>
      <w:r>
        <w:rPr>
          <w:rFonts w:ascii="TimesNewRoman" w:hAnsi="TimesNewRoman" w:eastAsia="TimesNewRoman"/>
          <w:b/>
          <w:i w:val="0"/>
          <w:color w:val="000000"/>
          <w:sz w:val="18"/>
        </w:rPr>
        <w:t>LLP: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Loan Loss Provision</w:t>
      </w:r>
    </w:p>
    <w:p>
      <w:pPr>
        <w:sectPr>
          <w:type w:val="continuous"/>
          <w:pgSz w:w="12240" w:h="15840"/>
          <w:pgMar w:top="302" w:right="1374" w:bottom="24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0"/>
        <w:ind w:left="4" w:right="576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>CDS: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Credit Default Swaps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>CVA: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Credit Valuation Adjustment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>CRO: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Vice President and WBG Chief Risk Officer </w:t>
      </w: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DDO: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Deferred Drawdown Option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DPF: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Development Project Financing</w:t>
      </w:r>
    </w:p>
    <w:p>
      <w:pPr>
        <w:sectPr>
          <w:type w:val="continuous"/>
          <w:pgSz w:w="12240" w:h="15840"/>
          <w:pgMar w:top="302" w:right="1374" w:bottom="244" w:left="1436" w:header="720" w:footer="720" w:gutter="0"/>
          <w:cols w:num="2" w:equalWidth="0">
            <w:col w:w="4381" w:space="0"/>
            <w:col w:w="5048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exact" w:before="0" w:after="0"/>
        <w:ind w:left="6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LTRRO: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Long-Term Real Return Objective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MDB: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Multilateral Development Bank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>MDCAO: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Managing Director and World Bank Group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Chief Administrative Officer</w:t>
      </w:r>
    </w:p>
    <w:p>
      <w:pPr>
        <w:autoSpaceDN w:val="0"/>
        <w:autoSpaceDE w:val="0"/>
        <w:widowControl/>
        <w:spacing w:line="200" w:lineRule="exact" w:before="136" w:after="16"/>
        <w:ind w:left="6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>MDCFO: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Managing Director and World Bank Group </w:t>
      </w:r>
    </w:p>
    <w:p>
      <w:pPr>
        <w:sectPr>
          <w:type w:val="nextColumn"/>
          <w:pgSz w:w="12240" w:h="15840"/>
          <w:pgMar w:top="302" w:right="1374" w:bottom="244" w:left="1436" w:header="720" w:footer="720" w:gutter="0"/>
          <w:cols w:num="2" w:equalWidth="0">
            <w:col w:w="4381" w:space="0"/>
            <w:col w:w="5048" w:space="0"/>
          </w:cols>
          <w:docGrid w:linePitch="360"/>
        </w:sectPr>
      </w:pPr>
    </w:p>
    <w:p>
      <w:pPr>
        <w:autoSpaceDN w:val="0"/>
        <w:tabs>
          <w:tab w:pos="5044" w:val="left"/>
        </w:tabs>
        <w:autoSpaceDE w:val="0"/>
        <w:widowControl/>
        <w:spacing w:line="200" w:lineRule="exact" w:before="0" w:after="10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>DVA: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Debit Valuation Adjustment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Chief Financial Officer </w:t>
      </w:r>
    </w:p>
    <w:p>
      <w:pPr>
        <w:sectPr>
          <w:type w:val="continuous"/>
          <w:pgSz w:w="12240" w:h="15840"/>
          <w:pgMar w:top="302" w:right="1374" w:bottom="24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0"/>
        <w:ind w:left="4" w:right="432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>EAL: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Equitable Access Limit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>EDF: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Expected default frequency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>EEA: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Exposure Exchange Agreement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>EFOs: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Externally Financed Outputs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ESG: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Environmental, Social and Governance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FASB: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Financial Accounting Standards Board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>FIFs: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Financial Intermediary Funds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>FRC: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Finance and Risk Committee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>GAVI: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Global Alliance for Vaccines and Immunization </w:t>
      </w: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GCI: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General Capital Increase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>GDI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: Graduation Discussion Income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>GNI: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Gross National Income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>GMFs: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Grant-Making Facilities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>GPs: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Global Practices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IADB: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Inter</w:t>
      </w:r>
      <w:r>
        <w:rPr>
          <w:rFonts w:ascii="Quivira" w:hAnsi="Quivira" w:eastAsia="Quivira"/>
          <w:b w:val="0"/>
          <w:i w:val="0"/>
          <w:color w:val="000000"/>
          <w:sz w:val="18"/>
        </w:rPr>
        <w:t>-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American Development Bank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IBRD: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International Bank for Reconstruction and </w:t>
      </w:r>
    </w:p>
    <w:p>
      <w:pPr>
        <w:sectPr>
          <w:type w:val="continuous"/>
          <w:pgSz w:w="12240" w:h="15840"/>
          <w:pgMar w:top="302" w:right="1374" w:bottom="244" w:left="1436" w:header="720" w:footer="720" w:gutter="0"/>
          <w:cols w:num="2" w:equalWidth="0">
            <w:col w:w="4541" w:space="0"/>
            <w:col w:w="4888" w:space="0"/>
          </w:cols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64"/>
        <w:ind w:left="502" w:right="432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>MIGA: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Multilateral Investment Guarantee Agency </w:t>
      </w:r>
      <w:r>
        <w:rPr>
          <w:rFonts w:ascii="TimesNewRoman" w:hAnsi="TimesNewRoman" w:eastAsia="TimesNewRoman"/>
          <w:b/>
          <w:i w:val="0"/>
          <w:color w:val="000000"/>
          <w:sz w:val="18"/>
        </w:rPr>
        <w:t>MOV: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Maintenance-Of-Value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>NBC: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New Business Committee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>NCPIC: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National Currency Paid-in Capital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ORC: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Operational Risk Committee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PBAC: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Pension Benefits Administration Committee </w:t>
      </w:r>
      <w:r>
        <w:rPr>
          <w:rFonts w:ascii="TimesNewRoman" w:hAnsi="TimesNewRoman" w:eastAsia="TimesNewRoman"/>
          <w:b/>
          <w:i w:val="0"/>
          <w:color w:val="000000"/>
          <w:sz w:val="18"/>
        </w:rPr>
        <w:t>PBO: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Pension Benefit Obligation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>PCRF: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Post Retirement Contribution Reserve Fund </w:t>
      </w:r>
      <w:r>
        <w:rPr>
          <w:rFonts w:ascii="TimesNewRoman" w:hAnsi="TimesNewRoman" w:eastAsia="TimesNewRoman"/>
          <w:b/>
          <w:i w:val="0"/>
          <w:color w:val="000000"/>
          <w:sz w:val="18"/>
        </w:rPr>
        <w:t>PEBP: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Post-Employment Benefit Plan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PFC: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Pension Finance Committee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PforR: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Program-for-Results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RAS: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Reimbursable Advisory Services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RAMP: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Reserves Advisory Management Partnership </w:t>
      </w:r>
      <w:r>
        <w:rPr>
          <w:rFonts w:ascii="TimesNewRoman" w:hAnsi="TimesNewRoman" w:eastAsia="TimesNewRoman"/>
          <w:b/>
          <w:i w:val="0"/>
          <w:color w:val="000000"/>
          <w:sz w:val="18"/>
        </w:rPr>
        <w:t>RSBP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: Retired Staff Benefits Plan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>SALL: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Sustainable Annual Lending Level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>SCI: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Selective Capital Increase </w:t>
      </w:r>
    </w:p>
    <w:p>
      <w:pPr>
        <w:sectPr>
          <w:type w:val="nextColumn"/>
          <w:pgSz w:w="12240" w:h="15840"/>
          <w:pgMar w:top="302" w:right="1374" w:bottom="244" w:left="1436" w:header="720" w:footer="720" w:gutter="0"/>
          <w:cols w:num="2" w:equalWidth="0">
            <w:col w:w="4541" w:space="0"/>
            <w:col w:w="4888" w:space="0"/>
          </w:cols>
          <w:docGrid w:linePitch="360"/>
        </w:sectPr>
      </w:pPr>
    </w:p>
    <w:p>
      <w:pPr>
        <w:autoSpaceDN w:val="0"/>
        <w:tabs>
          <w:tab w:pos="5044" w:val="left"/>
        </w:tabs>
        <w:autoSpaceDE w:val="0"/>
        <w:widowControl/>
        <w:spacing w:line="200" w:lineRule="exact" w:before="0" w:after="10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Development </w:t>
      </w:r>
      <w:r>
        <w:tab/>
      </w: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SDPL: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Special Development Policy Loans</w:t>
      </w:r>
    </w:p>
    <w:p>
      <w:pPr>
        <w:sectPr>
          <w:type w:val="continuous"/>
          <w:pgSz w:w="12240" w:h="15840"/>
          <w:pgMar w:top="302" w:right="1374" w:bottom="24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6" w:lineRule="exact" w:before="0" w:after="0"/>
        <w:ind w:left="4" w:right="288" w:firstLine="0"/>
        <w:jc w:val="left"/>
      </w:pPr>
      <w:r>
        <w:rPr>
          <w:rFonts w:ascii="TimesNewRoman" w:hAnsi="TimesNewRoman" w:eastAsia="TimesNewRoman"/>
          <w:b/>
          <w:i w:val="0"/>
          <w:color w:val="0E0E0E"/>
          <w:sz w:val="18"/>
        </w:rPr>
        <w:t>ICSID:</w:t>
      </w:r>
      <w:r>
        <w:rPr>
          <w:rFonts w:ascii="TimesNewRoman" w:hAnsi="TimesNewRoman" w:eastAsia="TimesNewRoman"/>
          <w:b w:val="0"/>
          <w:i w:val="0"/>
          <w:color w:val="0E0E0E"/>
          <w:sz w:val="18"/>
        </w:rPr>
        <w:t xml:space="preserve"> International Centre for Settlement of Investment </w:t>
      </w:r>
      <w:r>
        <w:rPr>
          <w:rFonts w:ascii="TimesNewRoman" w:hAnsi="TimesNewRoman" w:eastAsia="TimesNewRoman"/>
          <w:b w:val="0"/>
          <w:i w:val="0"/>
          <w:color w:val="0E0E0E"/>
          <w:sz w:val="18"/>
        </w:rPr>
        <w:t xml:space="preserve">Disputes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>IFC: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International Finance Corporation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>IDA: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International Development Association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>IFFIm: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International Finance Facility for Immunization</w:t>
      </w:r>
    </w:p>
    <w:p>
      <w:pPr>
        <w:sectPr>
          <w:type w:val="continuous"/>
          <w:pgSz w:w="12240" w:h="15840"/>
          <w:pgMar w:top="302" w:right="1374" w:bottom="244" w:left="1436" w:header="720" w:footer="720" w:gutter="0"/>
          <w:cols w:num="2" w:equalWidth="0">
            <w:col w:w="4626" w:space="0"/>
            <w:col w:w="4803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418" w:right="1296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SBL: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Single Borrower Limit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18"/>
        </w:rPr>
        <w:t>SOFR: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 Secured Overnight Financing Rate </w:t>
      </w: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SLL: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 xml:space="preserve">Statutory Lending Limit </w:t>
      </w:r>
    </w:p>
    <w:p>
      <w:pPr>
        <w:autoSpaceDN w:val="0"/>
        <w:autoSpaceDE w:val="0"/>
        <w:widowControl/>
        <w:spacing w:line="200" w:lineRule="exact" w:before="136" w:after="3838"/>
        <w:ind w:left="418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18"/>
        </w:rPr>
        <w:t xml:space="preserve">SRP: </w:t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Staff Retirement Plan</w:t>
      </w:r>
    </w:p>
    <w:p>
      <w:pPr>
        <w:sectPr>
          <w:type w:val="nextColumn"/>
          <w:pgSz w:w="12240" w:h="15840"/>
          <w:pgMar w:top="302" w:right="1374" w:bottom="244" w:left="1436" w:header="720" w:footer="720" w:gutter="0"/>
          <w:cols w:num="2" w:equalWidth="0">
            <w:col w:w="4626" w:space="0"/>
            <w:col w:w="4803" w:space="0"/>
          </w:cols>
          <w:docGrid w:linePitch="360"/>
        </w:sectPr>
      </w:pPr>
    </w:p>
    <w:p>
      <w:pPr>
        <w:autoSpaceDN w:val="0"/>
        <w:tabs>
          <w:tab w:pos="9088" w:val="left"/>
        </w:tabs>
        <w:autoSpaceDE w:val="0"/>
        <w:widowControl/>
        <w:spacing w:line="224" w:lineRule="exact" w:before="0" w:after="0"/>
        <w:ind w:left="32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Management's Discussion and Analysis: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67</w:t>
      </w:r>
    </w:p>
    <w:p>
      <w:pPr>
        <w:sectPr>
          <w:type w:val="continuous"/>
          <w:pgSz w:w="12240" w:h="15840"/>
          <w:pgMar w:top="302" w:right="1374" w:bottom="24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00"/>
        <w:gridCol w:w="4700"/>
      </w:tblGrid>
      <w:tr>
        <w:trPr>
          <w:trHeight w:hRule="exact" w:val="284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Appendix</w:t>
            </w:r>
          </w:p>
        </w:tc>
      </w:tr>
    </w:tbl>
    <w:p>
      <w:pPr>
        <w:autoSpaceDN w:val="0"/>
        <w:autoSpaceDE w:val="0"/>
        <w:widowControl/>
        <w:spacing w:line="268" w:lineRule="exact" w:before="388" w:after="172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Eligible Borrowing Member Countries by Region as of 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00"/>
        <w:gridCol w:w="4700"/>
      </w:tblGrid>
      <w:tr>
        <w:trPr>
          <w:trHeight w:hRule="exact" w:val="240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Region</w:t>
            </w:r>
          </w:p>
        </w:tc>
        <w:tc>
          <w:tcPr>
            <w:tcW w:type="dxa" w:w="70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Countries</w:t>
            </w:r>
          </w:p>
        </w:tc>
      </w:tr>
      <w:tr>
        <w:trPr>
          <w:trHeight w:hRule="exact" w:val="240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Eastern and Southern Africa</w:t>
            </w:r>
          </w:p>
        </w:tc>
        <w:tc>
          <w:tcPr>
            <w:tcW w:type="dxa" w:w="70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Angola, Botswana, Eswatini, Kenya*, Mauritius, Namibia, Seychelles, South Africa, Zimbabwe*</w:t>
            </w:r>
          </w:p>
        </w:tc>
      </w:tr>
      <w:tr>
        <w:trPr>
          <w:trHeight w:hRule="exact" w:val="240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2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Western and Central Africa</w:t>
            </w:r>
          </w:p>
        </w:tc>
        <w:tc>
          <w:tcPr>
            <w:tcW w:type="dxa" w:w="70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Republic of Cabo Verde*, Cameroon*, Republic of Congo*, Equatorial Guinea, Gabon, Nigeria*</w:t>
            </w:r>
          </w:p>
        </w:tc>
      </w:tr>
      <w:tr>
        <w:trPr>
          <w:trHeight w:hRule="exact" w:val="406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 Asia and Pacific</w:t>
            </w:r>
          </w:p>
        </w:tc>
        <w:tc>
          <w:tcPr>
            <w:tcW w:type="dxa" w:w="70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China, Fiji*, Indonesia, Malaysia, Mongolia, Nauru, Palau, Papua New Guinea*, Philippines,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Thailand, Timor-Leste*, Viet Nam</w:t>
            </w:r>
          </w:p>
        </w:tc>
      </w:tr>
      <w:tr>
        <w:trPr>
          <w:trHeight w:hRule="exact" w:val="554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2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4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Europe and Central Asia</w:t>
            </w:r>
          </w:p>
        </w:tc>
        <w:tc>
          <w:tcPr>
            <w:tcW w:type="dxa" w:w="70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42" w:right="5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Albania, Armenia, Azerbaijan, Belarus, Bosnia and Herzegovina, Bulgaria, Croatia, Georgia,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Kazakhstan, North Macedonia, Moldova, Montenegro, Poland, Romania, Russian Federation,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Serbia, Türkiye, Turkmenistan, Ukraine, Uzbekistan* </w:t>
            </w:r>
          </w:p>
        </w:tc>
      </w:tr>
      <w:tr>
        <w:trPr>
          <w:trHeight w:hRule="exact" w:val="720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8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Latin America and Caribbean</w:t>
            </w:r>
          </w:p>
        </w:tc>
        <w:tc>
          <w:tcPr>
            <w:tcW w:type="dxa" w:w="70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42" w:right="5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Argentina, Antigua and Barbuda, Belize, Bolivia, Brazil, Chile, Colombia, Costa Rica, Dominica*,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Dominican Republic, Ecuador, El Salvador, Grenada*, Guatemala, Jamaica, Mexico, Panama,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Paraguay, Peru, St. Kitts and Nevis, St. Lucia*, St. Vincent and the Grenadines*, Suriname,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Trinidad and Tobago, Uruguay, Venezuela</w:t>
            </w:r>
          </w:p>
        </w:tc>
      </w:tr>
      <w:tr>
        <w:trPr>
          <w:trHeight w:hRule="exact" w:val="436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2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Middle East and North Africa</w:t>
            </w:r>
          </w:p>
        </w:tc>
        <w:tc>
          <w:tcPr>
            <w:tcW w:type="dxa" w:w="70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2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" w:after="0"/>
              <w:ind w:left="4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Algeria, Arab Republic of Egypt, Islamic Republic of Iran, Iraq, Jordan, Lebanon, Libya, Morocco,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Tunisia</w:t>
            </w:r>
          </w:p>
        </w:tc>
      </w:tr>
      <w:tr>
        <w:trPr>
          <w:trHeight w:hRule="exact" w:val="240"/>
        </w:trPr>
        <w:tc>
          <w:tcPr>
            <w:tcW w:type="dxa" w:w="22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South Asia</w:t>
            </w:r>
          </w:p>
        </w:tc>
        <w:tc>
          <w:tcPr>
            <w:tcW w:type="dxa" w:w="70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India, Pakistan* </w:t>
            </w:r>
          </w:p>
        </w:tc>
      </w:tr>
    </w:tbl>
    <w:p>
      <w:pPr>
        <w:autoSpaceDN w:val="0"/>
        <w:autoSpaceDE w:val="0"/>
        <w:widowControl/>
        <w:spacing w:line="180" w:lineRule="exact" w:before="180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* Blend countries eligible for IDA and IBRD loans.</w:t>
      </w:r>
    </w:p>
    <w:p>
      <w:pPr>
        <w:autoSpaceDN w:val="0"/>
        <w:tabs>
          <w:tab w:pos="662" w:val="left"/>
        </w:tabs>
        <w:autoSpaceDE w:val="0"/>
        <w:widowControl/>
        <w:spacing w:line="224" w:lineRule="exact" w:before="993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June 30, 2024</w:t>
      </w:r>
    </w:p>
    <w:p>
      <w:pPr>
        <w:sectPr>
          <w:pgSz w:w="12240" w:h="15840"/>
          <w:pgMar w:top="302" w:right="1410" w:bottom="252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INTERNATIONAL BANK FOR RECONSTRUCTION AND DEVELOPMENT </w:t>
      </w:r>
    </w:p>
    <w:p>
      <w:pPr>
        <w:autoSpaceDN w:val="0"/>
        <w:autoSpaceDE w:val="0"/>
        <w:widowControl/>
        <w:spacing w:line="314" w:lineRule="exact" w:before="35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FINANCIAL STATEMENTS AND INTERNAL CONTROL REPORTS</w:t>
      </w:r>
    </w:p>
    <w:p>
      <w:pPr>
        <w:autoSpaceDN w:val="0"/>
        <w:autoSpaceDE w:val="0"/>
        <w:widowControl/>
        <w:spacing w:line="314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June 30, 2024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514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Management’s Report Regarding Effectiveness of Internal Control Over Financial Reporting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70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3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Independent Auditor's Report on Effectiveness of Internal Control Over Financial Reporting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72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3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Independent Auditor's Report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74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3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Balance Sheets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78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3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Statements of Income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80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3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Statements of Comprehensive Income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81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3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Statements of Changes in Retained Earnings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81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3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Statements of Cash Flows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82</w:t>
      </w:r>
    </w:p>
    <w:p>
      <w:pPr>
        <w:autoSpaceDN w:val="0"/>
        <w:autoSpaceDE w:val="0"/>
        <w:widowControl/>
        <w:spacing w:line="224" w:lineRule="exact" w:before="13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Supplementary Information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36" w:after="0"/>
        <w:ind w:left="41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Summary Statement of Loans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84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36" w:after="0"/>
        <w:ind w:left="41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Statement of Subscriptions to Capital Stock and Voting Power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86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3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Notes to Financial Statements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90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7450" w:after="0"/>
        <w:ind w:left="443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69</w:t>
      </w:r>
    </w:p>
    <w:p>
      <w:pPr>
        <w:sectPr>
          <w:pgSz w:w="12240" w:h="15840"/>
          <w:pgMar w:top="862" w:right="1420" w:bottom="2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Management's Report on Effectiveness of Internal Control Over Financial </w:t>
      </w:r>
      <w:r>
        <w:rPr>
          <w:rFonts w:ascii="ArialMT" w:hAnsi="ArialMT" w:eastAsia="ArialMT"/>
          <w:b w:val="0"/>
          <w:i w:val="0"/>
          <w:color w:val="000000"/>
          <w:sz w:val="28"/>
        </w:rPr>
        <w:t>Reporting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800608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00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48" w:val="left"/>
        </w:tabs>
        <w:autoSpaceDE w:val="0"/>
        <w:widowControl/>
        <w:spacing w:line="224" w:lineRule="exact" w:before="898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2024</w:t>
      </w:r>
    </w:p>
    <w:p>
      <w:pPr>
        <w:sectPr>
          <w:pgSz w:w="12240" w:h="15840"/>
          <w:pgMar w:top="278" w:right="106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68961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89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264" w:val="left"/>
        </w:tabs>
        <w:autoSpaceDE w:val="0"/>
        <w:widowControl/>
        <w:spacing w:line="224" w:lineRule="exact" w:before="2646" w:after="0"/>
        <w:ind w:left="437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71</w:t>
      </w:r>
    </w:p>
    <w:p>
      <w:pPr>
        <w:sectPr>
          <w:pgSz w:w="12240" w:h="15840"/>
          <w:pgMar w:top="720" w:right="1240" w:bottom="33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Independent Auditor's Report on Effectiveness of Internal Control Over </w:t>
      </w:r>
      <w:r>
        <w:rPr>
          <w:rFonts w:ascii="ArialMT" w:hAnsi="ArialMT" w:eastAsia="ArialMT"/>
          <w:b w:val="0"/>
          <w:i w:val="0"/>
          <w:color w:val="000000"/>
          <w:sz w:val="28"/>
        </w:rPr>
        <w:t>Financial Reporting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43270" cy="82296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4327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48" w:val="left"/>
        </w:tabs>
        <w:autoSpaceDE w:val="0"/>
        <w:widowControl/>
        <w:spacing w:line="224" w:lineRule="exact" w:before="546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2024</w:t>
      </w:r>
    </w:p>
    <w:p>
      <w:pPr>
        <w:sectPr>
          <w:pgSz w:w="12240" w:h="15840"/>
          <w:pgMar w:top="278" w:right="144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47307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6056" w:after="0"/>
        <w:ind w:left="41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73</w:t>
      </w:r>
    </w:p>
    <w:p>
      <w:pPr>
        <w:sectPr>
          <w:pgSz w:w="12240" w:h="15840"/>
          <w:pgMar w:top="720" w:right="142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Independent Auditor's Report</w:t>
      </w:r>
    </w:p>
    <w:p>
      <w:pPr>
        <w:autoSpaceDN w:val="0"/>
        <w:autoSpaceDE w:val="0"/>
        <w:widowControl/>
        <w:spacing w:line="240" w:lineRule="auto" w:before="5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7070" cy="82296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48" w:val="left"/>
        </w:tabs>
        <w:autoSpaceDE w:val="0"/>
        <w:widowControl/>
        <w:spacing w:line="224" w:lineRule="exact" w:before="546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2024</w:t>
      </w:r>
    </w:p>
    <w:p>
      <w:pPr>
        <w:sectPr>
          <w:pgSz w:w="12240" w:h="15840"/>
          <w:pgMar w:top="278" w:right="144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794385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996" w:after="0"/>
        <w:ind w:left="41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75</w:t>
      </w:r>
    </w:p>
    <w:p>
      <w:pPr>
        <w:sectPr>
          <w:pgSz w:w="12240" w:h="15840"/>
          <w:pgMar w:top="720" w:right="142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Independent Auditor's Report</w:t>
      </w:r>
    </w:p>
    <w:p>
      <w:pPr>
        <w:autoSpaceDN w:val="0"/>
        <w:autoSpaceDE w:val="0"/>
        <w:widowControl/>
        <w:spacing w:line="240" w:lineRule="auto" w:before="5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6771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48" w:val="left"/>
        </w:tabs>
        <w:autoSpaceDE w:val="0"/>
        <w:widowControl/>
        <w:spacing w:line="224" w:lineRule="exact" w:before="8360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2024</w:t>
      </w:r>
    </w:p>
    <w:p>
      <w:pPr>
        <w:sectPr>
          <w:pgSz w:w="12240" w:h="15840"/>
          <w:pgMar w:top="278" w:right="142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448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INTERNATIONAL BANK FOR RECONSTRUCTION AND DEVELOPMENT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FINANCIAL STATEMENTS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8"/>
        </w:rPr>
        <w:t>June 30, 2024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2214" w:after="0"/>
        <w:ind w:left="41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77</w:t>
      </w:r>
    </w:p>
    <w:p>
      <w:pPr>
        <w:sectPr>
          <w:pgSz w:w="12240" w:h="15840"/>
          <w:pgMar w:top="696" w:right="142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60" w:lineRule="exact" w:before="54" w:after="0"/>
        <w:ind w:left="0" w:right="633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BALANCE SHEETS </w:t>
      </w:r>
      <w:r>
        <w:br/>
      </w:r>
      <w:r>
        <w:rPr>
          <w:rFonts w:ascii="Arial" w:hAnsi="Arial" w:eastAsia="Arial"/>
          <w:b w:val="0"/>
          <w:i/>
          <w:color w:val="000000"/>
          <w:sz w:val="20"/>
        </w:rPr>
        <w:t>June 30, 2024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 and </w:t>
      </w:r>
      <w:r>
        <w:rPr>
          <w:rFonts w:ascii="Arial" w:hAnsi="Arial" w:eastAsia="Arial"/>
          <w:b w:val="0"/>
          <w:i/>
          <w:color w:val="000000"/>
          <w:sz w:val="20"/>
        </w:rPr>
        <w:t>June 30, 2023</w:t>
      </w:r>
    </w:p>
    <w:p>
      <w:pPr>
        <w:autoSpaceDN w:val="0"/>
        <w:autoSpaceDE w:val="0"/>
        <w:widowControl/>
        <w:spacing w:line="202" w:lineRule="exact" w:before="380" w:after="226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80.0" w:type="dxa"/>
      </w:tblPr>
      <w:tblGrid>
        <w:gridCol w:w="4708"/>
        <w:gridCol w:w="4708"/>
      </w:tblGrid>
      <w:tr>
        <w:trPr>
          <w:trHeight w:hRule="exact" w:val="292"/>
        </w:trPr>
        <w:tc>
          <w:tcPr>
            <w:tcW w:type="dxa" w:w="13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13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200" w:lineRule="exact" w:before="24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Assets</w:t>
      </w:r>
    </w:p>
    <w:p>
      <w:pPr>
        <w:autoSpaceDN w:val="0"/>
        <w:autoSpaceDE w:val="0"/>
        <w:widowControl/>
        <w:spacing w:line="202" w:lineRule="exact" w:before="54" w:after="2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Due from banks—Notes C and 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354"/>
        <w:gridCol w:w="2354"/>
        <w:gridCol w:w="2354"/>
        <w:gridCol w:w="2354"/>
      </w:tblGrid>
      <w:tr>
        <w:trPr>
          <w:trHeight w:hRule="exact" w:val="248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Unrestricted cash</w:t>
            </w:r>
          </w:p>
        </w:tc>
        <w:tc>
          <w:tcPr>
            <w:tcW w:type="dxa" w:w="4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410 $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479 </w:t>
            </w:r>
          </w:p>
        </w:tc>
      </w:tr>
      <w:tr>
        <w:trPr>
          <w:trHeight w:hRule="exact" w:val="264"/>
        </w:trPr>
        <w:tc>
          <w:tcPr>
            <w:tcW w:type="dxa" w:w="66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Restricted cash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3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0" w:right="5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68 </w:t>
            </w:r>
          </w:p>
        </w:tc>
      </w:tr>
      <w:tr>
        <w:trPr>
          <w:trHeight w:hRule="exact" w:val="254"/>
        </w:trPr>
        <w:tc>
          <w:tcPr>
            <w:tcW w:type="dxa" w:w="66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490 </w:t>
            </w:r>
          </w:p>
        </w:tc>
        <w:tc>
          <w:tcPr>
            <w:tcW w:type="dxa" w:w="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547 </w:t>
            </w:r>
          </w:p>
        </w:tc>
      </w:tr>
      <w:tr>
        <w:trPr>
          <w:trHeight w:hRule="exact" w:val="662"/>
        </w:trPr>
        <w:tc>
          <w:tcPr>
            <w:tcW w:type="dxa" w:w="66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12" w:right="144" w:hanging="18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Investments-Trading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(including securities transferred under repurchase or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securities lending agreements of $255 million—June 30, 2024 and $9 million—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June 30, 2023)—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Notes C and J</w:t>
            </w:r>
          </w:p>
        </w:tc>
        <w:tc>
          <w:tcPr>
            <w:tcW w:type="dxa" w:w="4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74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82,728 </w:t>
            </w:r>
          </w:p>
        </w:tc>
        <w:tc>
          <w:tcPr>
            <w:tcW w:type="dxa" w:w="8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7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79,199 </w:t>
            </w:r>
          </w:p>
        </w:tc>
      </w:tr>
      <w:tr>
        <w:trPr>
          <w:trHeight w:hRule="exact" w:val="360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Securities purchased under resale agreements—Notes C and J</w:t>
            </w:r>
          </w:p>
        </w:tc>
        <w:tc>
          <w:tcPr>
            <w:tcW w:type="dxa" w:w="2354"/>
            <w:vMerge/>
            <w:tcBorders>
              <w:top w:sz="8.0" w:val="single" w:color="#000000"/>
            </w:tcBorders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5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79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78 </w:t>
            </w:r>
          </w:p>
        </w:tc>
      </w:tr>
      <w:tr>
        <w:trPr>
          <w:trHeight w:hRule="exact" w:val="328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Derivative assets, net—Notes C, F and J</w:t>
            </w:r>
          </w:p>
        </w:tc>
        <w:tc>
          <w:tcPr>
            <w:tcW w:type="dxa" w:w="2354"/>
            <w:vMerge/>
            <w:tcBorders>
              <w:top w:sz="8.0" w:val="single" w:color="#000000"/>
            </w:tcBorders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456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271 </w:t>
            </w:r>
          </w:p>
        </w:tc>
      </w:tr>
    </w:tbl>
    <w:p>
      <w:pPr>
        <w:autoSpaceDN w:val="0"/>
        <w:autoSpaceDE w:val="0"/>
        <w:widowControl/>
        <w:spacing w:line="200" w:lineRule="exact" w:before="160" w:after="2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Receivables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39"/>
        <w:gridCol w:w="3139"/>
        <w:gridCol w:w="3139"/>
      </w:tblGrid>
      <w:tr>
        <w:trPr>
          <w:trHeight w:hRule="exact" w:val="244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Receivable from investment securities traded—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C</w:t>
            </w:r>
          </w:p>
        </w:tc>
        <w:tc>
          <w:tcPr>
            <w:tcW w:type="dxa" w:w="1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438 </w:t>
            </w:r>
          </w:p>
        </w:tc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102 </w:t>
            </w:r>
          </w:p>
        </w:tc>
      </w:tr>
      <w:tr>
        <w:trPr>
          <w:trHeight w:hRule="exact" w:val="268"/>
        </w:trPr>
        <w:tc>
          <w:tcPr>
            <w:tcW w:type="dxa" w:w="658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Accrued income on loans and guarantee fees receivable—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D</w:t>
            </w:r>
          </w:p>
        </w:tc>
        <w:tc>
          <w:tcPr>
            <w:tcW w:type="dxa" w:w="13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4,022 </w:t>
            </w:r>
          </w:p>
        </w:tc>
        <w:tc>
          <w:tcPr>
            <w:tcW w:type="dxa" w:w="13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3,416 </w:t>
            </w:r>
          </w:p>
        </w:tc>
      </w:tr>
      <w:tr>
        <w:trPr>
          <w:trHeight w:hRule="exact" w:val="254"/>
        </w:trPr>
        <w:tc>
          <w:tcPr>
            <w:tcW w:type="dxa" w:w="65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4,460 </w:t>
            </w:r>
          </w:p>
        </w:tc>
        <w:tc>
          <w:tcPr>
            <w:tcW w:type="dxa" w:w="13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3,518 </w:t>
            </w:r>
          </w:p>
        </w:tc>
      </w:tr>
    </w:tbl>
    <w:p>
      <w:pPr>
        <w:autoSpaceDN w:val="0"/>
        <w:autoSpaceDE w:val="0"/>
        <w:widowControl/>
        <w:spacing w:line="200" w:lineRule="exact" w:before="26" w:after="2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Loans outstanding—Notes D, H and J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139"/>
        <w:gridCol w:w="3139"/>
        <w:gridCol w:w="3139"/>
      </w:tblGrid>
      <w:tr>
        <w:trPr>
          <w:trHeight w:hRule="exact" w:val="260"/>
        </w:trPr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 loans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3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348,248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329,008 </w:t>
            </w:r>
          </w:p>
        </w:tc>
      </w:tr>
    </w:tbl>
    <w:p>
      <w:pPr>
        <w:autoSpaceDN w:val="0"/>
        <w:autoSpaceDE w:val="0"/>
        <w:widowControl/>
        <w:spacing w:line="202" w:lineRule="exact" w:before="30" w:after="8"/>
        <w:ind w:left="4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Less: Undisbursed balance (including signed loan commitments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139"/>
        <w:gridCol w:w="3139"/>
        <w:gridCol w:w="3139"/>
      </w:tblGrid>
      <w:tr>
        <w:trPr>
          <w:trHeight w:hRule="exact" w:val="236"/>
        </w:trPr>
        <w:tc>
          <w:tcPr>
            <w:tcW w:type="dxa" w:w="64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$66,761 million—June 30, 2024 and $59,350 million—June 30, 2023)</w:t>
            </w:r>
          </w:p>
        </w:tc>
        <w:tc>
          <w:tcPr>
            <w:tcW w:type="dxa" w:w="1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(85,058) </w:t>
            </w:r>
          </w:p>
        </w:tc>
        <w:tc>
          <w:tcPr>
            <w:tcW w:type="dxa" w:w="13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(85,112) </w:t>
            </w:r>
          </w:p>
        </w:tc>
      </w:tr>
      <w:tr>
        <w:trPr>
          <w:trHeight w:hRule="exact" w:val="252"/>
        </w:trPr>
        <w:tc>
          <w:tcPr>
            <w:tcW w:type="dxa" w:w="6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Loans outstanding</w:t>
            </w:r>
          </w:p>
        </w:tc>
        <w:tc>
          <w:tcPr>
            <w:tcW w:type="dxa" w:w="13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263,190 </w:t>
            </w:r>
          </w:p>
        </w:tc>
        <w:tc>
          <w:tcPr>
            <w:tcW w:type="dxa" w:w="1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243,896 </w:t>
            </w:r>
          </w:p>
        </w:tc>
      </w:tr>
    </w:tbl>
    <w:p>
      <w:pPr>
        <w:autoSpaceDN w:val="0"/>
        <w:autoSpaceDE w:val="0"/>
        <w:widowControl/>
        <w:spacing w:line="202" w:lineRule="exact" w:before="28" w:after="26"/>
        <w:ind w:left="4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Less: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139"/>
        <w:gridCol w:w="3139"/>
        <w:gridCol w:w="3139"/>
      </w:tblGrid>
      <w:tr>
        <w:trPr>
          <w:trHeight w:hRule="exact" w:val="240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5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Accumulated provision for loan losses</w:t>
            </w:r>
          </w:p>
        </w:tc>
        <w:tc>
          <w:tcPr>
            <w:tcW w:type="dxa" w:w="1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(2,360) </w:t>
            </w:r>
          </w:p>
        </w:tc>
        <w:tc>
          <w:tcPr>
            <w:tcW w:type="dxa" w:w="1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(2,336) </w:t>
            </w:r>
          </w:p>
        </w:tc>
      </w:tr>
      <w:tr>
        <w:trPr>
          <w:trHeight w:hRule="exact" w:val="272"/>
        </w:trPr>
        <w:tc>
          <w:tcPr>
            <w:tcW w:type="dxa" w:w="66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5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Deferred loan income</w:t>
            </w:r>
          </w:p>
        </w:tc>
        <w:tc>
          <w:tcPr>
            <w:tcW w:type="dxa" w:w="1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(594) </w:t>
            </w:r>
          </w:p>
        </w:tc>
        <w:tc>
          <w:tcPr>
            <w:tcW w:type="dxa" w:w="13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(519) </w:t>
            </w:r>
          </w:p>
        </w:tc>
      </w:tr>
      <w:tr>
        <w:trPr>
          <w:trHeight w:hRule="exact" w:val="271"/>
        </w:trPr>
        <w:tc>
          <w:tcPr>
            <w:tcW w:type="dxa" w:w="66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loans outstanding</w:t>
            </w:r>
          </w:p>
        </w:tc>
        <w:tc>
          <w:tcPr>
            <w:tcW w:type="dxa" w:w="13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260,236 </w:t>
            </w:r>
          </w:p>
        </w:tc>
        <w:tc>
          <w:tcPr>
            <w:tcW w:type="dxa" w:w="1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241,041 </w:t>
            </w:r>
          </w:p>
        </w:tc>
      </w:tr>
    </w:tbl>
    <w:p>
      <w:pPr>
        <w:autoSpaceDN w:val="0"/>
        <w:autoSpaceDE w:val="0"/>
        <w:widowControl/>
        <w:spacing w:line="200" w:lineRule="exact" w:before="86" w:after="2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Other 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44"/>
        </w:trPr>
        <w:tc>
          <w:tcPr>
            <w:tcW w:type="dxa" w:w="6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Assets under retirement benefits plans—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Notes I and K</w:t>
            </w:r>
          </w:p>
        </w:tc>
        <w:tc>
          <w:tcPr>
            <w:tcW w:type="dxa" w:w="4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4,655 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4,297 </w:t>
            </w:r>
          </w:p>
        </w:tc>
      </w:tr>
      <w:tr>
        <w:trPr>
          <w:trHeight w:hRule="exact" w:val="260"/>
        </w:trPr>
        <w:tc>
          <w:tcPr>
            <w:tcW w:type="dxa" w:w="6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Premises and equipment, net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1,842 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1,815 </w:t>
            </w:r>
          </w:p>
        </w:tc>
      </w:tr>
      <w:tr>
        <w:trPr>
          <w:trHeight w:hRule="exact" w:val="262"/>
        </w:trPr>
        <w:tc>
          <w:tcPr>
            <w:tcW w:type="dxa" w:w="66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Miscellaneous—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Notes E, H and L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3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1,666 </w:t>
            </w:r>
          </w:p>
        </w:tc>
        <w:tc>
          <w:tcPr>
            <w:tcW w:type="dxa" w:w="9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1,875 </w:t>
            </w:r>
          </w:p>
        </w:tc>
      </w:tr>
      <w:tr>
        <w:trPr>
          <w:trHeight w:hRule="exact" w:val="256"/>
        </w:trPr>
        <w:tc>
          <w:tcPr>
            <w:tcW w:type="dxa" w:w="666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7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assets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8,163 </w:t>
            </w:r>
          </w:p>
        </w:tc>
        <w:tc>
          <w:tcPr>
            <w:tcW w:type="dxa" w:w="9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7,987 </w:t>
            </w:r>
          </w:p>
        </w:tc>
      </w:tr>
      <w:tr>
        <w:trPr>
          <w:trHeight w:hRule="exact" w:val="236"/>
        </w:trPr>
        <w:tc>
          <w:tcPr>
            <w:tcW w:type="dxa" w:w="3766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356,612 $ </w:t>
            </w:r>
          </w:p>
        </w:tc>
        <w:tc>
          <w:tcPr>
            <w:tcW w:type="dxa" w:w="9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1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332,641 </w:t>
            </w:r>
          </w:p>
        </w:tc>
      </w:tr>
      <w:tr>
        <w:trPr>
          <w:trHeight w:hRule="exact" w:val="4816"/>
        </w:trPr>
        <w:tc>
          <w:tcPr>
            <w:tcW w:type="dxa" w:w="5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0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78</w:t>
            </w:r>
          </w:p>
        </w:tc>
        <w:tc>
          <w:tcPr>
            <w:tcW w:type="dxa" w:w="61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02" w:after="0"/>
              <w:ind w:left="2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2024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6" w:right="1384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680.0" w:type="dxa"/>
      </w:tblPr>
      <w:tblGrid>
        <w:gridCol w:w="4708"/>
        <w:gridCol w:w="4708"/>
      </w:tblGrid>
      <w:tr>
        <w:trPr>
          <w:trHeight w:hRule="exact" w:val="230"/>
        </w:trPr>
        <w:tc>
          <w:tcPr>
            <w:tcW w:type="dxa" w:w="13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13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200" w:lineRule="exact" w:before="26" w:after="26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Liabilities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354"/>
        <w:gridCol w:w="2354"/>
        <w:gridCol w:w="2354"/>
        <w:gridCol w:w="2354"/>
      </w:tblGrid>
      <w:tr>
        <w:trPr>
          <w:trHeight w:hRule="exact" w:val="290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Borrowings—Notes E and J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261,790 $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1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237,265 </w:t>
            </w:r>
          </w:p>
        </w:tc>
      </w:tr>
    </w:tbl>
    <w:p>
      <w:pPr>
        <w:autoSpaceDN w:val="0"/>
        <w:tabs>
          <w:tab w:pos="232" w:val="left"/>
        </w:tabs>
        <w:autoSpaceDE w:val="0"/>
        <w:widowControl/>
        <w:spacing w:line="216" w:lineRule="exact" w:before="102" w:after="6"/>
        <w:ind w:left="52" w:right="288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 xml:space="preserve">Securities sold under repurchase agreements, securities lent under </w:t>
      </w:r>
      <w:r>
        <w:tab/>
      </w:r>
      <w:r>
        <w:rPr>
          <w:rFonts w:ascii="Arial" w:hAnsi="Arial" w:eastAsia="Arial"/>
          <w:b/>
          <w:i/>
          <w:color w:val="000000"/>
          <w:sz w:val="18"/>
        </w:rPr>
        <w:t>securities lending agreements, and payable for cash collateral received—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139"/>
        <w:gridCol w:w="3139"/>
        <w:gridCol w:w="3139"/>
      </w:tblGrid>
      <w:tr>
        <w:trPr>
          <w:trHeight w:hRule="exact" w:val="284"/>
        </w:trPr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21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Notes C and J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3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256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 </w:t>
            </w:r>
          </w:p>
        </w:tc>
      </w:tr>
      <w:tr>
        <w:trPr>
          <w:trHeight w:hRule="exact" w:val="346"/>
        </w:trPr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Derivative liabilities, net—Notes C, F and J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0" w:right="3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22,728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26,893 </w:t>
            </w:r>
          </w:p>
        </w:tc>
      </w:tr>
    </w:tbl>
    <w:p>
      <w:pPr>
        <w:autoSpaceDN w:val="0"/>
        <w:autoSpaceDE w:val="0"/>
        <w:widowControl/>
        <w:spacing w:line="202" w:lineRule="exact" w:before="98" w:after="2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Other liabilities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139"/>
        <w:gridCol w:w="3139"/>
        <w:gridCol w:w="3139"/>
      </w:tblGrid>
      <w:tr>
        <w:trPr>
          <w:trHeight w:hRule="exact" w:val="246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Payable for investment securities purchased—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C</w:t>
            </w:r>
          </w:p>
        </w:tc>
        <w:tc>
          <w:tcPr>
            <w:tcW w:type="dxa" w:w="1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561 </w:t>
            </w:r>
          </w:p>
        </w:tc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640 </w:t>
            </w:r>
          </w:p>
        </w:tc>
      </w:tr>
      <w:tr>
        <w:trPr>
          <w:trHeight w:hRule="exact" w:val="260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Liabilities under retirement benefits plans—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Notes I and K</w:t>
            </w:r>
          </w:p>
        </w:tc>
        <w:tc>
          <w:tcPr>
            <w:tcW w:type="dxa" w:w="1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2,097 </w:t>
            </w:r>
          </w:p>
        </w:tc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2,057 </w:t>
            </w:r>
          </w:p>
        </w:tc>
      </w:tr>
      <w:tr>
        <w:trPr>
          <w:trHeight w:hRule="exact" w:val="260"/>
        </w:trPr>
        <w:tc>
          <w:tcPr>
            <w:tcW w:type="dxa" w:w="66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Accounts payable and miscellaneous liabilities—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Notes D, H and L</w:t>
            </w:r>
          </w:p>
        </w:tc>
        <w:tc>
          <w:tcPr>
            <w:tcW w:type="dxa" w:w="13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5,696 </w:t>
            </w:r>
          </w:p>
        </w:tc>
        <w:tc>
          <w:tcPr>
            <w:tcW w:type="dxa" w:w="13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5,395 </w:t>
            </w:r>
          </w:p>
        </w:tc>
      </w:tr>
      <w:tr>
        <w:trPr>
          <w:trHeight w:hRule="exact" w:val="254"/>
        </w:trPr>
        <w:tc>
          <w:tcPr>
            <w:tcW w:type="dxa" w:w="66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8,354 </w:t>
            </w:r>
          </w:p>
        </w:tc>
        <w:tc>
          <w:tcPr>
            <w:tcW w:type="dxa" w:w="13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8,092 </w:t>
            </w:r>
          </w:p>
        </w:tc>
      </w:tr>
      <w:tr>
        <w:trPr>
          <w:trHeight w:hRule="exact" w:val="256"/>
        </w:trPr>
        <w:tc>
          <w:tcPr>
            <w:tcW w:type="dxa" w:w="66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liabilities</w:t>
            </w:r>
          </w:p>
        </w:tc>
        <w:tc>
          <w:tcPr>
            <w:tcW w:type="dxa" w:w="13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293,128 </w:t>
            </w:r>
          </w:p>
        </w:tc>
        <w:tc>
          <w:tcPr>
            <w:tcW w:type="dxa" w:w="13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272,259 </w:t>
            </w:r>
          </w:p>
        </w:tc>
      </w:tr>
    </w:tbl>
    <w:p>
      <w:pPr>
        <w:autoSpaceDN w:val="0"/>
        <w:autoSpaceDE w:val="0"/>
        <w:widowControl/>
        <w:spacing w:line="200" w:lineRule="exact" w:before="160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Equity</w:t>
      </w:r>
    </w:p>
    <w:p>
      <w:pPr>
        <w:autoSpaceDN w:val="0"/>
        <w:autoSpaceDE w:val="0"/>
        <w:widowControl/>
        <w:spacing w:line="200" w:lineRule="exact" w:before="130" w:after="0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Capital stock—Note B</w:t>
      </w:r>
    </w:p>
    <w:p>
      <w:pPr>
        <w:autoSpaceDN w:val="0"/>
        <w:tabs>
          <w:tab w:pos="592" w:val="left"/>
        </w:tabs>
        <w:autoSpaceDE w:val="0"/>
        <w:widowControl/>
        <w:spacing w:line="216" w:lineRule="exact" w:before="48" w:after="0"/>
        <w:ind w:left="412" w:right="43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Authorized capital (2,783,873 shares—June 30, 2024 and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June 30, 2023)</w:t>
      </w:r>
    </w:p>
    <w:p>
      <w:pPr>
        <w:autoSpaceDN w:val="0"/>
        <w:autoSpaceDE w:val="0"/>
        <w:widowControl/>
        <w:spacing w:line="200" w:lineRule="exact" w:before="64" w:after="8"/>
        <w:ind w:left="4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Subscribed capital (2,678,098 shares—June 30, 2024, and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39"/>
        <w:gridCol w:w="3139"/>
        <w:gridCol w:w="3139"/>
      </w:tblGrid>
      <w:tr>
        <w:trPr>
          <w:trHeight w:hRule="exact" w:val="228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2,634,728 shares—June 30, 2023)</w:t>
            </w:r>
          </w:p>
        </w:tc>
        <w:tc>
          <w:tcPr>
            <w:tcW w:type="dxa" w:w="1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323,072 </w:t>
            </w:r>
          </w:p>
        </w:tc>
        <w:tc>
          <w:tcPr>
            <w:tcW w:type="dxa" w:w="1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317,840 </w:t>
            </w:r>
          </w:p>
        </w:tc>
      </w:tr>
      <w:tr>
        <w:trPr>
          <w:trHeight w:hRule="exact" w:val="266"/>
        </w:trPr>
        <w:tc>
          <w:tcPr>
            <w:tcW w:type="dxa" w:w="65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Less uncalled portion of subscriptions</w:t>
            </w:r>
          </w:p>
        </w:tc>
        <w:tc>
          <w:tcPr>
            <w:tcW w:type="dxa" w:w="1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(300,620) </w:t>
            </w:r>
          </w:p>
        </w:tc>
        <w:tc>
          <w:tcPr>
            <w:tcW w:type="dxa" w:w="13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(296,021) </w:t>
            </w:r>
          </w:p>
        </w:tc>
      </w:tr>
      <w:tr>
        <w:trPr>
          <w:trHeight w:hRule="exact" w:val="256"/>
        </w:trPr>
        <w:tc>
          <w:tcPr>
            <w:tcW w:type="dxa" w:w="65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Paid-in capital</w:t>
            </w:r>
          </w:p>
        </w:tc>
        <w:tc>
          <w:tcPr>
            <w:tcW w:type="dxa" w:w="13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22,452 </w:t>
            </w:r>
          </w:p>
        </w:tc>
        <w:tc>
          <w:tcPr>
            <w:tcW w:type="dxa" w:w="1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21,819 </w:t>
            </w:r>
          </w:p>
        </w:tc>
      </w:tr>
    </w:tbl>
    <w:p>
      <w:pPr>
        <w:autoSpaceDN w:val="0"/>
        <w:autoSpaceDE w:val="0"/>
        <w:widowControl/>
        <w:spacing w:line="200" w:lineRule="exact" w:before="32" w:after="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 xml:space="preserve">Nonnegotiable, noninterest-bearing demand obligations on account  of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354"/>
        <w:gridCol w:w="2354"/>
        <w:gridCol w:w="2354"/>
        <w:gridCol w:w="2354"/>
      </w:tblGrid>
      <w:tr>
        <w:trPr>
          <w:trHeight w:hRule="exact" w:val="258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1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subscribed capital</w:t>
            </w:r>
          </w:p>
        </w:tc>
        <w:tc>
          <w:tcPr>
            <w:tcW w:type="dxa" w:w="4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(310)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(320) </w:t>
            </w:r>
          </w:p>
        </w:tc>
      </w:tr>
      <w:tr>
        <w:trPr>
          <w:trHeight w:hRule="exact" w:val="320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Receivable amounts to maintain value of currency holdings—Note B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(337)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(345) </w:t>
            </w:r>
          </w:p>
        </w:tc>
      </w:tr>
      <w:tr>
        <w:trPr>
          <w:trHeight w:hRule="exact" w:val="320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Deferred amounts to maintain value of currency holdings—Note B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(558)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(436) </w:t>
            </w:r>
          </w:p>
        </w:tc>
      </w:tr>
      <w:tr>
        <w:trPr>
          <w:trHeight w:hRule="exact" w:val="320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Retained earnings—Note G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2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38,283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36,141 </w:t>
            </w:r>
          </w:p>
        </w:tc>
      </w:tr>
      <w:tr>
        <w:trPr>
          <w:trHeight w:hRule="exact" w:val="354"/>
        </w:trPr>
        <w:tc>
          <w:tcPr>
            <w:tcW w:type="dxa" w:w="66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Accumulated other comprehensive income —Note I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3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4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3,954 </w:t>
            </w:r>
          </w:p>
        </w:tc>
        <w:tc>
          <w:tcPr>
            <w:tcW w:type="dxa" w:w="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3,523 </w:t>
            </w:r>
          </w:p>
        </w:tc>
      </w:tr>
      <w:tr>
        <w:trPr>
          <w:trHeight w:hRule="exact" w:val="256"/>
        </w:trPr>
        <w:tc>
          <w:tcPr>
            <w:tcW w:type="dxa" w:w="66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equity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2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63,484 </w:t>
            </w:r>
          </w:p>
        </w:tc>
        <w:tc>
          <w:tcPr>
            <w:tcW w:type="dxa" w:w="9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60,382 </w:t>
            </w:r>
          </w:p>
        </w:tc>
      </w:tr>
      <w:tr>
        <w:trPr>
          <w:trHeight w:hRule="exact" w:val="236"/>
        </w:trPr>
        <w:tc>
          <w:tcPr>
            <w:tcW w:type="dxa" w:w="66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liabilities and equity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356,612 $ </w:t>
            </w:r>
          </w:p>
        </w:tc>
        <w:tc>
          <w:tcPr>
            <w:tcW w:type="dxa" w:w="9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1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332,641 </w:t>
            </w:r>
          </w:p>
        </w:tc>
      </w:tr>
      <w:tr>
        <w:trPr>
          <w:trHeight w:hRule="exact" w:val="50"/>
        </w:trPr>
        <w:tc>
          <w:tcPr>
            <w:tcW w:type="dxa" w:w="66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1828" w:after="0"/>
        <w:ind w:left="0" w:right="0" w:firstLine="0"/>
        <w:jc w:val="center"/>
      </w:pPr>
      <w:r>
        <w:rPr>
          <w:rFonts w:ascii="Arial" w:hAnsi="Arial" w:eastAsia="Arial"/>
          <w:b/>
          <w:i/>
          <w:color w:val="000000"/>
          <w:sz w:val="18"/>
        </w:rPr>
        <w:t>The Notes to Financial Statements are an integral part of these Statements.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2762" w:after="0"/>
        <w:ind w:left="41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79</w:t>
      </w:r>
    </w:p>
    <w:p>
      <w:pPr>
        <w:sectPr>
          <w:pgSz w:w="12240" w:h="15840"/>
          <w:pgMar w:top="1032" w:right="1384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60" w:lineRule="exact" w:before="54" w:after="0"/>
        <w:ind w:left="0" w:right="259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STATEMENTS OF INCOME </w:t>
      </w:r>
      <w:r>
        <w:br/>
      </w:r>
      <w:r>
        <w:rPr>
          <w:rFonts w:ascii="Arial" w:hAnsi="Arial" w:eastAsia="Arial"/>
          <w:b w:val="0"/>
          <w:i/>
          <w:color w:val="000000"/>
          <w:sz w:val="20"/>
        </w:rPr>
        <w:t>For the fiscal years ended June 30, 2024, June 30, 2023 and June 30, 2022</w:t>
      </w:r>
    </w:p>
    <w:p>
      <w:pPr>
        <w:autoSpaceDN w:val="0"/>
        <w:autoSpaceDE w:val="0"/>
        <w:widowControl/>
        <w:spacing w:line="224" w:lineRule="exact" w:before="336" w:after="336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64.0" w:type="dxa"/>
      </w:tblPr>
      <w:tblGrid>
        <w:gridCol w:w="3139"/>
        <w:gridCol w:w="3139"/>
        <w:gridCol w:w="3139"/>
      </w:tblGrid>
      <w:tr>
        <w:trPr>
          <w:trHeight w:hRule="exact" w:val="290"/>
        </w:trPr>
        <w:tc>
          <w:tcPr>
            <w:tcW w:type="dxa" w:w="11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12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2023</w:t>
            </w:r>
          </w:p>
        </w:tc>
        <w:tc>
          <w:tcPr>
            <w:tcW w:type="dxa" w:w="117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2022</w:t>
            </w:r>
          </w:p>
        </w:tc>
      </w:tr>
    </w:tbl>
    <w:p>
      <w:pPr>
        <w:autoSpaceDN w:val="0"/>
        <w:autoSpaceDE w:val="0"/>
        <w:widowControl/>
        <w:spacing w:line="200" w:lineRule="exact" w:before="26" w:after="54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Interest revenue</w:t>
      </w:r>
    </w:p>
    <w:p>
      <w:pPr>
        <w:sectPr>
          <w:pgSz w:w="12240" w:h="15840"/>
          <w:pgMar w:top="516" w:right="1384" w:bottom="336" w:left="1440" w:header="720" w:footer="720" w:gutter="0"/>
          <w:cols/>
          <w:docGrid w:linePitch="360"/>
        </w:sectPr>
      </w:pPr>
    </w:p>
    <w:p>
      <w:pPr>
        <w:autoSpaceDN w:val="0"/>
        <w:tabs>
          <w:tab w:pos="232" w:val="left"/>
        </w:tabs>
        <w:autoSpaceDE w:val="0"/>
        <w:widowControl/>
        <w:spacing w:line="246" w:lineRule="exact" w:before="0" w:after="0"/>
        <w:ind w:left="52" w:right="144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Loans, net—</w:t>
      </w:r>
      <w:r>
        <w:rPr>
          <w:rFonts w:ascii="Arial" w:hAnsi="Arial" w:eastAsia="Arial"/>
          <w:b w:val="0"/>
          <w:i/>
          <w:color w:val="000000"/>
          <w:sz w:val="18"/>
        </w:rPr>
        <w:t xml:space="preserve">Note D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Other asset/liability management derivatives, net—</w:t>
      </w:r>
      <w:r>
        <w:rPr>
          <w:rFonts w:ascii="Arial" w:hAnsi="Arial" w:eastAsia="Arial"/>
          <w:b w:val="0"/>
          <w:i/>
          <w:color w:val="000000"/>
          <w:sz w:val="18"/>
        </w:rPr>
        <w:t xml:space="preserve">Notes F and J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Investments-Trading, net—</w:t>
      </w:r>
      <w:r>
        <w:rPr>
          <w:rFonts w:ascii="Arial" w:hAnsi="Arial" w:eastAsia="Arial"/>
          <w:b w:val="0"/>
          <w:i/>
          <w:color w:val="000000"/>
          <w:sz w:val="18"/>
        </w:rPr>
        <w:t xml:space="preserve">Note C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Other, net </w:t>
      </w:r>
      <w:r>
        <w:br/>
      </w:r>
      <w:r>
        <w:rPr>
          <w:rFonts w:ascii="Arial" w:hAnsi="Arial" w:eastAsia="Arial"/>
          <w:b/>
          <w:i/>
          <w:color w:val="000000"/>
          <w:sz w:val="18"/>
        </w:rPr>
        <w:t xml:space="preserve">Borrowing expenses, net—Note E </w:t>
      </w:r>
      <w:r>
        <w:br/>
      </w:r>
      <w:r>
        <w:rPr>
          <w:rFonts w:ascii="Arial" w:hAnsi="Arial" w:eastAsia="Arial"/>
          <w:b/>
          <w:i/>
          <w:color w:val="000000"/>
          <w:sz w:val="18"/>
        </w:rPr>
        <w:t>Interest revenue, net of borrowing expenses</w:t>
      </w:r>
    </w:p>
    <w:p>
      <w:pPr>
        <w:sectPr>
          <w:type w:val="continuous"/>
          <w:pgSz w:w="12240" w:h="15840"/>
          <w:pgMar w:top="516" w:right="1384" w:bottom="336" w:left="1440" w:header="720" w:footer="720" w:gutter="0"/>
          <w:cols w:num="2" w:equalWidth="0">
            <w:col w:w="5588" w:space="0"/>
            <w:col w:w="382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6.00000000000023" w:type="dxa"/>
      </w:tblPr>
      <w:tblGrid>
        <w:gridCol w:w="2354"/>
        <w:gridCol w:w="2354"/>
        <w:gridCol w:w="2354"/>
        <w:gridCol w:w="2354"/>
      </w:tblGrid>
      <w:tr>
        <w:trPr>
          <w:trHeight w:hRule="exact" w:val="222"/>
        </w:trPr>
        <w:tc>
          <w:tcPr>
            <w:tcW w:type="dxa" w:w="33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15,831 $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10,522 $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2,368 </w:t>
            </w:r>
          </w:p>
        </w:tc>
      </w:tr>
      <w:tr>
        <w:trPr>
          <w:trHeight w:hRule="exact" w:val="260"/>
        </w:trPr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(1,726)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(850)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583 </w:t>
            </w:r>
          </w:p>
        </w:tc>
      </w:tr>
      <w:tr>
        <w:trPr>
          <w:trHeight w:hRule="exact" w:val="260"/>
        </w:trPr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3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4,337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2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3,079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296 </w:t>
            </w:r>
          </w:p>
        </w:tc>
      </w:tr>
      <w:tr>
        <w:trPr>
          <w:trHeight w:hRule="exact" w:val="260"/>
        </w:trPr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4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5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(2) </w:t>
            </w:r>
          </w:p>
        </w:tc>
      </w:tr>
      <w:tr>
        <w:trPr>
          <w:trHeight w:hRule="exact" w:val="260"/>
        </w:trPr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2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(15,215) </w:t>
            </w:r>
          </w:p>
        </w:tc>
        <w:tc>
          <w:tcPr>
            <w:tcW w:type="dxa" w:w="12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2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(9,562) </w:t>
            </w:r>
          </w:p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(750) </w:t>
            </w:r>
          </w:p>
        </w:tc>
      </w:tr>
      <w:tr>
        <w:trPr>
          <w:trHeight w:hRule="exact" w:val="236"/>
        </w:trPr>
        <w:tc>
          <w:tcPr>
            <w:tcW w:type="dxa" w:w="33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3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3,229 </w:t>
            </w:r>
          </w:p>
        </w:tc>
        <w:tc>
          <w:tcPr>
            <w:tcW w:type="dxa" w:w="12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2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3,191 </w:t>
            </w:r>
          </w:p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2,495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30"/>
        <w:ind w:left="0" w:right="0"/>
      </w:pPr>
    </w:p>
    <w:p>
      <w:pPr>
        <w:sectPr>
          <w:type w:val="nextColumn"/>
          <w:pgSz w:w="12240" w:h="15840"/>
          <w:pgMar w:top="516" w:right="1384" w:bottom="336" w:left="1440" w:header="720" w:footer="720" w:gutter="0"/>
          <w:cols w:num="2" w:equalWidth="0">
            <w:col w:w="5588" w:space="0"/>
            <w:col w:w="382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354"/>
        <w:gridCol w:w="2354"/>
        <w:gridCol w:w="2354"/>
        <w:gridCol w:w="2354"/>
      </w:tblGrid>
      <w:tr>
        <w:trPr>
          <w:trHeight w:hRule="exact" w:val="274"/>
        </w:trPr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Provision for losses on loans and other exposures—Note D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(94)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(685)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(570) </w:t>
            </w:r>
          </w:p>
        </w:tc>
      </w:tr>
    </w:tbl>
    <w:p>
      <w:pPr>
        <w:autoSpaceDN w:val="0"/>
        <w:autoSpaceDE w:val="0"/>
        <w:widowControl/>
        <w:spacing w:line="202" w:lineRule="exact" w:before="218" w:after="2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Non-interest 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354"/>
        <w:gridCol w:w="2354"/>
        <w:gridCol w:w="2354"/>
        <w:gridCol w:w="2354"/>
      </w:tblGrid>
      <w:tr>
        <w:trPr>
          <w:trHeight w:hRule="exact" w:val="250"/>
        </w:trPr>
        <w:tc>
          <w:tcPr>
            <w:tcW w:type="dxa" w:w="5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Revenue from externally funded activities—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Notes H and L</w:t>
            </w:r>
          </w:p>
        </w:tc>
        <w:tc>
          <w:tcPr>
            <w:tcW w:type="dxa" w:w="1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960 </w:t>
            </w:r>
          </w:p>
        </w:tc>
        <w:tc>
          <w:tcPr>
            <w:tcW w:type="dxa" w:w="1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878 </w:t>
            </w:r>
          </w:p>
        </w:tc>
        <w:tc>
          <w:tcPr>
            <w:tcW w:type="dxa" w:w="12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787 </w:t>
            </w:r>
          </w:p>
        </w:tc>
      </w:tr>
      <w:tr>
        <w:trPr>
          <w:trHeight w:hRule="exact" w:val="240"/>
        </w:trPr>
        <w:tc>
          <w:tcPr>
            <w:tcW w:type="dxa" w:w="5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Commitment charges—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D</w:t>
            </w:r>
          </w:p>
        </w:tc>
        <w:tc>
          <w:tcPr>
            <w:tcW w:type="dxa" w:w="1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149 </w:t>
            </w:r>
          </w:p>
        </w:tc>
        <w:tc>
          <w:tcPr>
            <w:tcW w:type="dxa" w:w="1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124 </w:t>
            </w:r>
          </w:p>
        </w:tc>
        <w:tc>
          <w:tcPr>
            <w:tcW w:type="dxa" w:w="12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126 </w:t>
            </w:r>
          </w:p>
        </w:tc>
      </w:tr>
      <w:tr>
        <w:trPr>
          <w:trHeight w:hRule="exact" w:val="276"/>
        </w:trPr>
        <w:tc>
          <w:tcPr>
            <w:tcW w:type="dxa" w:w="56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Other, net—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L</w:t>
            </w:r>
          </w:p>
        </w:tc>
        <w:tc>
          <w:tcPr>
            <w:tcW w:type="dxa" w:w="11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42 </w:t>
            </w:r>
          </w:p>
        </w:tc>
        <w:tc>
          <w:tcPr>
            <w:tcW w:type="dxa" w:w="12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43 </w:t>
            </w:r>
          </w:p>
        </w:tc>
        <w:tc>
          <w:tcPr>
            <w:tcW w:type="dxa" w:w="12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43 </w:t>
            </w:r>
          </w:p>
        </w:tc>
      </w:tr>
      <w:tr>
        <w:trPr>
          <w:trHeight w:hRule="exact" w:val="254"/>
        </w:trPr>
        <w:tc>
          <w:tcPr>
            <w:tcW w:type="dxa" w:w="56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1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1,151 </w:t>
            </w:r>
          </w:p>
        </w:tc>
        <w:tc>
          <w:tcPr>
            <w:tcW w:type="dxa" w:w="12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1,045 </w:t>
            </w:r>
          </w:p>
        </w:tc>
        <w:tc>
          <w:tcPr>
            <w:tcW w:type="dxa" w:w="12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956 </w:t>
            </w:r>
          </w:p>
        </w:tc>
      </w:tr>
    </w:tbl>
    <w:p>
      <w:pPr>
        <w:autoSpaceDN w:val="0"/>
        <w:autoSpaceDE w:val="0"/>
        <w:widowControl/>
        <w:spacing w:line="202" w:lineRule="exact" w:before="190" w:after="2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Non-interest expenses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354"/>
        <w:gridCol w:w="2354"/>
        <w:gridCol w:w="2354"/>
        <w:gridCol w:w="2354"/>
      </w:tblGrid>
      <w:tr>
        <w:trPr>
          <w:trHeight w:hRule="exact" w:val="250"/>
        </w:trPr>
        <w:tc>
          <w:tcPr>
            <w:tcW w:type="dxa" w:w="5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Administrative—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Notes H, K and L</w:t>
            </w:r>
          </w:p>
        </w:tc>
        <w:tc>
          <w:tcPr>
            <w:tcW w:type="dxa" w:w="1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(2,379) </w:t>
            </w:r>
          </w:p>
        </w:tc>
        <w:tc>
          <w:tcPr>
            <w:tcW w:type="dxa" w:w="1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(2,320) </w:t>
            </w:r>
          </w:p>
        </w:tc>
        <w:tc>
          <w:tcPr>
            <w:tcW w:type="dxa" w:w="1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(2,225) </w:t>
            </w:r>
          </w:p>
        </w:tc>
      </w:tr>
      <w:tr>
        <w:trPr>
          <w:trHeight w:hRule="exact" w:val="240"/>
        </w:trPr>
        <w:tc>
          <w:tcPr>
            <w:tcW w:type="dxa" w:w="5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Contributions to special programs</w:t>
            </w:r>
          </w:p>
        </w:tc>
        <w:tc>
          <w:tcPr>
            <w:tcW w:type="dxa" w:w="1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(17) </w:t>
            </w:r>
          </w:p>
        </w:tc>
        <w:tc>
          <w:tcPr>
            <w:tcW w:type="dxa" w:w="1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(17) </w:t>
            </w:r>
          </w:p>
        </w:tc>
        <w:tc>
          <w:tcPr>
            <w:tcW w:type="dxa" w:w="1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(17) </w:t>
            </w:r>
          </w:p>
        </w:tc>
      </w:tr>
      <w:tr>
        <w:trPr>
          <w:trHeight w:hRule="exact" w:val="276"/>
        </w:trPr>
        <w:tc>
          <w:tcPr>
            <w:tcW w:type="dxa" w:w="57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K</w:t>
            </w:r>
          </w:p>
        </w:tc>
        <w:tc>
          <w:tcPr>
            <w:tcW w:type="dxa" w:w="12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170 </w:t>
            </w:r>
          </w:p>
        </w:tc>
        <w:tc>
          <w:tcPr>
            <w:tcW w:type="dxa" w:w="12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183 </w:t>
            </w:r>
          </w:p>
        </w:tc>
        <w:tc>
          <w:tcPr>
            <w:tcW w:type="dxa" w:w="12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258 </w:t>
            </w:r>
          </w:p>
        </w:tc>
      </w:tr>
      <w:tr>
        <w:trPr>
          <w:trHeight w:hRule="exact" w:val="254"/>
        </w:trPr>
        <w:tc>
          <w:tcPr>
            <w:tcW w:type="dxa" w:w="57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2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(2,226) </w:t>
            </w:r>
          </w:p>
        </w:tc>
        <w:tc>
          <w:tcPr>
            <w:tcW w:type="dxa" w:w="12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(2,154) </w:t>
            </w:r>
          </w:p>
        </w:tc>
        <w:tc>
          <w:tcPr>
            <w:tcW w:type="dxa" w:w="12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(1,984) </w:t>
            </w:r>
          </w:p>
        </w:tc>
      </w:tr>
      <w:tr>
        <w:trPr>
          <w:trHeight w:hRule="exact" w:val="530"/>
        </w:trPr>
        <w:tc>
          <w:tcPr>
            <w:tcW w:type="dxa" w:w="57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Board of Governors-approved and other transfers—Note G</w:t>
            </w:r>
          </w:p>
        </w:tc>
        <w:tc>
          <w:tcPr>
            <w:tcW w:type="dxa" w:w="12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0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(371) </w:t>
            </w:r>
          </w:p>
        </w:tc>
        <w:tc>
          <w:tcPr>
            <w:tcW w:type="dxa" w:w="12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0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(221) </w:t>
            </w:r>
          </w:p>
        </w:tc>
        <w:tc>
          <w:tcPr>
            <w:tcW w:type="dxa" w:w="12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(354) </w:t>
            </w:r>
          </w:p>
        </w:tc>
      </w:tr>
      <w:tr>
        <w:trPr>
          <w:trHeight w:hRule="exact" w:val="372"/>
        </w:trPr>
        <w:tc>
          <w:tcPr>
            <w:tcW w:type="dxa" w:w="5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0" w:after="0"/>
              <w:ind w:left="21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Non-functional currency translation adjustment gains, net</w:t>
            </w:r>
          </w:p>
        </w:tc>
        <w:tc>
          <w:tcPr>
            <w:tcW w:type="dxa" w:w="1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73 </w:t>
            </w:r>
          </w:p>
        </w:tc>
        <w:tc>
          <w:tcPr>
            <w:tcW w:type="dxa" w:w="1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0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39 </w:t>
            </w:r>
          </w:p>
        </w:tc>
        <w:tc>
          <w:tcPr>
            <w:tcW w:type="dxa" w:w="1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150 </w:t>
            </w:r>
          </w:p>
        </w:tc>
      </w:tr>
    </w:tbl>
    <w:p>
      <w:pPr>
        <w:autoSpaceDN w:val="0"/>
        <w:autoSpaceDE w:val="0"/>
        <w:widowControl/>
        <w:spacing w:line="200" w:lineRule="exact" w:before="168" w:after="8"/>
        <w:ind w:left="23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Unrealized mark-to-market gains (losses) on Investments-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354"/>
        <w:gridCol w:w="2354"/>
        <w:gridCol w:w="2354"/>
        <w:gridCol w:w="2354"/>
      </w:tblGrid>
      <w:tr>
        <w:trPr>
          <w:trHeight w:hRule="exact" w:val="268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Trading portfolio, net—Notes F and J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84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(77) </w:t>
            </w:r>
          </w:p>
        </w:tc>
      </w:tr>
    </w:tbl>
    <w:p>
      <w:pPr>
        <w:autoSpaceDN w:val="0"/>
        <w:autoSpaceDE w:val="0"/>
        <w:widowControl/>
        <w:spacing w:line="216" w:lineRule="exact" w:before="288" w:after="26"/>
        <w:ind w:left="232" w:right="4176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 xml:space="preserve">Unrealized mark-to-market  gains (losses) on non-trading </w:t>
      </w:r>
      <w:r>
        <w:rPr>
          <w:rFonts w:ascii="Arial" w:hAnsi="Arial" w:eastAsia="Arial"/>
          <w:b/>
          <w:i/>
          <w:color w:val="000000"/>
          <w:sz w:val="18"/>
        </w:rPr>
        <w:t>portfolios,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38"/>
        </w:trPr>
        <w:tc>
          <w:tcPr>
            <w:tcW w:type="dxa" w:w="5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Loan-related derivatives—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Notes D, F and J</w:t>
            </w:r>
          </w:p>
        </w:tc>
        <w:tc>
          <w:tcPr>
            <w:tcW w:type="dxa" w:w="4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(458)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2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1,677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5,994 </w:t>
            </w:r>
          </w:p>
        </w:tc>
      </w:tr>
      <w:tr>
        <w:trPr>
          <w:trHeight w:hRule="exact" w:val="260"/>
        </w:trPr>
        <w:tc>
          <w:tcPr>
            <w:tcW w:type="dxa" w:w="5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 asset/liability management derivatives, net—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Notes F and J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708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(1,642)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1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(3,392) </w:t>
            </w:r>
          </w:p>
        </w:tc>
      </w:tr>
      <w:tr>
        <w:trPr>
          <w:trHeight w:hRule="exact" w:val="260"/>
        </w:trPr>
        <w:tc>
          <w:tcPr>
            <w:tcW w:type="dxa" w:w="5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Borrowings, including derivatives—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Notes E, F and J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4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(190)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759 </w:t>
            </w:r>
          </w:p>
        </w:tc>
      </w:tr>
      <w:tr>
        <w:trPr>
          <w:trHeight w:hRule="exact" w:val="266"/>
        </w:trPr>
        <w:tc>
          <w:tcPr>
            <w:tcW w:type="dxa" w:w="56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Others, net 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J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1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30 </w:t>
            </w:r>
          </w:p>
        </w:tc>
        <w:tc>
          <w:tcPr>
            <w:tcW w:type="dxa" w:w="12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 </w:t>
            </w:r>
          </w:p>
        </w:tc>
      </w:tr>
      <w:tr>
        <w:trPr>
          <w:trHeight w:hRule="exact" w:val="254"/>
        </w:trPr>
        <w:tc>
          <w:tcPr>
            <w:tcW w:type="dxa" w:w="56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41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289 </w:t>
            </w:r>
          </w:p>
        </w:tc>
        <w:tc>
          <w:tcPr>
            <w:tcW w:type="dxa" w:w="1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(155)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3,374 </w:t>
            </w:r>
          </w:p>
        </w:tc>
      </w:tr>
      <w:tr>
        <w:trPr>
          <w:trHeight w:hRule="exact" w:val="236"/>
        </w:trPr>
        <w:tc>
          <w:tcPr>
            <w:tcW w:type="dxa" w:w="56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Net income</w:t>
            </w:r>
          </w:p>
        </w:tc>
        <w:tc>
          <w:tcPr>
            <w:tcW w:type="dxa" w:w="4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1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2,142 $ </w:t>
            </w:r>
          </w:p>
        </w:tc>
        <w:tc>
          <w:tcPr>
            <w:tcW w:type="dxa" w:w="1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2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1,144 $ </w:t>
            </w:r>
          </w:p>
        </w:tc>
        <w:tc>
          <w:tcPr>
            <w:tcW w:type="dxa" w:w="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3,990 </w:t>
            </w:r>
          </w:p>
        </w:tc>
      </w:tr>
      <w:tr>
        <w:trPr>
          <w:trHeight w:hRule="exact" w:val="50"/>
        </w:trPr>
        <w:tc>
          <w:tcPr>
            <w:tcW w:type="dxa" w:w="56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644" w:after="0"/>
        <w:ind w:left="0" w:right="0" w:firstLine="0"/>
        <w:jc w:val="center"/>
      </w:pPr>
      <w:r>
        <w:rPr>
          <w:rFonts w:ascii="Arial" w:hAnsi="Arial" w:eastAsia="Arial"/>
          <w:b/>
          <w:i/>
          <w:color w:val="000000"/>
          <w:sz w:val="18"/>
        </w:rPr>
        <w:t>The Notes to Financial Statements are an integral part of these Statements.</w:t>
      </w:r>
    </w:p>
    <w:p>
      <w:pPr>
        <w:autoSpaceDN w:val="0"/>
        <w:tabs>
          <w:tab w:pos="848" w:val="left"/>
        </w:tabs>
        <w:autoSpaceDE w:val="0"/>
        <w:widowControl/>
        <w:spacing w:line="224" w:lineRule="exact" w:before="2236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2024</w:t>
      </w:r>
    </w:p>
    <w:p>
      <w:pPr>
        <w:sectPr>
          <w:type w:val="continuous"/>
          <w:pgSz w:w="12240" w:h="15840"/>
          <w:pgMar w:top="516" w:right="1384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260" w:lineRule="exact" w:before="54" w:after="0"/>
        <w:ind w:left="0" w:right="259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STATEMENTS OF COMPREHENSIVE INCOME </w:t>
      </w:r>
      <w:r>
        <w:rPr>
          <w:rFonts w:ascii="Arial" w:hAnsi="Arial" w:eastAsia="Arial"/>
          <w:b w:val="0"/>
          <w:i/>
          <w:color w:val="000000"/>
          <w:sz w:val="20"/>
        </w:rPr>
        <w:t>For the fiscal years ended June 30, 2024, June 30, 2023 and June 30, 2022</w:t>
      </w:r>
    </w:p>
    <w:p>
      <w:pPr>
        <w:autoSpaceDN w:val="0"/>
        <w:autoSpaceDE w:val="0"/>
        <w:widowControl/>
        <w:spacing w:line="202" w:lineRule="exact" w:before="220" w:after="31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290"/>
        </w:trPr>
        <w:tc>
          <w:tcPr>
            <w:tcW w:type="dxa" w:w="52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1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3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14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2023</w:t>
            </w:r>
          </w:p>
        </w:tc>
        <w:tc>
          <w:tcPr>
            <w:tcW w:type="dxa" w:w="3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2022</w:t>
            </w:r>
          </w:p>
        </w:tc>
      </w:tr>
      <w:tr>
        <w:trPr>
          <w:trHeight w:hRule="exact" w:val="722"/>
        </w:trPr>
        <w:tc>
          <w:tcPr>
            <w:tcW w:type="dxa" w:w="52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5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Net income</w:t>
            </w:r>
          </w:p>
        </w:tc>
        <w:tc>
          <w:tcPr>
            <w:tcW w:type="dxa" w:w="3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0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50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2,142 </w:t>
            </w:r>
          </w:p>
        </w:tc>
        <w:tc>
          <w:tcPr>
            <w:tcW w:type="dxa" w:w="3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0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50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1,144 </w:t>
            </w:r>
          </w:p>
        </w:tc>
        <w:tc>
          <w:tcPr>
            <w:tcW w:type="dxa" w:w="3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9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50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3,990 </w:t>
            </w:r>
          </w:p>
        </w:tc>
      </w:tr>
    </w:tbl>
    <w:p>
      <w:pPr>
        <w:autoSpaceDN w:val="0"/>
        <w:autoSpaceDE w:val="0"/>
        <w:widowControl/>
        <w:spacing w:line="200" w:lineRule="exact" w:before="114" w:after="26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Other comprehensive income —Note 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347"/>
        <w:gridCol w:w="2347"/>
        <w:gridCol w:w="2347"/>
        <w:gridCol w:w="2347"/>
      </w:tblGrid>
      <w:tr>
        <w:trPr>
          <w:trHeight w:hRule="exact" w:val="252"/>
        </w:trPr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actuarial gains on benefit plans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251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2,103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3,027 </w:t>
            </w:r>
          </w:p>
        </w:tc>
      </w:tr>
      <w:tr>
        <w:trPr>
          <w:trHeight w:hRule="exact" w:val="272"/>
        </w:trPr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Prior service credit on benefit plans, net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23 </w:t>
            </w:r>
          </w:p>
        </w:tc>
      </w:tr>
    </w:tbl>
    <w:p>
      <w:pPr>
        <w:autoSpaceDN w:val="0"/>
        <w:autoSpaceDE w:val="0"/>
        <w:widowControl/>
        <w:spacing w:line="202" w:lineRule="exact" w:before="38" w:after="6"/>
        <w:ind w:left="4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Net change in Debit Valuation Adjustment (DVA) on Fair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347"/>
        <w:gridCol w:w="2347"/>
        <w:gridCol w:w="2347"/>
        <w:gridCol w:w="2347"/>
      </w:tblGrid>
      <w:tr>
        <w:trPr>
          <w:trHeight w:hRule="exact" w:val="240"/>
        </w:trPr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Value Option elected liabilities—Note  J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5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322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(13)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582 </w:t>
            </w:r>
          </w:p>
        </w:tc>
      </w:tr>
    </w:tbl>
    <w:p>
      <w:pPr>
        <w:autoSpaceDN w:val="0"/>
        <w:autoSpaceDE w:val="0"/>
        <w:widowControl/>
        <w:spacing w:line="202" w:lineRule="exact" w:before="32" w:after="8"/>
        <w:ind w:left="4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Currency translation adjustments on functional currency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236"/>
        </w:trPr>
        <w:tc>
          <w:tcPr>
            <w:tcW w:type="dxa" w:w="52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(losses) gains</w:t>
            </w:r>
          </w:p>
        </w:tc>
        <w:tc>
          <w:tcPr>
            <w:tcW w:type="dxa" w:w="4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(150) </w:t>
            </w:r>
          </w:p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495 </w:t>
            </w:r>
          </w:p>
        </w:tc>
        <w:tc>
          <w:tcPr>
            <w:tcW w:type="dxa" w:w="4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(1,149) </w:t>
            </w:r>
          </w:p>
        </w:tc>
      </w:tr>
      <w:tr>
        <w:trPr>
          <w:trHeight w:hRule="exact" w:val="376"/>
        </w:trPr>
        <w:tc>
          <w:tcPr>
            <w:tcW w:type="dxa" w:w="52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 other comprehensive income</w:t>
            </w:r>
          </w:p>
        </w:tc>
        <w:tc>
          <w:tcPr>
            <w:tcW w:type="dxa" w:w="4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431 </w:t>
            </w:r>
          </w:p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2,605 </w:t>
            </w:r>
          </w:p>
        </w:tc>
        <w:tc>
          <w:tcPr>
            <w:tcW w:type="dxa" w:w="4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2,483 </w:t>
            </w:r>
          </w:p>
        </w:tc>
      </w:tr>
      <w:tr>
        <w:trPr>
          <w:trHeight w:hRule="exact" w:val="356"/>
        </w:trPr>
        <w:tc>
          <w:tcPr>
            <w:tcW w:type="dxa" w:w="52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comprehensive income</w:t>
            </w:r>
          </w:p>
        </w:tc>
        <w:tc>
          <w:tcPr>
            <w:tcW w:type="dxa" w:w="4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4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2,573 </w:t>
            </w:r>
          </w:p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8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4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3,749 </w:t>
            </w:r>
          </w:p>
        </w:tc>
        <w:tc>
          <w:tcPr>
            <w:tcW w:type="dxa" w:w="4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4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6,473 </w:t>
            </w:r>
          </w:p>
        </w:tc>
      </w:tr>
    </w:tbl>
    <w:p>
      <w:pPr>
        <w:autoSpaceDN w:val="0"/>
        <w:autoSpaceDE w:val="0"/>
        <w:widowControl/>
        <w:spacing w:line="260" w:lineRule="exact" w:before="914" w:after="0"/>
        <w:ind w:left="0" w:right="216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STATEMENTS OF CHANGES IN RETAINED EARNINGS </w:t>
      </w:r>
      <w:r>
        <w:rPr>
          <w:rFonts w:ascii="Arial" w:hAnsi="Arial" w:eastAsia="Arial"/>
          <w:b w:val="0"/>
          <w:i/>
          <w:color w:val="000000"/>
          <w:sz w:val="20"/>
        </w:rPr>
        <w:t>For the fiscal years ended June 30, 2024, June 30, 2023 and June 30, 2022</w:t>
      </w:r>
    </w:p>
    <w:p>
      <w:pPr>
        <w:autoSpaceDN w:val="0"/>
        <w:autoSpaceDE w:val="0"/>
        <w:widowControl/>
        <w:spacing w:line="200" w:lineRule="exact" w:before="222" w:after="312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290"/>
        </w:trPr>
        <w:tc>
          <w:tcPr>
            <w:tcW w:type="dxa" w:w="52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3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4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2023</w:t>
            </w:r>
          </w:p>
        </w:tc>
        <w:tc>
          <w:tcPr>
            <w:tcW w:type="dxa" w:w="3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2022</w:t>
            </w:r>
          </w:p>
        </w:tc>
      </w:tr>
      <w:tr>
        <w:trPr>
          <w:trHeight w:hRule="exact" w:val="234"/>
        </w:trPr>
        <w:tc>
          <w:tcPr>
            <w:tcW w:type="dxa" w:w="52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Retained earnings at the beginning of the fiscal year</w:t>
            </w:r>
          </w:p>
        </w:tc>
        <w:tc>
          <w:tcPr>
            <w:tcW w:type="dxa" w:w="32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0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36,141 </w:t>
            </w:r>
          </w:p>
        </w:tc>
        <w:tc>
          <w:tcPr>
            <w:tcW w:type="dxa" w:w="3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0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34,997 </w:t>
            </w:r>
          </w:p>
        </w:tc>
        <w:tc>
          <w:tcPr>
            <w:tcW w:type="dxa" w:w="3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9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31,007 </w:t>
            </w:r>
          </w:p>
        </w:tc>
      </w:tr>
      <w:tr>
        <w:trPr>
          <w:trHeight w:hRule="exact" w:val="276"/>
        </w:trPr>
        <w:tc>
          <w:tcPr>
            <w:tcW w:type="dxa" w:w="52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income for the fiscal year</w:t>
            </w:r>
          </w:p>
        </w:tc>
        <w:tc>
          <w:tcPr>
            <w:tcW w:type="dxa" w:w="1341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2,142 </w:t>
            </w:r>
          </w:p>
        </w:tc>
        <w:tc>
          <w:tcPr>
            <w:tcW w:type="dxa" w:w="1341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1,144 </w:t>
            </w:r>
          </w:p>
        </w:tc>
        <w:tc>
          <w:tcPr>
            <w:tcW w:type="dxa" w:w="1341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3,990 </w:t>
            </w:r>
          </w:p>
        </w:tc>
      </w:tr>
      <w:tr>
        <w:trPr>
          <w:trHeight w:hRule="exact" w:val="234"/>
        </w:trPr>
        <w:tc>
          <w:tcPr>
            <w:tcW w:type="dxa" w:w="52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Retained earnings at the end of the fiscal year</w:t>
            </w:r>
          </w:p>
        </w:tc>
        <w:tc>
          <w:tcPr>
            <w:tcW w:type="dxa" w:w="3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0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38,283 </w:t>
            </w:r>
          </w:p>
        </w:tc>
        <w:tc>
          <w:tcPr>
            <w:tcW w:type="dxa" w:w="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0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36,141 </w:t>
            </w:r>
          </w:p>
        </w:tc>
        <w:tc>
          <w:tcPr>
            <w:tcW w:type="dxa" w:w="3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9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34,997 </w:t>
            </w:r>
          </w:p>
        </w:tc>
      </w:tr>
    </w:tbl>
    <w:p>
      <w:pPr>
        <w:autoSpaceDN w:val="0"/>
        <w:autoSpaceDE w:val="0"/>
        <w:widowControl/>
        <w:spacing w:line="200" w:lineRule="exact" w:before="906" w:after="0"/>
        <w:ind w:left="0" w:right="0" w:firstLine="0"/>
        <w:jc w:val="center"/>
      </w:pPr>
      <w:r>
        <w:rPr>
          <w:rFonts w:ascii="Arial" w:hAnsi="Arial" w:eastAsia="Arial"/>
          <w:b/>
          <w:i/>
          <w:color w:val="000000"/>
          <w:sz w:val="18"/>
        </w:rPr>
        <w:t>The Notes to Financial Statements are an integral part of these Statements.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4370" w:after="0"/>
        <w:ind w:left="41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81</w:t>
      </w:r>
    </w:p>
    <w:p>
      <w:pPr>
        <w:sectPr>
          <w:pgSz w:w="12240" w:h="15840"/>
          <w:pgMar w:top="696" w:right="141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60" w:lineRule="exact" w:before="54" w:after="0"/>
        <w:ind w:left="0" w:right="259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STATEMENTS OF CASH FLOWS </w:t>
      </w:r>
      <w:r>
        <w:br/>
      </w:r>
      <w:r>
        <w:rPr>
          <w:rFonts w:ascii="Arial" w:hAnsi="Arial" w:eastAsia="Arial"/>
          <w:b w:val="0"/>
          <w:i/>
          <w:color w:val="000000"/>
          <w:sz w:val="20"/>
        </w:rPr>
        <w:t>For the fiscal years ended June 30, 2024, June 30, 2023 and June 30, 2022</w:t>
      </w:r>
    </w:p>
    <w:p>
      <w:pPr>
        <w:autoSpaceDN w:val="0"/>
        <w:autoSpaceDE w:val="0"/>
        <w:widowControl/>
        <w:spacing w:line="202" w:lineRule="exact" w:before="220" w:after="18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44.0" w:type="dxa"/>
      </w:tblPr>
      <w:tblGrid>
        <w:gridCol w:w="3139"/>
        <w:gridCol w:w="3139"/>
        <w:gridCol w:w="3139"/>
      </w:tblGrid>
      <w:tr>
        <w:trPr>
          <w:trHeight w:hRule="exact" w:val="246"/>
        </w:trPr>
        <w:tc>
          <w:tcPr>
            <w:tcW w:type="dxa" w:w="11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11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2023</w:t>
            </w:r>
          </w:p>
        </w:tc>
        <w:tc>
          <w:tcPr>
            <w:tcW w:type="dxa" w:w="115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2022</w:t>
            </w:r>
          </w:p>
        </w:tc>
      </w:tr>
    </w:tbl>
    <w:p>
      <w:pPr>
        <w:autoSpaceDN w:val="0"/>
        <w:autoSpaceDE w:val="0"/>
        <w:widowControl/>
        <w:spacing w:line="200" w:lineRule="exact" w:before="2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Cash flows from investing activities</w:t>
      </w:r>
    </w:p>
    <w:p>
      <w:pPr>
        <w:autoSpaceDN w:val="0"/>
        <w:autoSpaceDE w:val="0"/>
        <w:widowControl/>
        <w:spacing w:line="202" w:lineRule="exact" w:before="54" w:after="26"/>
        <w:ind w:left="2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Loans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42"/>
        </w:trPr>
        <w:tc>
          <w:tcPr>
            <w:tcW w:type="dxa" w:w="5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Disbursements</w:t>
            </w:r>
          </w:p>
        </w:tc>
        <w:tc>
          <w:tcPr>
            <w:tcW w:type="dxa" w:w="3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(33,375) $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(25,465) $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(28,115) </w:t>
            </w:r>
          </w:p>
        </w:tc>
      </w:tr>
      <w:tr>
        <w:trPr>
          <w:trHeight w:hRule="exact" w:val="260"/>
        </w:trPr>
        <w:tc>
          <w:tcPr>
            <w:tcW w:type="dxa" w:w="5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Principal repayments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1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12,991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12,296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12,797 </w:t>
            </w:r>
          </w:p>
        </w:tc>
      </w:tr>
      <w:tr>
        <w:trPr>
          <w:trHeight w:hRule="exact" w:val="260"/>
        </w:trPr>
        <w:tc>
          <w:tcPr>
            <w:tcW w:type="dxa" w:w="5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Principal prepayments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344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472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495 </w:t>
            </w:r>
          </w:p>
        </w:tc>
      </w:tr>
      <w:tr>
        <w:trPr>
          <w:trHeight w:hRule="exact" w:val="240"/>
        </w:trPr>
        <w:tc>
          <w:tcPr>
            <w:tcW w:type="dxa" w:w="5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Loan origination fees received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37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 </w:t>
            </w:r>
          </w:p>
        </w:tc>
      </w:tr>
      <w:tr>
        <w:trPr>
          <w:trHeight w:hRule="exact" w:val="260"/>
        </w:trPr>
        <w:tc>
          <w:tcPr>
            <w:tcW w:type="dxa" w:w="5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derivatives-loans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66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147 </w:t>
            </w:r>
          </w:p>
        </w:tc>
      </w:tr>
      <w:tr>
        <w:trPr>
          <w:trHeight w:hRule="exact" w:val="270"/>
        </w:trPr>
        <w:tc>
          <w:tcPr>
            <w:tcW w:type="dxa" w:w="58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 investing activities, net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1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(154) </w:t>
            </w:r>
          </w:p>
        </w:tc>
        <w:tc>
          <w:tcPr>
            <w:tcW w:type="dxa" w:w="11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(141) </w:t>
            </w:r>
          </w:p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(163) </w:t>
            </w:r>
          </w:p>
        </w:tc>
      </w:tr>
      <w:tr>
        <w:trPr>
          <w:trHeight w:hRule="exact" w:val="255"/>
        </w:trPr>
        <w:tc>
          <w:tcPr>
            <w:tcW w:type="dxa" w:w="58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4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cash used in investing activities</w:t>
            </w:r>
          </w:p>
        </w:tc>
        <w:tc>
          <w:tcPr>
            <w:tcW w:type="dxa" w:w="3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(20,081) </w:t>
            </w:r>
          </w:p>
        </w:tc>
        <w:tc>
          <w:tcPr>
            <w:tcW w:type="dxa" w:w="11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(12,745)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(14,811) </w:t>
            </w:r>
          </w:p>
        </w:tc>
      </w:tr>
    </w:tbl>
    <w:p>
      <w:pPr>
        <w:autoSpaceDN w:val="0"/>
        <w:autoSpaceDE w:val="0"/>
        <w:widowControl/>
        <w:spacing w:line="202" w:lineRule="exact" w:before="2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Cash flows from financing activities</w:t>
      </w:r>
    </w:p>
    <w:p>
      <w:pPr>
        <w:autoSpaceDN w:val="0"/>
        <w:autoSpaceDE w:val="0"/>
        <w:widowControl/>
        <w:spacing w:line="200" w:lineRule="exact" w:before="54" w:after="26"/>
        <w:ind w:left="2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Medium and long-term borrowings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354"/>
        <w:gridCol w:w="2354"/>
        <w:gridCol w:w="2354"/>
        <w:gridCol w:w="2354"/>
      </w:tblGrid>
      <w:tr>
        <w:trPr>
          <w:trHeight w:hRule="exact" w:val="248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New issues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2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52,152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42,056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40,715 </w:t>
            </w:r>
          </w:p>
        </w:tc>
      </w:tr>
      <w:tr>
        <w:trPr>
          <w:trHeight w:hRule="exact" w:val="262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Retirements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(30,888)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(30,275)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(36,255) </w:t>
            </w:r>
          </w:p>
        </w:tc>
      </w:tr>
    </w:tbl>
    <w:p>
      <w:pPr>
        <w:autoSpaceDN w:val="0"/>
        <w:autoSpaceDE w:val="0"/>
        <w:widowControl/>
        <w:spacing w:line="202" w:lineRule="exact" w:before="28" w:after="28"/>
        <w:ind w:left="2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Short-term borrowings (original maturities greater than 90 days)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354"/>
        <w:gridCol w:w="2354"/>
        <w:gridCol w:w="2354"/>
        <w:gridCol w:w="2354"/>
      </w:tblGrid>
      <w:tr>
        <w:trPr>
          <w:trHeight w:hRule="exact" w:val="240"/>
        </w:trPr>
        <w:tc>
          <w:tcPr>
            <w:tcW w:type="dxa" w:w="5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New issues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20,483 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25,358 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21,631 </w:t>
            </w:r>
          </w:p>
        </w:tc>
      </w:tr>
      <w:tr>
        <w:trPr>
          <w:trHeight w:hRule="exact" w:val="260"/>
        </w:trPr>
        <w:tc>
          <w:tcPr>
            <w:tcW w:type="dxa" w:w="5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Retirements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(22,270) 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(25,846) 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(20,692) </w:t>
            </w:r>
          </w:p>
        </w:tc>
      </w:tr>
      <w:tr>
        <w:trPr>
          <w:trHeight w:hRule="exact" w:val="260"/>
        </w:trPr>
        <w:tc>
          <w:tcPr>
            <w:tcW w:type="dxa" w:w="5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short-term borrowings (original maturities less than 90 days)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807 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(4,716) 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3,996 </w:t>
            </w:r>
          </w:p>
        </w:tc>
      </w:tr>
      <w:tr>
        <w:trPr>
          <w:trHeight w:hRule="exact" w:val="240"/>
        </w:trPr>
        <w:tc>
          <w:tcPr>
            <w:tcW w:type="dxa" w:w="5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derivatives-borrowings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(787) 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(13) </w:t>
            </w:r>
          </w:p>
        </w:tc>
      </w:tr>
      <w:tr>
        <w:trPr>
          <w:trHeight w:hRule="exact" w:val="260"/>
        </w:trPr>
        <w:tc>
          <w:tcPr>
            <w:tcW w:type="dxa" w:w="5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Capital subscriptions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633 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1,320 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1,255 </w:t>
            </w:r>
          </w:p>
        </w:tc>
      </w:tr>
      <w:tr>
        <w:trPr>
          <w:trHeight w:hRule="exact" w:val="270"/>
        </w:trPr>
        <w:tc>
          <w:tcPr>
            <w:tcW w:type="dxa" w:w="58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 financing activities, net</w:t>
            </w:r>
          </w:p>
        </w:tc>
        <w:tc>
          <w:tcPr>
            <w:tcW w:type="dxa" w:w="11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– </w:t>
            </w:r>
          </w:p>
        </w:tc>
        <w:tc>
          <w:tcPr>
            <w:tcW w:type="dxa" w:w="11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(5) </w:t>
            </w:r>
          </w:p>
        </w:tc>
        <w:tc>
          <w:tcPr>
            <w:tcW w:type="dxa" w:w="11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 </w:t>
            </w:r>
          </w:p>
        </w:tc>
      </w:tr>
      <w:tr>
        <w:trPr>
          <w:trHeight w:hRule="exact" w:val="254"/>
        </w:trPr>
        <w:tc>
          <w:tcPr>
            <w:tcW w:type="dxa" w:w="58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4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cash provided by financing activities</w:t>
            </w:r>
          </w:p>
        </w:tc>
        <w:tc>
          <w:tcPr>
            <w:tcW w:type="dxa" w:w="11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20,927 </w:t>
            </w:r>
          </w:p>
        </w:tc>
        <w:tc>
          <w:tcPr>
            <w:tcW w:type="dxa" w:w="11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7,105 </w:t>
            </w:r>
          </w:p>
        </w:tc>
        <w:tc>
          <w:tcPr>
            <w:tcW w:type="dxa" w:w="11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10,639 </w:t>
            </w:r>
          </w:p>
        </w:tc>
      </w:tr>
    </w:tbl>
    <w:p>
      <w:pPr>
        <w:autoSpaceDN w:val="0"/>
        <w:autoSpaceDE w:val="0"/>
        <w:widowControl/>
        <w:spacing w:line="202" w:lineRule="exact" w:before="26" w:after="28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Cash flows from operating activities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354"/>
        <w:gridCol w:w="2354"/>
        <w:gridCol w:w="2354"/>
        <w:gridCol w:w="2354"/>
      </w:tblGrid>
      <w:tr>
        <w:trPr>
          <w:trHeight w:hRule="exact" w:val="258"/>
        </w:trPr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income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2,142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1,144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3,990 </w:t>
            </w:r>
          </w:p>
        </w:tc>
      </w:tr>
    </w:tbl>
    <w:p>
      <w:pPr>
        <w:autoSpaceDN w:val="0"/>
        <w:tabs>
          <w:tab w:pos="322" w:val="left"/>
        </w:tabs>
        <w:autoSpaceDE w:val="0"/>
        <w:widowControl/>
        <w:spacing w:line="216" w:lineRule="exact" w:before="16" w:after="0"/>
        <w:ind w:left="232" w:right="345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Adjustments to reconcile net income to net cash provided by (used in) </w:t>
      </w:r>
      <w:r>
        <w:rPr>
          <w:rFonts w:ascii="ArialMT" w:hAnsi="ArialMT" w:eastAsia="ArialMT"/>
          <w:b w:val="0"/>
          <w:i w:val="0"/>
          <w:color w:val="000000"/>
          <w:sz w:val="18"/>
        </w:rPr>
        <w:t>operating activities:</w:t>
      </w:r>
    </w:p>
    <w:p>
      <w:pPr>
        <w:autoSpaceDN w:val="0"/>
        <w:autoSpaceDE w:val="0"/>
        <w:widowControl/>
        <w:spacing w:line="200" w:lineRule="exact" w:before="64" w:after="8"/>
        <w:ind w:left="5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Unrealized mark-to-market (gains) losses on non-trading portfolios,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354"/>
        <w:gridCol w:w="2354"/>
        <w:gridCol w:w="2354"/>
        <w:gridCol w:w="2354"/>
      </w:tblGrid>
      <w:tr>
        <w:trPr>
          <w:trHeight w:hRule="exact" w:val="222"/>
        </w:trPr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(289)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155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(3,374) </w:t>
            </w:r>
          </w:p>
        </w:tc>
      </w:tr>
      <w:tr>
        <w:trPr>
          <w:trHeight w:hRule="exact" w:val="260"/>
        </w:trPr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Non-functional currency translation adjustment gains, net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(73)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(39)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(150) </w:t>
            </w:r>
          </w:p>
        </w:tc>
      </w:tr>
      <w:tr>
        <w:trPr>
          <w:trHeight w:hRule="exact" w:val="260"/>
        </w:trPr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Depreciation and amortization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614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535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106 </w:t>
            </w:r>
          </w:p>
        </w:tc>
      </w:tr>
      <w:tr>
        <w:trPr>
          <w:trHeight w:hRule="exact" w:val="260"/>
        </w:trPr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Provision for losses on loans and other exposures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94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685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570 </w:t>
            </w:r>
          </w:p>
        </w:tc>
      </w:tr>
    </w:tbl>
    <w:p>
      <w:pPr>
        <w:autoSpaceDN w:val="0"/>
        <w:autoSpaceDE w:val="0"/>
        <w:widowControl/>
        <w:spacing w:line="200" w:lineRule="exact" w:before="26" w:after="26"/>
        <w:ind w:left="2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Changes in: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354"/>
        <w:gridCol w:w="2354"/>
        <w:gridCol w:w="2354"/>
        <w:gridCol w:w="2354"/>
      </w:tblGrid>
      <w:tr>
        <w:trPr>
          <w:trHeight w:hRule="exact" w:val="248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Investments-Trading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(4,288)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3,173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1,792 </w:t>
            </w:r>
          </w:p>
        </w:tc>
      </w:tr>
      <w:tr>
        <w:trPr>
          <w:trHeight w:hRule="exact" w:val="260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investment securities purchased/traded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(410)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608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(371) </w:t>
            </w:r>
          </w:p>
        </w:tc>
      </w:tr>
      <w:tr>
        <w:trPr>
          <w:trHeight w:hRule="exact" w:val="264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derivatives-investments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1,063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(826)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2,921 </w:t>
            </w:r>
          </w:p>
        </w:tc>
      </w:tr>
    </w:tbl>
    <w:p>
      <w:pPr>
        <w:autoSpaceDN w:val="0"/>
        <w:autoSpaceDE w:val="0"/>
        <w:widowControl/>
        <w:spacing w:line="202" w:lineRule="exact" w:before="30" w:after="6"/>
        <w:ind w:left="4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Net securities purchased/sold under resale/repurchase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354"/>
        <w:gridCol w:w="2354"/>
        <w:gridCol w:w="2354"/>
        <w:gridCol w:w="2354"/>
      </w:tblGrid>
      <w:tr>
        <w:trPr>
          <w:trHeight w:hRule="exact" w:val="218"/>
        </w:trPr>
        <w:tc>
          <w:tcPr>
            <w:tcW w:type="dxa" w:w="5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5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agreements and payable for cash collateral received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128 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(94) 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(2,781) </w:t>
            </w:r>
          </w:p>
        </w:tc>
      </w:tr>
      <w:tr>
        <w:trPr>
          <w:trHeight w:hRule="exact" w:val="260"/>
        </w:trPr>
        <w:tc>
          <w:tcPr>
            <w:tcW w:type="dxa" w:w="5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3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Accrued income on loans and guarantee fees receivable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(676) 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(2,230) 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(299) </w:t>
            </w:r>
          </w:p>
        </w:tc>
      </w:tr>
      <w:tr>
        <w:trPr>
          <w:trHeight w:hRule="exact" w:val="260"/>
        </w:trPr>
        <w:tc>
          <w:tcPr>
            <w:tcW w:type="dxa" w:w="5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Miscellaneous assets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232 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(4) 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87 </w:t>
            </w:r>
          </w:p>
        </w:tc>
      </w:tr>
      <w:tr>
        <w:trPr>
          <w:trHeight w:hRule="exact" w:val="260"/>
        </w:trPr>
        <w:tc>
          <w:tcPr>
            <w:tcW w:type="dxa" w:w="5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Accrued interest on borrowings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393 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2,051 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(419) </w:t>
            </w:r>
          </w:p>
        </w:tc>
      </w:tr>
      <w:tr>
        <w:trPr>
          <w:trHeight w:hRule="exact" w:val="240"/>
        </w:trPr>
        <w:tc>
          <w:tcPr>
            <w:tcW w:type="dxa" w:w="5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Accounts payable and miscellaneous liabilities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232 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463 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200 </w:t>
            </w:r>
          </w:p>
        </w:tc>
      </w:tr>
      <w:tr>
        <w:trPr>
          <w:trHeight w:hRule="exact" w:val="276"/>
        </w:trPr>
        <w:tc>
          <w:tcPr>
            <w:tcW w:type="dxa" w:w="59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Pension and other post-retirement benefits</w:t>
            </w:r>
          </w:p>
        </w:tc>
        <w:tc>
          <w:tcPr>
            <w:tcW w:type="dxa" w:w="11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(59) </w:t>
            </w:r>
          </w:p>
        </w:tc>
        <w:tc>
          <w:tcPr>
            <w:tcW w:type="dxa" w:w="11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86 </w:t>
            </w:r>
          </w:p>
        </w:tc>
        <w:tc>
          <w:tcPr>
            <w:tcW w:type="dxa" w:w="11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99 </w:t>
            </w:r>
          </w:p>
        </w:tc>
      </w:tr>
      <w:tr>
        <w:trPr>
          <w:trHeight w:hRule="exact" w:val="254"/>
        </w:trPr>
        <w:tc>
          <w:tcPr>
            <w:tcW w:type="dxa" w:w="59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5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cash (used in) provided by operating activities</w:t>
            </w:r>
          </w:p>
        </w:tc>
        <w:tc>
          <w:tcPr>
            <w:tcW w:type="dxa" w:w="11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(897) </w:t>
            </w:r>
          </w:p>
        </w:tc>
        <w:tc>
          <w:tcPr>
            <w:tcW w:type="dxa" w:w="11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5,707 </w:t>
            </w:r>
          </w:p>
        </w:tc>
        <w:tc>
          <w:tcPr>
            <w:tcW w:type="dxa" w:w="11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2,371 </w:t>
            </w:r>
          </w:p>
        </w:tc>
      </w:tr>
      <w:tr>
        <w:trPr>
          <w:trHeight w:hRule="exact" w:val="256"/>
        </w:trPr>
        <w:tc>
          <w:tcPr>
            <w:tcW w:type="dxa" w:w="59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Effect of exchange rate changes on unrestricted and restricted cash</w:t>
            </w:r>
          </w:p>
        </w:tc>
        <w:tc>
          <w:tcPr>
            <w:tcW w:type="dxa" w:w="11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(6) </w:t>
            </w:r>
          </w:p>
        </w:tc>
        <w:tc>
          <w:tcPr>
            <w:tcW w:type="dxa" w:w="11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11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(67) </w:t>
            </w:r>
          </w:p>
        </w:tc>
      </w:tr>
      <w:tr>
        <w:trPr>
          <w:trHeight w:hRule="exact" w:val="234"/>
        </w:trPr>
        <w:tc>
          <w:tcPr>
            <w:tcW w:type="dxa" w:w="59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Net (decrease) increase in unrestricted and restricted cash</w:t>
            </w:r>
          </w:p>
        </w:tc>
        <w:tc>
          <w:tcPr>
            <w:tcW w:type="dxa" w:w="11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(57) </w:t>
            </w:r>
          </w:p>
        </w:tc>
        <w:tc>
          <w:tcPr>
            <w:tcW w:type="dxa" w:w="11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68 </w:t>
            </w:r>
          </w:p>
        </w:tc>
        <w:tc>
          <w:tcPr>
            <w:tcW w:type="dxa" w:w="11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(1,868) </w:t>
            </w:r>
          </w:p>
        </w:tc>
      </w:tr>
      <w:tr>
        <w:trPr>
          <w:trHeight w:hRule="exact" w:val="255"/>
        </w:trPr>
        <w:tc>
          <w:tcPr>
            <w:tcW w:type="dxa" w:w="59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Unrestricted and restricted cash at the beginning of the fiscal year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547 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479 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2,347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"/>
        <w:ind w:left="0" w:right="0"/>
      </w:pPr>
    </w:p>
    <w:p>
      <w:pPr>
        <w:sectPr>
          <w:pgSz w:w="12240" w:h="15840"/>
          <w:pgMar w:top="604" w:right="1384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Unrestricted and restricted cash at the end of the fiscal year</w:t>
      </w:r>
    </w:p>
    <w:p>
      <w:pPr>
        <w:autoSpaceDN w:val="0"/>
        <w:tabs>
          <w:tab w:pos="848" w:val="left"/>
        </w:tabs>
        <w:autoSpaceDE w:val="0"/>
        <w:widowControl/>
        <w:spacing w:line="224" w:lineRule="exact" w:before="864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2024</w:t>
      </w:r>
    </w:p>
    <w:p>
      <w:pPr>
        <w:sectPr>
          <w:type w:val="continuous"/>
          <w:pgSz w:w="12240" w:h="15840"/>
          <w:pgMar w:top="604" w:right="1384" w:bottom="336" w:left="1440" w:header="720" w:footer="720" w:gutter="0"/>
          <w:cols w:num="2" w:equalWidth="0">
            <w:col w:w="5564" w:space="0"/>
            <w:col w:w="385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354"/>
        <w:gridCol w:w="2354"/>
        <w:gridCol w:w="2354"/>
        <w:gridCol w:w="2354"/>
      </w:tblGrid>
      <w:tr>
        <w:trPr>
          <w:trHeight w:hRule="exact" w:val="190"/>
        </w:trPr>
        <w:tc>
          <w:tcPr>
            <w:tcW w:type="dxa" w:w="4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1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490 $ </w:t>
            </w:r>
          </w:p>
        </w:tc>
        <w:tc>
          <w:tcPr>
            <w:tcW w:type="dxa" w:w="11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547 $ </w:t>
            </w:r>
          </w:p>
        </w:tc>
        <w:tc>
          <w:tcPr>
            <w:tcW w:type="dxa" w:w="6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479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nextColumn"/>
          <w:pgSz w:w="12240" w:h="15840"/>
          <w:pgMar w:top="604" w:right="1384" w:bottom="336" w:left="1440" w:header="720" w:footer="720" w:gutter="0"/>
          <w:cols w:num="2" w:equalWidth="0">
            <w:col w:w="5564" w:space="0"/>
            <w:col w:w="3851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44.0" w:type="dxa"/>
      </w:tblPr>
      <w:tblGrid>
        <w:gridCol w:w="3139"/>
        <w:gridCol w:w="3139"/>
        <w:gridCol w:w="3139"/>
      </w:tblGrid>
      <w:tr>
        <w:trPr>
          <w:trHeight w:hRule="exact" w:val="230"/>
        </w:trPr>
        <w:tc>
          <w:tcPr>
            <w:tcW w:type="dxa" w:w="11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11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2023</w:t>
            </w:r>
          </w:p>
        </w:tc>
        <w:tc>
          <w:tcPr>
            <w:tcW w:type="dxa" w:w="11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2022</w:t>
            </w:r>
          </w:p>
        </w:tc>
      </w:tr>
    </w:tbl>
    <w:p>
      <w:pPr>
        <w:autoSpaceDN w:val="0"/>
        <w:autoSpaceDE w:val="0"/>
        <w:widowControl/>
        <w:spacing w:line="202" w:lineRule="exact" w:before="24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Supplemental disclosure</w:t>
      </w:r>
    </w:p>
    <w:p>
      <w:pPr>
        <w:autoSpaceDN w:val="0"/>
        <w:tabs>
          <w:tab w:pos="322" w:val="left"/>
        </w:tabs>
        <w:autoSpaceDE w:val="0"/>
        <w:widowControl/>
        <w:spacing w:line="216" w:lineRule="exact" w:before="34" w:after="4"/>
        <w:ind w:left="142" w:right="360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Increase (decrease) in ending balances resulting from exchange rate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fluctuations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14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4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Loans outstanding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(822) $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1,817 $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(6,094) </w:t>
            </w:r>
          </w:p>
        </w:tc>
      </w:tr>
      <w:tr>
        <w:trPr>
          <w:trHeight w:hRule="exact" w:val="260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4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Investment portfolio</w:t>
            </w:r>
          </w:p>
        </w:tc>
        <w:tc>
          <w:tcPr>
            <w:tcW w:type="dxa" w:w="1883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4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(210) </w:t>
            </w:r>
          </w:p>
        </w:tc>
      </w:tr>
      <w:tr>
        <w:trPr>
          <w:trHeight w:hRule="exact" w:val="260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4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Borrowing portfolio</w:t>
            </w:r>
          </w:p>
        </w:tc>
        <w:tc>
          <w:tcPr>
            <w:tcW w:type="dxa" w:w="1883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(577)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1,397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(4,527) </w:t>
            </w:r>
          </w:p>
        </w:tc>
      </w:tr>
      <w:tr>
        <w:trPr>
          <w:trHeight w:hRule="exact" w:val="260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Capitalized loan origination fees included in total loans</w:t>
            </w:r>
          </w:p>
        </w:tc>
        <w:tc>
          <w:tcPr>
            <w:tcW w:type="dxa" w:w="1883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39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53 </w:t>
            </w:r>
          </w:p>
        </w:tc>
      </w:tr>
      <w:tr>
        <w:trPr>
          <w:trHeight w:hRule="exact" w:val="290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Interest paid on borrowing portfolio</w:t>
            </w:r>
          </w:p>
        </w:tc>
        <w:tc>
          <w:tcPr>
            <w:tcW w:type="dxa" w:w="1883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14,265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6,948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1,157 </w:t>
            </w:r>
          </w:p>
        </w:tc>
      </w:tr>
    </w:tbl>
    <w:p>
      <w:pPr>
        <w:autoSpaceDN w:val="0"/>
        <w:autoSpaceDE w:val="0"/>
        <w:widowControl/>
        <w:spacing w:line="202" w:lineRule="exact" w:before="494" w:after="0"/>
        <w:ind w:left="0" w:right="0" w:firstLine="0"/>
        <w:jc w:val="center"/>
      </w:pPr>
      <w:r>
        <w:rPr>
          <w:rFonts w:ascii="Arial" w:hAnsi="Arial" w:eastAsia="Arial"/>
          <w:b/>
          <w:i/>
          <w:color w:val="000000"/>
          <w:sz w:val="18"/>
        </w:rPr>
        <w:t>The Notes to Financial Statements are an integral part of these Statements.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10500" w:after="0"/>
        <w:ind w:left="41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83</w:t>
      </w:r>
    </w:p>
    <w:p>
      <w:pPr>
        <w:sectPr>
          <w:pgSz w:w="12240" w:h="15840"/>
          <w:pgMar w:top="770" w:right="1384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60" w:lineRule="exact" w:before="54" w:after="0"/>
        <w:ind w:left="10" w:right="46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SUMMARY STATEMENT OF LOANS </w:t>
      </w:r>
      <w:r>
        <w:br/>
      </w:r>
      <w:r>
        <w:rPr>
          <w:rFonts w:ascii="Arial" w:hAnsi="Arial" w:eastAsia="Arial"/>
          <w:b w:val="0"/>
          <w:i/>
          <w:color w:val="000000"/>
          <w:sz w:val="20"/>
        </w:rPr>
        <w:t>June 30, 2024</w:t>
      </w:r>
    </w:p>
    <w:p>
      <w:pPr>
        <w:autoSpaceDN w:val="0"/>
        <w:autoSpaceDE w:val="0"/>
        <w:widowControl/>
        <w:spacing w:line="202" w:lineRule="exact" w:before="220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>Expressed in millions of U.S. dollars</w:t>
      </w:r>
    </w:p>
    <w:p>
      <w:pPr>
        <w:autoSpaceDN w:val="0"/>
        <w:autoSpaceDE w:val="0"/>
        <w:widowControl/>
        <w:spacing w:line="178" w:lineRule="exact" w:before="70" w:after="30"/>
        <w:ind w:left="0" w:right="324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Undisbursed balance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rPr>
          <w:trHeight w:hRule="exact" w:val="216"/>
        </w:trPr>
        <w:tc>
          <w:tcPr>
            <w:tcW w:type="dxa" w:w="539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7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Signed loan </w:t>
            </w:r>
          </w:p>
        </w:tc>
        <w:tc>
          <w:tcPr>
            <w:tcW w:type="dxa" w:w="12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Percentage of </w:t>
            </w:r>
          </w:p>
        </w:tc>
      </w:tr>
      <w:tr>
        <w:trPr>
          <w:trHeight w:hRule="exact" w:val="180"/>
        </w:trPr>
        <w:tc>
          <w:tcPr>
            <w:tcW w:type="dxa" w:w="539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3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approved but </w:t>
            </w:r>
          </w:p>
        </w:tc>
        <w:tc>
          <w:tcPr>
            <w:tcW w:type="dxa" w:w="1704"/>
            <w:gridSpan w:val="2"/>
            <w:vMerge/>
            <w:tcBorders/>
          </w:tcPr>
          <w:p/>
        </w:tc>
        <w:tc>
          <w:tcPr>
            <w:tcW w:type="dxa" w:w="1704"/>
            <w:gridSpan w:val="2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23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total loans </w:t>
            </w:r>
          </w:p>
        </w:tc>
      </w:tr>
      <w:tr>
        <w:trPr>
          <w:trHeight w:hRule="exact" w:val="242"/>
        </w:trPr>
        <w:tc>
          <w:tcPr>
            <w:tcW w:type="dxa" w:w="25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Borrower</w:t>
            </w:r>
          </w:p>
        </w:tc>
        <w:tc>
          <w:tcPr>
            <w:tcW w:type="dxa" w:w="15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15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Total loans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a,b</w:t>
            </w:r>
          </w:p>
        </w:tc>
        <w:tc>
          <w:tcPr>
            <w:tcW w:type="dxa" w:w="12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not yet signed</w:t>
            </w:r>
          </w:p>
        </w:tc>
        <w:tc>
          <w:tcPr>
            <w:tcW w:type="dxa" w:w="12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commitment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c</w:t>
            </w:r>
          </w:p>
        </w:tc>
        <w:tc>
          <w:tcPr>
            <w:tcW w:type="dxa" w:w="12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Outstanding</w:t>
            </w:r>
          </w:p>
        </w:tc>
        <w:tc>
          <w:tcPr>
            <w:tcW w:type="dxa" w:w="13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13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outstanding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d</w:t>
            </w:r>
          </w:p>
        </w:tc>
      </w:tr>
      <w:tr>
        <w:trPr>
          <w:trHeight w:hRule="exact" w:val="198"/>
        </w:trPr>
        <w:tc>
          <w:tcPr>
            <w:tcW w:type="dxa" w:w="2570"/>
            <w:gridSpan w:val="2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Albania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778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2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1,409 </w:t>
            </w:r>
          </w:p>
        </w:tc>
        <w:tc>
          <w:tcPr>
            <w:tcW w:type="dxa" w:w="600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0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40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420 </w:t>
            </w:r>
          </w:p>
        </w:tc>
        <w:tc>
          <w:tcPr>
            <w:tcW w:type="dxa" w:w="540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989 </w:t>
            </w:r>
          </w:p>
        </w:tc>
        <w:tc>
          <w:tcPr>
            <w:tcW w:type="dxa" w:w="1360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0.38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</w:tr>
      <w:tr>
        <w:trPr>
          <w:trHeight w:hRule="exact" w:val="240"/>
        </w:trPr>
        <w:tc>
          <w:tcPr>
            <w:tcW w:type="dxa" w:w="257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Angola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6,499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600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1,933 </w:t>
            </w:r>
          </w:p>
        </w:tc>
        <w:tc>
          <w:tcPr>
            <w:tcW w:type="dxa" w:w="12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3,966 </w:t>
            </w:r>
          </w:p>
        </w:tc>
        <w:tc>
          <w:tcPr>
            <w:tcW w:type="dxa" w:w="13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1.51</w:t>
            </w:r>
          </w:p>
        </w:tc>
      </w:tr>
      <w:tr>
        <w:trPr>
          <w:trHeight w:hRule="exact" w:val="220"/>
        </w:trPr>
        <w:tc>
          <w:tcPr>
            <w:tcW w:type="dxa" w:w="257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Antigua and Barbuda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13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220"/>
        </w:trPr>
        <w:tc>
          <w:tcPr>
            <w:tcW w:type="dxa" w:w="257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Argentina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13,887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4,130 </w:t>
            </w:r>
          </w:p>
        </w:tc>
        <w:tc>
          <w:tcPr>
            <w:tcW w:type="dxa" w:w="12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9,757 </w:t>
            </w:r>
          </w:p>
        </w:tc>
        <w:tc>
          <w:tcPr>
            <w:tcW w:type="dxa" w:w="13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3.71</w:t>
            </w:r>
          </w:p>
        </w:tc>
      </w:tr>
      <w:tr>
        <w:trPr>
          <w:trHeight w:hRule="exact" w:val="246"/>
        </w:trPr>
        <w:tc>
          <w:tcPr>
            <w:tcW w:type="dxa" w:w="257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Armenia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1,319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149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190 </w:t>
            </w:r>
          </w:p>
        </w:tc>
        <w:tc>
          <w:tcPr>
            <w:tcW w:type="dxa" w:w="12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980 </w:t>
            </w:r>
          </w:p>
        </w:tc>
        <w:tc>
          <w:tcPr>
            <w:tcW w:type="dxa" w:w="13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0.37</w:t>
            </w:r>
          </w:p>
        </w:tc>
      </w:tr>
      <w:tr>
        <w:trPr>
          <w:trHeight w:hRule="exact" w:val="214"/>
        </w:trPr>
        <w:tc>
          <w:tcPr>
            <w:tcW w:type="dxa" w:w="2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Azerbaijan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1,165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1,112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0.42</w:t>
            </w:r>
          </w:p>
        </w:tc>
      </w:tr>
      <w:tr>
        <w:trPr>
          <w:trHeight w:hRule="exact" w:val="220"/>
        </w:trPr>
        <w:tc>
          <w:tcPr>
            <w:tcW w:type="dxa" w:w="2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Bahamas, The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</w:tr>
      <w:tr>
        <w:trPr>
          <w:trHeight w:hRule="exact" w:val="240"/>
        </w:trPr>
        <w:tc>
          <w:tcPr>
            <w:tcW w:type="dxa" w:w="2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Barbados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220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220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20"/>
        </w:trPr>
        <w:tc>
          <w:tcPr>
            <w:tcW w:type="dxa" w:w="2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Belarus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992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984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0.37</w:t>
            </w:r>
          </w:p>
        </w:tc>
      </w:tr>
      <w:tr>
        <w:trPr>
          <w:trHeight w:hRule="exact" w:val="232"/>
        </w:trPr>
        <w:tc>
          <w:tcPr>
            <w:tcW w:type="dxa" w:w="2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Belize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0.01</w:t>
            </w:r>
          </w:p>
        </w:tc>
      </w:tr>
      <w:tr>
        <w:trPr>
          <w:trHeight w:hRule="exact" w:val="208"/>
        </w:trPr>
        <w:tc>
          <w:tcPr>
            <w:tcW w:type="dxa" w:w="257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Bolivia, Plurinational State of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1,576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733 </w:t>
            </w:r>
          </w:p>
        </w:tc>
        <w:tc>
          <w:tcPr>
            <w:tcW w:type="dxa" w:w="12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843 </w:t>
            </w:r>
          </w:p>
        </w:tc>
        <w:tc>
          <w:tcPr>
            <w:tcW w:type="dxa" w:w="13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0.32</w:t>
            </w:r>
          </w:p>
        </w:tc>
      </w:tr>
      <w:tr>
        <w:trPr>
          <w:trHeight w:hRule="exact" w:val="220"/>
        </w:trPr>
        <w:tc>
          <w:tcPr>
            <w:tcW w:type="dxa" w:w="257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Bosnia and Herzegovina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1,168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387 </w:t>
            </w:r>
          </w:p>
        </w:tc>
        <w:tc>
          <w:tcPr>
            <w:tcW w:type="dxa" w:w="12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756 </w:t>
            </w:r>
          </w:p>
        </w:tc>
        <w:tc>
          <w:tcPr>
            <w:tcW w:type="dxa" w:w="13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0.29</w:t>
            </w:r>
          </w:p>
        </w:tc>
      </w:tr>
      <w:tr>
        <w:trPr>
          <w:trHeight w:hRule="exact" w:val="220"/>
        </w:trPr>
        <w:tc>
          <w:tcPr>
            <w:tcW w:type="dxa" w:w="257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Botswana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719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 </w:t>
            </w:r>
          </w:p>
        </w:tc>
        <w:tc>
          <w:tcPr>
            <w:tcW w:type="dxa" w:w="12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679 </w:t>
            </w:r>
          </w:p>
        </w:tc>
        <w:tc>
          <w:tcPr>
            <w:tcW w:type="dxa" w:w="13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0.26</w:t>
            </w:r>
          </w:p>
        </w:tc>
      </w:tr>
      <w:tr>
        <w:trPr>
          <w:trHeight w:hRule="exact" w:val="240"/>
        </w:trPr>
        <w:tc>
          <w:tcPr>
            <w:tcW w:type="dxa" w:w="257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Brazil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19,089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2,600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1,048 </w:t>
            </w:r>
          </w:p>
        </w:tc>
        <w:tc>
          <w:tcPr>
            <w:tcW w:type="dxa" w:w="12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15,441 </w:t>
            </w:r>
          </w:p>
        </w:tc>
        <w:tc>
          <w:tcPr>
            <w:tcW w:type="dxa" w:w="13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5.87</w:t>
            </w:r>
          </w:p>
        </w:tc>
      </w:tr>
      <w:tr>
        <w:trPr>
          <w:trHeight w:hRule="exact" w:val="238"/>
        </w:trPr>
        <w:tc>
          <w:tcPr>
            <w:tcW w:type="dxa" w:w="257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Bulgaria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327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327 </w:t>
            </w:r>
          </w:p>
        </w:tc>
        <w:tc>
          <w:tcPr>
            <w:tcW w:type="dxa" w:w="13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0.12</w:t>
            </w:r>
          </w:p>
        </w:tc>
      </w:tr>
      <w:tr>
        <w:trPr>
          <w:trHeight w:hRule="exact" w:val="222"/>
        </w:trPr>
        <w:tc>
          <w:tcPr>
            <w:tcW w:type="dxa" w:w="2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Cabo Verde, Republic of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0.01</w:t>
            </w:r>
          </w:p>
        </w:tc>
      </w:tr>
      <w:tr>
        <w:trPr>
          <w:trHeight w:hRule="exact" w:val="200"/>
        </w:trPr>
        <w:tc>
          <w:tcPr>
            <w:tcW w:type="dxa" w:w="2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Cameroon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876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205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140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531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0.20</w:t>
            </w:r>
          </w:p>
        </w:tc>
      </w:tr>
      <w:tr>
        <w:trPr>
          <w:trHeight w:hRule="exact" w:val="240"/>
        </w:trPr>
        <w:tc>
          <w:tcPr>
            <w:tcW w:type="dxa" w:w="2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Chile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750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250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350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150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20"/>
        </w:trPr>
        <w:tc>
          <w:tcPr>
            <w:tcW w:type="dxa" w:w="2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China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20,763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1,640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4,228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14,895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5.66</w:t>
            </w:r>
          </w:p>
        </w:tc>
      </w:tr>
      <w:tr>
        <w:trPr>
          <w:trHeight w:hRule="exact" w:val="242"/>
        </w:trPr>
        <w:tc>
          <w:tcPr>
            <w:tcW w:type="dxa" w:w="2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Colombia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17,171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1,050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455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15,666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5.95</w:t>
            </w:r>
          </w:p>
        </w:tc>
      </w:tr>
      <w:tr>
        <w:trPr>
          <w:trHeight w:hRule="exact" w:val="198"/>
        </w:trPr>
        <w:tc>
          <w:tcPr>
            <w:tcW w:type="dxa" w:w="257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Congo, Republic of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506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185 </w:t>
            </w:r>
          </w:p>
        </w:tc>
        <w:tc>
          <w:tcPr>
            <w:tcW w:type="dxa" w:w="12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222 </w:t>
            </w:r>
          </w:p>
        </w:tc>
        <w:tc>
          <w:tcPr>
            <w:tcW w:type="dxa" w:w="13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40"/>
        </w:trPr>
        <w:tc>
          <w:tcPr>
            <w:tcW w:type="dxa" w:w="257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Costa Rica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2,685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350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804 </w:t>
            </w:r>
          </w:p>
        </w:tc>
        <w:tc>
          <w:tcPr>
            <w:tcW w:type="dxa" w:w="12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1,531 </w:t>
            </w:r>
          </w:p>
        </w:tc>
        <w:tc>
          <w:tcPr>
            <w:tcW w:type="dxa" w:w="13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0.59</w:t>
            </w:r>
          </w:p>
        </w:tc>
      </w:tr>
      <w:tr>
        <w:trPr>
          <w:trHeight w:hRule="exact" w:val="220"/>
        </w:trPr>
        <w:tc>
          <w:tcPr>
            <w:tcW w:type="dxa" w:w="257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Côte d'Ivoire 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168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2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166 </w:t>
            </w:r>
          </w:p>
        </w:tc>
        <w:tc>
          <w:tcPr>
            <w:tcW w:type="dxa" w:w="13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</w:tr>
      <w:tr>
        <w:trPr>
          <w:trHeight w:hRule="exact" w:val="220"/>
        </w:trPr>
        <w:tc>
          <w:tcPr>
            <w:tcW w:type="dxa" w:w="257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Croatia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1,903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517 </w:t>
            </w:r>
          </w:p>
        </w:tc>
        <w:tc>
          <w:tcPr>
            <w:tcW w:type="dxa" w:w="12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1,386 </w:t>
            </w:r>
          </w:p>
        </w:tc>
        <w:tc>
          <w:tcPr>
            <w:tcW w:type="dxa" w:w="13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0.53</w:t>
            </w:r>
          </w:p>
        </w:tc>
      </w:tr>
      <w:tr>
        <w:trPr>
          <w:trHeight w:hRule="exact" w:val="248"/>
        </w:trPr>
        <w:tc>
          <w:tcPr>
            <w:tcW w:type="dxa" w:w="257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Dominican Republic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3,747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400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1,440 </w:t>
            </w:r>
          </w:p>
        </w:tc>
        <w:tc>
          <w:tcPr>
            <w:tcW w:type="dxa" w:w="12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1,907 </w:t>
            </w:r>
          </w:p>
        </w:tc>
        <w:tc>
          <w:tcPr>
            <w:tcW w:type="dxa" w:w="13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0.72</w:t>
            </w:r>
          </w:p>
        </w:tc>
      </w:tr>
      <w:tr>
        <w:trPr>
          <w:trHeight w:hRule="exact" w:val="212"/>
        </w:trPr>
        <w:tc>
          <w:tcPr>
            <w:tcW w:type="dxa" w:w="2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Ecuador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6,316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190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655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5,471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2.08</w:t>
            </w:r>
          </w:p>
        </w:tc>
      </w:tr>
      <w:tr>
        <w:trPr>
          <w:trHeight w:hRule="exact" w:val="220"/>
        </w:trPr>
        <w:tc>
          <w:tcPr>
            <w:tcW w:type="dxa" w:w="2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Egypt, Arab Republic of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15,262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700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2,380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12,182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4.63</w:t>
            </w:r>
          </w:p>
        </w:tc>
      </w:tr>
      <w:tr>
        <w:trPr>
          <w:trHeight w:hRule="exact" w:val="240"/>
        </w:trPr>
        <w:tc>
          <w:tcPr>
            <w:tcW w:type="dxa" w:w="2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El Salvador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1,897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973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924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0.35</w:t>
            </w:r>
          </w:p>
        </w:tc>
      </w:tr>
      <w:tr>
        <w:trPr>
          <w:trHeight w:hRule="exact" w:val="220"/>
        </w:trPr>
        <w:tc>
          <w:tcPr>
            <w:tcW w:type="dxa" w:w="2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Eswatini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274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204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32"/>
        </w:trPr>
        <w:tc>
          <w:tcPr>
            <w:tcW w:type="dxa" w:w="2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Fiji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187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180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</w:tr>
      <w:tr>
        <w:trPr>
          <w:trHeight w:hRule="exact" w:val="208"/>
        </w:trPr>
        <w:tc>
          <w:tcPr>
            <w:tcW w:type="dxa" w:w="257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Gabon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819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190 </w:t>
            </w:r>
          </w:p>
        </w:tc>
        <w:tc>
          <w:tcPr>
            <w:tcW w:type="dxa" w:w="12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629 </w:t>
            </w:r>
          </w:p>
        </w:tc>
        <w:tc>
          <w:tcPr>
            <w:tcW w:type="dxa" w:w="13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0.24</w:t>
            </w:r>
          </w:p>
        </w:tc>
      </w:tr>
      <w:tr>
        <w:trPr>
          <w:trHeight w:hRule="exact" w:val="240"/>
        </w:trPr>
        <w:tc>
          <w:tcPr>
            <w:tcW w:type="dxa" w:w="257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Georgia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2,270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660 </w:t>
            </w:r>
          </w:p>
        </w:tc>
        <w:tc>
          <w:tcPr>
            <w:tcW w:type="dxa" w:w="12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1,610 </w:t>
            </w:r>
          </w:p>
        </w:tc>
        <w:tc>
          <w:tcPr>
            <w:tcW w:type="dxa" w:w="13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0.61</w:t>
            </w:r>
          </w:p>
        </w:tc>
      </w:tr>
      <w:tr>
        <w:trPr>
          <w:trHeight w:hRule="exact" w:val="220"/>
        </w:trPr>
        <w:tc>
          <w:tcPr>
            <w:tcW w:type="dxa" w:w="257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Grenada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2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13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220"/>
        </w:trPr>
        <w:tc>
          <w:tcPr>
            <w:tcW w:type="dxa" w:w="257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Guatemala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2,298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250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 </w:t>
            </w:r>
          </w:p>
        </w:tc>
        <w:tc>
          <w:tcPr>
            <w:tcW w:type="dxa" w:w="12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1,997 </w:t>
            </w:r>
          </w:p>
        </w:tc>
        <w:tc>
          <w:tcPr>
            <w:tcW w:type="dxa" w:w="13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0.76</w:t>
            </w:r>
          </w:p>
        </w:tc>
      </w:tr>
      <w:tr>
        <w:trPr>
          <w:trHeight w:hRule="exact" w:val="238"/>
        </w:trPr>
        <w:tc>
          <w:tcPr>
            <w:tcW w:type="dxa" w:w="257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India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34,698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3,180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8,706 </w:t>
            </w:r>
          </w:p>
        </w:tc>
        <w:tc>
          <w:tcPr>
            <w:tcW w:type="dxa" w:w="12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22,812 </w:t>
            </w:r>
          </w:p>
        </w:tc>
        <w:tc>
          <w:tcPr>
            <w:tcW w:type="dxa" w:w="13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8.67</w:t>
            </w:r>
          </w:p>
        </w:tc>
      </w:tr>
      <w:tr>
        <w:trPr>
          <w:trHeight w:hRule="exact" w:val="222"/>
        </w:trPr>
        <w:tc>
          <w:tcPr>
            <w:tcW w:type="dxa" w:w="2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Indonesia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27,780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6,109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21,671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8.23</w:t>
            </w:r>
          </w:p>
        </w:tc>
      </w:tr>
      <w:tr>
        <w:trPr>
          <w:trHeight w:hRule="exact" w:val="220"/>
        </w:trPr>
        <w:tc>
          <w:tcPr>
            <w:tcW w:type="dxa" w:w="2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Iran, Islamic Republic of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131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131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20"/>
        </w:trPr>
        <w:tc>
          <w:tcPr>
            <w:tcW w:type="dxa" w:w="2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Iraq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3,597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660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2,937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1.12</w:t>
            </w:r>
          </w:p>
        </w:tc>
      </w:tr>
      <w:tr>
        <w:trPr>
          <w:trHeight w:hRule="exact" w:val="220"/>
        </w:trPr>
        <w:tc>
          <w:tcPr>
            <w:tcW w:type="dxa" w:w="2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Jamaica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1,064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975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0.37</w:t>
            </w:r>
          </w:p>
        </w:tc>
      </w:tr>
      <w:tr>
        <w:trPr>
          <w:trHeight w:hRule="exact" w:val="242"/>
        </w:trPr>
        <w:tc>
          <w:tcPr>
            <w:tcW w:type="dxa" w:w="2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Jordan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7,071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693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1,815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4,563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1.73</w:t>
            </w:r>
          </w:p>
        </w:tc>
      </w:tr>
      <w:tr>
        <w:trPr>
          <w:trHeight w:hRule="exact" w:val="218"/>
        </w:trPr>
        <w:tc>
          <w:tcPr>
            <w:tcW w:type="dxa" w:w="257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Kazakhstan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4,241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611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329 </w:t>
            </w:r>
          </w:p>
        </w:tc>
        <w:tc>
          <w:tcPr>
            <w:tcW w:type="dxa" w:w="12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3,301 </w:t>
            </w:r>
          </w:p>
        </w:tc>
        <w:tc>
          <w:tcPr>
            <w:tcW w:type="dxa" w:w="13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1.25</w:t>
            </w:r>
          </w:p>
        </w:tc>
      </w:tr>
      <w:tr>
        <w:trPr>
          <w:trHeight w:hRule="exact" w:val="220"/>
        </w:trPr>
        <w:tc>
          <w:tcPr>
            <w:tcW w:type="dxa" w:w="257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Kenya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2,016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 </w:t>
            </w:r>
          </w:p>
        </w:tc>
        <w:tc>
          <w:tcPr>
            <w:tcW w:type="dxa" w:w="12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1,938 </w:t>
            </w:r>
          </w:p>
        </w:tc>
        <w:tc>
          <w:tcPr>
            <w:tcW w:type="dxa" w:w="13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0.74</w:t>
            </w:r>
          </w:p>
        </w:tc>
      </w:tr>
      <w:tr>
        <w:trPr>
          <w:trHeight w:hRule="exact" w:val="220"/>
        </w:trPr>
        <w:tc>
          <w:tcPr>
            <w:tcW w:type="dxa" w:w="257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Kosovo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 </w:t>
            </w:r>
          </w:p>
        </w:tc>
        <w:tc>
          <w:tcPr>
            <w:tcW w:type="dxa" w:w="13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</w:tr>
      <w:tr>
        <w:trPr>
          <w:trHeight w:hRule="exact" w:val="240"/>
        </w:trPr>
        <w:tc>
          <w:tcPr>
            <w:tcW w:type="dxa" w:w="257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Lebanon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1,608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642 </w:t>
            </w:r>
          </w:p>
        </w:tc>
        <w:tc>
          <w:tcPr>
            <w:tcW w:type="dxa" w:w="12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937 </w:t>
            </w:r>
          </w:p>
        </w:tc>
        <w:tc>
          <w:tcPr>
            <w:tcW w:type="dxa" w:w="13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0.36</w:t>
            </w:r>
          </w:p>
        </w:tc>
      </w:tr>
      <w:tr>
        <w:trPr>
          <w:trHeight w:hRule="exact" w:val="228"/>
        </w:trPr>
        <w:tc>
          <w:tcPr>
            <w:tcW w:type="dxa" w:w="257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Mauritius</w:t>
            </w:r>
          </w:p>
        </w:tc>
        <w:tc>
          <w:tcPr>
            <w:tcW w:type="dxa" w:w="15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287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184 </w:t>
            </w:r>
          </w:p>
        </w:tc>
        <w:tc>
          <w:tcPr>
            <w:tcW w:type="dxa" w:w="12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103 </w:t>
            </w:r>
          </w:p>
        </w:tc>
        <w:tc>
          <w:tcPr>
            <w:tcW w:type="dxa" w:w="13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</w:tr>
      <w:tr>
        <w:trPr>
          <w:trHeight w:hRule="exact" w:val="212"/>
        </w:trPr>
        <w:tc>
          <w:tcPr>
            <w:tcW w:type="dxa" w:w="2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Mexico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16,286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1,000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110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15,176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5.77</w:t>
            </w:r>
          </w:p>
        </w:tc>
      </w:tr>
      <w:tr>
        <w:trPr>
          <w:trHeight w:hRule="exact" w:val="220"/>
        </w:trPr>
        <w:tc>
          <w:tcPr>
            <w:tcW w:type="dxa" w:w="2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Moldova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680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338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252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</w:tr>
      <w:tr>
        <w:trPr>
          <w:trHeight w:hRule="exact" w:val="220"/>
        </w:trPr>
        <w:tc>
          <w:tcPr>
            <w:tcW w:type="dxa" w:w="2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Mongolia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234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194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</w:tr>
      <w:tr>
        <w:trPr>
          <w:trHeight w:hRule="exact" w:val="240"/>
        </w:trPr>
        <w:tc>
          <w:tcPr>
            <w:tcW w:type="dxa" w:w="2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Montenegro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249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59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190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</w:tr>
      <w:tr>
        <w:trPr>
          <w:trHeight w:hRule="exact" w:val="246"/>
        </w:trPr>
        <w:tc>
          <w:tcPr>
            <w:tcW w:type="dxa" w:w="25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Morocco</w:t>
            </w:r>
          </w:p>
        </w:tc>
        <w:tc>
          <w:tcPr>
            <w:tcW w:type="dxa" w:w="15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14,061 </w:t>
            </w:r>
          </w:p>
        </w:tc>
        <w:tc>
          <w:tcPr>
            <w:tcW w:type="dxa" w:w="12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599 </w:t>
            </w:r>
          </w:p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3,199 </w:t>
            </w:r>
          </w:p>
        </w:tc>
        <w:tc>
          <w:tcPr>
            <w:tcW w:type="dxa" w:w="12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10,263 </w:t>
            </w:r>
          </w:p>
        </w:tc>
        <w:tc>
          <w:tcPr>
            <w:tcW w:type="dxa" w:w="13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3.90</w:t>
            </w:r>
          </w:p>
        </w:tc>
      </w:tr>
      <w:tr>
        <w:trPr>
          <w:trHeight w:hRule="exact" w:val="944"/>
        </w:trPr>
        <w:tc>
          <w:tcPr>
            <w:tcW w:type="dxa" w:w="57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84</w:t>
            </w:r>
          </w:p>
        </w:tc>
        <w:tc>
          <w:tcPr>
            <w:tcW w:type="dxa" w:w="4818"/>
            <w:gridSpan w:val="5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2024</w:t>
            </w:r>
          </w:p>
        </w:tc>
        <w:tc>
          <w:tcPr>
            <w:tcW w:type="dxa" w:w="1704"/>
            <w:gridSpan w:val="2"/>
            <w:vMerge/>
            <w:tcBorders/>
          </w:tcPr>
          <w:p/>
        </w:tc>
        <w:tc>
          <w:tcPr>
            <w:tcW w:type="dxa" w:w="1704"/>
            <w:gridSpan w:val="2"/>
            <w:vMerge/>
            <w:tcBorders/>
          </w:tcPr>
          <w:p/>
        </w:tc>
        <w:tc>
          <w:tcPr>
            <w:tcW w:type="dxa" w:w="13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6" w:right="144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60" w:lineRule="exact" w:before="54" w:after="0"/>
        <w:ind w:left="10" w:right="316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SUMMARY STATEMENT OF LOANS (continued) </w:t>
      </w:r>
      <w:r>
        <w:rPr>
          <w:rFonts w:ascii="Arial" w:hAnsi="Arial" w:eastAsia="Arial"/>
          <w:b w:val="0"/>
          <w:i/>
          <w:color w:val="000000"/>
          <w:sz w:val="20"/>
        </w:rPr>
        <w:t>June 30, 2024</w:t>
      </w:r>
    </w:p>
    <w:p>
      <w:pPr>
        <w:autoSpaceDN w:val="0"/>
        <w:autoSpaceDE w:val="0"/>
        <w:widowControl/>
        <w:spacing w:line="202" w:lineRule="exact" w:before="260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74"/>
        <w:gridCol w:w="1874"/>
        <w:gridCol w:w="1874"/>
        <w:gridCol w:w="1874"/>
        <w:gridCol w:w="1874"/>
      </w:tblGrid>
      <w:tr>
        <w:trPr>
          <w:trHeight w:hRule="exact" w:val="240"/>
        </w:trPr>
        <w:tc>
          <w:tcPr>
            <w:tcW w:type="dxa" w:w="4120"/>
            <w:vMerge w:val="restart"/>
            <w:tcBorders>
              <w:top w:sz="8.0" w:val="single" w:color="#000000"/>
              <w:end w:sz="24.0" w:val="single" w:color="#FFFFFF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2060"/>
              <w:gridCol w:w="2060"/>
            </w:tblGrid>
            <w:tr>
              <w:trPr>
                <w:trHeight w:hRule="exact" w:val="254"/>
              </w:trPr>
              <w:tc>
                <w:tcPr>
                  <w:tcW w:type="dxa" w:w="1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80" w:after="0"/>
                    <w:ind w:left="2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>Borrower</w:t>
                  </w:r>
                </w:p>
              </w:tc>
              <w:tc>
                <w:tcPr>
                  <w:tcW w:type="dxa" w:w="2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0" w:after="0"/>
                    <w:ind w:left="0" w:right="54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 xml:space="preserve">Total loans </w:t>
                  </w:r>
                  <w:r>
                    <w:rPr>
                      <w:w w:val="103.99999618530273"/>
                      <w:rFonts w:ascii="Arial" w:hAnsi="Arial" w:eastAsia="Arial"/>
                      <w:b w:val="0"/>
                      <w:i/>
                      <w:color w:val="000000"/>
                      <w:sz w:val="10"/>
                    </w:rPr>
                    <w:t>a,b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0"/>
            <w:gridSpan w:val="2"/>
            <w:tcBorders>
              <w:start w:sz="24.0" w:val="single" w:color="#FFFFFF"/>
              <w:top w:sz="8.0" w:val="single" w:color="#000000"/>
              <w:end w:sz="24.0" w:val="single" w:color="#FFFFFF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Undisbursed balance</w:t>
            </w:r>
          </w:p>
        </w:tc>
        <w:tc>
          <w:tcPr>
            <w:tcW w:type="dxa" w:w="1260"/>
            <w:vMerge w:val="restart"/>
            <w:tcBorders>
              <w:start w:sz="24.0" w:val="single" w:color="#FFFFFF"/>
              <w:top w:sz="8.0" w:val="single" w:color="#000000"/>
              <w:end w:sz="24.0" w:val="single" w:color="#FFFFFF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2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Outstanding</w:t>
            </w:r>
          </w:p>
        </w:tc>
        <w:tc>
          <w:tcPr>
            <w:tcW w:type="dxa" w:w="1390"/>
            <w:vMerge w:val="restart"/>
            <w:tcBorders>
              <w:start w:sz="24.0" w:val="single" w:color="#FFFFFF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70" w:after="0"/>
              <w:ind w:left="0" w:right="144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Percentage of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total loans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outstanding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d</w:t>
            </w:r>
          </w:p>
        </w:tc>
      </w:tr>
      <w:tr>
        <w:trPr>
          <w:trHeight w:hRule="exact" w:val="644"/>
        </w:trPr>
        <w:tc>
          <w:tcPr>
            <w:tcW w:type="dxa" w:w="1874"/>
            <w:vMerge/>
            <w:tcBorders>
              <w:top w:sz="8.0" w:val="single" w:color="#000000"/>
              <w:end w:sz="24.0" w:val="single" w:color="#FFFFFF"/>
              <w:bottom w:sz="8.0" w:val="single" w:color="#000000"/>
            </w:tcBorders>
          </w:tcPr>
          <w:p/>
        </w:tc>
        <w:tc>
          <w:tcPr>
            <w:tcW w:type="dxa" w:w="1260"/>
            <w:tcBorders>
              <w:start w:sz="24.0" w:val="single" w:color="#FFFFFF"/>
              <w:top w:sz="8.0" w:val="single" w:color="#000000"/>
              <w:end w:sz="24.0" w:val="single" w:color="#FFFFFF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approved but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not yet signed</w:t>
            </w:r>
          </w:p>
        </w:tc>
        <w:tc>
          <w:tcPr>
            <w:tcW w:type="dxa" w:w="1260"/>
            <w:tcBorders>
              <w:start w:sz="24.0" w:val="single" w:color="#FFFFFF"/>
              <w:top w:sz="8.0" w:val="single" w:color="#000000"/>
              <w:end w:sz="24.0" w:val="single" w:color="#FFFFFF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Signed loan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commitment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c</w:t>
            </w:r>
          </w:p>
        </w:tc>
        <w:tc>
          <w:tcPr>
            <w:tcW w:type="dxa" w:w="1874"/>
            <w:vMerge/>
            <w:tcBorders>
              <w:start w:sz="24.0" w:val="single" w:color="#FFFFFF"/>
              <w:top w:sz="8.0" w:val="single" w:color="#000000"/>
              <w:end w:sz="24.0" w:val="single" w:color="#FFFFFF"/>
              <w:bottom w:sz="8.0" w:val="single" w:color="#000000"/>
            </w:tcBorders>
          </w:tcPr>
          <w:p/>
        </w:tc>
        <w:tc>
          <w:tcPr>
            <w:tcW w:type="dxa" w:w="1874"/>
            <w:vMerge/>
            <w:tcBorders>
              <w:start w:sz="24.0" w:val="single" w:color="#FFFFFF"/>
              <w:top w:sz="8.0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</w:tblGrid>
      <w:tr>
        <w:trPr>
          <w:trHeight w:hRule="exact" w:val="218"/>
        </w:trPr>
        <w:tc>
          <w:tcPr>
            <w:tcW w:type="dxa" w:w="28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Namibia</w:t>
            </w:r>
          </w:p>
        </w:tc>
        <w:tc>
          <w:tcPr>
            <w:tcW w:type="dxa" w:w="37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 </w:t>
            </w:r>
          </w:p>
        </w:tc>
        <w:tc>
          <w:tcPr>
            <w:tcW w:type="dxa" w:w="45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 </w:t>
            </w:r>
          </w:p>
        </w:tc>
        <w:tc>
          <w:tcPr>
            <w:tcW w:type="dxa" w:w="45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7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484 </w:t>
            </w:r>
          </w:p>
        </w:tc>
        <w:tc>
          <w:tcPr>
            <w:tcW w:type="dxa" w:w="14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</w:tr>
      <w:tr>
        <w:trPr>
          <w:trHeight w:hRule="exact" w:val="240"/>
        </w:trPr>
        <w:tc>
          <w:tcPr>
            <w:tcW w:type="dxa" w:w="28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Nigeria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2,931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2,447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937"/>
            <w:vMerge/>
            <w:tcBorders/>
          </w:tcPr>
          <w:p/>
        </w:tc>
        <w:tc>
          <w:tcPr>
            <w:tcW w:type="dxa" w:w="14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0.18</w:t>
            </w:r>
          </w:p>
        </w:tc>
      </w:tr>
      <w:tr>
        <w:trPr>
          <w:trHeight w:hRule="exact" w:val="240"/>
        </w:trPr>
        <w:tc>
          <w:tcPr>
            <w:tcW w:type="dxa" w:w="28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North Macedonia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942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243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699 </w:t>
            </w:r>
          </w:p>
        </w:tc>
        <w:tc>
          <w:tcPr>
            <w:tcW w:type="dxa" w:w="14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0.27</w:t>
            </w:r>
          </w:p>
        </w:tc>
      </w:tr>
      <w:tr>
        <w:trPr>
          <w:trHeight w:hRule="exact" w:val="240"/>
        </w:trPr>
        <w:tc>
          <w:tcPr>
            <w:tcW w:type="dxa" w:w="28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Pakistan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5,121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200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2,357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2,564 </w:t>
            </w:r>
          </w:p>
        </w:tc>
        <w:tc>
          <w:tcPr>
            <w:tcW w:type="dxa" w:w="14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0.97</w:t>
            </w:r>
          </w:p>
        </w:tc>
      </w:tr>
      <w:tr>
        <w:trPr>
          <w:trHeight w:hRule="exact" w:val="262"/>
        </w:trPr>
        <w:tc>
          <w:tcPr>
            <w:tcW w:type="dxa" w:w="28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Panama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2,240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206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2,034 </w:t>
            </w:r>
          </w:p>
        </w:tc>
        <w:tc>
          <w:tcPr>
            <w:tcW w:type="dxa" w:w="14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0.77</w:t>
            </w:r>
          </w:p>
        </w:tc>
      </w:tr>
      <w:tr>
        <w:trPr>
          <w:trHeight w:hRule="exact" w:val="238"/>
        </w:trPr>
        <w:tc>
          <w:tcPr>
            <w:tcW w:type="dxa" w:w="2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Papua New Guinea</w:t>
            </w:r>
          </w:p>
        </w:tc>
        <w:tc>
          <w:tcPr>
            <w:tcW w:type="dxa" w:w="3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 </w:t>
            </w:r>
          </w:p>
        </w:tc>
        <w:tc>
          <w:tcPr>
            <w:tcW w:type="dxa" w:w="4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77 </w:t>
            </w:r>
          </w:p>
        </w:tc>
        <w:tc>
          <w:tcPr>
            <w:tcW w:type="dxa" w:w="4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240"/>
        </w:trPr>
        <w:tc>
          <w:tcPr>
            <w:tcW w:type="dxa" w:w="2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Paraguay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1,490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125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233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1,132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0.43</w:t>
            </w:r>
          </w:p>
        </w:tc>
      </w:tr>
      <w:tr>
        <w:trPr>
          <w:trHeight w:hRule="exact" w:val="240"/>
        </w:trPr>
        <w:tc>
          <w:tcPr>
            <w:tcW w:type="dxa" w:w="2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Peru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6,414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507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5,907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2.24</w:t>
            </w:r>
          </w:p>
        </w:tc>
      </w:tr>
      <w:tr>
        <w:trPr>
          <w:trHeight w:hRule="exact" w:val="240"/>
        </w:trPr>
        <w:tc>
          <w:tcPr>
            <w:tcW w:type="dxa" w:w="2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Philippines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16,949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1,248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2,596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13,105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4.98</w:t>
            </w:r>
          </w:p>
        </w:tc>
      </w:tr>
      <w:tr>
        <w:trPr>
          <w:trHeight w:hRule="exact" w:val="242"/>
        </w:trPr>
        <w:tc>
          <w:tcPr>
            <w:tcW w:type="dxa" w:w="2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Poland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5,832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268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5,564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2.11</w:t>
            </w:r>
          </w:p>
        </w:tc>
      </w:tr>
      <w:tr>
        <w:trPr>
          <w:trHeight w:hRule="exact" w:val="218"/>
        </w:trPr>
        <w:tc>
          <w:tcPr>
            <w:tcW w:type="dxa" w:w="28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Romania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37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6,336 </w:t>
            </w:r>
          </w:p>
        </w:tc>
        <w:tc>
          <w:tcPr>
            <w:tcW w:type="dxa" w:w="45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5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1,357 </w:t>
            </w:r>
          </w:p>
        </w:tc>
        <w:tc>
          <w:tcPr>
            <w:tcW w:type="dxa" w:w="41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4,979 </w:t>
            </w:r>
          </w:p>
        </w:tc>
        <w:tc>
          <w:tcPr>
            <w:tcW w:type="dxa" w:w="14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1.89</w:t>
            </w:r>
          </w:p>
        </w:tc>
      </w:tr>
      <w:tr>
        <w:trPr>
          <w:trHeight w:hRule="exact" w:val="260"/>
        </w:trPr>
        <w:tc>
          <w:tcPr>
            <w:tcW w:type="dxa" w:w="28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Serbia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3,020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527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2,417 </w:t>
            </w:r>
          </w:p>
        </w:tc>
        <w:tc>
          <w:tcPr>
            <w:tcW w:type="dxa" w:w="14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0.92</w:t>
            </w:r>
          </w:p>
        </w:tc>
      </w:tr>
      <w:tr>
        <w:trPr>
          <w:trHeight w:hRule="exact" w:val="220"/>
        </w:trPr>
        <w:tc>
          <w:tcPr>
            <w:tcW w:type="dxa" w:w="28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Seychelles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186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165 </w:t>
            </w:r>
          </w:p>
        </w:tc>
        <w:tc>
          <w:tcPr>
            <w:tcW w:type="dxa" w:w="14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60"/>
        </w:trPr>
        <w:tc>
          <w:tcPr>
            <w:tcW w:type="dxa" w:w="28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South Africa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3,974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441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3,533 </w:t>
            </w:r>
          </w:p>
        </w:tc>
        <w:tc>
          <w:tcPr>
            <w:tcW w:type="dxa" w:w="14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1.34</w:t>
            </w:r>
          </w:p>
        </w:tc>
      </w:tr>
      <w:tr>
        <w:trPr>
          <w:trHeight w:hRule="exact" w:val="242"/>
        </w:trPr>
        <w:tc>
          <w:tcPr>
            <w:tcW w:type="dxa" w:w="28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Sri Lanka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1,282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243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1,039 </w:t>
            </w:r>
          </w:p>
        </w:tc>
        <w:tc>
          <w:tcPr>
            <w:tcW w:type="dxa" w:w="14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0.39</w:t>
            </w:r>
          </w:p>
        </w:tc>
      </w:tr>
      <w:tr>
        <w:trPr>
          <w:trHeight w:hRule="exact" w:val="238"/>
        </w:trPr>
        <w:tc>
          <w:tcPr>
            <w:tcW w:type="dxa" w:w="2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St. Lucia</w:t>
            </w:r>
          </w:p>
        </w:tc>
        <w:tc>
          <w:tcPr>
            <w:tcW w:type="dxa" w:w="3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240"/>
        </w:trPr>
        <w:tc>
          <w:tcPr>
            <w:tcW w:type="dxa" w:w="2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Suriname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0.01</w:t>
            </w:r>
          </w:p>
        </w:tc>
      </w:tr>
      <w:tr>
        <w:trPr>
          <w:trHeight w:hRule="exact" w:val="240"/>
        </w:trPr>
        <w:tc>
          <w:tcPr>
            <w:tcW w:type="dxa" w:w="2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Thailand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541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541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0.21</w:t>
            </w:r>
          </w:p>
        </w:tc>
      </w:tr>
      <w:tr>
        <w:trPr>
          <w:trHeight w:hRule="exact" w:val="220"/>
        </w:trPr>
        <w:tc>
          <w:tcPr>
            <w:tcW w:type="dxa" w:w="2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Timor-Leste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</w:tr>
      <w:tr>
        <w:trPr>
          <w:trHeight w:hRule="exact" w:val="262"/>
        </w:trPr>
        <w:tc>
          <w:tcPr>
            <w:tcW w:type="dxa" w:w="2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Trinidad and Tobago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0.01</w:t>
            </w:r>
          </w:p>
        </w:tc>
      </w:tr>
      <w:tr>
        <w:trPr>
          <w:trHeight w:hRule="exact" w:val="218"/>
        </w:trPr>
        <w:tc>
          <w:tcPr>
            <w:tcW w:type="dxa" w:w="28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Tunisia </w:t>
            </w:r>
          </w:p>
        </w:tc>
        <w:tc>
          <w:tcPr>
            <w:tcW w:type="dxa" w:w="37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5,743 </w:t>
            </w:r>
          </w:p>
        </w:tc>
        <w:tc>
          <w:tcPr>
            <w:tcW w:type="dxa" w:w="45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5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1,456 </w:t>
            </w:r>
          </w:p>
        </w:tc>
        <w:tc>
          <w:tcPr>
            <w:tcW w:type="dxa" w:w="41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4,287 </w:t>
            </w:r>
          </w:p>
        </w:tc>
        <w:tc>
          <w:tcPr>
            <w:tcW w:type="dxa" w:w="14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1.63</w:t>
            </w:r>
          </w:p>
        </w:tc>
      </w:tr>
      <w:tr>
        <w:trPr>
          <w:trHeight w:hRule="exact" w:val="260"/>
        </w:trPr>
        <w:tc>
          <w:tcPr>
            <w:tcW w:type="dxa" w:w="28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Türkiye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21,098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1,294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7,918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11,886 </w:t>
            </w:r>
          </w:p>
        </w:tc>
        <w:tc>
          <w:tcPr>
            <w:tcW w:type="dxa" w:w="14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4.52</w:t>
            </w:r>
          </w:p>
        </w:tc>
      </w:tr>
      <w:tr>
        <w:trPr>
          <w:trHeight w:hRule="exact" w:val="240"/>
        </w:trPr>
        <w:tc>
          <w:tcPr>
            <w:tcW w:type="dxa" w:w="28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Turkmenistan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  <w:tc>
          <w:tcPr>
            <w:tcW w:type="dxa" w:w="14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0.01</w:t>
            </w:r>
          </w:p>
        </w:tc>
      </w:tr>
      <w:tr>
        <w:trPr>
          <w:trHeight w:hRule="exact" w:val="240"/>
        </w:trPr>
        <w:tc>
          <w:tcPr>
            <w:tcW w:type="dxa" w:w="28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Ukraine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14,856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640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14,216 </w:t>
            </w:r>
          </w:p>
        </w:tc>
        <w:tc>
          <w:tcPr>
            <w:tcW w:type="dxa" w:w="14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5.40</w:t>
            </w:r>
          </w:p>
        </w:tc>
      </w:tr>
      <w:tr>
        <w:trPr>
          <w:trHeight w:hRule="exact" w:val="242"/>
        </w:trPr>
        <w:tc>
          <w:tcPr>
            <w:tcW w:type="dxa" w:w="287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Uruguay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1,670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 </w:t>
            </w:r>
          </w:p>
        </w:tc>
        <w:tc>
          <w:tcPr>
            <w:tcW w:type="dxa" w:w="937"/>
            <w:vMerge/>
            <w:tcBorders/>
          </w:tcPr>
          <w:p/>
        </w:tc>
        <w:tc>
          <w:tcPr>
            <w:tcW w:type="dxa" w:w="85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1,600 </w:t>
            </w:r>
          </w:p>
        </w:tc>
        <w:tc>
          <w:tcPr>
            <w:tcW w:type="dxa" w:w="14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0.61</w:t>
            </w:r>
          </w:p>
        </w:tc>
      </w:tr>
      <w:tr>
        <w:trPr>
          <w:trHeight w:hRule="exact" w:val="238"/>
        </w:trPr>
        <w:tc>
          <w:tcPr>
            <w:tcW w:type="dxa" w:w="2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Uzbekistan </w:t>
            </w:r>
          </w:p>
        </w:tc>
        <w:tc>
          <w:tcPr>
            <w:tcW w:type="dxa" w:w="3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3,485 </w:t>
            </w:r>
          </w:p>
        </w:tc>
        <w:tc>
          <w:tcPr>
            <w:tcW w:type="dxa" w:w="4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408 </w:t>
            </w:r>
          </w:p>
        </w:tc>
        <w:tc>
          <w:tcPr>
            <w:tcW w:type="dxa" w:w="4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3,077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1.17</w:t>
            </w:r>
          </w:p>
        </w:tc>
      </w:tr>
      <w:tr>
        <w:trPr>
          <w:trHeight w:hRule="exact" w:val="240"/>
        </w:trPr>
        <w:tc>
          <w:tcPr>
            <w:tcW w:type="dxa" w:w="2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Viet Nam </w:t>
            </w:r>
          </w:p>
        </w:tc>
        <w:tc>
          <w:tcPr>
            <w:tcW w:type="dxa" w:w="937"/>
            <w:vMerge/>
            <w:tcBorders>
              <w:bottom w:sz="8.0" w:val="single" w:color="#000000"/>
            </w:tcBorders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2,842 </w:t>
            </w:r>
          </w:p>
        </w:tc>
        <w:tc>
          <w:tcPr>
            <w:tcW w:type="dxa" w:w="937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360 </w:t>
            </w:r>
          </w:p>
        </w:tc>
        <w:tc>
          <w:tcPr>
            <w:tcW w:type="dxa" w:w="937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308 </w:t>
            </w:r>
          </w:p>
        </w:tc>
        <w:tc>
          <w:tcPr>
            <w:tcW w:type="dxa" w:w="937"/>
            <w:vMerge/>
            <w:tcBorders>
              <w:bottom w:sz="8.0" w:val="single" w:color="#000000"/>
            </w:tcBorders>
          </w:tcPr>
          <w:p/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2,174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0.83</w:t>
            </w:r>
          </w:p>
        </w:tc>
      </w:tr>
      <w:tr>
        <w:trPr>
          <w:trHeight w:hRule="exact" w:val="240"/>
        </w:trPr>
        <w:tc>
          <w:tcPr>
            <w:tcW w:type="dxa" w:w="28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Zimbabwe </w:t>
            </w:r>
          </w:p>
        </w:tc>
        <w:tc>
          <w:tcPr>
            <w:tcW w:type="dxa" w:w="937"/>
            <w:vMerge/>
            <w:tcBorders>
              <w:bottom w:sz="8.0" w:val="single" w:color="#000000"/>
            </w:tcBorders>
          </w:tcPr>
          <w:p/>
        </w:tc>
        <w:tc>
          <w:tcPr>
            <w:tcW w:type="dxa" w:w="8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426 </w:t>
            </w:r>
          </w:p>
        </w:tc>
        <w:tc>
          <w:tcPr>
            <w:tcW w:type="dxa" w:w="937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7"/>
            <w:vMerge/>
            <w:tcBorders>
              <w:bottom w:sz="8.0" w:val="single" w:color="#000000"/>
            </w:tcBorders>
          </w:tcPr>
          <w:p/>
        </w:tc>
        <w:tc>
          <w:tcPr>
            <w:tcW w:type="dxa" w:w="8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426 </w:t>
            </w:r>
          </w:p>
        </w:tc>
        <w:tc>
          <w:tcPr>
            <w:tcW w:type="dxa" w:w="14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0.16</w:t>
            </w:r>
          </w:p>
        </w:tc>
      </w:tr>
      <w:tr>
        <w:trPr>
          <w:trHeight w:hRule="exact" w:val="220"/>
        </w:trPr>
        <w:tc>
          <w:tcPr>
            <w:tcW w:type="dxa" w:w="28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Total-June 30, 2024</w:t>
            </w:r>
          </w:p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348,248 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18,297 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66,761 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263,190 </w:t>
            </w:r>
          </w:p>
        </w:tc>
        <w:tc>
          <w:tcPr>
            <w:tcW w:type="dxa" w:w="1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</w:tr>
      <w:tr>
        <w:trPr>
          <w:trHeight w:hRule="exact" w:val="406"/>
        </w:trPr>
        <w:tc>
          <w:tcPr>
            <w:tcW w:type="dxa" w:w="28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Total-June 30, 2023</w:t>
            </w:r>
          </w:p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8" w:after="0"/>
              <w:ind w:left="1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329,008 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8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25,762 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8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59,350 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8" w:after="0"/>
              <w:ind w:left="1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243,896 </w:t>
            </w:r>
          </w:p>
        </w:tc>
        <w:tc>
          <w:tcPr>
            <w:tcW w:type="dxa" w:w="1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"/>
        </w:trPr>
        <w:tc>
          <w:tcPr>
            <w:tcW w:type="dxa" w:w="28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0" w:lineRule="exact" w:before="220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d. May differ from the calculated figures or sum of individual figures shown due to rounding.</w:t>
      </w:r>
    </w:p>
    <w:p>
      <w:pPr>
        <w:autoSpaceDN w:val="0"/>
        <w:tabs>
          <w:tab w:pos="242" w:val="left"/>
        </w:tabs>
        <w:autoSpaceDE w:val="0"/>
        <w:widowControl/>
        <w:spacing w:line="330" w:lineRule="exact" w:before="0" w:after="0"/>
        <w:ind w:left="62" w:right="144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* Indicates amount less than $0.5 million or 0.005%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disbursements do not start until the borrowers and/or guarantors take certain actions and furnish documents.</w:t>
      </w:r>
    </w:p>
    <w:p>
      <w:pPr>
        <w:autoSpaceDN w:val="0"/>
        <w:autoSpaceDE w:val="0"/>
        <w:widowControl/>
        <w:spacing w:line="200" w:lineRule="exact" w:before="218" w:after="0"/>
        <w:ind w:left="0" w:right="0" w:firstLine="0"/>
        <w:jc w:val="center"/>
      </w:pPr>
      <w:r>
        <w:rPr>
          <w:rFonts w:ascii="Arial" w:hAnsi="Arial" w:eastAsia="Arial"/>
          <w:b/>
          <w:i/>
          <w:color w:val="000000"/>
          <w:sz w:val="18"/>
        </w:rPr>
        <w:t>The Notes to Financial Statements are an integral part of these Statements.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40.0" w:type="dxa"/>
      </w:tblPr>
      <w:tblGrid>
        <w:gridCol w:w="4685"/>
        <w:gridCol w:w="4685"/>
      </w:tblGrid>
      <w:tr>
        <w:trPr>
          <w:trHeight w:hRule="exact" w:val="5490"/>
        </w:trPr>
        <w:tc>
          <w:tcPr>
            <w:tcW w:type="dxa" w:w="46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56" w:after="0"/>
              <w:ind w:left="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2024</w:t>
            </w:r>
          </w:p>
        </w:tc>
        <w:tc>
          <w:tcPr>
            <w:tcW w:type="dxa" w:w="5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256" w:after="0"/>
              <w:ind w:left="0" w:right="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85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206" w:lineRule="exact" w:before="0" w:after="0"/>
        <w:ind w:left="62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Notes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 xml:space="preserve">a. Indicates a country for which a guarantee is provided under an Exposure Exchange Agreement (EEA) with a multilateral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development organization (see Note D—Loans and Other Exposures). The amount of the guarantees is not included in the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figures in the Statement above.</w:t>
      </w:r>
    </w:p>
    <w:p>
      <w:pPr>
        <w:autoSpaceDN w:val="0"/>
        <w:autoSpaceDE w:val="0"/>
        <w:widowControl/>
        <w:spacing w:line="192" w:lineRule="exact" w:before="68" w:after="0"/>
        <w:ind w:left="242" w:right="144" w:hanging="18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Indicates a country for which a guarantee has been received, under an EEA with a multilateral development organization or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from another guarantee provider (see Note D—Loans and Other Exposures). The effect of the guarantee is not included in the </w:t>
      </w:r>
      <w:r>
        <w:rPr>
          <w:rFonts w:ascii="Arial" w:hAnsi="Arial" w:eastAsia="Arial"/>
          <w:b w:val="0"/>
          <w:i/>
          <w:color w:val="000000"/>
          <w:sz w:val="16"/>
        </w:rPr>
        <w:t>figures in the Statement above.</w:t>
      </w:r>
    </w:p>
    <w:p>
      <w:pPr>
        <w:autoSpaceDN w:val="0"/>
        <w:autoSpaceDE w:val="0"/>
        <w:widowControl/>
        <w:spacing w:line="180" w:lineRule="exact" w:before="6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c. Loan agreements totaling $7,624 million ($8,427 million—June 30, 2023) have been signed, but the loans are not effective and </w:t>
      </w:r>
    </w:p>
    <w:p>
      <w:pPr>
        <w:sectPr>
          <w:pgSz w:w="12240" w:h="15840"/>
          <w:pgMar w:top="516" w:right="144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98" w:lineRule="exact" w:before="16" w:after="0"/>
        <w:ind w:left="10" w:right="43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STATEMENT OF SUBSCRIPTIONS TO 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CAPITAL STOCK AND VOTING POWER </w:t>
      </w:r>
      <w:r>
        <w:rPr>
          <w:rFonts w:ascii="Arial" w:hAnsi="Arial" w:eastAsia="Arial"/>
          <w:b w:val="0"/>
          <w:i/>
          <w:color w:val="000000"/>
          <w:sz w:val="20"/>
        </w:rPr>
        <w:t>June 30, 2024</w:t>
      </w:r>
    </w:p>
    <w:p>
      <w:pPr>
        <w:autoSpaceDN w:val="0"/>
        <w:autoSpaceDE w:val="0"/>
        <w:widowControl/>
        <w:spacing w:line="202" w:lineRule="exact" w:before="260" w:after="36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3"/>
        <w:gridCol w:w="4723"/>
      </w:tblGrid>
      <w:tr>
        <w:trPr>
          <w:trHeight w:hRule="exact" w:val="226"/>
        </w:trPr>
        <w:tc>
          <w:tcPr>
            <w:tcW w:type="dxa" w:w="717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85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Subscriptions</w:t>
            </w:r>
          </w:p>
        </w:tc>
        <w:tc>
          <w:tcPr>
            <w:tcW w:type="dxa" w:w="2252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Voting Power</w:t>
            </w:r>
          </w:p>
        </w:tc>
      </w:tr>
    </w:tbl>
    <w:p>
      <w:pPr>
        <w:autoSpaceDN w:val="0"/>
        <w:autoSpaceDE w:val="0"/>
        <w:widowControl/>
        <w:spacing w:line="178" w:lineRule="exact" w:before="42" w:after="8"/>
        <w:ind w:left="0" w:right="240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Amounts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27"/>
        <w:gridCol w:w="727"/>
        <w:gridCol w:w="727"/>
        <w:gridCol w:w="727"/>
        <w:gridCol w:w="727"/>
        <w:gridCol w:w="727"/>
        <w:gridCol w:w="727"/>
        <w:gridCol w:w="727"/>
        <w:gridCol w:w="727"/>
        <w:gridCol w:w="727"/>
        <w:gridCol w:w="727"/>
        <w:gridCol w:w="727"/>
        <w:gridCol w:w="727"/>
      </w:tblGrid>
      <w:tr>
        <w:trPr>
          <w:trHeight w:hRule="exact" w:val="168"/>
        </w:trPr>
        <w:tc>
          <w:tcPr>
            <w:tcW w:type="dxa" w:w="339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Number of </w:t>
            </w:r>
          </w:p>
        </w:tc>
        <w:tc>
          <w:tcPr>
            <w:tcW w:type="dxa" w:w="112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Percentage </w:t>
            </w:r>
          </w:p>
        </w:tc>
        <w:tc>
          <w:tcPr>
            <w:tcW w:type="dxa" w:w="85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Total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Amounts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subject to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Number of </w:t>
            </w:r>
          </w:p>
        </w:tc>
        <w:tc>
          <w:tcPr>
            <w:tcW w:type="dxa" w:w="1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Percentage </w:t>
            </w:r>
          </w:p>
        </w:tc>
      </w:tr>
      <w:tr>
        <w:trPr>
          <w:trHeight w:hRule="exact" w:val="238"/>
        </w:trPr>
        <w:tc>
          <w:tcPr>
            <w:tcW w:type="dxa" w:w="2470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Member</w:t>
            </w:r>
          </w:p>
        </w:tc>
        <w:tc>
          <w:tcPr>
            <w:tcW w:type="dxa" w:w="92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shares</w:t>
            </w:r>
          </w:p>
        </w:tc>
        <w:tc>
          <w:tcPr>
            <w:tcW w:type="dxa" w:w="88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of total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100"/>
            <w:gridSpan w:val="3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0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amounts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980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paid in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a,b</w:t>
            </w:r>
          </w:p>
        </w:tc>
        <w:tc>
          <w:tcPr>
            <w:tcW w:type="dxa" w:w="940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call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a, b</w:t>
            </w:r>
          </w:p>
        </w:tc>
        <w:tc>
          <w:tcPr>
            <w:tcW w:type="dxa" w:w="104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votes</w:t>
            </w:r>
          </w:p>
        </w:tc>
        <w:tc>
          <w:tcPr>
            <w:tcW w:type="dxa" w:w="109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8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of total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</w:tr>
      <w:tr>
        <w:trPr>
          <w:trHeight w:hRule="exact" w:val="202"/>
        </w:trPr>
        <w:tc>
          <w:tcPr>
            <w:tcW w:type="dxa" w:w="2470"/>
            <w:gridSpan w:val="2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Afghanistan</w:t>
            </w:r>
          </w:p>
        </w:tc>
        <w:tc>
          <w:tcPr>
            <w:tcW w:type="dxa" w:w="920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506</w:t>
            </w:r>
          </w:p>
        </w:tc>
        <w:tc>
          <w:tcPr>
            <w:tcW w:type="dxa" w:w="1422"/>
            <w:gridSpan w:val="3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8"/>
            <w:gridSpan w:val="2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61.0 $ </w:t>
            </w:r>
          </w:p>
        </w:tc>
        <w:tc>
          <w:tcPr>
            <w:tcW w:type="dxa" w:w="872"/>
            <w:gridSpan w:val="2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5.1 $ </w:t>
            </w:r>
          </w:p>
        </w:tc>
        <w:tc>
          <w:tcPr>
            <w:tcW w:type="dxa" w:w="708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55.9 </w:t>
            </w:r>
          </w:p>
        </w:tc>
        <w:tc>
          <w:tcPr>
            <w:tcW w:type="dxa" w:w="1040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1,339</w:t>
            </w:r>
          </w:p>
        </w:tc>
        <w:tc>
          <w:tcPr>
            <w:tcW w:type="dxa" w:w="1096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</w:tr>
      <w:tr>
        <w:trPr>
          <w:trHeight w:hRule="exact" w:val="240"/>
        </w:trPr>
        <w:tc>
          <w:tcPr>
            <w:tcW w:type="dxa" w:w="247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Albania</w:t>
            </w:r>
          </w:p>
        </w:tc>
        <w:tc>
          <w:tcPr>
            <w:tcW w:type="dxa" w:w="92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1,355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  <w:tc>
          <w:tcPr>
            <w:tcW w:type="dxa" w:w="110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163.5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8.5 </w:t>
            </w:r>
          </w:p>
        </w:tc>
        <w:tc>
          <w:tcPr>
            <w:tcW w:type="dxa" w:w="94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154.9 </w:t>
            </w:r>
          </w:p>
        </w:tc>
        <w:tc>
          <w:tcPr>
            <w:tcW w:type="dxa" w:w="10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2,188</w:t>
            </w:r>
          </w:p>
        </w:tc>
        <w:tc>
          <w:tcPr>
            <w:tcW w:type="dxa" w:w="109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20"/>
        </w:trPr>
        <w:tc>
          <w:tcPr>
            <w:tcW w:type="dxa" w:w="247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Algeria</w:t>
            </w:r>
          </w:p>
        </w:tc>
        <w:tc>
          <w:tcPr>
            <w:tcW w:type="dxa" w:w="92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13,689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0.51</w:t>
            </w:r>
          </w:p>
        </w:tc>
        <w:tc>
          <w:tcPr>
            <w:tcW w:type="dxa" w:w="110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1,651.4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118.4 </w:t>
            </w:r>
          </w:p>
        </w:tc>
        <w:tc>
          <w:tcPr>
            <w:tcW w:type="dxa" w:w="94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1,533.0 </w:t>
            </w:r>
          </w:p>
        </w:tc>
        <w:tc>
          <w:tcPr>
            <w:tcW w:type="dxa" w:w="10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14,522</w:t>
            </w:r>
          </w:p>
        </w:tc>
        <w:tc>
          <w:tcPr>
            <w:tcW w:type="dxa" w:w="109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0.51</w:t>
            </w:r>
          </w:p>
        </w:tc>
      </w:tr>
      <w:tr>
        <w:trPr>
          <w:trHeight w:hRule="exact" w:val="220"/>
        </w:trPr>
        <w:tc>
          <w:tcPr>
            <w:tcW w:type="dxa" w:w="247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Angola</w:t>
            </w:r>
          </w:p>
        </w:tc>
        <w:tc>
          <w:tcPr>
            <w:tcW w:type="dxa" w:w="92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4,068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0.15</w:t>
            </w:r>
          </w:p>
        </w:tc>
        <w:tc>
          <w:tcPr>
            <w:tcW w:type="dxa" w:w="110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490.7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28.8 </w:t>
            </w:r>
          </w:p>
        </w:tc>
        <w:tc>
          <w:tcPr>
            <w:tcW w:type="dxa" w:w="94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461.9 </w:t>
            </w:r>
          </w:p>
        </w:tc>
        <w:tc>
          <w:tcPr>
            <w:tcW w:type="dxa" w:w="10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4,901</w:t>
            </w:r>
          </w:p>
        </w:tc>
        <w:tc>
          <w:tcPr>
            <w:tcW w:type="dxa" w:w="109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0.17</w:t>
            </w:r>
          </w:p>
        </w:tc>
      </w:tr>
      <w:tr>
        <w:trPr>
          <w:trHeight w:hRule="exact" w:val="244"/>
        </w:trPr>
        <w:tc>
          <w:tcPr>
            <w:tcW w:type="dxa" w:w="247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Antigua and Barbuda</w:t>
            </w:r>
          </w:p>
        </w:tc>
        <w:tc>
          <w:tcPr>
            <w:tcW w:type="dxa" w:w="92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659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10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79.5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2.3 </w:t>
            </w:r>
          </w:p>
        </w:tc>
        <w:tc>
          <w:tcPr>
            <w:tcW w:type="dxa" w:w="94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77.2 </w:t>
            </w:r>
          </w:p>
        </w:tc>
        <w:tc>
          <w:tcPr>
            <w:tcW w:type="dxa" w:w="10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1,492</w:t>
            </w:r>
          </w:p>
        </w:tc>
        <w:tc>
          <w:tcPr>
            <w:tcW w:type="dxa" w:w="109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16"/>
        </w:trPr>
        <w:tc>
          <w:tcPr>
            <w:tcW w:type="dxa" w:w="24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Argentina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28,060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1.05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3,385.0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220.9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3,164.1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28,893</w:t>
            </w:r>
          </w:p>
        </w:tc>
        <w:tc>
          <w:tcPr>
            <w:tcW w:type="dxa" w:w="1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1.02</w:t>
            </w:r>
          </w:p>
        </w:tc>
      </w:tr>
      <w:tr>
        <w:trPr>
          <w:trHeight w:hRule="exact" w:val="200"/>
        </w:trPr>
        <w:tc>
          <w:tcPr>
            <w:tcW w:type="dxa" w:w="24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Armenia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2,006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242.0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13.8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228.2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2,839</w:t>
            </w:r>
          </w:p>
        </w:tc>
        <w:tc>
          <w:tcPr>
            <w:tcW w:type="dxa" w:w="1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</w:tr>
      <w:tr>
        <w:trPr>
          <w:trHeight w:hRule="exact" w:val="240"/>
        </w:trPr>
        <w:tc>
          <w:tcPr>
            <w:tcW w:type="dxa" w:w="24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Australia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39,054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1.46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4,711.3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342.1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4,369.1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39,887</w:t>
            </w:r>
          </w:p>
        </w:tc>
        <w:tc>
          <w:tcPr>
            <w:tcW w:type="dxa" w:w="1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1.41</w:t>
            </w:r>
          </w:p>
        </w:tc>
      </w:tr>
      <w:tr>
        <w:trPr>
          <w:trHeight w:hRule="exact" w:val="220"/>
        </w:trPr>
        <w:tc>
          <w:tcPr>
            <w:tcW w:type="dxa" w:w="24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Austria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18,143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0.68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2,188.7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157.4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2,031.3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18,976</w:t>
            </w:r>
          </w:p>
        </w:tc>
        <w:tc>
          <w:tcPr>
            <w:tcW w:type="dxa" w:w="1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0.67</w:t>
            </w:r>
          </w:p>
        </w:tc>
      </w:tr>
      <w:tr>
        <w:trPr>
          <w:trHeight w:hRule="exact" w:val="248"/>
        </w:trPr>
        <w:tc>
          <w:tcPr>
            <w:tcW w:type="dxa" w:w="24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Azerbaijan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2,876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0.11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346.9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21.1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325.9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3,709</w:t>
            </w:r>
          </w:p>
        </w:tc>
        <w:tc>
          <w:tcPr>
            <w:tcW w:type="dxa" w:w="1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0.13</w:t>
            </w:r>
          </w:p>
        </w:tc>
      </w:tr>
      <w:tr>
        <w:trPr>
          <w:trHeight w:hRule="exact" w:val="212"/>
        </w:trPr>
        <w:tc>
          <w:tcPr>
            <w:tcW w:type="dxa" w:w="247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Bahamas, The</w:t>
            </w:r>
          </w:p>
        </w:tc>
        <w:tc>
          <w:tcPr>
            <w:tcW w:type="dxa" w:w="92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1,503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181.3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10.3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171.1 </w:t>
            </w:r>
          </w:p>
        </w:tc>
        <w:tc>
          <w:tcPr>
            <w:tcW w:type="dxa" w:w="104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2,336</w:t>
            </w:r>
          </w:p>
        </w:tc>
        <w:tc>
          <w:tcPr>
            <w:tcW w:type="dxa" w:w="1096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20"/>
        </w:trPr>
        <w:tc>
          <w:tcPr>
            <w:tcW w:type="dxa" w:w="247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Bahrain</w:t>
            </w:r>
          </w:p>
        </w:tc>
        <w:tc>
          <w:tcPr>
            <w:tcW w:type="dxa" w:w="92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1,648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198.8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11.9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186.9 </w:t>
            </w:r>
          </w:p>
        </w:tc>
        <w:tc>
          <w:tcPr>
            <w:tcW w:type="dxa" w:w="104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2,481</w:t>
            </w:r>
          </w:p>
        </w:tc>
        <w:tc>
          <w:tcPr>
            <w:tcW w:type="dxa" w:w="1096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0.09</w:t>
            </w:r>
          </w:p>
        </w:tc>
      </w:tr>
      <w:tr>
        <w:trPr>
          <w:trHeight w:hRule="exact" w:val="220"/>
        </w:trPr>
        <w:tc>
          <w:tcPr>
            <w:tcW w:type="dxa" w:w="247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Bangladesh</w:t>
            </w:r>
          </w:p>
        </w:tc>
        <w:tc>
          <w:tcPr>
            <w:tcW w:type="dxa" w:w="92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7,884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0.29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951.1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65.1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886.0 </w:t>
            </w:r>
          </w:p>
        </w:tc>
        <w:tc>
          <w:tcPr>
            <w:tcW w:type="dxa" w:w="104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8,717</w:t>
            </w:r>
          </w:p>
        </w:tc>
        <w:tc>
          <w:tcPr>
            <w:tcW w:type="dxa" w:w="1096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0.31</w:t>
            </w:r>
          </w:p>
        </w:tc>
      </w:tr>
      <w:tr>
        <w:trPr>
          <w:trHeight w:hRule="exact" w:val="240"/>
        </w:trPr>
        <w:tc>
          <w:tcPr>
            <w:tcW w:type="dxa" w:w="247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Barbados</w:t>
            </w:r>
          </w:p>
        </w:tc>
        <w:tc>
          <w:tcPr>
            <w:tcW w:type="dxa" w:w="92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948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114.4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4.5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109.9 </w:t>
            </w:r>
          </w:p>
        </w:tc>
        <w:tc>
          <w:tcPr>
            <w:tcW w:type="dxa" w:w="104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1,781</w:t>
            </w:r>
          </w:p>
        </w:tc>
        <w:tc>
          <w:tcPr>
            <w:tcW w:type="dxa" w:w="1096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32"/>
        </w:trPr>
        <w:tc>
          <w:tcPr>
            <w:tcW w:type="dxa" w:w="247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Belarus</w:t>
            </w:r>
          </w:p>
        </w:tc>
        <w:tc>
          <w:tcPr>
            <w:tcW w:type="dxa" w:w="92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4,547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0.17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548.5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34.6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513.9 </w:t>
            </w:r>
          </w:p>
        </w:tc>
        <w:tc>
          <w:tcPr>
            <w:tcW w:type="dxa" w:w="104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5,380</w:t>
            </w:r>
          </w:p>
        </w:tc>
        <w:tc>
          <w:tcPr>
            <w:tcW w:type="dxa" w:w="1096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0.19</w:t>
            </w:r>
          </w:p>
        </w:tc>
      </w:tr>
      <w:tr>
        <w:trPr>
          <w:trHeight w:hRule="exact" w:val="208"/>
        </w:trPr>
        <w:tc>
          <w:tcPr>
            <w:tcW w:type="dxa" w:w="24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Belgium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43,281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1.62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5,221.2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380.0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4,841.2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44,114</w:t>
            </w:r>
          </w:p>
        </w:tc>
        <w:tc>
          <w:tcPr>
            <w:tcW w:type="dxa" w:w="1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1.56</w:t>
            </w:r>
          </w:p>
        </w:tc>
      </w:tr>
      <w:tr>
        <w:trPr>
          <w:trHeight w:hRule="exact" w:val="220"/>
        </w:trPr>
        <w:tc>
          <w:tcPr>
            <w:tcW w:type="dxa" w:w="24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Belize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646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77.9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3.1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74.8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1,479</w:t>
            </w:r>
          </w:p>
        </w:tc>
        <w:tc>
          <w:tcPr>
            <w:tcW w:type="dxa" w:w="1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40"/>
        </w:trPr>
        <w:tc>
          <w:tcPr>
            <w:tcW w:type="dxa" w:w="24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Benin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1,522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183.6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9.7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173.9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2,355</w:t>
            </w:r>
          </w:p>
        </w:tc>
        <w:tc>
          <w:tcPr>
            <w:tcW w:type="dxa" w:w="1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20"/>
        </w:trPr>
        <w:tc>
          <w:tcPr>
            <w:tcW w:type="dxa" w:w="24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Bhutan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829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100.0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4.2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95.8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1,662</w:t>
            </w:r>
          </w:p>
        </w:tc>
        <w:tc>
          <w:tcPr>
            <w:tcW w:type="dxa" w:w="1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38"/>
        </w:trPr>
        <w:tc>
          <w:tcPr>
            <w:tcW w:type="dxa" w:w="24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Bolivia, Plurinational State of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2,846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0.11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343.3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18.9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324.4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3,679</w:t>
            </w:r>
          </w:p>
        </w:tc>
        <w:tc>
          <w:tcPr>
            <w:tcW w:type="dxa" w:w="1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0.13</w:t>
            </w:r>
          </w:p>
        </w:tc>
      </w:tr>
      <w:tr>
        <w:trPr>
          <w:trHeight w:hRule="exact" w:val="202"/>
        </w:trPr>
        <w:tc>
          <w:tcPr>
            <w:tcW w:type="dxa" w:w="247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Bosnia and Herzegovina</w:t>
            </w:r>
          </w:p>
        </w:tc>
        <w:tc>
          <w:tcPr>
            <w:tcW w:type="dxa" w:w="92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980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118.2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10.3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107.9 </w:t>
            </w:r>
          </w:p>
        </w:tc>
        <w:tc>
          <w:tcPr>
            <w:tcW w:type="dxa" w:w="104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1,813</w:t>
            </w:r>
          </w:p>
        </w:tc>
        <w:tc>
          <w:tcPr>
            <w:tcW w:type="dxa" w:w="1096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40"/>
        </w:trPr>
        <w:tc>
          <w:tcPr>
            <w:tcW w:type="dxa" w:w="247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Botswana</w:t>
            </w:r>
          </w:p>
        </w:tc>
        <w:tc>
          <w:tcPr>
            <w:tcW w:type="dxa" w:w="92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916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110.5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5.4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105.1 </w:t>
            </w:r>
          </w:p>
        </w:tc>
        <w:tc>
          <w:tcPr>
            <w:tcW w:type="dxa" w:w="104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1,749</w:t>
            </w:r>
          </w:p>
        </w:tc>
        <w:tc>
          <w:tcPr>
            <w:tcW w:type="dxa" w:w="1096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20"/>
        </w:trPr>
        <w:tc>
          <w:tcPr>
            <w:tcW w:type="dxa" w:w="247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Brazil</w:t>
            </w:r>
          </w:p>
        </w:tc>
        <w:tc>
          <w:tcPr>
            <w:tcW w:type="dxa" w:w="92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53,509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2.00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6,455.1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386.8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6,068.3 </w:t>
            </w:r>
          </w:p>
        </w:tc>
        <w:tc>
          <w:tcPr>
            <w:tcW w:type="dxa" w:w="104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54,342</w:t>
            </w:r>
          </w:p>
        </w:tc>
        <w:tc>
          <w:tcPr>
            <w:tcW w:type="dxa" w:w="1096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1.92</w:t>
            </w:r>
          </w:p>
        </w:tc>
      </w:tr>
      <w:tr>
        <w:trPr>
          <w:trHeight w:hRule="exact" w:val="220"/>
        </w:trPr>
        <w:tc>
          <w:tcPr>
            <w:tcW w:type="dxa" w:w="247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Brunei Darussalam</w:t>
            </w:r>
          </w:p>
        </w:tc>
        <w:tc>
          <w:tcPr>
            <w:tcW w:type="dxa" w:w="92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2,373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0.09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286.3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15.2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271.1 </w:t>
            </w:r>
          </w:p>
        </w:tc>
        <w:tc>
          <w:tcPr>
            <w:tcW w:type="dxa" w:w="104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3,206</w:t>
            </w:r>
          </w:p>
        </w:tc>
        <w:tc>
          <w:tcPr>
            <w:tcW w:type="dxa" w:w="1096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0.11</w:t>
            </w:r>
          </w:p>
        </w:tc>
      </w:tr>
      <w:tr>
        <w:trPr>
          <w:trHeight w:hRule="exact" w:val="242"/>
        </w:trPr>
        <w:tc>
          <w:tcPr>
            <w:tcW w:type="dxa" w:w="247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Bulgaria</w:t>
            </w:r>
          </w:p>
        </w:tc>
        <w:tc>
          <w:tcPr>
            <w:tcW w:type="dxa" w:w="92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7,609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0.28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917.9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64.5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853.4 </w:t>
            </w:r>
          </w:p>
        </w:tc>
        <w:tc>
          <w:tcPr>
            <w:tcW w:type="dxa" w:w="104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8,442</w:t>
            </w:r>
          </w:p>
        </w:tc>
        <w:tc>
          <w:tcPr>
            <w:tcW w:type="dxa" w:w="1096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0.30</w:t>
            </w:r>
          </w:p>
        </w:tc>
      </w:tr>
      <w:tr>
        <w:trPr>
          <w:trHeight w:hRule="exact" w:val="218"/>
        </w:trPr>
        <w:tc>
          <w:tcPr>
            <w:tcW w:type="dxa" w:w="24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Burkina Faso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1,519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183.2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9.7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173.5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2,352</w:t>
            </w:r>
          </w:p>
        </w:tc>
        <w:tc>
          <w:tcPr>
            <w:tcW w:type="dxa" w:w="1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20"/>
        </w:trPr>
        <w:tc>
          <w:tcPr>
            <w:tcW w:type="dxa" w:w="24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Burundi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1,043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125.8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4.6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121.3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1,876</w:t>
            </w:r>
          </w:p>
        </w:tc>
        <w:tc>
          <w:tcPr>
            <w:tcW w:type="dxa" w:w="1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</w:tr>
      <w:tr>
        <w:trPr>
          <w:trHeight w:hRule="exact" w:val="220"/>
        </w:trPr>
        <w:tc>
          <w:tcPr>
            <w:tcW w:type="dxa" w:w="24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Cabo Verde, Republic of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729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87.9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2.3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85.7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1,562</w:t>
            </w:r>
          </w:p>
        </w:tc>
        <w:tc>
          <w:tcPr>
            <w:tcW w:type="dxa" w:w="1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20"/>
        </w:trPr>
        <w:tc>
          <w:tcPr>
            <w:tcW w:type="dxa" w:w="24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Cambodia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619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74.7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6.4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68.3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1,452</w:t>
            </w:r>
          </w:p>
        </w:tc>
        <w:tc>
          <w:tcPr>
            <w:tcW w:type="dxa" w:w="1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48"/>
        </w:trPr>
        <w:tc>
          <w:tcPr>
            <w:tcW w:type="dxa" w:w="24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Cameroon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2,202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265.6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12.4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253.3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3,035</w:t>
            </w:r>
          </w:p>
        </w:tc>
        <w:tc>
          <w:tcPr>
            <w:tcW w:type="dxa" w:w="1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0.11</w:t>
            </w:r>
          </w:p>
        </w:tc>
      </w:tr>
      <w:tr>
        <w:trPr>
          <w:trHeight w:hRule="exact" w:val="212"/>
        </w:trPr>
        <w:tc>
          <w:tcPr>
            <w:tcW w:type="dxa" w:w="247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Canada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2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70,455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2.63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8,499.3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619.5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7,879.8 </w:t>
            </w:r>
          </w:p>
        </w:tc>
        <w:tc>
          <w:tcPr>
            <w:tcW w:type="dxa" w:w="104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71,288</w:t>
            </w:r>
          </w:p>
        </w:tc>
        <w:tc>
          <w:tcPr>
            <w:tcW w:type="dxa" w:w="1096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2.51</w:t>
            </w:r>
          </w:p>
        </w:tc>
      </w:tr>
      <w:tr>
        <w:trPr>
          <w:trHeight w:hRule="exact" w:val="220"/>
        </w:trPr>
        <w:tc>
          <w:tcPr>
            <w:tcW w:type="dxa" w:w="247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Central African Republic</w:t>
            </w:r>
          </w:p>
        </w:tc>
        <w:tc>
          <w:tcPr>
            <w:tcW w:type="dxa" w:w="92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975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117.6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3.9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113.8 </w:t>
            </w:r>
          </w:p>
        </w:tc>
        <w:tc>
          <w:tcPr>
            <w:tcW w:type="dxa" w:w="104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1,808</w:t>
            </w:r>
          </w:p>
        </w:tc>
        <w:tc>
          <w:tcPr>
            <w:tcW w:type="dxa" w:w="1096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20"/>
        </w:trPr>
        <w:tc>
          <w:tcPr>
            <w:tcW w:type="dxa" w:w="247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Chad</w:t>
            </w:r>
          </w:p>
        </w:tc>
        <w:tc>
          <w:tcPr>
            <w:tcW w:type="dxa" w:w="92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975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117.6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3.9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113.8 </w:t>
            </w:r>
          </w:p>
        </w:tc>
        <w:tc>
          <w:tcPr>
            <w:tcW w:type="dxa" w:w="104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1,808</w:t>
            </w:r>
          </w:p>
        </w:tc>
        <w:tc>
          <w:tcPr>
            <w:tcW w:type="dxa" w:w="1096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40"/>
        </w:trPr>
        <w:tc>
          <w:tcPr>
            <w:tcW w:type="dxa" w:w="247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Chile</w:t>
            </w:r>
          </w:p>
        </w:tc>
        <w:tc>
          <w:tcPr>
            <w:tcW w:type="dxa" w:w="92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11,787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0.44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1,421.9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101.3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1,320.7 </w:t>
            </w:r>
          </w:p>
        </w:tc>
        <w:tc>
          <w:tcPr>
            <w:tcW w:type="dxa" w:w="104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12,620</w:t>
            </w:r>
          </w:p>
        </w:tc>
        <w:tc>
          <w:tcPr>
            <w:tcW w:type="dxa" w:w="1096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0.45</w:t>
            </w:r>
          </w:p>
        </w:tc>
      </w:tr>
      <w:tr>
        <w:trPr>
          <w:trHeight w:hRule="exact" w:val="232"/>
        </w:trPr>
        <w:tc>
          <w:tcPr>
            <w:tcW w:type="dxa" w:w="247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China</w:t>
            </w:r>
          </w:p>
        </w:tc>
        <w:tc>
          <w:tcPr>
            <w:tcW w:type="dxa" w:w="92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166,859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6.23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2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20,129.0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1,445.1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18,683.9 </w:t>
            </w:r>
          </w:p>
        </w:tc>
        <w:tc>
          <w:tcPr>
            <w:tcW w:type="dxa" w:w="104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167,692</w:t>
            </w:r>
          </w:p>
        </w:tc>
        <w:tc>
          <w:tcPr>
            <w:tcW w:type="dxa" w:w="1096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5.91</w:t>
            </w:r>
          </w:p>
        </w:tc>
      </w:tr>
      <w:tr>
        <w:trPr>
          <w:trHeight w:hRule="exact" w:val="208"/>
        </w:trPr>
        <w:tc>
          <w:tcPr>
            <w:tcW w:type="dxa" w:w="24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Colombia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11,806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0.44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1,424.2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101.2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1,323.0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12,639</w:t>
            </w:r>
          </w:p>
        </w:tc>
        <w:tc>
          <w:tcPr>
            <w:tcW w:type="dxa" w:w="1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0.45</w:t>
            </w:r>
          </w:p>
        </w:tc>
      </w:tr>
      <w:tr>
        <w:trPr>
          <w:trHeight w:hRule="exact" w:val="220"/>
        </w:trPr>
        <w:tc>
          <w:tcPr>
            <w:tcW w:type="dxa" w:w="24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Comoros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369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44.5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1.0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43.5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1,202</w:t>
            </w:r>
          </w:p>
        </w:tc>
        <w:tc>
          <w:tcPr>
            <w:tcW w:type="dxa" w:w="1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</w:tr>
      <w:tr>
        <w:trPr>
          <w:trHeight w:hRule="exact" w:val="240"/>
        </w:trPr>
        <w:tc>
          <w:tcPr>
            <w:tcW w:type="dxa" w:w="24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Congo, Democratic Republic of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3,416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0.13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412.1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31.0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381.1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4,249</w:t>
            </w:r>
          </w:p>
        </w:tc>
        <w:tc>
          <w:tcPr>
            <w:tcW w:type="dxa" w:w="1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0.15</w:t>
            </w:r>
          </w:p>
        </w:tc>
      </w:tr>
      <w:tr>
        <w:trPr>
          <w:trHeight w:hRule="exact" w:val="220"/>
        </w:trPr>
        <w:tc>
          <w:tcPr>
            <w:tcW w:type="dxa" w:w="24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Congo, Republic of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1,051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126.8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4.3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122.4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1,884</w:t>
            </w:r>
          </w:p>
        </w:tc>
        <w:tc>
          <w:tcPr>
            <w:tcW w:type="dxa" w:w="1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</w:tr>
      <w:tr>
        <w:trPr>
          <w:trHeight w:hRule="exact" w:val="238"/>
        </w:trPr>
        <w:tc>
          <w:tcPr>
            <w:tcW w:type="dxa" w:w="24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Costa Rica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1,392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167.9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12.3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155.6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2,225</w:t>
            </w:r>
          </w:p>
        </w:tc>
        <w:tc>
          <w:tcPr>
            <w:tcW w:type="dxa" w:w="1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02"/>
        </w:trPr>
        <w:tc>
          <w:tcPr>
            <w:tcW w:type="dxa" w:w="247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Côte d'Ivoire</w:t>
            </w:r>
          </w:p>
        </w:tc>
        <w:tc>
          <w:tcPr>
            <w:tcW w:type="dxa" w:w="92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4,270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0.16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515.1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33.3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481.9 </w:t>
            </w:r>
          </w:p>
        </w:tc>
        <w:tc>
          <w:tcPr>
            <w:tcW w:type="dxa" w:w="104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5,103</w:t>
            </w:r>
          </w:p>
        </w:tc>
        <w:tc>
          <w:tcPr>
            <w:tcW w:type="dxa" w:w="1096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0.18</w:t>
            </w:r>
          </w:p>
        </w:tc>
      </w:tr>
      <w:tr>
        <w:trPr>
          <w:trHeight w:hRule="exact" w:val="240"/>
        </w:trPr>
        <w:tc>
          <w:tcPr>
            <w:tcW w:type="dxa" w:w="247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Croatia</w:t>
            </w:r>
          </w:p>
        </w:tc>
        <w:tc>
          <w:tcPr>
            <w:tcW w:type="dxa" w:w="92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3,376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0.13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407.3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29.9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377.4 </w:t>
            </w:r>
          </w:p>
        </w:tc>
        <w:tc>
          <w:tcPr>
            <w:tcW w:type="dxa" w:w="104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4,209</w:t>
            </w:r>
          </w:p>
        </w:tc>
        <w:tc>
          <w:tcPr>
            <w:tcW w:type="dxa" w:w="1096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0.15</w:t>
            </w:r>
          </w:p>
        </w:tc>
      </w:tr>
      <w:tr>
        <w:trPr>
          <w:trHeight w:hRule="exact" w:val="200"/>
        </w:trPr>
        <w:tc>
          <w:tcPr>
            <w:tcW w:type="dxa" w:w="247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Cyprus</w:t>
            </w:r>
          </w:p>
        </w:tc>
        <w:tc>
          <w:tcPr>
            <w:tcW w:type="dxa" w:w="92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2,111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254.7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16.0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238.6 </w:t>
            </w:r>
          </w:p>
        </w:tc>
        <w:tc>
          <w:tcPr>
            <w:tcW w:type="dxa" w:w="104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2,944</w:t>
            </w:r>
          </w:p>
        </w:tc>
        <w:tc>
          <w:tcPr>
            <w:tcW w:type="dxa" w:w="1096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</w:tr>
      <w:tr>
        <w:trPr>
          <w:trHeight w:hRule="exact" w:val="240"/>
        </w:trPr>
        <w:tc>
          <w:tcPr>
            <w:tcW w:type="dxa" w:w="247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Czechia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2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9,451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0.35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1,140.1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82.0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1,058.2 </w:t>
            </w:r>
          </w:p>
        </w:tc>
        <w:tc>
          <w:tcPr>
            <w:tcW w:type="dxa" w:w="104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10,284</w:t>
            </w:r>
          </w:p>
        </w:tc>
        <w:tc>
          <w:tcPr>
            <w:tcW w:type="dxa" w:w="1096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0.36</w:t>
            </w:r>
          </w:p>
        </w:tc>
      </w:tr>
      <w:tr>
        <w:trPr>
          <w:trHeight w:hRule="exact" w:val="242"/>
        </w:trPr>
        <w:tc>
          <w:tcPr>
            <w:tcW w:type="dxa" w:w="247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Denmark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2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21,061</w:t>
            </w:r>
          </w:p>
        </w:tc>
        <w:tc>
          <w:tcPr>
            <w:tcW w:type="dxa" w:w="88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0.79</w:t>
            </w:r>
          </w:p>
        </w:tc>
        <w:tc>
          <w:tcPr>
            <w:tcW w:type="dxa" w:w="1100"/>
            <w:gridSpan w:val="3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2,540.7 </w:t>
            </w:r>
          </w:p>
        </w:tc>
        <w:tc>
          <w:tcPr>
            <w:tcW w:type="dxa" w:w="98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182.4 </w:t>
            </w:r>
          </w:p>
        </w:tc>
        <w:tc>
          <w:tcPr>
            <w:tcW w:type="dxa" w:w="940"/>
            <w:gridSpan w:val="2"/>
            <w:tcBorders/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2,358.3 </w:t>
            </w:r>
          </w:p>
        </w:tc>
        <w:tc>
          <w:tcPr>
            <w:tcW w:type="dxa" w:w="1040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21,894</w:t>
            </w:r>
          </w:p>
        </w:tc>
        <w:tc>
          <w:tcPr>
            <w:tcW w:type="dxa" w:w="1096"/>
            <w:tcBorders/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0.77</w:t>
            </w:r>
          </w:p>
        </w:tc>
      </w:tr>
      <w:tr>
        <w:trPr>
          <w:trHeight w:hRule="exact" w:val="218"/>
        </w:trPr>
        <w:tc>
          <w:tcPr>
            <w:tcW w:type="dxa" w:w="24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Djibouti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801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96.6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2.8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93.8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1,634</w:t>
            </w:r>
          </w:p>
        </w:tc>
        <w:tc>
          <w:tcPr>
            <w:tcW w:type="dxa" w:w="1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20"/>
        </w:trPr>
        <w:tc>
          <w:tcPr>
            <w:tcW w:type="dxa" w:w="24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Dominica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699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84.3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3.5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80.8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1,532</w:t>
            </w:r>
          </w:p>
        </w:tc>
        <w:tc>
          <w:tcPr>
            <w:tcW w:type="dxa" w:w="1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20"/>
        </w:trPr>
        <w:tc>
          <w:tcPr>
            <w:tcW w:type="dxa" w:w="24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Dominican Republic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2,651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319.8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17.2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302.6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3,484</w:t>
            </w:r>
          </w:p>
        </w:tc>
        <w:tc>
          <w:tcPr>
            <w:tcW w:type="dxa" w:w="1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0.12</w:t>
            </w:r>
          </w:p>
        </w:tc>
      </w:tr>
      <w:tr>
        <w:trPr>
          <w:trHeight w:hRule="exact" w:val="220"/>
        </w:trPr>
        <w:tc>
          <w:tcPr>
            <w:tcW w:type="dxa" w:w="24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Ecuador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3,828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0.14</w:t>
            </w:r>
          </w:p>
        </w:tc>
        <w:tc>
          <w:tcPr>
            <w:tcW w:type="dxa" w:w="1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461.8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24.1 </w:t>
            </w:r>
          </w:p>
        </w:tc>
        <w:tc>
          <w:tcPr>
            <w:tcW w:type="dxa" w:w="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437.7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4,661</w:t>
            </w:r>
          </w:p>
        </w:tc>
        <w:tc>
          <w:tcPr>
            <w:tcW w:type="dxa" w:w="1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0.16</w:t>
            </w:r>
          </w:p>
        </w:tc>
      </w:tr>
      <w:tr>
        <w:trPr>
          <w:trHeight w:hRule="exact" w:val="248"/>
        </w:trPr>
        <w:tc>
          <w:tcPr>
            <w:tcW w:type="dxa" w:w="2470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Egypt, Arab Republic of</w:t>
            </w:r>
          </w:p>
        </w:tc>
        <w:tc>
          <w:tcPr>
            <w:tcW w:type="dxa" w:w="92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10,682</w:t>
            </w:r>
          </w:p>
        </w:tc>
        <w:tc>
          <w:tcPr>
            <w:tcW w:type="dxa" w:w="88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0.40</w:t>
            </w:r>
          </w:p>
        </w:tc>
        <w:tc>
          <w:tcPr>
            <w:tcW w:type="dxa" w:w="1100"/>
            <w:gridSpan w:val="3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1,288.6 </w:t>
            </w:r>
          </w:p>
        </w:tc>
        <w:tc>
          <w:tcPr>
            <w:tcW w:type="dxa" w:w="980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76.8 </w:t>
            </w:r>
          </w:p>
        </w:tc>
        <w:tc>
          <w:tcPr>
            <w:tcW w:type="dxa" w:w="940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1,211.8 </w:t>
            </w:r>
          </w:p>
        </w:tc>
        <w:tc>
          <w:tcPr>
            <w:tcW w:type="dxa" w:w="104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11,515</w:t>
            </w:r>
          </w:p>
        </w:tc>
        <w:tc>
          <w:tcPr>
            <w:tcW w:type="dxa" w:w="109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0.41</w:t>
            </w:r>
          </w:p>
        </w:tc>
      </w:tr>
      <w:tr>
        <w:trPr>
          <w:trHeight w:hRule="exact" w:val="582"/>
        </w:trPr>
        <w:tc>
          <w:tcPr>
            <w:tcW w:type="dxa" w:w="3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86</w:t>
            </w:r>
          </w:p>
        </w:tc>
        <w:tc>
          <w:tcPr>
            <w:tcW w:type="dxa" w:w="6940"/>
            <w:gridSpan w:val="10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8" w:after="0"/>
              <w:ind w:left="5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2024</w:t>
            </w:r>
          </w:p>
        </w:tc>
        <w:tc>
          <w:tcPr>
            <w:tcW w:type="dxa" w:w="10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6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98" w:lineRule="exact" w:before="16" w:after="0"/>
        <w:ind w:left="10" w:right="288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STATEMENT OF SUBSCRIPTIONS TO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CAPITAL STOCK AND VOTING POWER (continued) </w:t>
      </w:r>
      <w:r>
        <w:rPr>
          <w:rFonts w:ascii="Arial" w:hAnsi="Arial" w:eastAsia="Arial"/>
          <w:b w:val="0"/>
          <w:i/>
          <w:color w:val="000000"/>
          <w:sz w:val="20"/>
        </w:rPr>
        <w:t>June 30, 2024</w:t>
      </w:r>
    </w:p>
    <w:p>
      <w:pPr>
        <w:autoSpaceDN w:val="0"/>
        <w:autoSpaceDE w:val="0"/>
        <w:widowControl/>
        <w:spacing w:line="202" w:lineRule="exact" w:before="260" w:after="36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83"/>
        <w:gridCol w:w="4783"/>
      </w:tblGrid>
      <w:tr>
        <w:trPr>
          <w:trHeight w:hRule="exact" w:val="240"/>
        </w:trPr>
        <w:tc>
          <w:tcPr>
            <w:tcW w:type="dxa" w:w="72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79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Subscriptions </w:t>
            </w:r>
          </w:p>
        </w:tc>
        <w:tc>
          <w:tcPr>
            <w:tcW w:type="dxa" w:w="22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Voting Power </w:t>
            </w:r>
          </w:p>
        </w:tc>
      </w:tr>
    </w:tbl>
    <w:p>
      <w:pPr>
        <w:autoSpaceDN w:val="0"/>
        <w:autoSpaceDE w:val="0"/>
        <w:widowControl/>
        <w:spacing w:line="180" w:lineRule="exact" w:before="12" w:after="6"/>
        <w:ind w:left="0" w:right="243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Amounts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</w:tblGrid>
      <w:tr>
        <w:trPr>
          <w:trHeight w:hRule="exact" w:val="187"/>
        </w:trPr>
        <w:tc>
          <w:tcPr>
            <w:tcW w:type="dxa" w:w="25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Member 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Number of </w:t>
            </w:r>
          </w:p>
        </w:tc>
        <w:tc>
          <w:tcPr>
            <w:tcW w:type="dxa" w:w="11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Percentage </w:t>
            </w:r>
          </w:p>
        </w:tc>
        <w:tc>
          <w:tcPr>
            <w:tcW w:type="dxa" w:w="83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Total </w:t>
            </w:r>
          </w:p>
        </w:tc>
        <w:tc>
          <w:tcPr>
            <w:tcW w:type="dxa" w:w="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8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Amounts </w:t>
            </w:r>
          </w:p>
        </w:tc>
        <w:tc>
          <w:tcPr>
            <w:tcW w:type="dxa" w:w="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subject to </w:t>
            </w:r>
          </w:p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Number of </w:t>
            </w:r>
          </w:p>
        </w:tc>
        <w:tc>
          <w:tcPr>
            <w:tcW w:type="dxa" w:w="10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Percentage </w:t>
            </w:r>
          </w:p>
        </w:tc>
      </w:tr>
      <w:tr>
        <w:trPr>
          <w:trHeight w:hRule="exact" w:val="221"/>
        </w:trPr>
        <w:tc>
          <w:tcPr>
            <w:tcW w:type="dxa" w:w="736"/>
            <w:vMerge/>
            <w:tcBorders>
              <w:bottom w:sz="8.0" w:val="single" w:color="#000000"/>
            </w:tcBorders>
          </w:tcPr>
          <w:p/>
        </w:tc>
        <w:tc>
          <w:tcPr>
            <w:tcW w:type="dxa" w:w="92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shares</w:t>
            </w:r>
          </w:p>
        </w:tc>
        <w:tc>
          <w:tcPr>
            <w:tcW w:type="dxa" w:w="88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of total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060"/>
            <w:gridSpan w:val="3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5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amounts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980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paid in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a,b</w:t>
            </w:r>
          </w:p>
        </w:tc>
        <w:tc>
          <w:tcPr>
            <w:tcW w:type="dxa" w:w="960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call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a, b</w:t>
            </w:r>
          </w:p>
        </w:tc>
        <w:tc>
          <w:tcPr>
            <w:tcW w:type="dxa" w:w="110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votes</w:t>
            </w:r>
          </w:p>
        </w:tc>
        <w:tc>
          <w:tcPr>
            <w:tcW w:type="dxa" w:w="105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of total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</w:tr>
      <w:tr>
        <w:trPr>
          <w:trHeight w:hRule="exact" w:val="216"/>
        </w:trPr>
        <w:tc>
          <w:tcPr>
            <w:tcW w:type="dxa" w:w="2590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El Salvador</w:t>
            </w:r>
          </w:p>
        </w:tc>
        <w:tc>
          <w:tcPr>
            <w:tcW w:type="dxa" w:w="920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477</w:t>
            </w:r>
          </w:p>
        </w:tc>
        <w:tc>
          <w:tcPr>
            <w:tcW w:type="dxa" w:w="1392"/>
            <w:gridSpan w:val="3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8"/>
            <w:gridSpan w:val="2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57.5 $ </w:t>
            </w:r>
          </w:p>
        </w:tc>
        <w:tc>
          <w:tcPr>
            <w:tcW w:type="dxa" w:w="872"/>
            <w:gridSpan w:val="2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4.6 $ </w:t>
            </w:r>
          </w:p>
        </w:tc>
        <w:tc>
          <w:tcPr>
            <w:tcW w:type="dxa" w:w="718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52.9 </w:t>
            </w:r>
          </w:p>
        </w:tc>
        <w:tc>
          <w:tcPr>
            <w:tcW w:type="dxa" w:w="1100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1,310</w:t>
            </w:r>
          </w:p>
        </w:tc>
        <w:tc>
          <w:tcPr>
            <w:tcW w:type="dxa" w:w="1056"/>
            <w:gridSpan w:val="2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</w:tr>
      <w:tr>
        <w:trPr>
          <w:trHeight w:hRule="exact" w:val="220"/>
        </w:trPr>
        <w:tc>
          <w:tcPr>
            <w:tcW w:type="dxa" w:w="259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Equatorial Guinea</w:t>
            </w:r>
          </w:p>
        </w:tc>
        <w:tc>
          <w:tcPr>
            <w:tcW w:type="dxa" w:w="92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715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86.3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2.7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83.5 </w:t>
            </w:r>
          </w:p>
        </w:tc>
        <w:tc>
          <w:tcPr>
            <w:tcW w:type="dxa" w:w="11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1,548</w:t>
            </w:r>
          </w:p>
        </w:tc>
        <w:tc>
          <w:tcPr>
            <w:tcW w:type="dxa" w:w="1056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20"/>
        </w:trPr>
        <w:tc>
          <w:tcPr>
            <w:tcW w:type="dxa" w:w="259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Eritrea</w:t>
            </w:r>
          </w:p>
        </w:tc>
        <w:tc>
          <w:tcPr>
            <w:tcW w:type="dxa" w:w="92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593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71.5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1.8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69.7 </w:t>
            </w:r>
          </w:p>
        </w:tc>
        <w:tc>
          <w:tcPr>
            <w:tcW w:type="dxa" w:w="11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1,426</w:t>
            </w:r>
          </w:p>
        </w:tc>
        <w:tc>
          <w:tcPr>
            <w:tcW w:type="dxa" w:w="1056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40"/>
        </w:trPr>
        <w:tc>
          <w:tcPr>
            <w:tcW w:type="dxa" w:w="259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Estonia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2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1,372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165.5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9.5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156.1 </w:t>
            </w:r>
          </w:p>
        </w:tc>
        <w:tc>
          <w:tcPr>
            <w:tcW w:type="dxa" w:w="11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2,205</w:t>
            </w:r>
          </w:p>
        </w:tc>
        <w:tc>
          <w:tcPr>
            <w:tcW w:type="dxa" w:w="1056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28"/>
        </w:trPr>
        <w:tc>
          <w:tcPr>
            <w:tcW w:type="dxa" w:w="259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Eswatini</w:t>
            </w:r>
          </w:p>
        </w:tc>
        <w:tc>
          <w:tcPr>
            <w:tcW w:type="dxa" w:w="92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609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73.5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3.7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69.8 </w:t>
            </w:r>
          </w:p>
        </w:tc>
        <w:tc>
          <w:tcPr>
            <w:tcW w:type="dxa" w:w="11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1,442</w:t>
            </w:r>
          </w:p>
        </w:tc>
        <w:tc>
          <w:tcPr>
            <w:tcW w:type="dxa" w:w="1056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12"/>
        </w:trPr>
        <w:tc>
          <w:tcPr>
            <w:tcW w:type="dxa" w:w="2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Ethiopia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1,470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177.3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8.3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169.1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2,303</w:t>
            </w:r>
          </w:p>
        </w:tc>
        <w:tc>
          <w:tcPr>
            <w:tcW w:type="dxa" w:w="10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20"/>
        </w:trPr>
        <w:tc>
          <w:tcPr>
            <w:tcW w:type="dxa" w:w="2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Fiji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1,407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169.7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9.8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159.9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2,240</w:t>
            </w:r>
          </w:p>
        </w:tc>
        <w:tc>
          <w:tcPr>
            <w:tcW w:type="dxa" w:w="10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20"/>
        </w:trPr>
        <w:tc>
          <w:tcPr>
            <w:tcW w:type="dxa" w:w="2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Finland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13,726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0.51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1,655.8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118.5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1,537.3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14,559</w:t>
            </w:r>
          </w:p>
        </w:tc>
        <w:tc>
          <w:tcPr>
            <w:tcW w:type="dxa" w:w="10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0.51</w:t>
            </w:r>
          </w:p>
        </w:tc>
      </w:tr>
      <w:tr>
        <w:trPr>
          <w:trHeight w:hRule="exact" w:val="240"/>
        </w:trPr>
        <w:tc>
          <w:tcPr>
            <w:tcW w:type="dxa" w:w="2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France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108,611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4.06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2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13,102.3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956.6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12,145.7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109,444</w:t>
            </w:r>
          </w:p>
        </w:tc>
        <w:tc>
          <w:tcPr>
            <w:tcW w:type="dxa" w:w="10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3.86</w:t>
            </w:r>
          </w:p>
        </w:tc>
      </w:tr>
      <w:tr>
        <w:trPr>
          <w:trHeight w:hRule="exact" w:val="232"/>
        </w:trPr>
        <w:tc>
          <w:tcPr>
            <w:tcW w:type="dxa" w:w="2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Gabon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1,110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133.9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7.0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126.9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1,943</w:t>
            </w:r>
          </w:p>
        </w:tc>
        <w:tc>
          <w:tcPr>
            <w:tcW w:type="dxa" w:w="10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</w:tr>
      <w:tr>
        <w:trPr>
          <w:trHeight w:hRule="exact" w:val="208"/>
        </w:trPr>
        <w:tc>
          <w:tcPr>
            <w:tcW w:type="dxa" w:w="259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Gambia, The</w:t>
            </w:r>
          </w:p>
        </w:tc>
        <w:tc>
          <w:tcPr>
            <w:tcW w:type="dxa" w:w="92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777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93.7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2.7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91.0 </w:t>
            </w:r>
          </w:p>
        </w:tc>
        <w:tc>
          <w:tcPr>
            <w:tcW w:type="dxa" w:w="11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1,610</w:t>
            </w:r>
          </w:p>
        </w:tc>
        <w:tc>
          <w:tcPr>
            <w:tcW w:type="dxa" w:w="1056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20"/>
        </w:trPr>
        <w:tc>
          <w:tcPr>
            <w:tcW w:type="dxa" w:w="259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Georgia</w:t>
            </w:r>
          </w:p>
        </w:tc>
        <w:tc>
          <w:tcPr>
            <w:tcW w:type="dxa" w:w="92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2,590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312.4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18.6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293.8 </w:t>
            </w:r>
          </w:p>
        </w:tc>
        <w:tc>
          <w:tcPr>
            <w:tcW w:type="dxa" w:w="11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3,423</w:t>
            </w:r>
          </w:p>
        </w:tc>
        <w:tc>
          <w:tcPr>
            <w:tcW w:type="dxa" w:w="1056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0.12</w:t>
            </w:r>
          </w:p>
        </w:tc>
      </w:tr>
      <w:tr>
        <w:trPr>
          <w:trHeight w:hRule="exact" w:val="240"/>
        </w:trPr>
        <w:tc>
          <w:tcPr>
            <w:tcW w:type="dxa" w:w="259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Germany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2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118,578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4.43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2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14,304.7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1,043.5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13,261.1 </w:t>
            </w:r>
          </w:p>
        </w:tc>
        <w:tc>
          <w:tcPr>
            <w:tcW w:type="dxa" w:w="11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119,411</w:t>
            </w:r>
          </w:p>
        </w:tc>
        <w:tc>
          <w:tcPr>
            <w:tcW w:type="dxa" w:w="1056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4.21</w:t>
            </w:r>
          </w:p>
        </w:tc>
      </w:tr>
      <w:tr>
        <w:trPr>
          <w:trHeight w:hRule="exact" w:val="220"/>
        </w:trPr>
        <w:tc>
          <w:tcPr>
            <w:tcW w:type="dxa" w:w="259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Ghana</w:t>
            </w:r>
          </w:p>
        </w:tc>
        <w:tc>
          <w:tcPr>
            <w:tcW w:type="dxa" w:w="92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2,202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265.6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16.1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249.5 </w:t>
            </w:r>
          </w:p>
        </w:tc>
        <w:tc>
          <w:tcPr>
            <w:tcW w:type="dxa" w:w="11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3,035</w:t>
            </w:r>
          </w:p>
        </w:tc>
        <w:tc>
          <w:tcPr>
            <w:tcW w:type="dxa" w:w="1056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0.11</w:t>
            </w:r>
          </w:p>
        </w:tc>
      </w:tr>
      <w:tr>
        <w:trPr>
          <w:trHeight w:hRule="exact" w:val="238"/>
        </w:trPr>
        <w:tc>
          <w:tcPr>
            <w:tcW w:type="dxa" w:w="259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Greece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2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4,460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0.17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538.0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40.4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497.6 </w:t>
            </w:r>
          </w:p>
        </w:tc>
        <w:tc>
          <w:tcPr>
            <w:tcW w:type="dxa" w:w="11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5,293</w:t>
            </w:r>
          </w:p>
        </w:tc>
        <w:tc>
          <w:tcPr>
            <w:tcW w:type="dxa" w:w="1056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0.19</w:t>
            </w:r>
          </w:p>
        </w:tc>
      </w:tr>
      <w:tr>
        <w:trPr>
          <w:trHeight w:hRule="exact" w:val="222"/>
        </w:trPr>
        <w:tc>
          <w:tcPr>
            <w:tcW w:type="dxa" w:w="2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Grenada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673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81.2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2.4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78.8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1,506</w:t>
            </w:r>
          </w:p>
        </w:tc>
        <w:tc>
          <w:tcPr>
            <w:tcW w:type="dxa" w:w="10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20"/>
        </w:trPr>
        <w:tc>
          <w:tcPr>
            <w:tcW w:type="dxa" w:w="2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Guatemala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2,001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241.4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12.4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229.0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2,834</w:t>
            </w:r>
          </w:p>
        </w:tc>
        <w:tc>
          <w:tcPr>
            <w:tcW w:type="dxa" w:w="10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</w:tr>
      <w:tr>
        <w:trPr>
          <w:trHeight w:hRule="exact" w:val="220"/>
        </w:trPr>
        <w:tc>
          <w:tcPr>
            <w:tcW w:type="dxa" w:w="2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Guinea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1,864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224.9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9.9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214.9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2,697</w:t>
            </w:r>
          </w:p>
        </w:tc>
        <w:tc>
          <w:tcPr>
            <w:tcW w:type="dxa" w:w="10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</w:tr>
      <w:tr>
        <w:trPr>
          <w:trHeight w:hRule="exact" w:val="220"/>
        </w:trPr>
        <w:tc>
          <w:tcPr>
            <w:tcW w:type="dxa" w:w="2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Guinea-Bissau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613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73.9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1.4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72.5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1,446</w:t>
            </w:r>
          </w:p>
        </w:tc>
        <w:tc>
          <w:tcPr>
            <w:tcW w:type="dxa" w:w="10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42"/>
        </w:trPr>
        <w:tc>
          <w:tcPr>
            <w:tcW w:type="dxa" w:w="2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Guyana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1,724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208.0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11.5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196.5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2,557</w:t>
            </w:r>
          </w:p>
        </w:tc>
        <w:tc>
          <w:tcPr>
            <w:tcW w:type="dxa" w:w="10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0.09</w:t>
            </w:r>
          </w:p>
        </w:tc>
      </w:tr>
      <w:tr>
        <w:trPr>
          <w:trHeight w:hRule="exact" w:val="218"/>
        </w:trPr>
        <w:tc>
          <w:tcPr>
            <w:tcW w:type="dxa" w:w="259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Haiti</w:t>
            </w:r>
          </w:p>
        </w:tc>
        <w:tc>
          <w:tcPr>
            <w:tcW w:type="dxa" w:w="92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1,550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187.0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7.8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179.2 </w:t>
            </w:r>
          </w:p>
        </w:tc>
        <w:tc>
          <w:tcPr>
            <w:tcW w:type="dxa" w:w="11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2,383</w:t>
            </w:r>
          </w:p>
        </w:tc>
        <w:tc>
          <w:tcPr>
            <w:tcW w:type="dxa" w:w="1056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20"/>
        </w:trPr>
        <w:tc>
          <w:tcPr>
            <w:tcW w:type="dxa" w:w="259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Honduras</w:t>
            </w:r>
          </w:p>
        </w:tc>
        <w:tc>
          <w:tcPr>
            <w:tcW w:type="dxa" w:w="92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641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77.3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2.3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75.0 </w:t>
            </w:r>
          </w:p>
        </w:tc>
        <w:tc>
          <w:tcPr>
            <w:tcW w:type="dxa" w:w="11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1,474</w:t>
            </w:r>
          </w:p>
        </w:tc>
        <w:tc>
          <w:tcPr>
            <w:tcW w:type="dxa" w:w="1056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20"/>
        </w:trPr>
        <w:tc>
          <w:tcPr>
            <w:tcW w:type="dxa" w:w="259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Hungary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2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12,456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0.47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1,502.6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107.4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1,395.2 </w:t>
            </w:r>
          </w:p>
        </w:tc>
        <w:tc>
          <w:tcPr>
            <w:tcW w:type="dxa" w:w="11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13,289</w:t>
            </w:r>
          </w:p>
        </w:tc>
        <w:tc>
          <w:tcPr>
            <w:tcW w:type="dxa" w:w="1056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0.47</w:t>
            </w:r>
          </w:p>
        </w:tc>
      </w:tr>
      <w:tr>
        <w:trPr>
          <w:trHeight w:hRule="exact" w:val="240"/>
        </w:trPr>
        <w:tc>
          <w:tcPr>
            <w:tcW w:type="dxa" w:w="259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Iceland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2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1,975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238.3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14.8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223.5 </w:t>
            </w:r>
          </w:p>
        </w:tc>
        <w:tc>
          <w:tcPr>
            <w:tcW w:type="dxa" w:w="11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2,808</w:t>
            </w:r>
          </w:p>
        </w:tc>
        <w:tc>
          <w:tcPr>
            <w:tcW w:type="dxa" w:w="1056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</w:tr>
      <w:tr>
        <w:trPr>
          <w:trHeight w:hRule="exact" w:val="228"/>
        </w:trPr>
        <w:tc>
          <w:tcPr>
            <w:tcW w:type="dxa" w:w="259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India</w:t>
            </w:r>
          </w:p>
        </w:tc>
        <w:tc>
          <w:tcPr>
            <w:tcW w:type="dxa" w:w="92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85,175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3.18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2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10,275.1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738.0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9,537.1 </w:t>
            </w:r>
          </w:p>
        </w:tc>
        <w:tc>
          <w:tcPr>
            <w:tcW w:type="dxa" w:w="11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86,008</w:t>
            </w:r>
          </w:p>
        </w:tc>
        <w:tc>
          <w:tcPr>
            <w:tcW w:type="dxa" w:w="1056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3.03</w:t>
            </w:r>
          </w:p>
        </w:tc>
      </w:tr>
      <w:tr>
        <w:trPr>
          <w:trHeight w:hRule="exact" w:val="212"/>
        </w:trPr>
        <w:tc>
          <w:tcPr>
            <w:tcW w:type="dxa" w:w="2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Indonesia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28,863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1.08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3,481.9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249.9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3,232.0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29,696</w:t>
            </w:r>
          </w:p>
        </w:tc>
        <w:tc>
          <w:tcPr>
            <w:tcW w:type="dxa" w:w="10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1.05</w:t>
            </w:r>
          </w:p>
        </w:tc>
      </w:tr>
      <w:tr>
        <w:trPr>
          <w:trHeight w:hRule="exact" w:val="220"/>
        </w:trPr>
        <w:tc>
          <w:tcPr>
            <w:tcW w:type="dxa" w:w="2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Iran, Islamic Republic of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34,963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1.31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4,217.8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254.3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3,963.4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35,796</w:t>
            </w:r>
          </w:p>
        </w:tc>
        <w:tc>
          <w:tcPr>
            <w:tcW w:type="dxa" w:w="10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1.26</w:t>
            </w:r>
          </w:p>
        </w:tc>
      </w:tr>
      <w:tr>
        <w:trPr>
          <w:trHeight w:hRule="exact" w:val="220"/>
        </w:trPr>
        <w:tc>
          <w:tcPr>
            <w:tcW w:type="dxa" w:w="2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Iraq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3,875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0.14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467.5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33.0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434.5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4,708</w:t>
            </w:r>
          </w:p>
        </w:tc>
        <w:tc>
          <w:tcPr>
            <w:tcW w:type="dxa" w:w="10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0.17</w:t>
            </w:r>
          </w:p>
        </w:tc>
      </w:tr>
      <w:tr>
        <w:trPr>
          <w:trHeight w:hRule="exact" w:val="240"/>
        </w:trPr>
        <w:tc>
          <w:tcPr>
            <w:tcW w:type="dxa" w:w="2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Ireland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9,415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0.35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1,135.8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80.3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1,055.5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10,248</w:t>
            </w:r>
          </w:p>
        </w:tc>
        <w:tc>
          <w:tcPr>
            <w:tcW w:type="dxa" w:w="10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0.36</w:t>
            </w:r>
          </w:p>
        </w:tc>
      </w:tr>
      <w:tr>
        <w:trPr>
          <w:trHeight w:hRule="exact" w:val="232"/>
        </w:trPr>
        <w:tc>
          <w:tcPr>
            <w:tcW w:type="dxa" w:w="2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Israel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7,386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0.28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891.0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62.6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828.4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8,219</w:t>
            </w:r>
          </w:p>
        </w:tc>
        <w:tc>
          <w:tcPr>
            <w:tcW w:type="dxa" w:w="10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0.29</w:t>
            </w:r>
          </w:p>
        </w:tc>
      </w:tr>
      <w:tr>
        <w:trPr>
          <w:trHeight w:hRule="exact" w:val="208"/>
        </w:trPr>
        <w:tc>
          <w:tcPr>
            <w:tcW w:type="dxa" w:w="259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Italy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2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72,444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2.71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8,739.3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641.8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8,097.5 </w:t>
            </w:r>
          </w:p>
        </w:tc>
        <w:tc>
          <w:tcPr>
            <w:tcW w:type="dxa" w:w="11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73,277</w:t>
            </w:r>
          </w:p>
        </w:tc>
        <w:tc>
          <w:tcPr>
            <w:tcW w:type="dxa" w:w="1056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2.58</w:t>
            </w:r>
          </w:p>
        </w:tc>
      </w:tr>
      <w:tr>
        <w:trPr>
          <w:trHeight w:hRule="exact" w:val="220"/>
        </w:trPr>
        <w:tc>
          <w:tcPr>
            <w:tcW w:type="dxa" w:w="259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Jamaica</w:t>
            </w:r>
          </w:p>
        </w:tc>
        <w:tc>
          <w:tcPr>
            <w:tcW w:type="dxa" w:w="92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3,741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0.14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451.3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30.5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420.8 </w:t>
            </w:r>
          </w:p>
        </w:tc>
        <w:tc>
          <w:tcPr>
            <w:tcW w:type="dxa" w:w="11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4,574</w:t>
            </w:r>
          </w:p>
        </w:tc>
        <w:tc>
          <w:tcPr>
            <w:tcW w:type="dxa" w:w="1056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0.16</w:t>
            </w:r>
          </w:p>
        </w:tc>
      </w:tr>
      <w:tr>
        <w:trPr>
          <w:trHeight w:hRule="exact" w:val="240"/>
        </w:trPr>
        <w:tc>
          <w:tcPr>
            <w:tcW w:type="dxa" w:w="259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Japan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2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199,885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7.46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2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24,113.1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1,751.9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22,361.2 </w:t>
            </w:r>
          </w:p>
        </w:tc>
        <w:tc>
          <w:tcPr>
            <w:tcW w:type="dxa" w:w="11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200,718</w:t>
            </w:r>
          </w:p>
        </w:tc>
        <w:tc>
          <w:tcPr>
            <w:tcW w:type="dxa" w:w="1056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7.08</w:t>
            </w:r>
          </w:p>
        </w:tc>
      </w:tr>
      <w:tr>
        <w:trPr>
          <w:trHeight w:hRule="exact" w:val="220"/>
        </w:trPr>
        <w:tc>
          <w:tcPr>
            <w:tcW w:type="dxa" w:w="259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Jordan</w:t>
            </w:r>
          </w:p>
        </w:tc>
        <w:tc>
          <w:tcPr>
            <w:tcW w:type="dxa" w:w="92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2,337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0.09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281.9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16.5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265.4 </w:t>
            </w:r>
          </w:p>
        </w:tc>
        <w:tc>
          <w:tcPr>
            <w:tcW w:type="dxa" w:w="11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3,170</w:t>
            </w:r>
          </w:p>
        </w:tc>
        <w:tc>
          <w:tcPr>
            <w:tcW w:type="dxa" w:w="1056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0.11</w:t>
            </w:r>
          </w:p>
        </w:tc>
      </w:tr>
      <w:tr>
        <w:trPr>
          <w:trHeight w:hRule="exact" w:val="238"/>
        </w:trPr>
        <w:tc>
          <w:tcPr>
            <w:tcW w:type="dxa" w:w="259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Kazakhstan</w:t>
            </w:r>
          </w:p>
        </w:tc>
        <w:tc>
          <w:tcPr>
            <w:tcW w:type="dxa" w:w="92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4,573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0.17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551.7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31.3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520.4 </w:t>
            </w:r>
          </w:p>
        </w:tc>
        <w:tc>
          <w:tcPr>
            <w:tcW w:type="dxa" w:w="11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5,406</w:t>
            </w:r>
          </w:p>
        </w:tc>
        <w:tc>
          <w:tcPr>
            <w:tcW w:type="dxa" w:w="1056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0.19</w:t>
            </w:r>
          </w:p>
        </w:tc>
      </w:tr>
      <w:tr>
        <w:trPr>
          <w:trHeight w:hRule="exact" w:val="222"/>
        </w:trPr>
        <w:tc>
          <w:tcPr>
            <w:tcW w:type="dxa" w:w="2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Kenya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3,435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0.13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414.4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21.1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393.2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4,268</w:t>
            </w:r>
          </w:p>
        </w:tc>
        <w:tc>
          <w:tcPr>
            <w:tcW w:type="dxa" w:w="10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0.15</w:t>
            </w:r>
          </w:p>
        </w:tc>
      </w:tr>
      <w:tr>
        <w:trPr>
          <w:trHeight w:hRule="exact" w:val="200"/>
        </w:trPr>
        <w:tc>
          <w:tcPr>
            <w:tcW w:type="dxa" w:w="2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Kiribati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680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82.0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1.9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80.1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1,513</w:t>
            </w:r>
          </w:p>
        </w:tc>
        <w:tc>
          <w:tcPr>
            <w:tcW w:type="dxa" w:w="10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40"/>
        </w:trPr>
        <w:tc>
          <w:tcPr>
            <w:tcW w:type="dxa" w:w="2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Korea, Republic of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45,285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1.69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5,463.0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389.9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5,073.1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46,118</w:t>
            </w:r>
          </w:p>
        </w:tc>
        <w:tc>
          <w:tcPr>
            <w:tcW w:type="dxa" w:w="10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1.63</w:t>
            </w:r>
          </w:p>
        </w:tc>
      </w:tr>
      <w:tr>
        <w:trPr>
          <w:trHeight w:hRule="exact" w:val="220"/>
        </w:trPr>
        <w:tc>
          <w:tcPr>
            <w:tcW w:type="dxa" w:w="2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Kosovo, Republic of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1,538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185.5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11.5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174.1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2,371</w:t>
            </w:r>
          </w:p>
        </w:tc>
        <w:tc>
          <w:tcPr>
            <w:tcW w:type="dxa" w:w="10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42"/>
        </w:trPr>
        <w:tc>
          <w:tcPr>
            <w:tcW w:type="dxa" w:w="2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Kuwait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19,432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0.73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2,344.2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141.0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2,203.2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20,265</w:t>
            </w:r>
          </w:p>
        </w:tc>
        <w:tc>
          <w:tcPr>
            <w:tcW w:type="dxa" w:w="10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0.71</w:t>
            </w:r>
          </w:p>
        </w:tc>
      </w:tr>
      <w:tr>
        <w:trPr>
          <w:trHeight w:hRule="exact" w:val="218"/>
        </w:trPr>
        <w:tc>
          <w:tcPr>
            <w:tcW w:type="dxa" w:w="259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Kyrgyz Republic</w:t>
            </w:r>
          </w:p>
        </w:tc>
        <w:tc>
          <w:tcPr>
            <w:tcW w:type="dxa" w:w="92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1,107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133.5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5.7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127.9 </w:t>
            </w:r>
          </w:p>
        </w:tc>
        <w:tc>
          <w:tcPr>
            <w:tcW w:type="dxa" w:w="11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1,940</w:t>
            </w:r>
          </w:p>
        </w:tc>
        <w:tc>
          <w:tcPr>
            <w:tcW w:type="dxa" w:w="1056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</w:tr>
      <w:tr>
        <w:trPr>
          <w:trHeight w:hRule="exact" w:val="220"/>
        </w:trPr>
        <w:tc>
          <w:tcPr>
            <w:tcW w:type="dxa" w:w="259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Lao People's Democratic Republic</w:t>
            </w:r>
          </w:p>
        </w:tc>
        <w:tc>
          <w:tcPr>
            <w:tcW w:type="dxa" w:w="92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355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42.8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3.3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39.5 </w:t>
            </w:r>
          </w:p>
        </w:tc>
        <w:tc>
          <w:tcPr>
            <w:tcW w:type="dxa" w:w="11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1,188</w:t>
            </w:r>
          </w:p>
        </w:tc>
        <w:tc>
          <w:tcPr>
            <w:tcW w:type="dxa" w:w="1056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</w:tr>
      <w:tr>
        <w:trPr>
          <w:trHeight w:hRule="exact" w:val="220"/>
        </w:trPr>
        <w:tc>
          <w:tcPr>
            <w:tcW w:type="dxa" w:w="259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Latvia</w:t>
            </w:r>
          </w:p>
        </w:tc>
        <w:tc>
          <w:tcPr>
            <w:tcW w:type="dxa" w:w="92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2,027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244.5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15.3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229.3 </w:t>
            </w:r>
          </w:p>
        </w:tc>
        <w:tc>
          <w:tcPr>
            <w:tcW w:type="dxa" w:w="11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2,860</w:t>
            </w:r>
          </w:p>
        </w:tc>
        <w:tc>
          <w:tcPr>
            <w:tcW w:type="dxa" w:w="1056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</w:tr>
      <w:tr>
        <w:trPr>
          <w:trHeight w:hRule="exact" w:val="240"/>
        </w:trPr>
        <w:tc>
          <w:tcPr>
            <w:tcW w:type="dxa" w:w="259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Lebanon</w:t>
            </w:r>
          </w:p>
        </w:tc>
        <w:tc>
          <w:tcPr>
            <w:tcW w:type="dxa" w:w="92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1,062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128.1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6.3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121.8 </w:t>
            </w:r>
          </w:p>
        </w:tc>
        <w:tc>
          <w:tcPr>
            <w:tcW w:type="dxa" w:w="11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1,895</w:t>
            </w:r>
          </w:p>
        </w:tc>
        <w:tc>
          <w:tcPr>
            <w:tcW w:type="dxa" w:w="1056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</w:tr>
      <w:tr>
        <w:trPr>
          <w:trHeight w:hRule="exact" w:val="228"/>
        </w:trPr>
        <w:tc>
          <w:tcPr>
            <w:tcW w:type="dxa" w:w="259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Lesotho</w:t>
            </w:r>
          </w:p>
        </w:tc>
        <w:tc>
          <w:tcPr>
            <w:tcW w:type="dxa" w:w="92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1,057</w:t>
            </w:r>
          </w:p>
        </w:tc>
        <w:tc>
          <w:tcPr>
            <w:tcW w:type="dxa" w:w="8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1060"/>
            <w:gridSpan w:val="3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127.5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4.6 </w:t>
            </w:r>
          </w:p>
        </w:tc>
        <w:tc>
          <w:tcPr>
            <w:tcW w:type="dxa" w:w="9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122.9 </w:t>
            </w:r>
          </w:p>
        </w:tc>
        <w:tc>
          <w:tcPr>
            <w:tcW w:type="dxa" w:w="11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1,890</w:t>
            </w:r>
          </w:p>
        </w:tc>
        <w:tc>
          <w:tcPr>
            <w:tcW w:type="dxa" w:w="1056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</w:tr>
      <w:tr>
        <w:trPr>
          <w:trHeight w:hRule="exact" w:val="212"/>
        </w:trPr>
        <w:tc>
          <w:tcPr>
            <w:tcW w:type="dxa" w:w="2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Liberia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606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73.1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3.6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69.5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1,439</w:t>
            </w:r>
          </w:p>
        </w:tc>
        <w:tc>
          <w:tcPr>
            <w:tcW w:type="dxa" w:w="10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20"/>
        </w:trPr>
        <w:tc>
          <w:tcPr>
            <w:tcW w:type="dxa" w:w="2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Libya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9,935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0.37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1,198.5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72.1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1,126.4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10,768</w:t>
            </w:r>
          </w:p>
        </w:tc>
        <w:tc>
          <w:tcPr>
            <w:tcW w:type="dxa" w:w="10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0.38</w:t>
            </w:r>
          </w:p>
        </w:tc>
      </w:tr>
      <w:tr>
        <w:trPr>
          <w:trHeight w:hRule="exact" w:val="220"/>
        </w:trPr>
        <w:tc>
          <w:tcPr>
            <w:tcW w:type="dxa" w:w="2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Lithuania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2,258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272.4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17.3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255.1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3,091</w:t>
            </w:r>
          </w:p>
        </w:tc>
        <w:tc>
          <w:tcPr>
            <w:tcW w:type="dxa" w:w="10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0.11</w:t>
            </w:r>
          </w:p>
        </w:tc>
      </w:tr>
      <w:tr>
        <w:trPr>
          <w:trHeight w:hRule="exact" w:val="240"/>
        </w:trPr>
        <w:tc>
          <w:tcPr>
            <w:tcW w:type="dxa" w:w="2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Luxembourg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2,806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338.5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22.1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316.4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3,639</w:t>
            </w:r>
          </w:p>
        </w:tc>
        <w:tc>
          <w:tcPr>
            <w:tcW w:type="dxa" w:w="10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0.13</w:t>
            </w:r>
          </w:p>
        </w:tc>
      </w:tr>
      <w:tr>
        <w:trPr>
          <w:trHeight w:hRule="exact" w:val="234"/>
        </w:trPr>
        <w:tc>
          <w:tcPr>
            <w:tcW w:type="dxa" w:w="25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Madagascar</w:t>
            </w:r>
          </w:p>
        </w:tc>
        <w:tc>
          <w:tcPr>
            <w:tcW w:type="dxa" w:w="9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2,506</w:t>
            </w:r>
          </w:p>
        </w:tc>
        <w:tc>
          <w:tcPr>
            <w:tcW w:type="dxa" w:w="8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0.09</w:t>
            </w:r>
          </w:p>
        </w:tc>
        <w:tc>
          <w:tcPr>
            <w:tcW w:type="dxa" w:w="106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302.3 </w:t>
            </w:r>
          </w:p>
        </w:tc>
        <w:tc>
          <w:tcPr>
            <w:tcW w:type="dxa" w:w="9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18.0 </w:t>
            </w:r>
          </w:p>
        </w:tc>
        <w:tc>
          <w:tcPr>
            <w:tcW w:type="dxa" w:w="9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284.4 </w:t>
            </w:r>
          </w:p>
        </w:tc>
        <w:tc>
          <w:tcPr>
            <w:tcW w:type="dxa" w:w="11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3,339</w:t>
            </w:r>
          </w:p>
        </w:tc>
        <w:tc>
          <w:tcPr>
            <w:tcW w:type="dxa" w:w="105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0.12</w:t>
            </w:r>
          </w:p>
        </w:tc>
      </w:tr>
      <w:tr>
        <w:trPr>
          <w:trHeight w:hRule="exact" w:val="596"/>
        </w:trPr>
        <w:tc>
          <w:tcPr>
            <w:tcW w:type="dxa" w:w="25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98"/>
            <w:gridSpan w:val="10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82" w:after="0"/>
              <w:ind w:left="6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2024</w:t>
            </w:r>
          </w:p>
        </w:tc>
        <w:tc>
          <w:tcPr>
            <w:tcW w:type="dxa" w:w="73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6" w:right="124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98" w:lineRule="exact" w:before="16" w:after="0"/>
        <w:ind w:left="10" w:right="273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STATEMENT OF SUBSCRIPTIONS TO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CAPITAL STOCK AND VOTING POWER (continued) </w:t>
      </w:r>
      <w:r>
        <w:rPr>
          <w:rFonts w:ascii="Arial" w:hAnsi="Arial" w:eastAsia="Arial"/>
          <w:b w:val="0"/>
          <w:i/>
          <w:color w:val="000000"/>
          <w:sz w:val="20"/>
        </w:rPr>
        <w:t>June 30, 2024</w:t>
      </w:r>
    </w:p>
    <w:p>
      <w:pPr>
        <w:autoSpaceDN w:val="0"/>
        <w:autoSpaceDE w:val="0"/>
        <w:widowControl/>
        <w:spacing w:line="202" w:lineRule="exact" w:before="260" w:after="36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0"/>
        </w:trPr>
        <w:tc>
          <w:tcPr>
            <w:tcW w:type="dxa" w:w="71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88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Subscriptions</w:t>
            </w:r>
          </w:p>
        </w:tc>
        <w:tc>
          <w:tcPr>
            <w:tcW w:type="dxa" w:w="2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Voting Power</w:t>
            </w:r>
          </w:p>
        </w:tc>
      </w:tr>
    </w:tbl>
    <w:p>
      <w:pPr>
        <w:autoSpaceDN w:val="0"/>
        <w:autoSpaceDE w:val="0"/>
        <w:widowControl/>
        <w:spacing w:line="180" w:lineRule="exact" w:before="42" w:after="6"/>
        <w:ind w:left="0" w:right="2422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Amounts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</w:tblGrid>
      <w:tr>
        <w:trPr>
          <w:trHeight w:hRule="exact" w:val="174"/>
        </w:trPr>
        <w:tc>
          <w:tcPr>
            <w:tcW w:type="dxa" w:w="33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Number of 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Percentage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Total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8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Amounts </w:t>
            </w:r>
          </w:p>
        </w:tc>
        <w:tc>
          <w:tcPr>
            <w:tcW w:type="dxa" w:w="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subject to 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Number of 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Percentage </w:t>
            </w:r>
          </w:p>
        </w:tc>
      </w:tr>
      <w:tr>
        <w:trPr>
          <w:trHeight w:hRule="exact" w:val="234"/>
        </w:trPr>
        <w:tc>
          <w:tcPr>
            <w:tcW w:type="dxa" w:w="249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Member</w:t>
            </w:r>
          </w:p>
        </w:tc>
        <w:tc>
          <w:tcPr>
            <w:tcW w:type="dxa" w:w="86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shares</w:t>
            </w:r>
          </w:p>
        </w:tc>
        <w:tc>
          <w:tcPr>
            <w:tcW w:type="dxa" w:w="90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of total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1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10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amounts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9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6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paid in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a,b</w:t>
            </w:r>
          </w:p>
        </w:tc>
        <w:tc>
          <w:tcPr>
            <w:tcW w:type="dxa" w:w="860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call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a, b</w:t>
            </w:r>
          </w:p>
        </w:tc>
        <w:tc>
          <w:tcPr>
            <w:tcW w:type="dxa" w:w="114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30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votes</w:t>
            </w:r>
          </w:p>
        </w:tc>
        <w:tc>
          <w:tcPr>
            <w:tcW w:type="dxa" w:w="11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8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of total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</w:tr>
      <w:tr>
        <w:trPr>
          <w:trHeight w:hRule="exact" w:val="206"/>
        </w:trPr>
        <w:tc>
          <w:tcPr>
            <w:tcW w:type="dxa" w:w="2490"/>
            <w:gridSpan w:val="2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Malawi</w:t>
            </w:r>
          </w:p>
        </w:tc>
        <w:tc>
          <w:tcPr>
            <w:tcW w:type="dxa" w:w="860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1,722</w:t>
            </w:r>
          </w:p>
        </w:tc>
        <w:tc>
          <w:tcPr>
            <w:tcW w:type="dxa" w:w="1402"/>
            <w:gridSpan w:val="2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gridSpan w:val="2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207.7 $ </w:t>
            </w:r>
          </w:p>
        </w:tc>
        <w:tc>
          <w:tcPr>
            <w:tcW w:type="dxa" w:w="884"/>
            <w:gridSpan w:val="2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10.2 $ </w:t>
            </w:r>
          </w:p>
        </w:tc>
        <w:tc>
          <w:tcPr>
            <w:tcW w:type="dxa" w:w="654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197.5 </w:t>
            </w:r>
          </w:p>
        </w:tc>
        <w:tc>
          <w:tcPr>
            <w:tcW w:type="dxa" w:w="1140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2,555</w:t>
            </w:r>
          </w:p>
        </w:tc>
        <w:tc>
          <w:tcPr>
            <w:tcW w:type="dxa" w:w="1110"/>
            <w:tcBorders>
              <w:top w:sz="8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0.09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</w:tr>
      <w:tr>
        <w:trPr>
          <w:trHeight w:hRule="exact" w:val="240"/>
        </w:trPr>
        <w:tc>
          <w:tcPr>
            <w:tcW w:type="dxa" w:w="249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Malaysia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10,447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0.39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1,260.3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75.4 </w:t>
            </w:r>
          </w:p>
        </w:tc>
        <w:tc>
          <w:tcPr>
            <w:tcW w:type="dxa" w:w="8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1,184.8 </w:t>
            </w:r>
          </w:p>
        </w:tc>
        <w:tc>
          <w:tcPr>
            <w:tcW w:type="dxa" w:w="11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11,280</w:t>
            </w:r>
          </w:p>
        </w:tc>
        <w:tc>
          <w:tcPr>
            <w:tcW w:type="dxa" w:w="11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0.40</w:t>
            </w:r>
          </w:p>
        </w:tc>
      </w:tr>
      <w:tr>
        <w:trPr>
          <w:trHeight w:hRule="exact" w:val="220"/>
        </w:trPr>
        <w:tc>
          <w:tcPr>
            <w:tcW w:type="dxa" w:w="249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Maldives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525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63.3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2.0 </w:t>
            </w:r>
          </w:p>
        </w:tc>
        <w:tc>
          <w:tcPr>
            <w:tcW w:type="dxa" w:w="8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61.3 </w:t>
            </w:r>
          </w:p>
        </w:tc>
        <w:tc>
          <w:tcPr>
            <w:tcW w:type="dxa" w:w="11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1,358</w:t>
            </w:r>
          </w:p>
        </w:tc>
        <w:tc>
          <w:tcPr>
            <w:tcW w:type="dxa" w:w="11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20"/>
        </w:trPr>
        <w:tc>
          <w:tcPr>
            <w:tcW w:type="dxa" w:w="249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Mali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2,035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245.5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14.1 </w:t>
            </w:r>
          </w:p>
        </w:tc>
        <w:tc>
          <w:tcPr>
            <w:tcW w:type="dxa" w:w="8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231.4 </w:t>
            </w:r>
          </w:p>
        </w:tc>
        <w:tc>
          <w:tcPr>
            <w:tcW w:type="dxa" w:w="11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2,868</w:t>
            </w:r>
          </w:p>
        </w:tc>
        <w:tc>
          <w:tcPr>
            <w:tcW w:type="dxa" w:w="11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</w:tr>
      <w:tr>
        <w:trPr>
          <w:trHeight w:hRule="exact" w:val="238"/>
        </w:trPr>
        <w:tc>
          <w:tcPr>
            <w:tcW w:type="dxa" w:w="249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Malta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1,533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184.9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10.9 </w:t>
            </w:r>
          </w:p>
        </w:tc>
        <w:tc>
          <w:tcPr>
            <w:tcW w:type="dxa" w:w="8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174.0 </w:t>
            </w:r>
          </w:p>
        </w:tc>
        <w:tc>
          <w:tcPr>
            <w:tcW w:type="dxa" w:w="11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2,366</w:t>
            </w:r>
          </w:p>
        </w:tc>
        <w:tc>
          <w:tcPr>
            <w:tcW w:type="dxa" w:w="11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22"/>
        </w:trPr>
        <w:tc>
          <w:tcPr>
            <w:tcW w:type="dxa" w:w="2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Marshall Islands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469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56.6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0.9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55.7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1,302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20"/>
        </w:trPr>
        <w:tc>
          <w:tcPr>
            <w:tcW w:type="dxa" w:w="2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Mauritania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1,308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157.8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6.1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151.7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2,141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20"/>
        </w:trPr>
        <w:tc>
          <w:tcPr>
            <w:tcW w:type="dxa" w:w="2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Mauritius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1,780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214.7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13.1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201.6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2,613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0.09</w:t>
            </w:r>
          </w:p>
        </w:tc>
      </w:tr>
      <w:tr>
        <w:trPr>
          <w:trHeight w:hRule="exact" w:val="220"/>
        </w:trPr>
        <w:tc>
          <w:tcPr>
            <w:tcW w:type="dxa" w:w="2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Mexico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40,119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4,839.8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291.1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4,548.6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40,952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1.44</w:t>
            </w:r>
          </w:p>
        </w:tc>
      </w:tr>
      <w:tr>
        <w:trPr>
          <w:trHeight w:hRule="exact" w:val="242"/>
        </w:trPr>
        <w:tc>
          <w:tcPr>
            <w:tcW w:type="dxa" w:w="2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Micronesia, Federated States of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479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57.8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1.0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56.8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1,312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18"/>
        </w:trPr>
        <w:tc>
          <w:tcPr>
            <w:tcW w:type="dxa" w:w="249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Moldova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2,129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256.8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12.8 </w:t>
            </w:r>
          </w:p>
        </w:tc>
        <w:tc>
          <w:tcPr>
            <w:tcW w:type="dxa" w:w="8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244.0 </w:t>
            </w:r>
          </w:p>
        </w:tc>
        <w:tc>
          <w:tcPr>
            <w:tcW w:type="dxa" w:w="11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2,962</w:t>
            </w:r>
          </w:p>
        </w:tc>
        <w:tc>
          <w:tcPr>
            <w:tcW w:type="dxa" w:w="11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</w:tr>
      <w:tr>
        <w:trPr>
          <w:trHeight w:hRule="exact" w:val="220"/>
        </w:trPr>
        <w:tc>
          <w:tcPr>
            <w:tcW w:type="dxa" w:w="249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Mongolia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829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100.0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5.6 </w:t>
            </w:r>
          </w:p>
        </w:tc>
        <w:tc>
          <w:tcPr>
            <w:tcW w:type="dxa" w:w="8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94.4 </w:t>
            </w:r>
          </w:p>
        </w:tc>
        <w:tc>
          <w:tcPr>
            <w:tcW w:type="dxa" w:w="11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1,662</w:t>
            </w:r>
          </w:p>
        </w:tc>
        <w:tc>
          <w:tcPr>
            <w:tcW w:type="dxa" w:w="11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20"/>
        </w:trPr>
        <w:tc>
          <w:tcPr>
            <w:tcW w:type="dxa" w:w="249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Montenegro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971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117.1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6.6 </w:t>
            </w:r>
          </w:p>
        </w:tc>
        <w:tc>
          <w:tcPr>
            <w:tcW w:type="dxa" w:w="8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110.5 </w:t>
            </w:r>
          </w:p>
        </w:tc>
        <w:tc>
          <w:tcPr>
            <w:tcW w:type="dxa" w:w="11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1,804</w:t>
            </w:r>
          </w:p>
        </w:tc>
        <w:tc>
          <w:tcPr>
            <w:tcW w:type="dxa" w:w="11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40"/>
        </w:trPr>
        <w:tc>
          <w:tcPr>
            <w:tcW w:type="dxa" w:w="249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Morocco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8,069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0.30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973.4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66.8 </w:t>
            </w:r>
          </w:p>
        </w:tc>
        <w:tc>
          <w:tcPr>
            <w:tcW w:type="dxa" w:w="8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906.6 </w:t>
            </w:r>
          </w:p>
        </w:tc>
        <w:tc>
          <w:tcPr>
            <w:tcW w:type="dxa" w:w="11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8,902</w:t>
            </w:r>
          </w:p>
        </w:tc>
        <w:tc>
          <w:tcPr>
            <w:tcW w:type="dxa" w:w="11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0.31</w:t>
            </w:r>
          </w:p>
        </w:tc>
      </w:tr>
      <w:tr>
        <w:trPr>
          <w:trHeight w:hRule="exact" w:val="228"/>
        </w:trPr>
        <w:tc>
          <w:tcPr>
            <w:tcW w:type="dxa" w:w="249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Mozambique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1,332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160.7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6.8 </w:t>
            </w:r>
          </w:p>
        </w:tc>
        <w:tc>
          <w:tcPr>
            <w:tcW w:type="dxa" w:w="8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153.9 </w:t>
            </w:r>
          </w:p>
        </w:tc>
        <w:tc>
          <w:tcPr>
            <w:tcW w:type="dxa" w:w="11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2,165</w:t>
            </w:r>
          </w:p>
        </w:tc>
        <w:tc>
          <w:tcPr>
            <w:tcW w:type="dxa" w:w="11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12"/>
        </w:trPr>
        <w:tc>
          <w:tcPr>
            <w:tcW w:type="dxa" w:w="2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Myanmar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3,465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0.13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418.0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21.4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396.6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4,298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0.15</w:t>
            </w:r>
          </w:p>
        </w:tc>
      </w:tr>
      <w:tr>
        <w:trPr>
          <w:trHeight w:hRule="exact" w:val="220"/>
        </w:trPr>
        <w:tc>
          <w:tcPr>
            <w:tcW w:type="dxa" w:w="2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Namibia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1,930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232.8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11.7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221.1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2,763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</w:tr>
      <w:tr>
        <w:trPr>
          <w:trHeight w:hRule="exact" w:val="240"/>
        </w:trPr>
        <w:tc>
          <w:tcPr>
            <w:tcW w:type="dxa" w:w="2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Nauru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586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70.7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2.4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68.3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1,419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00"/>
        </w:trPr>
        <w:tc>
          <w:tcPr>
            <w:tcW w:type="dxa" w:w="2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Nepal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1,466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176.9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7.7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169.1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2,299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52"/>
        </w:trPr>
        <w:tc>
          <w:tcPr>
            <w:tcW w:type="dxa" w:w="2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Netherlands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 xml:space="preserve"> c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54,111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2.02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6,527.7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475.4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6,052.3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54,944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1.94</w:t>
            </w:r>
          </w:p>
        </w:tc>
      </w:tr>
      <w:tr>
        <w:trPr>
          <w:trHeight w:hRule="exact" w:val="208"/>
        </w:trPr>
        <w:tc>
          <w:tcPr>
            <w:tcW w:type="dxa" w:w="249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New Zealand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11,261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0.42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1,358.5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96.8 </w:t>
            </w:r>
          </w:p>
        </w:tc>
        <w:tc>
          <w:tcPr>
            <w:tcW w:type="dxa" w:w="8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1,261.6 </w:t>
            </w:r>
          </w:p>
        </w:tc>
        <w:tc>
          <w:tcPr>
            <w:tcW w:type="dxa" w:w="11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12,094</w:t>
            </w:r>
          </w:p>
        </w:tc>
        <w:tc>
          <w:tcPr>
            <w:tcW w:type="dxa" w:w="11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0.43</w:t>
            </w:r>
          </w:p>
        </w:tc>
      </w:tr>
      <w:tr>
        <w:trPr>
          <w:trHeight w:hRule="exact" w:val="240"/>
        </w:trPr>
        <w:tc>
          <w:tcPr>
            <w:tcW w:type="dxa" w:w="249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Nicaragua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999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120.5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5.3 </w:t>
            </w:r>
          </w:p>
        </w:tc>
        <w:tc>
          <w:tcPr>
            <w:tcW w:type="dxa" w:w="8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115.2 </w:t>
            </w:r>
          </w:p>
        </w:tc>
        <w:tc>
          <w:tcPr>
            <w:tcW w:type="dxa" w:w="11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1,832</w:t>
            </w:r>
          </w:p>
        </w:tc>
        <w:tc>
          <w:tcPr>
            <w:tcW w:type="dxa" w:w="11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20"/>
        </w:trPr>
        <w:tc>
          <w:tcPr>
            <w:tcW w:type="dxa" w:w="249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Niger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1,233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148.7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5.6 </w:t>
            </w:r>
          </w:p>
        </w:tc>
        <w:tc>
          <w:tcPr>
            <w:tcW w:type="dxa" w:w="8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143.1 </w:t>
            </w:r>
          </w:p>
        </w:tc>
        <w:tc>
          <w:tcPr>
            <w:tcW w:type="dxa" w:w="11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2,066</w:t>
            </w:r>
          </w:p>
        </w:tc>
        <w:tc>
          <w:tcPr>
            <w:tcW w:type="dxa" w:w="11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</w:tr>
      <w:tr>
        <w:trPr>
          <w:trHeight w:hRule="exact" w:val="220"/>
        </w:trPr>
        <w:tc>
          <w:tcPr>
            <w:tcW w:type="dxa" w:w="249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Nigeria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19,417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0.73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2,342.4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168.0 </w:t>
            </w:r>
          </w:p>
        </w:tc>
        <w:tc>
          <w:tcPr>
            <w:tcW w:type="dxa" w:w="8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2,174.3 </w:t>
            </w:r>
          </w:p>
        </w:tc>
        <w:tc>
          <w:tcPr>
            <w:tcW w:type="dxa" w:w="11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20,250</w:t>
            </w:r>
          </w:p>
        </w:tc>
        <w:tc>
          <w:tcPr>
            <w:tcW w:type="dxa" w:w="11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0.71</w:t>
            </w:r>
          </w:p>
        </w:tc>
      </w:tr>
      <w:tr>
        <w:trPr>
          <w:trHeight w:hRule="exact" w:val="238"/>
        </w:trPr>
        <w:tc>
          <w:tcPr>
            <w:tcW w:type="dxa" w:w="249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North Macedonia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641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77.3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5.7 </w:t>
            </w:r>
          </w:p>
        </w:tc>
        <w:tc>
          <w:tcPr>
            <w:tcW w:type="dxa" w:w="8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71.7 </w:t>
            </w:r>
          </w:p>
        </w:tc>
        <w:tc>
          <w:tcPr>
            <w:tcW w:type="dxa" w:w="11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1,474</w:t>
            </w:r>
          </w:p>
        </w:tc>
        <w:tc>
          <w:tcPr>
            <w:tcW w:type="dxa" w:w="11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22"/>
        </w:trPr>
        <w:tc>
          <w:tcPr>
            <w:tcW w:type="dxa" w:w="2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Norway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16,746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0.63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2,020.2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145.0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1,875.1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17,579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0.62</w:t>
            </w:r>
          </w:p>
        </w:tc>
      </w:tr>
      <w:tr>
        <w:trPr>
          <w:trHeight w:hRule="exact" w:val="220"/>
        </w:trPr>
        <w:tc>
          <w:tcPr>
            <w:tcW w:type="dxa" w:w="2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Oman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1,978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238.6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12.1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226.5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2,811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</w:tr>
      <w:tr>
        <w:trPr>
          <w:trHeight w:hRule="exact" w:val="220"/>
        </w:trPr>
        <w:tc>
          <w:tcPr>
            <w:tcW w:type="dxa" w:w="2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Pakistan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13,906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0.52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1,677.6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118.4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1,559.1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14,739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0.52</w:t>
            </w:r>
          </w:p>
        </w:tc>
      </w:tr>
      <w:tr>
        <w:trPr>
          <w:trHeight w:hRule="exact" w:val="220"/>
        </w:trPr>
        <w:tc>
          <w:tcPr>
            <w:tcW w:type="dxa" w:w="2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Palau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1.9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0.2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1.8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849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</w:tr>
      <w:tr>
        <w:trPr>
          <w:trHeight w:hRule="exact" w:val="242"/>
        </w:trPr>
        <w:tc>
          <w:tcPr>
            <w:tcW w:type="dxa" w:w="2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Panama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1,138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137.3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10.3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127.0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1,971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</w:tr>
      <w:tr>
        <w:trPr>
          <w:trHeight w:hRule="exact" w:val="218"/>
        </w:trPr>
        <w:tc>
          <w:tcPr>
            <w:tcW w:type="dxa" w:w="249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Papua New Guinea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2,273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274.2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16.1 </w:t>
            </w:r>
          </w:p>
        </w:tc>
        <w:tc>
          <w:tcPr>
            <w:tcW w:type="dxa" w:w="8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258.1 </w:t>
            </w:r>
          </w:p>
        </w:tc>
        <w:tc>
          <w:tcPr>
            <w:tcW w:type="dxa" w:w="11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3,106</w:t>
            </w:r>
          </w:p>
        </w:tc>
        <w:tc>
          <w:tcPr>
            <w:tcW w:type="dxa" w:w="11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0.11</w:t>
            </w:r>
          </w:p>
        </w:tc>
      </w:tr>
      <w:tr>
        <w:trPr>
          <w:trHeight w:hRule="exact" w:val="220"/>
        </w:trPr>
        <w:tc>
          <w:tcPr>
            <w:tcW w:type="dxa" w:w="249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Paraguay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2,037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245.7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14.1 </w:t>
            </w:r>
          </w:p>
        </w:tc>
        <w:tc>
          <w:tcPr>
            <w:tcW w:type="dxa" w:w="8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231.6 </w:t>
            </w:r>
          </w:p>
        </w:tc>
        <w:tc>
          <w:tcPr>
            <w:tcW w:type="dxa" w:w="11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2,870</w:t>
            </w:r>
          </w:p>
        </w:tc>
        <w:tc>
          <w:tcPr>
            <w:tcW w:type="dxa" w:w="11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</w:tr>
      <w:tr>
        <w:trPr>
          <w:trHeight w:hRule="exact" w:val="220"/>
        </w:trPr>
        <w:tc>
          <w:tcPr>
            <w:tcW w:type="dxa" w:w="249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Peru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9,092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0.34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1,096.8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77.5 </w:t>
            </w:r>
          </w:p>
        </w:tc>
        <w:tc>
          <w:tcPr>
            <w:tcW w:type="dxa" w:w="8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1,019.3 </w:t>
            </w:r>
          </w:p>
        </w:tc>
        <w:tc>
          <w:tcPr>
            <w:tcW w:type="dxa" w:w="11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9,925</w:t>
            </w:r>
          </w:p>
        </w:tc>
        <w:tc>
          <w:tcPr>
            <w:tcW w:type="dxa" w:w="11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0.35</w:t>
            </w:r>
          </w:p>
        </w:tc>
      </w:tr>
      <w:tr>
        <w:trPr>
          <w:trHeight w:hRule="exact" w:val="220"/>
        </w:trPr>
        <w:tc>
          <w:tcPr>
            <w:tcW w:type="dxa" w:w="249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Philippines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11,887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0.44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1,434.0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102.1 </w:t>
            </w:r>
          </w:p>
        </w:tc>
        <w:tc>
          <w:tcPr>
            <w:tcW w:type="dxa" w:w="8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1,331.9 </w:t>
            </w:r>
          </w:p>
        </w:tc>
        <w:tc>
          <w:tcPr>
            <w:tcW w:type="dxa" w:w="11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12,720</w:t>
            </w:r>
          </w:p>
        </w:tc>
        <w:tc>
          <w:tcPr>
            <w:tcW w:type="dxa" w:w="11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0.45</w:t>
            </w:r>
          </w:p>
        </w:tc>
      </w:tr>
      <w:tr>
        <w:trPr>
          <w:trHeight w:hRule="exact" w:val="248"/>
        </w:trPr>
        <w:tc>
          <w:tcPr>
            <w:tcW w:type="dxa" w:w="249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Poland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20,474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0.76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2,469.9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177.1 </w:t>
            </w:r>
          </w:p>
        </w:tc>
        <w:tc>
          <w:tcPr>
            <w:tcW w:type="dxa" w:w="8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2,292.8 </w:t>
            </w:r>
          </w:p>
        </w:tc>
        <w:tc>
          <w:tcPr>
            <w:tcW w:type="dxa" w:w="11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21,307</w:t>
            </w:r>
          </w:p>
        </w:tc>
        <w:tc>
          <w:tcPr>
            <w:tcW w:type="dxa" w:w="11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0.75</w:t>
            </w:r>
          </w:p>
        </w:tc>
      </w:tr>
      <w:tr>
        <w:trPr>
          <w:trHeight w:hRule="exact" w:val="212"/>
        </w:trPr>
        <w:tc>
          <w:tcPr>
            <w:tcW w:type="dxa" w:w="2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Portugal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7,511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0.28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906.1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53.3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852.7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8,344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0.29</w:t>
            </w:r>
          </w:p>
        </w:tc>
      </w:tr>
      <w:tr>
        <w:trPr>
          <w:trHeight w:hRule="exact" w:val="220"/>
        </w:trPr>
        <w:tc>
          <w:tcPr>
            <w:tcW w:type="dxa" w:w="2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Qatar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1,389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167.6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11.1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156.5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2,222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40"/>
        </w:trPr>
        <w:tc>
          <w:tcPr>
            <w:tcW w:type="dxa" w:w="2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Romania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8,210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0.31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990.4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72.4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918.0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9,043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0.32</w:t>
            </w:r>
          </w:p>
        </w:tc>
      </w:tr>
      <w:tr>
        <w:trPr>
          <w:trHeight w:hRule="exact" w:val="220"/>
        </w:trPr>
        <w:tc>
          <w:tcPr>
            <w:tcW w:type="dxa" w:w="2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Russian Federation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79,121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2.95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9,544.8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685.8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8,859.0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79,954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2.82</w:t>
            </w:r>
          </w:p>
        </w:tc>
      </w:tr>
      <w:tr>
        <w:trPr>
          <w:trHeight w:hRule="exact" w:val="232"/>
        </w:trPr>
        <w:tc>
          <w:tcPr>
            <w:tcW w:type="dxa" w:w="2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Rwanda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1,502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181.2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7.5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173.7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2,335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08"/>
        </w:trPr>
        <w:tc>
          <w:tcPr>
            <w:tcW w:type="dxa" w:w="249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St. Kitts and Nevis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275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33.2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0.3 </w:t>
            </w:r>
          </w:p>
        </w:tc>
        <w:tc>
          <w:tcPr>
            <w:tcW w:type="dxa" w:w="8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32.9 </w:t>
            </w:r>
          </w:p>
        </w:tc>
        <w:tc>
          <w:tcPr>
            <w:tcW w:type="dxa" w:w="11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1,108</w:t>
            </w:r>
          </w:p>
        </w:tc>
        <w:tc>
          <w:tcPr>
            <w:tcW w:type="dxa" w:w="11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</w:tr>
      <w:tr>
        <w:trPr>
          <w:trHeight w:hRule="exact" w:val="240"/>
        </w:trPr>
        <w:tc>
          <w:tcPr>
            <w:tcW w:type="dxa" w:w="249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St. Lucia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699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84.3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2.6 </w:t>
            </w:r>
          </w:p>
        </w:tc>
        <w:tc>
          <w:tcPr>
            <w:tcW w:type="dxa" w:w="8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81.7 </w:t>
            </w:r>
          </w:p>
        </w:tc>
        <w:tc>
          <w:tcPr>
            <w:tcW w:type="dxa" w:w="11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1,532</w:t>
            </w:r>
          </w:p>
        </w:tc>
        <w:tc>
          <w:tcPr>
            <w:tcW w:type="dxa" w:w="11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20"/>
        </w:trPr>
        <w:tc>
          <w:tcPr>
            <w:tcW w:type="dxa" w:w="249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St. Vincent and the Grenadines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387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46.7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1.6 </w:t>
            </w:r>
          </w:p>
        </w:tc>
        <w:tc>
          <w:tcPr>
            <w:tcW w:type="dxa" w:w="8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45.1 </w:t>
            </w:r>
          </w:p>
        </w:tc>
        <w:tc>
          <w:tcPr>
            <w:tcW w:type="dxa" w:w="11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1,220</w:t>
            </w:r>
          </w:p>
        </w:tc>
        <w:tc>
          <w:tcPr>
            <w:tcW w:type="dxa" w:w="11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</w:tr>
      <w:tr>
        <w:trPr>
          <w:trHeight w:hRule="exact" w:val="220"/>
        </w:trPr>
        <w:tc>
          <w:tcPr>
            <w:tcW w:type="dxa" w:w="249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Samoa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947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114.2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5.1 </w:t>
            </w:r>
          </w:p>
        </w:tc>
        <w:tc>
          <w:tcPr>
            <w:tcW w:type="dxa" w:w="8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109.2 </w:t>
            </w:r>
          </w:p>
        </w:tc>
        <w:tc>
          <w:tcPr>
            <w:tcW w:type="dxa" w:w="11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1,780</w:t>
            </w:r>
          </w:p>
        </w:tc>
        <w:tc>
          <w:tcPr>
            <w:tcW w:type="dxa" w:w="11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38"/>
        </w:trPr>
        <w:tc>
          <w:tcPr>
            <w:tcW w:type="dxa" w:w="249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San Marino</w:t>
            </w:r>
          </w:p>
        </w:tc>
        <w:tc>
          <w:tcPr>
            <w:tcW w:type="dxa" w:w="8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595</w:t>
            </w:r>
          </w:p>
        </w:tc>
        <w:tc>
          <w:tcPr>
            <w:tcW w:type="dxa" w:w="90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10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71.8 </w:t>
            </w:r>
          </w:p>
        </w:tc>
        <w:tc>
          <w:tcPr>
            <w:tcW w:type="dxa" w:w="98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2.5 </w:t>
            </w:r>
          </w:p>
        </w:tc>
        <w:tc>
          <w:tcPr>
            <w:tcW w:type="dxa" w:w="860"/>
            <w:gridSpan w:val="2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69.3 </w:t>
            </w:r>
          </w:p>
        </w:tc>
        <w:tc>
          <w:tcPr>
            <w:tcW w:type="dxa" w:w="114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1,428</w:t>
            </w:r>
          </w:p>
        </w:tc>
        <w:tc>
          <w:tcPr>
            <w:tcW w:type="dxa" w:w="11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22"/>
        </w:trPr>
        <w:tc>
          <w:tcPr>
            <w:tcW w:type="dxa" w:w="2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Sao Tome and Principe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705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85.0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2.2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82.9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1,538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20"/>
        </w:trPr>
        <w:tc>
          <w:tcPr>
            <w:tcW w:type="dxa" w:w="2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Saudi Arabia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76,967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2.87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9,284.9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668.3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8,616.6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77,800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2.74</w:t>
            </w:r>
          </w:p>
        </w:tc>
      </w:tr>
      <w:tr>
        <w:trPr>
          <w:trHeight w:hRule="exact" w:val="220"/>
        </w:trPr>
        <w:tc>
          <w:tcPr>
            <w:tcW w:type="dxa" w:w="2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Senegal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2,942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0.11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354.9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17.5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337.4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3,775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0.13</w:t>
            </w:r>
          </w:p>
        </w:tc>
      </w:tr>
      <w:tr>
        <w:trPr>
          <w:trHeight w:hRule="exact" w:val="220"/>
        </w:trPr>
        <w:tc>
          <w:tcPr>
            <w:tcW w:type="dxa" w:w="2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Serbia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4,133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0.15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498.6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36.6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462.0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4,966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0.18</w:t>
            </w:r>
          </w:p>
        </w:tc>
      </w:tr>
      <w:tr>
        <w:trPr>
          <w:trHeight w:hRule="exact" w:val="244"/>
        </w:trPr>
        <w:tc>
          <w:tcPr>
            <w:tcW w:type="dxa" w:w="249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Seychelles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263</w:t>
            </w:r>
          </w:p>
        </w:tc>
        <w:tc>
          <w:tcPr>
            <w:tcW w:type="dxa" w:w="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31.7 </w:t>
            </w:r>
          </w:p>
        </w:tc>
        <w:tc>
          <w:tcPr>
            <w:tcW w:type="dxa" w:w="9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0.2 </w:t>
            </w:r>
          </w:p>
        </w:tc>
        <w:tc>
          <w:tcPr>
            <w:tcW w:type="dxa" w:w="8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31.6 </w:t>
            </w:r>
          </w:p>
        </w:tc>
        <w:tc>
          <w:tcPr>
            <w:tcW w:type="dxa" w:w="11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1,096</w:t>
            </w:r>
          </w:p>
        </w:tc>
        <w:tc>
          <w:tcPr>
            <w:tcW w:type="dxa" w:w="11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</w:tr>
      <w:tr>
        <w:trPr>
          <w:trHeight w:hRule="exact" w:val="566"/>
        </w:trPr>
        <w:tc>
          <w:tcPr>
            <w:tcW w:type="dxa" w:w="3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88</w:t>
            </w:r>
          </w:p>
        </w:tc>
        <w:tc>
          <w:tcPr>
            <w:tcW w:type="dxa" w:w="6880"/>
            <w:gridSpan w:val="9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52" w:after="0"/>
              <w:ind w:left="5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2024</w:t>
            </w:r>
          </w:p>
        </w:tc>
        <w:tc>
          <w:tcPr>
            <w:tcW w:type="dxa" w:w="11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6" w:right="135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98" w:lineRule="exact" w:before="16" w:after="0"/>
        <w:ind w:left="10" w:right="273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STATEMENT OF SUBSCRIPTIONS TO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CAPITAL STOCK AND VOTING POWER (continued) </w:t>
      </w:r>
      <w:r>
        <w:rPr>
          <w:rFonts w:ascii="Arial" w:hAnsi="Arial" w:eastAsia="Arial"/>
          <w:b w:val="0"/>
          <w:i/>
          <w:color w:val="000000"/>
          <w:sz w:val="20"/>
        </w:rPr>
        <w:t>June 30, 2024</w:t>
      </w:r>
    </w:p>
    <w:p>
      <w:pPr>
        <w:autoSpaceDN w:val="0"/>
        <w:autoSpaceDE w:val="0"/>
        <w:widowControl/>
        <w:spacing w:line="202" w:lineRule="exact" w:before="260" w:after="36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1"/>
        <w:gridCol w:w="1181"/>
        <w:gridCol w:w="1181"/>
        <w:gridCol w:w="1181"/>
        <w:gridCol w:w="1181"/>
        <w:gridCol w:w="1181"/>
        <w:gridCol w:w="1181"/>
        <w:gridCol w:w="1181"/>
      </w:tblGrid>
      <w:tr>
        <w:trPr>
          <w:trHeight w:hRule="exact" w:val="240"/>
        </w:trPr>
        <w:tc>
          <w:tcPr>
            <w:tcW w:type="dxa" w:w="238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Subscriptions</w:t>
            </w:r>
          </w:p>
        </w:tc>
        <w:tc>
          <w:tcPr>
            <w:tcW w:type="dxa" w:w="88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1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220"/>
            <w:gridSpan w:val="2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69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Voting Power</w:t>
            </w:r>
          </w:p>
        </w:tc>
      </w:tr>
      <w:tr>
        <w:trPr>
          <w:trHeight w:hRule="exact" w:val="335"/>
        </w:trPr>
        <w:tc>
          <w:tcPr>
            <w:tcW w:type="dxa" w:w="2386"/>
            <w:vMerge w:val="restart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Member</w:t>
            </w:r>
          </w:p>
        </w:tc>
        <w:tc>
          <w:tcPr>
            <w:tcW w:type="dxa" w:w="844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Number </w:t>
            </w:r>
          </w:p>
        </w:tc>
        <w:tc>
          <w:tcPr>
            <w:tcW w:type="dxa" w:w="102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Percentage </w:t>
            </w:r>
          </w:p>
        </w:tc>
        <w:tc>
          <w:tcPr>
            <w:tcW w:type="dxa" w:w="1060"/>
            <w:vMerge w:val="restart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Total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amounts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880"/>
            <w:vMerge w:val="restart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Amounts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paid in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a,b</w:t>
            </w:r>
          </w:p>
        </w:tc>
        <w:tc>
          <w:tcPr>
            <w:tcW w:type="dxa" w:w="1016"/>
            <w:vMerge w:val="restart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44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Amounts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subject to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call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a, b</w:t>
            </w:r>
          </w:p>
        </w:tc>
        <w:tc>
          <w:tcPr>
            <w:tcW w:type="dxa" w:w="1064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4" w:after="0"/>
              <w:ind w:left="1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Number of </w:t>
            </w:r>
          </w:p>
        </w:tc>
        <w:tc>
          <w:tcPr>
            <w:tcW w:type="dxa" w:w="1156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4" w:after="0"/>
              <w:ind w:left="10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Percentage </w:t>
            </w:r>
          </w:p>
        </w:tc>
      </w:tr>
      <w:tr>
        <w:trPr>
          <w:trHeight w:hRule="exact" w:val="251"/>
        </w:trPr>
        <w:tc>
          <w:tcPr>
            <w:tcW w:type="dxa" w:w="1181"/>
            <w:vMerge/>
            <w:tcBorders>
              <w:top w:sz="8.0" w:val="single" w:color="#000000"/>
            </w:tcBorders>
          </w:tcPr>
          <w:p/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of shares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of total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181"/>
            <w:vMerge/>
            <w:tcBorders>
              <w:top w:sz="8.0" w:val="single" w:color="#000000"/>
            </w:tcBorders>
          </w:tcPr>
          <w:p/>
        </w:tc>
        <w:tc>
          <w:tcPr>
            <w:tcW w:type="dxa" w:w="1181"/>
            <w:vMerge/>
            <w:tcBorders>
              <w:top w:sz="8.0" w:val="single" w:color="#000000"/>
            </w:tcBorders>
          </w:tcPr>
          <w:p/>
        </w:tc>
        <w:tc>
          <w:tcPr>
            <w:tcW w:type="dxa" w:w="1181"/>
            <w:vMerge/>
            <w:tcBorders>
              <w:top w:sz="8.0" w:val="single" w:color="#000000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votes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of total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1"/>
        <w:gridCol w:w="2361"/>
        <w:gridCol w:w="2361"/>
        <w:gridCol w:w="2361"/>
      </w:tblGrid>
      <w:tr>
        <w:trPr>
          <w:trHeight w:hRule="exact" w:val="1140"/>
        </w:trPr>
        <w:tc>
          <w:tcPr>
            <w:tcW w:type="dxa" w:w="3250"/>
            <w:tcBorders>
              <w:top w:sz="8.0" w:val="single" w:color="#000000"/>
              <w:end w:sz="24.0" w:val="single" w:color="#D8D8D8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625"/>
              <w:gridCol w:w="1625"/>
            </w:tblGrid>
            <w:tr>
              <w:trPr>
                <w:trHeight w:hRule="exact" w:val="1120"/>
              </w:trPr>
              <w:tc>
                <w:tcPr>
                  <w:tcW w:type="dxa" w:w="2384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5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Sierra Leone</w:t>
                  </w:r>
                </w:p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52" w:right="1008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Singapore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Slovak Republic </w:t>
                  </w:r>
                  <w:r>
                    <w:rPr>
                      <w:w w:val="103.99999618530273"/>
                      <w:rFonts w:ascii="ArialMT" w:hAnsi="ArialMT" w:eastAsia="ArialMT"/>
                      <w:b w:val="0"/>
                      <w:i w:val="0"/>
                      <w:color w:val="000000"/>
                      <w:sz w:val="10"/>
                    </w:rPr>
                    <w:t xml:space="preserve">c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Slovenia </w:t>
                  </w:r>
                  <w:r>
                    <w:rPr>
                      <w:w w:val="103.99999618530273"/>
                      <w:rFonts w:ascii="ArialMT" w:hAnsi="ArialMT" w:eastAsia="ArialMT"/>
                      <w:b w:val="0"/>
                      <w:i w:val="0"/>
                      <w:color w:val="000000"/>
                      <w:sz w:val="10"/>
                    </w:rPr>
                    <w:t xml:space="preserve">c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Solomon Islands</w:t>
                  </w:r>
                </w:p>
              </w:tc>
              <w:tc>
                <w:tcPr>
                  <w:tcW w:type="dxa" w:w="826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0" w:after="0"/>
                    <w:ind w:left="288" w:right="5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1,043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7,109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4,785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2,037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729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74"/>
            <w:tcBorders>
              <w:start w:sz="24.0" w:val="single" w:color="#D8D8D8"/>
              <w:top w:sz="8.0" w:val="single" w:color="#000000"/>
              <w:end w:sz="24.0" w:val="single" w:color="#D8D8D8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62"/>
              <w:gridCol w:w="662"/>
              <w:gridCol w:w="662"/>
              <w:gridCol w:w="662"/>
              <w:gridCol w:w="662"/>
              <w:gridCol w:w="662"/>
            </w:tblGrid>
            <w:tr>
              <w:trPr>
                <w:trHeight w:hRule="exact" w:val="240"/>
              </w:trPr>
              <w:tc>
                <w:tcPr>
                  <w:tcW w:type="dxa" w:w="13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0" w:right="84" w:firstLine="0"/>
                    <w:jc w:val="right"/>
                  </w:pPr>
                  <w:r>
                    <w:rPr>
                      <w:shd w:val="clear" w:color="auto" w:fill="d8d8d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0.04</w:t>
                  </w:r>
                  <w:r>
                    <w:rPr>
                      <w:shd w:val="clear" w:color="auto" w:fill="d8d8d8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%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</w:t>
                  </w:r>
                </w:p>
              </w:tc>
              <w:tc>
                <w:tcPr>
                  <w:tcW w:type="dxa" w:w="584"/>
                  <w:tcBorders/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11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125.8 </w:t>
                  </w:r>
                </w:p>
              </w:tc>
              <w:tc>
                <w:tcPr>
                  <w:tcW w:type="dxa" w:w="336"/>
                  <w:tcBorders/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</w:t>
                  </w:r>
                </w:p>
              </w:tc>
              <w:tc>
                <w:tcPr>
                  <w:tcW w:type="dxa" w:w="640"/>
                  <w:tcBorders/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0" w:right="8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4.60 </w:t>
                  </w:r>
                </w:p>
              </w:tc>
              <w:tc>
                <w:tcPr>
                  <w:tcW w:type="dxa" w:w="360"/>
                  <w:tcBorders/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5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$ </w:t>
                  </w:r>
                </w:p>
              </w:tc>
              <w:tc>
                <w:tcPr>
                  <w:tcW w:type="dxa" w:w="644"/>
                  <w:tcBorders/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0" w:right="2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121.2 </w:t>
                  </w:r>
                </w:p>
              </w:tc>
            </w:tr>
            <w:tr>
              <w:trPr>
                <w:trHeight w:hRule="exact" w:val="216"/>
              </w:trPr>
              <w:tc>
                <w:tcPr>
                  <w:tcW w:type="dxa" w:w="13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0" w:right="45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0.27</w:t>
                  </w:r>
                </w:p>
              </w:tc>
              <w:tc>
                <w:tcPr>
                  <w:tcW w:type="dxa" w:w="584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11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857.6 </w:t>
                  </w:r>
                </w:p>
              </w:tc>
              <w:tc>
                <w:tcPr>
                  <w:tcW w:type="dxa" w:w="336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0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63.00 </w:t>
                  </w:r>
                </w:p>
              </w:tc>
              <w:tc>
                <w:tcPr>
                  <w:tcW w:type="dxa" w:w="360"/>
                  <w:vMerge w:val="restart"/>
                  <w:tcBorders/>
                  <w:shd w:fill="d8d8d8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4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4" w:after="0"/>
                    <w:ind w:left="0" w:right="2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794.6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13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48" w:after="0"/>
                    <w:ind w:left="0" w:right="45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0.18</w:t>
                  </w:r>
                </w:p>
              </w:tc>
              <w:tc>
                <w:tcPr>
                  <w:tcW w:type="dxa" w:w="584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48" w:after="0"/>
                    <w:ind w:left="11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577.2 </w:t>
                  </w:r>
                </w:p>
              </w:tc>
              <w:tc>
                <w:tcPr>
                  <w:tcW w:type="dxa" w:w="662"/>
                  <w:vMerge/>
                  <w:tcBorders/>
                </w:tcPr>
                <w:p/>
              </w:tc>
              <w:tc>
                <w:tcPr>
                  <w:tcW w:type="dxa" w:w="640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41.00 </w:t>
                  </w:r>
                </w:p>
              </w:tc>
              <w:tc>
                <w:tcPr>
                  <w:tcW w:type="dxa" w:w="662"/>
                  <w:vMerge/>
                  <w:tcBorders/>
                </w:tcPr>
                <w:p/>
              </w:tc>
              <w:tc>
                <w:tcPr>
                  <w:tcW w:type="dxa" w:w="644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48" w:after="0"/>
                    <w:ind w:left="0" w:right="2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536.2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13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48" w:after="0"/>
                    <w:ind w:left="0" w:right="45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0.08</w:t>
                  </w:r>
                </w:p>
              </w:tc>
              <w:tc>
                <w:tcPr>
                  <w:tcW w:type="dxa" w:w="584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48" w:after="0"/>
                    <w:ind w:left="11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245.7 </w:t>
                  </w:r>
                </w:p>
              </w:tc>
              <w:tc>
                <w:tcPr>
                  <w:tcW w:type="dxa" w:w="662"/>
                  <w:vMerge/>
                  <w:tcBorders/>
                </w:tcPr>
                <w:p/>
              </w:tc>
              <w:tc>
                <w:tcPr>
                  <w:tcW w:type="dxa" w:w="640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18.00 </w:t>
                  </w:r>
                </w:p>
              </w:tc>
              <w:tc>
                <w:tcPr>
                  <w:tcW w:type="dxa" w:w="662"/>
                  <w:vMerge/>
                  <w:tcBorders/>
                </w:tcPr>
                <w:p/>
              </w:tc>
              <w:tc>
                <w:tcPr>
                  <w:tcW w:type="dxa" w:w="644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48" w:after="0"/>
                    <w:ind w:left="0" w:right="2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227.8 </w:t>
                  </w:r>
                </w:p>
              </w:tc>
            </w:tr>
            <w:tr>
              <w:trPr>
                <w:trHeight w:hRule="exact" w:val="184"/>
              </w:trPr>
              <w:tc>
                <w:tcPr>
                  <w:tcW w:type="dxa" w:w="13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6" w:after="0"/>
                    <w:ind w:left="0" w:right="45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0.03</w:t>
                  </w:r>
                </w:p>
              </w:tc>
              <w:tc>
                <w:tcPr>
                  <w:tcW w:type="dxa" w:w="584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6" w:after="0"/>
                    <w:ind w:left="0" w:right="2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87.9 </w:t>
                  </w:r>
                </w:p>
              </w:tc>
              <w:tc>
                <w:tcPr>
                  <w:tcW w:type="dxa" w:w="662"/>
                  <w:vMerge/>
                  <w:tcBorders/>
                </w:tcPr>
                <w:p/>
              </w:tc>
              <w:tc>
                <w:tcPr>
                  <w:tcW w:type="dxa" w:w="640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6" w:after="0"/>
                    <w:ind w:left="0" w:right="8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2.30 </w:t>
                  </w:r>
                </w:p>
              </w:tc>
              <w:tc>
                <w:tcPr>
                  <w:tcW w:type="dxa" w:w="662"/>
                  <w:vMerge/>
                  <w:tcBorders/>
                </w:tcPr>
                <w:p/>
              </w:tc>
              <w:tc>
                <w:tcPr>
                  <w:tcW w:type="dxa" w:w="644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6" w:after="0"/>
                    <w:ind w:left="0" w:right="2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85.6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6"/>
            <w:tcBorders>
              <w:start w:sz="24.0" w:val="single" w:color="#D8D8D8"/>
              <w:top w:sz="8.0" w:val="single" w:color="#000000"/>
              <w:end w:sz="24.0" w:val="single" w:color="#D8D8D8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554" w:right="5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1,876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7,942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5,618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2,870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1,562</w:t>
            </w:r>
          </w:p>
        </w:tc>
        <w:tc>
          <w:tcPr>
            <w:tcW w:type="dxa" w:w="1136"/>
            <w:tcBorders>
              <w:start w:sz="24.0" w:val="single" w:color="#D8D8D8"/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32"/>
              <w:ind w:left="5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  <w:r>
              <w:rPr>
                <w:shd w:val="clear" w:color="auto" w:fill="d8d8d8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%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0.28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36"/>
            </w:tblGrid>
            <w:tr>
              <w:trPr>
                <w:trHeight w:hRule="exact" w:val="240"/>
              </w:trPr>
              <w:tc>
                <w:tcPr>
                  <w:tcW w:type="dxa" w:w="930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0.20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0.0" w:type="dxa"/>
            </w:tblPr>
            <w:tblGrid>
              <w:gridCol w:w="1136"/>
            </w:tblGrid>
            <w:tr>
              <w:trPr>
                <w:trHeight w:hRule="exact" w:val="230"/>
              </w:trPr>
              <w:tc>
                <w:tcPr>
                  <w:tcW w:type="dxa" w:w="680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30" w:after="0"/>
                    <w:ind w:left="0" w:right="5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0.10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1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181"/>
        <w:gridCol w:w="1181"/>
        <w:gridCol w:w="1181"/>
        <w:gridCol w:w="1181"/>
        <w:gridCol w:w="1181"/>
        <w:gridCol w:w="1181"/>
        <w:gridCol w:w="1181"/>
        <w:gridCol w:w="1181"/>
      </w:tblGrid>
      <w:tr>
        <w:trPr>
          <w:trHeight w:hRule="exact" w:val="252"/>
        </w:trPr>
        <w:tc>
          <w:tcPr>
            <w:tcW w:type="dxa" w:w="2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Somalia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632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76.2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3.30 </w:t>
            </w:r>
          </w:p>
        </w:tc>
        <w:tc>
          <w:tcPr>
            <w:tcW w:type="dxa" w:w="1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72.9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1,465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20"/>
        </w:trPr>
        <w:tc>
          <w:tcPr>
            <w:tcW w:type="dxa" w:w="2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South Africa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20,793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0.78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2,508.4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180.00 </w:t>
            </w:r>
          </w:p>
        </w:tc>
        <w:tc>
          <w:tcPr>
            <w:tcW w:type="dxa" w:w="1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2,328.4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21,626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0.76</w:t>
            </w:r>
          </w:p>
        </w:tc>
      </w:tr>
      <w:tr>
        <w:trPr>
          <w:trHeight w:hRule="exact" w:val="180"/>
        </w:trPr>
        <w:tc>
          <w:tcPr>
            <w:tcW w:type="dxa" w:w="23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South Sudan</w:t>
            </w:r>
          </w:p>
        </w:tc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1,437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  <w:tc>
          <w:tcPr>
            <w:tcW w:type="dxa" w:w="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173.4 </w:t>
            </w:r>
          </w:p>
        </w:tc>
        <w:tc>
          <w:tcPr>
            <w:tcW w:type="dxa" w:w="9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8.60 </w:t>
            </w:r>
          </w:p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164.8 </w:t>
            </w:r>
          </w:p>
        </w:tc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2,270</w:t>
            </w:r>
          </w:p>
        </w:tc>
        <w:tc>
          <w:tcPr>
            <w:tcW w:type="dxa" w:w="11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220"/>
        </w:trPr>
        <w:tc>
          <w:tcPr>
            <w:tcW w:type="dxa" w:w="23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Spain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52,895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1.98</w:t>
            </w:r>
          </w:p>
        </w:tc>
        <w:tc>
          <w:tcPr>
            <w:tcW w:type="dxa" w:w="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6,381.0 </w:t>
            </w:r>
          </w:p>
        </w:tc>
        <w:tc>
          <w:tcPr>
            <w:tcW w:type="dxa" w:w="9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461.20 </w:t>
            </w:r>
          </w:p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5,919.8 </w:t>
            </w:r>
          </w:p>
        </w:tc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53,728</w:t>
            </w:r>
          </w:p>
        </w:tc>
        <w:tc>
          <w:tcPr>
            <w:tcW w:type="dxa" w:w="11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1.89</w:t>
            </w:r>
          </w:p>
        </w:tc>
      </w:tr>
      <w:tr>
        <w:trPr>
          <w:trHeight w:hRule="exact" w:val="212"/>
        </w:trPr>
        <w:tc>
          <w:tcPr>
            <w:tcW w:type="dxa" w:w="23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Sri Lanka</w:t>
            </w:r>
          </w:p>
        </w:tc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6,282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0.23</w:t>
            </w:r>
          </w:p>
        </w:tc>
        <w:tc>
          <w:tcPr>
            <w:tcW w:type="dxa" w:w="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757.8 </w:t>
            </w:r>
          </w:p>
        </w:tc>
        <w:tc>
          <w:tcPr>
            <w:tcW w:type="dxa" w:w="9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51.00 </w:t>
            </w:r>
          </w:p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706.9 </w:t>
            </w:r>
          </w:p>
        </w:tc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7,115</w:t>
            </w:r>
          </w:p>
        </w:tc>
        <w:tc>
          <w:tcPr>
            <w:tcW w:type="dxa" w:w="11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0.25</w:t>
            </w:r>
          </w:p>
        </w:tc>
      </w:tr>
      <w:tr>
        <w:trPr>
          <w:trHeight w:hRule="exact" w:val="208"/>
        </w:trPr>
        <w:tc>
          <w:tcPr>
            <w:tcW w:type="dxa" w:w="237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Sudan</w:t>
            </w:r>
          </w:p>
        </w:tc>
        <w:tc>
          <w:tcPr>
            <w:tcW w:type="dxa" w:w="84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1,989</w:t>
            </w:r>
          </w:p>
        </w:tc>
        <w:tc>
          <w:tcPr>
            <w:tcW w:type="dxa" w:w="10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  <w:tc>
          <w:tcPr>
            <w:tcW w:type="dxa" w:w="93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239.9 </w:t>
            </w:r>
          </w:p>
        </w:tc>
        <w:tc>
          <w:tcPr>
            <w:tcW w:type="dxa" w:w="91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15.50 </w:t>
            </w:r>
          </w:p>
        </w:tc>
        <w:tc>
          <w:tcPr>
            <w:tcW w:type="dxa" w:w="106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224.5 </w:t>
            </w:r>
          </w:p>
        </w:tc>
        <w:tc>
          <w:tcPr>
            <w:tcW w:type="dxa" w:w="106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2,822</w:t>
            </w:r>
          </w:p>
        </w:tc>
        <w:tc>
          <w:tcPr>
            <w:tcW w:type="dxa" w:w="114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</w:tr>
      <w:tr>
        <w:trPr>
          <w:trHeight w:hRule="exact" w:val="182"/>
        </w:trPr>
        <w:tc>
          <w:tcPr>
            <w:tcW w:type="dxa" w:w="237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Suriname</w:t>
            </w:r>
          </w:p>
        </w:tc>
        <w:tc>
          <w:tcPr>
            <w:tcW w:type="dxa" w:w="84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412</w:t>
            </w:r>
          </w:p>
        </w:tc>
        <w:tc>
          <w:tcPr>
            <w:tcW w:type="dxa" w:w="10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93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49.7 </w:t>
            </w:r>
          </w:p>
        </w:tc>
        <w:tc>
          <w:tcPr>
            <w:tcW w:type="dxa" w:w="91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2.00 </w:t>
            </w:r>
          </w:p>
        </w:tc>
        <w:tc>
          <w:tcPr>
            <w:tcW w:type="dxa" w:w="106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47.7 </w:t>
            </w:r>
          </w:p>
        </w:tc>
        <w:tc>
          <w:tcPr>
            <w:tcW w:type="dxa" w:w="106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1,245</w:t>
            </w:r>
          </w:p>
        </w:tc>
        <w:tc>
          <w:tcPr>
            <w:tcW w:type="dxa" w:w="114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</w:tr>
      <w:tr>
        <w:trPr>
          <w:trHeight w:hRule="exact" w:val="198"/>
        </w:trPr>
        <w:tc>
          <w:tcPr>
            <w:tcW w:type="dxa" w:w="237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Sweden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84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25,148</w:t>
            </w:r>
          </w:p>
        </w:tc>
        <w:tc>
          <w:tcPr>
            <w:tcW w:type="dxa" w:w="1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0.94</w:t>
            </w:r>
          </w:p>
        </w:tc>
        <w:tc>
          <w:tcPr>
            <w:tcW w:type="dxa" w:w="93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3,033.7 </w:t>
            </w:r>
          </w:p>
        </w:tc>
        <w:tc>
          <w:tcPr>
            <w:tcW w:type="dxa" w:w="91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219.10 </w:t>
            </w:r>
          </w:p>
        </w:tc>
        <w:tc>
          <w:tcPr>
            <w:tcW w:type="dxa" w:w="106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2,814.6 </w:t>
            </w:r>
          </w:p>
        </w:tc>
        <w:tc>
          <w:tcPr>
            <w:tcW w:type="dxa" w:w="106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25,981</w:t>
            </w:r>
          </w:p>
        </w:tc>
        <w:tc>
          <w:tcPr>
            <w:tcW w:type="dxa" w:w="114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0.92</w:t>
            </w:r>
          </w:p>
        </w:tc>
      </w:tr>
      <w:tr>
        <w:trPr>
          <w:trHeight w:hRule="exact" w:val="252"/>
        </w:trPr>
        <w:tc>
          <w:tcPr>
            <w:tcW w:type="dxa" w:w="237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Switzerland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84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40,889</w:t>
            </w:r>
          </w:p>
        </w:tc>
        <w:tc>
          <w:tcPr>
            <w:tcW w:type="dxa" w:w="1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1.53</w:t>
            </w:r>
          </w:p>
        </w:tc>
        <w:tc>
          <w:tcPr>
            <w:tcW w:type="dxa" w:w="93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4,932.6 </w:t>
            </w:r>
          </w:p>
        </w:tc>
        <w:tc>
          <w:tcPr>
            <w:tcW w:type="dxa" w:w="91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357.90 </w:t>
            </w:r>
          </w:p>
        </w:tc>
        <w:tc>
          <w:tcPr>
            <w:tcW w:type="dxa" w:w="106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4,574.7 </w:t>
            </w:r>
          </w:p>
        </w:tc>
        <w:tc>
          <w:tcPr>
            <w:tcW w:type="dxa" w:w="106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41,722</w:t>
            </w:r>
          </w:p>
        </w:tc>
        <w:tc>
          <w:tcPr>
            <w:tcW w:type="dxa" w:w="114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1.47</w:t>
            </w:r>
          </w:p>
        </w:tc>
      </w:tr>
      <w:tr>
        <w:trPr>
          <w:trHeight w:hRule="exact" w:val="240"/>
        </w:trPr>
        <w:tc>
          <w:tcPr>
            <w:tcW w:type="dxa" w:w="237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Syrian Arab Republic</w:t>
            </w:r>
          </w:p>
        </w:tc>
        <w:tc>
          <w:tcPr>
            <w:tcW w:type="dxa" w:w="84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2,452</w:t>
            </w:r>
          </w:p>
        </w:tc>
        <w:tc>
          <w:tcPr>
            <w:tcW w:type="dxa" w:w="10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0.09</w:t>
            </w:r>
          </w:p>
        </w:tc>
        <w:tc>
          <w:tcPr>
            <w:tcW w:type="dxa" w:w="93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295.8 </w:t>
            </w:r>
          </w:p>
        </w:tc>
        <w:tc>
          <w:tcPr>
            <w:tcW w:type="dxa" w:w="91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14.00 </w:t>
            </w:r>
          </w:p>
        </w:tc>
        <w:tc>
          <w:tcPr>
            <w:tcW w:type="dxa" w:w="106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281.8 </w:t>
            </w:r>
          </w:p>
        </w:tc>
        <w:tc>
          <w:tcPr>
            <w:tcW w:type="dxa" w:w="106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3,285</w:t>
            </w:r>
          </w:p>
        </w:tc>
        <w:tc>
          <w:tcPr>
            <w:tcW w:type="dxa" w:w="114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0.12</w:t>
            </w:r>
          </w:p>
        </w:tc>
      </w:tr>
      <w:tr>
        <w:trPr>
          <w:trHeight w:hRule="exact" w:val="228"/>
        </w:trPr>
        <w:tc>
          <w:tcPr>
            <w:tcW w:type="dxa" w:w="2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Tajikistan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1,204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145.2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5.30 </w:t>
            </w:r>
          </w:p>
        </w:tc>
        <w:tc>
          <w:tcPr>
            <w:tcW w:type="dxa" w:w="1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139.9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2,037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</w:tr>
      <w:tr>
        <w:trPr>
          <w:trHeight w:hRule="exact" w:val="220"/>
        </w:trPr>
        <w:tc>
          <w:tcPr>
            <w:tcW w:type="dxa" w:w="23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Tanzania</w:t>
            </w:r>
          </w:p>
        </w:tc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1,295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  <w:tc>
          <w:tcPr>
            <w:tcW w:type="dxa" w:w="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156.2 </w:t>
            </w:r>
          </w:p>
        </w:tc>
        <w:tc>
          <w:tcPr>
            <w:tcW w:type="dxa" w:w="9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10.00 </w:t>
            </w:r>
          </w:p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146.2 </w:t>
            </w:r>
          </w:p>
        </w:tc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2,128</w:t>
            </w:r>
          </w:p>
        </w:tc>
        <w:tc>
          <w:tcPr>
            <w:tcW w:type="dxa" w:w="11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</w:tr>
      <w:tr>
        <w:trPr>
          <w:trHeight w:hRule="exact" w:val="180"/>
        </w:trPr>
        <w:tc>
          <w:tcPr>
            <w:tcW w:type="dxa" w:w="23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Thailand</w:t>
            </w:r>
          </w:p>
        </w:tc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13,752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0.51</w:t>
            </w:r>
          </w:p>
        </w:tc>
        <w:tc>
          <w:tcPr>
            <w:tcW w:type="dxa" w:w="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1,659.0 </w:t>
            </w:r>
          </w:p>
        </w:tc>
        <w:tc>
          <w:tcPr>
            <w:tcW w:type="dxa" w:w="9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118.10 </w:t>
            </w:r>
          </w:p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1,540.9 </w:t>
            </w:r>
          </w:p>
        </w:tc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14,585</w:t>
            </w:r>
          </w:p>
        </w:tc>
        <w:tc>
          <w:tcPr>
            <w:tcW w:type="dxa" w:w="11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0.51</w:t>
            </w:r>
          </w:p>
        </w:tc>
      </w:tr>
      <w:tr>
        <w:trPr>
          <w:trHeight w:hRule="exact" w:val="200"/>
        </w:trPr>
        <w:tc>
          <w:tcPr>
            <w:tcW w:type="dxa" w:w="23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Timor-Leste</w:t>
            </w:r>
          </w:p>
        </w:tc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753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90.8 </w:t>
            </w:r>
          </w:p>
        </w:tc>
        <w:tc>
          <w:tcPr>
            <w:tcW w:type="dxa" w:w="9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3.10 </w:t>
            </w:r>
          </w:p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87.8 </w:t>
            </w:r>
          </w:p>
        </w:tc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1,586</w:t>
            </w:r>
          </w:p>
        </w:tc>
        <w:tc>
          <w:tcPr>
            <w:tcW w:type="dxa" w:w="11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38"/>
        </w:trPr>
        <w:tc>
          <w:tcPr>
            <w:tcW w:type="dxa" w:w="2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Togo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1,598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192.8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8.10 </w:t>
            </w:r>
          </w:p>
        </w:tc>
        <w:tc>
          <w:tcPr>
            <w:tcW w:type="dxa" w:w="1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184.7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2,431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0.09</w:t>
            </w:r>
          </w:p>
        </w:tc>
      </w:tr>
      <w:tr>
        <w:trPr>
          <w:trHeight w:hRule="exact" w:val="222"/>
        </w:trPr>
        <w:tc>
          <w:tcPr>
            <w:tcW w:type="dxa" w:w="237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Tonga</w:t>
            </w:r>
          </w:p>
        </w:tc>
        <w:tc>
          <w:tcPr>
            <w:tcW w:type="dxa" w:w="84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796</w:t>
            </w:r>
          </w:p>
        </w:tc>
        <w:tc>
          <w:tcPr>
            <w:tcW w:type="dxa" w:w="10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93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96.0 </w:t>
            </w:r>
          </w:p>
        </w:tc>
        <w:tc>
          <w:tcPr>
            <w:tcW w:type="dxa" w:w="91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3.50 </w:t>
            </w:r>
          </w:p>
        </w:tc>
        <w:tc>
          <w:tcPr>
            <w:tcW w:type="dxa" w:w="106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92.5 </w:t>
            </w:r>
          </w:p>
        </w:tc>
        <w:tc>
          <w:tcPr>
            <w:tcW w:type="dxa" w:w="106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1,629</w:t>
            </w:r>
          </w:p>
        </w:tc>
        <w:tc>
          <w:tcPr>
            <w:tcW w:type="dxa" w:w="114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58"/>
        </w:trPr>
        <w:tc>
          <w:tcPr>
            <w:tcW w:type="dxa" w:w="237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Trinidad and Tobago</w:t>
            </w:r>
          </w:p>
        </w:tc>
        <w:tc>
          <w:tcPr>
            <w:tcW w:type="dxa" w:w="84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3,376</w:t>
            </w:r>
          </w:p>
        </w:tc>
        <w:tc>
          <w:tcPr>
            <w:tcW w:type="dxa" w:w="10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0.13</w:t>
            </w:r>
          </w:p>
        </w:tc>
        <w:tc>
          <w:tcPr>
            <w:tcW w:type="dxa" w:w="93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407.3 </w:t>
            </w:r>
          </w:p>
        </w:tc>
        <w:tc>
          <w:tcPr>
            <w:tcW w:type="dxa" w:w="91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22.80 </w:t>
            </w:r>
          </w:p>
        </w:tc>
        <w:tc>
          <w:tcPr>
            <w:tcW w:type="dxa" w:w="106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384.5 </w:t>
            </w:r>
          </w:p>
        </w:tc>
        <w:tc>
          <w:tcPr>
            <w:tcW w:type="dxa" w:w="106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4,209</w:t>
            </w:r>
          </w:p>
        </w:tc>
        <w:tc>
          <w:tcPr>
            <w:tcW w:type="dxa" w:w="114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0.15</w:t>
            </w:r>
          </w:p>
        </w:tc>
      </w:tr>
      <w:tr>
        <w:trPr>
          <w:trHeight w:hRule="exact" w:val="202"/>
        </w:trPr>
        <w:tc>
          <w:tcPr>
            <w:tcW w:type="dxa" w:w="237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Tunisia</w:t>
            </w:r>
          </w:p>
        </w:tc>
        <w:tc>
          <w:tcPr>
            <w:tcW w:type="dxa" w:w="84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1,993</w:t>
            </w:r>
          </w:p>
        </w:tc>
        <w:tc>
          <w:tcPr>
            <w:tcW w:type="dxa" w:w="1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  <w:tc>
          <w:tcPr>
            <w:tcW w:type="dxa" w:w="93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240.4 </w:t>
            </w:r>
          </w:p>
        </w:tc>
        <w:tc>
          <w:tcPr>
            <w:tcW w:type="dxa" w:w="91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17.20 </w:t>
            </w:r>
          </w:p>
        </w:tc>
        <w:tc>
          <w:tcPr>
            <w:tcW w:type="dxa" w:w="106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223.2 </w:t>
            </w:r>
          </w:p>
        </w:tc>
        <w:tc>
          <w:tcPr>
            <w:tcW w:type="dxa" w:w="106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2,826</w:t>
            </w:r>
          </w:p>
        </w:tc>
        <w:tc>
          <w:tcPr>
            <w:tcW w:type="dxa" w:w="114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0.10</w:t>
            </w:r>
          </w:p>
        </w:tc>
      </w:tr>
      <w:tr>
        <w:trPr>
          <w:trHeight w:hRule="exact" w:val="232"/>
        </w:trPr>
        <w:tc>
          <w:tcPr>
            <w:tcW w:type="dxa" w:w="237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Türkiye</w:t>
            </w:r>
          </w:p>
        </w:tc>
        <w:tc>
          <w:tcPr>
            <w:tcW w:type="dxa" w:w="84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30,668</w:t>
            </w:r>
          </w:p>
        </w:tc>
        <w:tc>
          <w:tcPr>
            <w:tcW w:type="dxa" w:w="1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1.15</w:t>
            </w:r>
          </w:p>
        </w:tc>
        <w:tc>
          <w:tcPr>
            <w:tcW w:type="dxa" w:w="93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3,699.6 </w:t>
            </w:r>
          </w:p>
        </w:tc>
        <w:tc>
          <w:tcPr>
            <w:tcW w:type="dxa" w:w="91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264.50 </w:t>
            </w:r>
          </w:p>
        </w:tc>
        <w:tc>
          <w:tcPr>
            <w:tcW w:type="dxa" w:w="106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3,435.1 </w:t>
            </w:r>
          </w:p>
        </w:tc>
        <w:tc>
          <w:tcPr>
            <w:tcW w:type="dxa" w:w="106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31,501</w:t>
            </w:r>
          </w:p>
        </w:tc>
        <w:tc>
          <w:tcPr>
            <w:tcW w:type="dxa" w:w="114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1.11</w:t>
            </w:r>
          </w:p>
        </w:tc>
      </w:tr>
      <w:tr>
        <w:trPr>
          <w:trHeight w:hRule="exact" w:val="196"/>
        </w:trPr>
        <w:tc>
          <w:tcPr>
            <w:tcW w:type="dxa" w:w="237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Turkmenistan</w:t>
            </w:r>
          </w:p>
        </w:tc>
        <w:tc>
          <w:tcPr>
            <w:tcW w:type="dxa" w:w="84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627</w:t>
            </w:r>
          </w:p>
        </w:tc>
        <w:tc>
          <w:tcPr>
            <w:tcW w:type="dxa" w:w="10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93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75.6 </w:t>
            </w:r>
          </w:p>
        </w:tc>
        <w:tc>
          <w:tcPr>
            <w:tcW w:type="dxa" w:w="91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3.60 </w:t>
            </w:r>
          </w:p>
        </w:tc>
        <w:tc>
          <w:tcPr>
            <w:tcW w:type="dxa" w:w="106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72.0 </w:t>
            </w:r>
          </w:p>
        </w:tc>
        <w:tc>
          <w:tcPr>
            <w:tcW w:type="dxa" w:w="106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1,460</w:t>
            </w:r>
          </w:p>
        </w:tc>
        <w:tc>
          <w:tcPr>
            <w:tcW w:type="dxa" w:w="114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192"/>
        </w:trPr>
        <w:tc>
          <w:tcPr>
            <w:tcW w:type="dxa" w:w="2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Tuvalu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461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55.6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1.50 </w:t>
            </w:r>
          </w:p>
        </w:tc>
        <w:tc>
          <w:tcPr>
            <w:tcW w:type="dxa" w:w="1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54.1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1,294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0.05</w:t>
            </w:r>
          </w:p>
        </w:tc>
      </w:tr>
      <w:tr>
        <w:trPr>
          <w:trHeight w:hRule="exact" w:val="220"/>
        </w:trPr>
        <w:tc>
          <w:tcPr>
            <w:tcW w:type="dxa" w:w="23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Uganda</w:t>
            </w:r>
          </w:p>
        </w:tc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1,128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0.04</w:t>
            </w:r>
          </w:p>
        </w:tc>
        <w:tc>
          <w:tcPr>
            <w:tcW w:type="dxa" w:w="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136.1 </w:t>
            </w:r>
          </w:p>
        </w:tc>
        <w:tc>
          <w:tcPr>
            <w:tcW w:type="dxa" w:w="9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9.60 </w:t>
            </w:r>
          </w:p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126.5 </w:t>
            </w:r>
          </w:p>
        </w:tc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1,961</w:t>
            </w:r>
          </w:p>
        </w:tc>
        <w:tc>
          <w:tcPr>
            <w:tcW w:type="dxa" w:w="11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0.07</w:t>
            </w:r>
          </w:p>
        </w:tc>
      </w:tr>
      <w:tr>
        <w:trPr>
          <w:trHeight w:hRule="exact" w:val="220"/>
        </w:trPr>
        <w:tc>
          <w:tcPr>
            <w:tcW w:type="dxa" w:w="23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Ukraine</w:t>
            </w:r>
          </w:p>
        </w:tc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14,361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0.54</w:t>
            </w:r>
          </w:p>
        </w:tc>
        <w:tc>
          <w:tcPr>
            <w:tcW w:type="dxa" w:w="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1,732.4 </w:t>
            </w:r>
          </w:p>
        </w:tc>
        <w:tc>
          <w:tcPr>
            <w:tcW w:type="dxa" w:w="9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108.50 </w:t>
            </w:r>
          </w:p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1,623.9 </w:t>
            </w:r>
          </w:p>
        </w:tc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15,194</w:t>
            </w:r>
          </w:p>
        </w:tc>
        <w:tc>
          <w:tcPr>
            <w:tcW w:type="dxa" w:w="11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0.54</w:t>
            </w:r>
          </w:p>
        </w:tc>
      </w:tr>
      <w:tr>
        <w:trPr>
          <w:trHeight w:hRule="exact" w:val="220"/>
        </w:trPr>
        <w:tc>
          <w:tcPr>
            <w:tcW w:type="dxa" w:w="23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United Arab Emirates</w:t>
            </w:r>
          </w:p>
        </w:tc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7,043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0.26</w:t>
            </w:r>
          </w:p>
        </w:tc>
        <w:tc>
          <w:tcPr>
            <w:tcW w:type="dxa" w:w="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849.6 </w:t>
            </w:r>
          </w:p>
        </w:tc>
        <w:tc>
          <w:tcPr>
            <w:tcW w:type="dxa" w:w="9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66.20 </w:t>
            </w:r>
          </w:p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783.4 </w:t>
            </w:r>
          </w:p>
        </w:tc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7,876</w:t>
            </w:r>
          </w:p>
        </w:tc>
        <w:tc>
          <w:tcPr>
            <w:tcW w:type="dxa" w:w="11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0.28</w:t>
            </w:r>
          </w:p>
        </w:tc>
      </w:tr>
      <w:tr>
        <w:trPr>
          <w:trHeight w:hRule="exact" w:val="242"/>
        </w:trPr>
        <w:tc>
          <w:tcPr>
            <w:tcW w:type="dxa" w:w="2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United Kingdom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108,611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4.06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13,102.3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975.70 </w:t>
            </w:r>
          </w:p>
        </w:tc>
        <w:tc>
          <w:tcPr>
            <w:tcW w:type="dxa" w:w="1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12,126.6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109,444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3.86</w:t>
            </w:r>
          </w:p>
        </w:tc>
      </w:tr>
      <w:tr>
        <w:trPr>
          <w:trHeight w:hRule="exact" w:val="218"/>
        </w:trPr>
        <w:tc>
          <w:tcPr>
            <w:tcW w:type="dxa" w:w="237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United States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84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2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438,475</w:t>
            </w:r>
          </w:p>
        </w:tc>
        <w:tc>
          <w:tcPr>
            <w:tcW w:type="dxa" w:w="10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16.37</w:t>
            </w:r>
          </w:p>
        </w:tc>
        <w:tc>
          <w:tcPr>
            <w:tcW w:type="dxa" w:w="93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52,895.4 </w:t>
            </w:r>
          </w:p>
        </w:tc>
        <w:tc>
          <w:tcPr>
            <w:tcW w:type="dxa" w:w="91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3,689.50 </w:t>
            </w:r>
          </w:p>
        </w:tc>
        <w:tc>
          <w:tcPr>
            <w:tcW w:type="dxa" w:w="106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49,205.9 </w:t>
            </w:r>
          </w:p>
        </w:tc>
        <w:tc>
          <w:tcPr>
            <w:tcW w:type="dxa" w:w="106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439,308</w:t>
            </w:r>
          </w:p>
        </w:tc>
        <w:tc>
          <w:tcPr>
            <w:tcW w:type="dxa" w:w="114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15.49</w:t>
            </w:r>
          </w:p>
        </w:tc>
      </w:tr>
      <w:tr>
        <w:trPr>
          <w:trHeight w:hRule="exact" w:val="248"/>
        </w:trPr>
        <w:tc>
          <w:tcPr>
            <w:tcW w:type="dxa" w:w="237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Uruguay</w:t>
            </w:r>
          </w:p>
        </w:tc>
        <w:tc>
          <w:tcPr>
            <w:tcW w:type="dxa" w:w="84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3,563</w:t>
            </w:r>
          </w:p>
        </w:tc>
        <w:tc>
          <w:tcPr>
            <w:tcW w:type="dxa" w:w="10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0.13</w:t>
            </w:r>
          </w:p>
        </w:tc>
        <w:tc>
          <w:tcPr>
            <w:tcW w:type="dxa" w:w="93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429.8 </w:t>
            </w:r>
          </w:p>
        </w:tc>
        <w:tc>
          <w:tcPr>
            <w:tcW w:type="dxa" w:w="91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24.00 </w:t>
            </w:r>
          </w:p>
        </w:tc>
        <w:tc>
          <w:tcPr>
            <w:tcW w:type="dxa" w:w="106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405.8 </w:t>
            </w:r>
          </w:p>
        </w:tc>
        <w:tc>
          <w:tcPr>
            <w:tcW w:type="dxa" w:w="106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4,396</w:t>
            </w:r>
          </w:p>
        </w:tc>
        <w:tc>
          <w:tcPr>
            <w:tcW w:type="dxa" w:w="1144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0.16</w:t>
            </w:r>
          </w:p>
        </w:tc>
      </w:tr>
      <w:tr>
        <w:trPr>
          <w:trHeight w:hRule="exact" w:val="212"/>
        </w:trPr>
        <w:tc>
          <w:tcPr>
            <w:tcW w:type="dxa" w:w="237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Uzbekistan</w:t>
            </w:r>
          </w:p>
        </w:tc>
        <w:tc>
          <w:tcPr>
            <w:tcW w:type="dxa" w:w="84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4,238</w:t>
            </w:r>
          </w:p>
        </w:tc>
        <w:tc>
          <w:tcPr>
            <w:tcW w:type="dxa" w:w="1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0.16</w:t>
            </w:r>
          </w:p>
        </w:tc>
        <w:tc>
          <w:tcPr>
            <w:tcW w:type="dxa" w:w="93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511.3 </w:t>
            </w:r>
          </w:p>
        </w:tc>
        <w:tc>
          <w:tcPr>
            <w:tcW w:type="dxa" w:w="91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32.90 </w:t>
            </w:r>
          </w:p>
        </w:tc>
        <w:tc>
          <w:tcPr>
            <w:tcW w:type="dxa" w:w="106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478.4 </w:t>
            </w:r>
          </w:p>
        </w:tc>
        <w:tc>
          <w:tcPr>
            <w:tcW w:type="dxa" w:w="106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5,071</w:t>
            </w:r>
          </w:p>
        </w:tc>
        <w:tc>
          <w:tcPr>
            <w:tcW w:type="dxa" w:w="114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0.18</w:t>
            </w:r>
          </w:p>
        </w:tc>
      </w:tr>
      <w:tr>
        <w:trPr>
          <w:trHeight w:hRule="exact" w:val="252"/>
        </w:trPr>
        <w:tc>
          <w:tcPr>
            <w:tcW w:type="dxa" w:w="237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Vanuatu</w:t>
            </w:r>
          </w:p>
        </w:tc>
        <w:tc>
          <w:tcPr>
            <w:tcW w:type="dxa" w:w="84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765</w:t>
            </w:r>
          </w:p>
        </w:tc>
        <w:tc>
          <w:tcPr>
            <w:tcW w:type="dxa" w:w="1060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0.03</w:t>
            </w:r>
          </w:p>
        </w:tc>
        <w:tc>
          <w:tcPr>
            <w:tcW w:type="dxa" w:w="93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92.3 </w:t>
            </w:r>
          </w:p>
        </w:tc>
        <w:tc>
          <w:tcPr>
            <w:tcW w:type="dxa" w:w="91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3.10 </w:t>
            </w:r>
          </w:p>
        </w:tc>
        <w:tc>
          <w:tcPr>
            <w:tcW w:type="dxa" w:w="1066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89.2 </w:t>
            </w:r>
          </w:p>
        </w:tc>
        <w:tc>
          <w:tcPr>
            <w:tcW w:type="dxa" w:w="106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1,598</w:t>
            </w:r>
          </w:p>
        </w:tc>
        <w:tc>
          <w:tcPr>
            <w:tcW w:type="dxa" w:w="1144"/>
            <w:tcBorders/>
            <w:shd w:fill="dadad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0.06</w:t>
            </w:r>
          </w:p>
        </w:tc>
      </w:tr>
      <w:tr>
        <w:trPr>
          <w:trHeight w:hRule="exact" w:val="208"/>
        </w:trPr>
        <w:tc>
          <w:tcPr>
            <w:tcW w:type="dxa" w:w="237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Venezuela, Republica </w:t>
            </w:r>
          </w:p>
        </w:tc>
        <w:tc>
          <w:tcPr>
            <w:tcW w:type="dxa" w:w="844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20,361</w:t>
            </w:r>
          </w:p>
        </w:tc>
        <w:tc>
          <w:tcPr>
            <w:tcW w:type="dxa" w:w="106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6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0.76</w:t>
            </w:r>
          </w:p>
        </w:tc>
        <w:tc>
          <w:tcPr>
            <w:tcW w:type="dxa" w:w="936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2,456.2 </w:t>
            </w:r>
          </w:p>
        </w:tc>
        <w:tc>
          <w:tcPr>
            <w:tcW w:type="dxa" w:w="914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150.80 </w:t>
            </w:r>
          </w:p>
        </w:tc>
        <w:tc>
          <w:tcPr>
            <w:tcW w:type="dxa" w:w="1066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2,305.5 </w:t>
            </w:r>
          </w:p>
        </w:tc>
        <w:tc>
          <w:tcPr>
            <w:tcW w:type="dxa" w:w="1064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21,194</w:t>
            </w:r>
          </w:p>
        </w:tc>
        <w:tc>
          <w:tcPr>
            <w:tcW w:type="dxa" w:w="1144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6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0.75</w:t>
            </w:r>
          </w:p>
        </w:tc>
      </w:tr>
      <w:tr>
        <w:trPr>
          <w:trHeight w:hRule="exact" w:val="228"/>
        </w:trPr>
        <w:tc>
          <w:tcPr>
            <w:tcW w:type="dxa" w:w="237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Bolivariana de</w:t>
            </w:r>
          </w:p>
        </w:tc>
        <w:tc>
          <w:tcPr>
            <w:tcW w:type="dxa" w:w="1181"/>
            <w:vMerge/>
            <w:tcBorders/>
          </w:tcPr>
          <w:p/>
        </w:tc>
        <w:tc>
          <w:tcPr>
            <w:tcW w:type="dxa" w:w="1181"/>
            <w:vMerge/>
            <w:tcBorders/>
          </w:tcPr>
          <w:p/>
        </w:tc>
        <w:tc>
          <w:tcPr>
            <w:tcW w:type="dxa" w:w="1181"/>
            <w:vMerge/>
            <w:tcBorders/>
          </w:tcPr>
          <w:p/>
        </w:tc>
        <w:tc>
          <w:tcPr>
            <w:tcW w:type="dxa" w:w="1181"/>
            <w:vMerge/>
            <w:tcBorders/>
          </w:tcPr>
          <w:p/>
        </w:tc>
        <w:tc>
          <w:tcPr>
            <w:tcW w:type="dxa" w:w="1181"/>
            <w:vMerge/>
            <w:tcBorders/>
          </w:tcPr>
          <w:p/>
        </w:tc>
        <w:tc>
          <w:tcPr>
            <w:tcW w:type="dxa" w:w="1181"/>
            <w:vMerge/>
            <w:tcBorders/>
          </w:tcPr>
          <w:p/>
        </w:tc>
        <w:tc>
          <w:tcPr>
            <w:tcW w:type="dxa" w:w="1181"/>
            <w:vMerge/>
            <w:tcBorders/>
          </w:tcPr>
          <w:p/>
        </w:tc>
      </w:tr>
      <w:tr>
        <w:trPr>
          <w:trHeight w:hRule="exact" w:val="192"/>
        </w:trPr>
        <w:tc>
          <w:tcPr>
            <w:tcW w:type="dxa" w:w="2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Viet Nam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5,311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0.20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640.7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47.00 </w:t>
            </w:r>
          </w:p>
        </w:tc>
        <w:tc>
          <w:tcPr>
            <w:tcW w:type="dxa" w:w="1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593.7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6,144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0.22</w:t>
            </w:r>
          </w:p>
        </w:tc>
      </w:tr>
      <w:tr>
        <w:trPr>
          <w:trHeight w:hRule="exact" w:val="220"/>
        </w:trPr>
        <w:tc>
          <w:tcPr>
            <w:tcW w:type="dxa" w:w="23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Yemen, Republic of</w:t>
            </w:r>
          </w:p>
        </w:tc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2,212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0.08</w:t>
            </w:r>
          </w:p>
        </w:tc>
        <w:tc>
          <w:tcPr>
            <w:tcW w:type="dxa" w:w="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266.8 </w:t>
            </w:r>
          </w:p>
        </w:tc>
        <w:tc>
          <w:tcPr>
            <w:tcW w:type="dxa" w:w="9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14.00 </w:t>
            </w:r>
          </w:p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252.8 </w:t>
            </w:r>
          </w:p>
        </w:tc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3,045</w:t>
            </w:r>
          </w:p>
        </w:tc>
        <w:tc>
          <w:tcPr>
            <w:tcW w:type="dxa" w:w="11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0.11</w:t>
            </w:r>
          </w:p>
        </w:tc>
      </w:tr>
      <w:tr>
        <w:trPr>
          <w:trHeight w:hRule="exact" w:val="220"/>
        </w:trPr>
        <w:tc>
          <w:tcPr>
            <w:tcW w:type="dxa" w:w="23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Zambia</w:t>
            </w:r>
          </w:p>
        </w:tc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4,727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0.18</w:t>
            </w:r>
          </w:p>
        </w:tc>
        <w:tc>
          <w:tcPr>
            <w:tcW w:type="dxa" w:w="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570.2 </w:t>
            </w:r>
          </w:p>
        </w:tc>
        <w:tc>
          <w:tcPr>
            <w:tcW w:type="dxa" w:w="9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38.70 </w:t>
            </w:r>
          </w:p>
        </w:tc>
        <w:tc>
          <w:tcPr>
            <w:tcW w:type="dxa" w:w="1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531.5 </w:t>
            </w:r>
          </w:p>
        </w:tc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5,560</w:t>
            </w:r>
          </w:p>
        </w:tc>
        <w:tc>
          <w:tcPr>
            <w:tcW w:type="dxa" w:w="11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0.20</w:t>
            </w:r>
          </w:p>
        </w:tc>
      </w:tr>
      <w:tr>
        <w:trPr>
          <w:trHeight w:hRule="exact" w:val="194"/>
        </w:trPr>
        <w:tc>
          <w:tcPr>
            <w:tcW w:type="dxa" w:w="237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Zimbabwe</w:t>
            </w:r>
          </w:p>
        </w:tc>
        <w:tc>
          <w:tcPr>
            <w:tcW w:type="dxa" w:w="84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3,575</w:t>
            </w:r>
          </w:p>
        </w:tc>
        <w:tc>
          <w:tcPr>
            <w:tcW w:type="dxa" w:w="106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0.13</w:t>
            </w:r>
          </w:p>
        </w:tc>
        <w:tc>
          <w:tcPr>
            <w:tcW w:type="dxa" w:w="93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431.3 </w:t>
            </w:r>
          </w:p>
        </w:tc>
        <w:tc>
          <w:tcPr>
            <w:tcW w:type="dxa" w:w="91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22.40 </w:t>
            </w:r>
          </w:p>
        </w:tc>
        <w:tc>
          <w:tcPr>
            <w:tcW w:type="dxa" w:w="106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408.9 </w:t>
            </w:r>
          </w:p>
        </w:tc>
        <w:tc>
          <w:tcPr>
            <w:tcW w:type="dxa" w:w="106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4,408</w:t>
            </w:r>
          </w:p>
        </w:tc>
        <w:tc>
          <w:tcPr>
            <w:tcW w:type="dxa" w:w="114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0.16</w:t>
            </w:r>
          </w:p>
        </w:tc>
      </w:tr>
      <w:tr>
        <w:trPr>
          <w:trHeight w:hRule="exact" w:val="280"/>
        </w:trPr>
        <w:tc>
          <w:tcPr>
            <w:tcW w:type="dxa" w:w="237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- June 30, 2024</w:t>
            </w:r>
          </w:p>
        </w:tc>
        <w:tc>
          <w:tcPr>
            <w:tcW w:type="dxa" w:w="84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2,678,098</w:t>
            </w:r>
          </w:p>
        </w:tc>
        <w:tc>
          <w:tcPr>
            <w:tcW w:type="dxa" w:w="1996"/>
            <w:gridSpan w:val="2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 323,072 </w:t>
            </w:r>
          </w:p>
        </w:tc>
        <w:tc>
          <w:tcPr>
            <w:tcW w:type="dxa" w:w="91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22,452 </w:t>
            </w:r>
          </w:p>
        </w:tc>
        <w:tc>
          <w:tcPr>
            <w:tcW w:type="dxa" w:w="106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300,620 </w:t>
            </w:r>
          </w:p>
        </w:tc>
        <w:tc>
          <w:tcPr>
            <w:tcW w:type="dxa" w:w="106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2,835,535 </w:t>
            </w:r>
          </w:p>
        </w:tc>
        <w:tc>
          <w:tcPr>
            <w:tcW w:type="dxa" w:w="114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</w:tr>
      <w:tr>
        <w:trPr>
          <w:trHeight w:hRule="exact" w:val="480"/>
        </w:trPr>
        <w:tc>
          <w:tcPr>
            <w:tcW w:type="dxa" w:w="237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- June 30, 2023</w:t>
            </w:r>
          </w:p>
        </w:tc>
        <w:tc>
          <w:tcPr>
            <w:tcW w:type="dxa" w:w="84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2,634,728</w:t>
            </w:r>
          </w:p>
        </w:tc>
        <w:tc>
          <w:tcPr>
            <w:tcW w:type="dxa" w:w="1996"/>
            <w:gridSpan w:val="2"/>
            <w:vMerge w:val="restart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317,840 </w:t>
            </w:r>
          </w:p>
        </w:tc>
        <w:tc>
          <w:tcPr>
            <w:tcW w:type="dxa" w:w="91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21,819 </w:t>
            </w:r>
          </w:p>
        </w:tc>
        <w:tc>
          <w:tcPr>
            <w:tcW w:type="dxa" w:w="106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296,021 </w:t>
            </w:r>
          </w:p>
        </w:tc>
        <w:tc>
          <w:tcPr>
            <w:tcW w:type="dxa" w:w="106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0" w:right="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2,789,519</w:t>
            </w:r>
          </w:p>
        </w:tc>
        <w:tc>
          <w:tcPr>
            <w:tcW w:type="dxa" w:w="114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"/>
        </w:trPr>
        <w:tc>
          <w:tcPr>
            <w:tcW w:type="dxa" w:w="2376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362"/>
            <w:gridSpan w:val="2"/>
            <w:vMerge/>
            <w:tcBorders>
              <w:top w:sz="8.0" w:val="single" w:color="#000000"/>
            </w:tcBorders>
          </w:tcPr>
          <w:p/>
        </w:tc>
        <w:tc>
          <w:tcPr>
            <w:tcW w:type="dxa" w:w="914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44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62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See Notes to Financial Statements, Note B—Capital Stock, Maintenance of Value, and Membership.</w:t>
      </w:r>
    </w:p>
    <w:p>
      <w:pPr>
        <w:autoSpaceDN w:val="0"/>
        <w:autoSpaceDE w:val="0"/>
        <w:widowControl/>
        <w:spacing w:line="178" w:lineRule="exact" w:before="4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A member of the Development Assistance Committee of the Organization for Economic Cooperation and Development (OECD).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*  Indicates amount less than $0.5 million or 0.005%</w:t>
      </w:r>
    </w:p>
    <w:p>
      <w:pPr>
        <w:autoSpaceDN w:val="0"/>
        <w:autoSpaceDE w:val="0"/>
        <w:widowControl/>
        <w:spacing w:line="202" w:lineRule="exact" w:before="226" w:after="0"/>
        <w:ind w:left="157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The Notes to Financial Statements are an integral part of these Statements.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70.0" w:type="dxa"/>
      </w:tblPr>
      <w:tblGrid>
        <w:gridCol w:w="4723"/>
        <w:gridCol w:w="4723"/>
      </w:tblGrid>
      <w:tr>
        <w:trPr>
          <w:trHeight w:hRule="exact" w:val="3196"/>
        </w:trPr>
        <w:tc>
          <w:tcPr>
            <w:tcW w:type="dxa" w:w="5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962" w:after="0"/>
              <w:ind w:left="9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2024</w:t>
            </w:r>
          </w:p>
        </w:tc>
        <w:tc>
          <w:tcPr>
            <w:tcW w:type="dxa" w:w="5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962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89</w:t>
            </w:r>
          </w:p>
        </w:tc>
      </w:tr>
    </w:tbl>
    <w:p>
      <w:pPr>
        <w:autoSpaceDN w:val="0"/>
        <w:autoSpaceDE w:val="0"/>
        <w:widowControl/>
        <w:spacing w:line="202" w:lineRule="exact" w:before="0" w:after="0"/>
        <w:ind w:left="62" w:right="2880" w:firstLine="0"/>
        <w:jc w:val="left"/>
      </w:pPr>
      <w:r>
        <w:rPr>
          <w:rFonts w:ascii="Arial" w:hAnsi="Arial" w:eastAsia="Arial"/>
          <w:b/>
          <w:i/>
          <w:color w:val="000000"/>
          <w:sz w:val="16"/>
        </w:rPr>
        <w:t xml:space="preserve">Notes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a. May differ from the calculated figures or sum of individual figures shown due to rounding.</w:t>
      </w:r>
    </w:p>
    <w:p>
      <w:pPr>
        <w:sectPr>
          <w:pgSz w:w="12240" w:h="15840"/>
          <w:pgMar w:top="516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NOTES TO FINANCIAL STATEMENTS</w:t>
      </w:r>
    </w:p>
    <w:p>
      <w:pPr>
        <w:autoSpaceDN w:val="0"/>
        <w:autoSpaceDE w:val="0"/>
        <w:widowControl/>
        <w:spacing w:line="246" w:lineRule="exact" w:before="15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PURPOSE AND AFFILIATED ORGANIZATIONS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International Bank for Reconstruction and Development (IBRD) is an international organization which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commenced operations in 1946. The principal purpose of IBRD is to promote sustainable economic development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reduce poverty in its member countries, primarily by providing loans, guarantees and related technical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assistance for specific projects and for programs of economic reform in developing member countries. The activities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IBRD are complemented by those of three affiliated organizations, the International Development Association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(IDA), the International Finance Corporation (IFC), and the Multilateral Investment Guarantee Agency (MIGA).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Each of these organizations is legally and financially independent from IBRD, with separate assets and liabilities,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IBRD is not liable for their respective obligations. Transactions with these affiliated organizations are disclosed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the notes that follow.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is immune from taxation pursuant to Article VII, Section 9,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>Immunities from Taxation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, of IBRD’s Articles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Agreement.</w:t>
      </w:r>
    </w:p>
    <w:p>
      <w:pPr>
        <w:autoSpaceDN w:val="0"/>
        <w:autoSpaceDE w:val="0"/>
        <w:widowControl/>
        <w:spacing w:line="246" w:lineRule="exact" w:before="1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A—SUMMARY OF SIGNIFICANT ACCOUNTING AND RELATED POLICIES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financial statements are prepared in conformity with accounting principles generally accepted in the United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States of America (U.S. GAAP).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preparation of financial statements in conformity with U.S. GAAP requires management to make estimates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assumptions that affect the reported amounts of assets and liabilities and disclosure of contingent assets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liabilities at the date of the financial statements and the reported amounts of revenue and expenses during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reporting periods. Due to the inherent uncertainty involved in making these estimates, actual results could differ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from these estimates. Significant judgment has been used in the valuation of certain financial instruments,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determination of the adequacy of the accumulated provisions for losses on loans and other exposures,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determination of the net periodic cost from pension and other postretirement benefits plans, and the present value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projected benefit obligations.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Certain reclassifications of the prior year’s information have been made to conform with the current year’s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presentation.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Translation of Currencies</w:t>
      </w:r>
    </w:p>
    <w:p>
      <w:pPr>
        <w:autoSpaceDN w:val="0"/>
        <w:autoSpaceDE w:val="0"/>
        <w:widowControl/>
        <w:spacing w:line="240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financial statements are expressed in terms of U.S. dollars for the purpose of reporting IBRD’s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position and the results of its operations. IBRD’s functional currencies are the U.S. dollar and euro.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Assets and liabilities are translated at market exchange rates in effect at the end of the reporting period. Revenue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expenses are translated at either the market exchange rates in effect on the dates on which they are recognized or at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 average of the market exchange rates in effect during the month of the transaction. Translation adjustments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relating to non-functional currencies are reflected in the Statements of Income, while translation adjustments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assets and liabilities denominated in euro are reflected in the Statements of Comprehensive Income.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Valuation of Capital Stock</w:t>
      </w:r>
    </w:p>
    <w:p>
      <w:pPr>
        <w:autoSpaceDN w:val="0"/>
        <w:autoSpaceDE w:val="0"/>
        <w:widowControl/>
        <w:spacing w:line="240" w:lineRule="exact" w:before="13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the Articles of Agreement, the capital stock of IBRD is expressed in terms of “U.S. dollars of the weight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fineness in effect on July 1, 1944” (“1944 dollars”). Following the abolition of gold as a common denominator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monetary system and the repeal of the provision of the U.S. law defining the par value of the U.S. dollar in terms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gold, the pre-existing basis for translating 1944 dollars into current dollars or into any other currency was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eliminated. The Executive Directors of IBRD have decided, until such time as the relevant provisions of the Articles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Agreement are amended, that the words “U.S. dollars of the weight and fineness in effect on July 1, 1944”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Article II, Section 2(a) of the Articles of Agreement of IBRD are interpreted to mean the Special Drawing Right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(SDR) introduced by the International Monetary Fund, as valued in terms of U.S. dollars immediately before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introduction of the basket method of valuing the SDR on July 1, 1974, such value being $1.20635 for one SDR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(“1974 SDR”). </w:t>
      </w:r>
    </w:p>
    <w:p>
      <w:pPr>
        <w:autoSpaceDN w:val="0"/>
        <w:tabs>
          <w:tab w:pos="848" w:val="left"/>
        </w:tabs>
        <w:autoSpaceDE w:val="0"/>
        <w:widowControl/>
        <w:spacing w:line="224" w:lineRule="exact" w:before="1132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2024</w:t>
      </w:r>
    </w:p>
    <w:p>
      <w:pPr>
        <w:sectPr>
          <w:pgSz w:w="12240" w:h="15840"/>
          <w:pgMar w:top="696" w:right="137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6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Maintenance of Value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Article II, Section 9 of the Articles of Agreement provides for maintenance of value (MOV), at the time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subscription, of national currencies paid-in, which are subject to certain restrictions. MOV is determined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measuring the foreign exchange value of a member’s national currency against the standard of value of IBRD’s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capital based on the 1974 SDR. MOV receivable are amounts due from members on account of movements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exchange rates from the date of initial subscription, resulting in the reduction in the value of their paid-in capital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denominated in national currencies.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Members are required to make payments to IBRD if their currencies depreciate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significantly relative to the standard of value. These amounts may be settled either in cash or a nonnegotiable,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noninterest-bearing note, which is due on demand. Certain notes are due on demand only after IBRD's callable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subscribed capital has been entirely called pursuant to Article IV, Section 2 (a) of the Articles of Agreement.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Furthermore, the Executive Directors have adopted a policy of reimbursing members whose national currencies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appreciate significantly in terms of the standard of value.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MOV is deferred when the restriction of national currencies paid-in is lifted and these currencies are being used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operations and/or are being invested, swapped, or loaned to members by IBRD or through IFC. Once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restricted currencies are no longer being used in operations, the related MOV is no longer deferred, but rather,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becomes due on the same terms as other MOV obligations.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 MOV receivable balances are shown as components of Equity, under Receivable amounts to maintain value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currency holdings. All MOV payable balances are included in Other liabilities – Accounts payable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miscellaneous liabilities on the Balance Sheets. The net receivable or payable MOV amounts relating to national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currencies used in IBRD's lending and investing operations are also included as a component of Equity under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Deferred amounts to maintain value of currency holdings. 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Withdrawal of Membership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IBRD’s Articles of Agreement, in the event a member withdraws from IBRD, the withdrawing member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entitled to receive the value of its shares payable to the extent the member does not have any outstanding obligations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IBRD. IBRD’s Articles of Agreement also state that the former member has continuing obligations to IBRD after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withdrawal. Specifically, the former member remains fully liable for its entire capital subscription, including both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previously paid-in portion and the callable portion, so long as any part of the loans or guarantees contracted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before it ceased to be a member are outstanding.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Transfers Approved by the Board of Governors</w:t>
      </w:r>
    </w:p>
    <w:p>
      <w:pPr>
        <w:autoSpaceDN w:val="0"/>
        <w:autoSpaceDE w:val="0"/>
        <w:widowControl/>
        <w:spacing w:line="240" w:lineRule="exact" w:before="13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accordance with IBRD’s Articles of Agreement, as interpreted by the Executive Directors, the Board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Governors may exercise its reserved power to approve transfers to other entities for development purposes. When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unconditional, these transfers, which are included in the Board of Governors-approved and other transfers line in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Statements of Income, are reported as expenses upon approval. If conditional, these transfers are expensed when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conditions specified for the use by the beneficiaries have been met. The transfers are funded from the preceding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fiscal year’s Net Income, Surplus, Restricted Retained Earnings or Other Reserves.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Retained Earnings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Retained Earnings consist of allocated amounts (Special Reserve, General Reserve, Pension Reserve, Surplus,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Cumulative Fair Value Adjustments, Restricted Retained Earnings, Other Reserves) and Unallocated Net Income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(Loss).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Special Reserve consists of loan commissions set aside pursuant to Article IV, Section 6 of the Articles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Agreement, which are to be held in liquid assets. These assets may be used only for the purpose of meeting liabilities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IBRD on its borrowings and guarantees in the event of default on loans made, participated in, or guaranteed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IBRD. The Special Reserve assets are included under Investments-Trading, and comprise obligations of the United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States Government, its agencies, and other official entities. The allocation of such commissions to the Special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Reserve was discontinued in 1964 with respect to subsequent loans and no further additions are being made to it.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General Reserve consists of earnings from prior fiscal years which, in the judgment of the Executive Directors,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should be retained in IBRD’s operations.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868" w:after="0"/>
        <w:ind w:left="41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91</w:t>
      </w:r>
    </w:p>
    <w:p>
      <w:pPr>
        <w:sectPr>
          <w:pgSz w:w="12240" w:h="15840"/>
          <w:pgMar w:top="696" w:right="137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Pension Reserve consists of the difference between the cumulative actual funding of the Staff Retirement Plan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Trust (SRP) and other postretirement benefits plans, and the cumulative accounting income or expense for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plans, from prior fiscal years. This reserve is reduced when pension accounting expenses exceed the actual funding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these plans. In addition, the Pension Reserve also includes investment revenue earned on the Post-Employment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Benefits Plan (PEBP) portfolio as well as Post Retirement Contribution Reserve Fund (PCRF), which is used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stabilize IBRD’s contributions to the pension plan.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Surplus consists of earnings from prior fiscal years which are retained by IBRD until a further decision is made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their disposition.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Cumulative Fair Value Adjustments consist of the unrealized mark-to-market gains or losses on non-trading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portfolios and certain positions in the trading portfolio.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Restricted Retained Earnings consists of contributions or revenue from prior years which are contractually restricted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as to their purpose.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Unallocated Net Income (Loss) consists of the current fiscal year’s net income (loss) adjusted for Board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Governors-approved and other transfers made during the year.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Other Reserves consist of allocations from Surplus, non-functional currency translation adjustment gains/losses from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prior fiscal years, and revenue from prior years which is set aside for a dedicated purpose. Allocations from Surplus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are retained by IBRD until the conditions specified for the use by their beneficiaries have been met. 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Loans and Other Exposures</w:t>
      </w:r>
    </w:p>
    <w:p>
      <w:pPr>
        <w:autoSpaceDN w:val="0"/>
        <w:autoSpaceDE w:val="0"/>
        <w:widowControl/>
        <w:spacing w:line="222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Loans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 IBRD loans are made to or guaranteed by countries that are members of IBRD, except for loans made to IFC.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majority of IBRD’s loans have repayment obligations based on specific currencies. IBRD also holds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multicurrency loans which have repayment obligations in various currencies determined on the basis of a currency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pooling system. Other exposures comprise signed commitments (including deferred drawdown options that are </w:t>
      </w:r>
    </w:p>
    <w:p>
      <w:pPr>
        <w:autoSpaceDN w:val="0"/>
        <w:autoSpaceDE w:val="0"/>
        <w:widowControl/>
        <w:spacing w:line="222" w:lineRule="exact" w:before="46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effective, and irrevocable commitments), and guarantees.</w:t>
      </w:r>
    </w:p>
    <w:p>
      <w:pPr>
        <w:autoSpaceDN w:val="0"/>
        <w:autoSpaceDE w:val="0"/>
        <w:widowControl/>
        <w:spacing w:line="224" w:lineRule="exact" w:before="156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Generally, loans are reported on the balance sheets at amortized cost. Loans with embedded derivatives are assessed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fair value election, or bifurcation of the loan and derivative. Commitment charges on the undisbursed balance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loans are recognized in revenue as earned. Any loan origination fees incorporated in the terms of a loan are deferred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recognized over the life of the loan as an adjustment of the yield. The unamortized balance of loan origination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fees is included as a reduction of the Loans outstanding on the Balance Sheets, and the amortization of loan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origination fees are included in Interest revenue from Loans, net in the Statements of Income. Accrued interest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presented in the Balance Sheets line item Receivables - Accrued income on loans and guarantee fees receivable.</w:t>
      </w:r>
    </w:p>
    <w:p>
      <w:pPr>
        <w:autoSpaceDN w:val="0"/>
        <w:autoSpaceDE w:val="0"/>
        <w:widowControl/>
        <w:spacing w:line="224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It is IBRD’s practice not to reschedule interest or principal payments on its loans or participate in debt rescheduling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agreements with respect to its loans. Should modifications be made to the terms of existing loans, IBRD would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perform an evaluation to determine the required accounting treatment, including whether the modification would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result in the affected loans being accounted for as a new loan, or as a continuation of the existing loan. </w:t>
      </w:r>
    </w:p>
    <w:p>
      <w:pPr>
        <w:autoSpaceDN w:val="0"/>
        <w:autoSpaceDE w:val="0"/>
        <w:widowControl/>
        <w:spacing w:line="224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It is IBRD’s policy to place all loans and other exposures (collectively “exposures”) made to or guaranteed by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member of IBRD into nonaccrual status if principal, interest, or other charges with respect to any such exposures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overdue by more than six months, unless IBRD’s management determines that the overdue amount will be collected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the immediate future. In addition, if loans and other exposures made by IDA to a member country are placed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nonaccrual status, all IBRD loans and other exposures made to, or guaranteed by, that member country will also be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placed in nonaccrual status by IBRD. On the date a member’s exposures are placed into nonaccrual status, unpaid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interest and other charges accrued on exposures to the member are deducted from the revenue of the current period. </w:t>
      </w:r>
    </w:p>
    <w:p>
      <w:pPr>
        <w:autoSpaceDN w:val="0"/>
        <w:autoSpaceDE w:val="0"/>
        <w:widowControl/>
        <w:spacing w:line="222" w:lineRule="exact" w:before="122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Interest and other charges on nonaccruing exposures are included in revenue only to the extent that payments have </w:t>
      </w:r>
    </w:p>
    <w:p>
      <w:pPr>
        <w:autoSpaceDN w:val="0"/>
        <w:autoSpaceDE w:val="0"/>
        <w:widowControl/>
        <w:spacing w:line="242" w:lineRule="exact" w:before="1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been received by IBRD. A decision on the restoration of accrual status is made upon arrears clearance.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collectability risk is considered to be particularly high at the time of arrears clearance, the member’s exposures may </w:t>
      </w:r>
    </w:p>
    <w:p>
      <w:pPr>
        <w:autoSpaceDN w:val="0"/>
        <w:autoSpaceDE w:val="0"/>
        <w:widowControl/>
        <w:spacing w:line="220" w:lineRule="exact" w:before="3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not automatically emerge from nonaccrual status until a suitable period of payment performance has passed.</w:t>
      </w:r>
    </w:p>
    <w:p>
      <w:pPr>
        <w:autoSpaceDN w:val="0"/>
        <w:tabs>
          <w:tab w:pos="848" w:val="left"/>
        </w:tabs>
        <w:autoSpaceDE w:val="0"/>
        <w:widowControl/>
        <w:spacing w:line="224" w:lineRule="exact" w:before="1294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2024</w:t>
      </w:r>
    </w:p>
    <w:p>
      <w:pPr>
        <w:sectPr>
          <w:pgSz w:w="12240" w:h="15840"/>
          <w:pgMar w:top="700" w:right="137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Loan Commitments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Undisbursed loans relate to operations approved by the Executive Directors, for which disbursements are yet to be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made. IBRD records a provision for expected losses on undisbursed loan commitments including Deferred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Drawdown Options (DDOs), when signed by both parties. The signature of the loan agreement is a binding event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that prevents IBRD from unconditionally withdrawing from the agreement. 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Guarantees provided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Financial guarantees are commitments issued by IBRD to guarantee payment by a member country (the debtor) to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third party in the event that a member government (or a government-owned entity) fails to perform its contractual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obligations to a third party.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Guarantees provided are regarded as outstanding when the underlying financial obligation of the debtor is incurred,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called when a guaranteed party demands payment under the guarantee. IBRD would be required to perform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its guarantees if the payments guaranteed were not made by the debtor and the guaranteed party called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guarantee by demanding payment from IBRD in accordance with the terms of the guarantee. In the event that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guarantee of a member country is called, IBRD has the contractual right to require payment from the member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country.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records the fair value of the obligation to stand ready in Other Liabilities - Accounts payable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miscellaneous liabilities, and a corresponding fees receivable asset in the Receivables - Accrued income on loans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guarantee fees receivable line on IBRD’s Balance Sheets. Upfront guarantee fees received are deferred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amortized over the life of the guarantee. 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242424"/>
          <w:sz w:val="20"/>
        </w:rPr>
        <w:t>Guarantees Received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receives third-party guarantees in the form of a credit enhancement to loan exposures. The credit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enhancements that are contractually attached to the loan reduce the exposure at risk considered in computing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loan loss provisions.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Financial guarantees that are not contractually attached to the loan are recorded as a recoverable asset and included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Other assets - Miscellaneous on the Balance Sheets. The change in value of the recoverable asset is recorded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Non-interest revenue - Other, net on the Statements of Income.</w:t>
      </w:r>
    </w:p>
    <w:p>
      <w:pPr>
        <w:autoSpaceDN w:val="0"/>
        <w:autoSpaceDE w:val="0"/>
        <w:widowControl/>
        <w:spacing w:line="230" w:lineRule="exact" w:before="13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Credit enhancements that do not meet the requirements to be accounted for as financial guarantees are recorded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derivatives. These instruments are recorded at fair value in Other Assets on the Balance Sheets, with changes in fair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value recorded in Unrealized mark-to-market gains (losses) on non-trading portfolio, net. </w:t>
      </w:r>
    </w:p>
    <w:p>
      <w:pPr>
        <w:autoSpaceDN w:val="0"/>
        <w:autoSpaceDE w:val="0"/>
        <w:widowControl/>
        <w:spacing w:line="244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Accumulated Provision for Losses on Loans and Other Exposures</w:t>
      </w:r>
    </w:p>
    <w:p>
      <w:pPr>
        <w:autoSpaceDN w:val="0"/>
        <w:autoSpaceDE w:val="0"/>
        <w:widowControl/>
        <w:spacing w:line="240" w:lineRule="exact" w:before="112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determines the appropriate level of accumulated provisions for losses on exposures, which reflects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expected losses inherent in IBRD’s exposures. 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Loans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 exposures are disaggregated into two groups: exposures in accrual status and exposures in nonaccrual status.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each group, a credit risk rating is assigned to exposures for each borrower.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total exposure for provisioning is the current exposure and the estimated future exposure, taking into account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expected disbursements and repayments over the life of the instruments. The expected credit losses related to loans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other exposures are calculated over the life of the instruments based on the annual estimated exposures,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expected default frequency (probability of default to IBRD) and the estimated loss given default. The provision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expected losses is the sum of the expected annual losses over the life of the instruments. 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countries in accrual status, these exposures are grouped in pools of borrowers with a similar risk rating.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determination of a borrower’s rating is based on various factors (see Note D—Loans and other exposures). Each risk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rating is mapped to an expected default frequency using IBRD's credit migration matrix, based on historical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observations of credit ratings at the beginning and at the end of each year.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Expected losses on loan exposures comprise estimates of potential losses arising from the economic loss due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delays in receiving payments. The estimated loss given default is determined at each balance sheet date, based on 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628" w:after="0"/>
        <w:ind w:left="41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93</w:t>
      </w:r>
    </w:p>
    <w:p>
      <w:pPr>
        <w:sectPr>
          <w:pgSz w:w="12240" w:h="15840"/>
          <w:pgMar w:top="700" w:right="137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historical experience, as well as parameters adjusted for current conditions during the reasonable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supportable forecast period of IBRD. The loss given default is based on the borrower’s eligibility, namely: IBRD,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Blend (IBRD and IDA) and IDA, with the highest loss given default associated with IDA eligibility. The main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factors used to determine the loss given default are the estimated length of delays in receiving loan payments,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effective interest rate of the exposure. As the majority of IBRD’s loans carry a variable interest rate, the loss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severity is impacted by the changes in forward looking market interest rates.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 calculation of expected credit losses, IBRD applies a three-year reasonable and supportable forecast period,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representing the most reliable and available economic data during this period. IBRD also applies a ten-year straight-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line reversion to the mean to reflect the historical pattern of rating migration to the mean of its loan portfolio.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This methodology is also applied to countries with exposures in nonaccrual status, although the expected default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frequency is equal to one hundred percent. At times, to reflect certain distinguishing circumstances of a particular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nonaccrual situation, different input assumptions may be used for a specific country.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 exposures for countries in nonaccrual status are individually assessed. Exposure for certain countries in accrual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status may be individually assessed on the basis that they do not share common risk characteristics with an existing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pool of exposures. It is IBRD’s practice not to write off loans. All contractual obligations associated with exposures </w:t>
      </w:r>
    </w:p>
    <w:p>
      <w:pPr>
        <w:autoSpaceDN w:val="0"/>
        <w:autoSpaceDE w:val="0"/>
        <w:widowControl/>
        <w:spacing w:line="260" w:lineRule="exact" w:before="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in nonaccrual status have eventually been cleared, and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borrowers have emerged from nonaccrual status. To date, no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loans have been written off.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reassesses the adequacy of the accumulated provision on a quarterly basis and adjustments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accumulated provision are recorded as a charge to or release of provision in the Statements of Income. In addition,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reasonableness of the inputs used is reassessed quarterly. 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Loan Commitments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records the expected credit losses on loan commitments based on  the projected disbursements of signed loan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commitments (adjusted by cancellations based on historical experience), the expected probability of default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estimated loss given default. The provision is included in Other liabilities - Accounts payable and miscellaneous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liabilities on the Balance Sheets.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Guarantees provided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records a contingent liability for the expected losses related to guarantees provided over the projected life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instruments, that is determined based on the estimated exposure at default, multiplied by the corresponding loss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given default and expected default probability for the projected life of the guarantee. This provision, as well as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unamortized balance of the deferred guarantee fees, and the unamortized balance of the obligation to stand-ready,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are included in Other Liabilities - Accounts payable and miscellaneous liabilities on the Balance Sheets.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Exposure Exchange Agreements (EEAs)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executes EEAs with various organizations. While these agreements are not legally considered guarantees,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financial statements they are recognized as financial guarantees as they meet the accounting criteria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financial guarantees. Under an EEA, each party exchanges credit risk exposure of a portfolio supported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underlying loans to borrowers, by providing and receiving guarantees from each other, for the amounts specified.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guarantee provided and the guarantee received are two separate transactions; namely (a) the provision of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financial guarantee, and (b) the receipt of an asset. There is generally no exchange of cash between the organizations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these transactions.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a guarantee provided under an EEA, IBRD records a liability equivalent to the fair value of the obligation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stand ready. This liability is included in Other liabilities - Accounts payable and miscellaneous liabilities on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Balance Sheets and is amortized over the life of the EEA. IBRD also records a liability, and corresponding expense,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recognition of the risk coverage provided (provision). The change in the provision is recorded as Provision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losses on loans and other exposures on the Statements of Income. The value of this liability reflects the credit quality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the underlying loans in the portfolio and changes over the life of the EEA as the credit quality of these loans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changes.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a guarantee received under an EEA, IBRD records an asset equivalent to the fair value of the right to be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indemnified. This asset is included in Other assets – Miscellaneous on the Balance Sheets and is amortized over the </w:t>
      </w:r>
    </w:p>
    <w:p>
      <w:pPr>
        <w:autoSpaceDN w:val="0"/>
        <w:tabs>
          <w:tab w:pos="848" w:val="left"/>
        </w:tabs>
        <w:autoSpaceDE w:val="0"/>
        <w:widowControl/>
        <w:spacing w:line="224" w:lineRule="exact" w:before="556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2024</w:t>
      </w:r>
    </w:p>
    <w:p>
      <w:pPr>
        <w:sectPr>
          <w:pgSz w:w="12240" w:h="15840"/>
          <w:pgMar w:top="700" w:right="137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3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life of the EEA. IBRD records corresponding income, in recognition of the risk coverage received (recoverable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asset). The change in value of the recoverable asset is recorded as Non-interest revenue - Other, net on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Statements of Income. The value of this asset reflects the credit quality of the underlying loans in the portfolio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changes over the life of the EEA contract as the credit quality of these loans changes.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Segment Reporting</w:t>
      </w:r>
    </w:p>
    <w:p>
      <w:pPr>
        <w:autoSpaceDN w:val="0"/>
        <w:autoSpaceDE w:val="0"/>
        <w:widowControl/>
        <w:spacing w:line="240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Based on an evaluation of IBRD’s operations, Management has determined that IBRD has one reportable segment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since financial results are reviewed and resource allocation decisions are made at the entity level. 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Statements of Cash Flows</w:t>
      </w:r>
    </w:p>
    <w:p>
      <w:pPr>
        <w:autoSpaceDN w:val="0"/>
        <w:autoSpaceDE w:val="0"/>
        <w:widowControl/>
        <w:spacing w:line="240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 purpose of IBRD's Statements of Cash Flows, cash is defined as the amount of Unrestricted cash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Restricted cash under the Due from banks line on the Balance Sheets.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Restricted Cash</w:t>
      </w:r>
    </w:p>
    <w:p>
      <w:pPr>
        <w:autoSpaceDN w:val="0"/>
        <w:autoSpaceDE w:val="0"/>
        <w:widowControl/>
        <w:spacing w:line="240" w:lineRule="exact" w:before="130" w:after="0"/>
        <w:ind w:left="0" w:right="3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This includes amounts which have been received from members as part of their capital subscriptions, as well as from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donors and other sources, which are restricted for specified purposes. For capital subscriptions, a portion of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subscriptions have been paid to IBRD in the national currencies of the members. These amounts are usable by IBRD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its lending and investing operations, only with the consent of the respective members, and for administrative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expenses incurred in national currencies.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Investments</w:t>
      </w:r>
    </w:p>
    <w:p>
      <w:pPr>
        <w:autoSpaceDN w:val="0"/>
        <w:autoSpaceDE w:val="0"/>
        <w:widowControl/>
        <w:spacing w:line="240" w:lineRule="exact" w:before="130" w:after="0"/>
        <w:ind w:left="0" w:right="3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 securities are classified based on Management’s intention on the date of purchase, their nature,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policies governing the level and use of such investments.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June 30, 2024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, all of the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instruments in IBRD’s investment portfolio were classified as trading.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These securities are carried and reported at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fair value, or at face value or net asset value (NAV), which approximate fair value.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Where available, quoted market prices are used to determine the fair value of trading securities. These include most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government and agency securities, exchange-traded equity securities, Asset-backed Securities (ABS), and Mortgage-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backed Securities (MBS). For instruments for which market quotations are not available, fair values are determined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using model-based valuation techniques, whether internally-generated or vendor-supplied, that include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discounted cash flow method using observable market inputs such as yield curves, credit spreads, and conditional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prepayment rates. Where applicable, unobservable inputs such as conditional prepayment rates, probability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default and loss severity are used. Unless quoted prices are available, time deposits are reported at face value which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approximates fair value, as they are short term in nature. Purchases and sales of securities are recorded on a trade-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date basis.  Time deposits and money market deposits are recorded at settlement. The first-in first-out method is used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determine the cost of securities sold in computing the realized gains and losses on these instruments. Derivative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instruments used in liquidity management are not designated as hedging instruments for accounting purposes.</w:t>
      </w:r>
    </w:p>
    <w:p>
      <w:pPr>
        <w:autoSpaceDN w:val="0"/>
        <w:autoSpaceDE w:val="0"/>
        <w:widowControl/>
        <w:spacing w:line="240" w:lineRule="exact" w:before="120" w:after="0"/>
        <w:ind w:left="0" w:right="3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Interest revenue is included in the Investments-Trading, net line in the Statements of Income. Unrealized gains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losses for investment securities and related financial instruments held in the trading portfolio are included in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Unrealized mark-to-market gains (losses) on Investments-Trading portfolio, net line in the Statements of Income.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Realized gains and losses on trading securities are recognized in the Statements of Income when securities are sold. </w:t>
      </w:r>
    </w:p>
    <w:p>
      <w:pPr>
        <w:autoSpaceDN w:val="0"/>
        <w:autoSpaceDE w:val="0"/>
        <w:widowControl/>
        <w:spacing w:line="240" w:lineRule="exact" w:before="120" w:after="0"/>
        <w:ind w:left="0" w:right="3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may require collateral in the form of approved liquid securities from individual counterparties or cash, under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legal agreements that provide for collateralization, in order to mitigate its credit exposure to these counterparties.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collateral received in the form of cash from counterparties, IBRD invests the amounts received and records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 and a corresponding obligation to return the cash. Collateral received in the form of liquid securities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only recorded on IBRD's Balance Sheets to the extent that it has been transferred under securities lending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agreements in return for cash. </w:t>
      </w:r>
    </w:p>
    <w:p>
      <w:pPr>
        <w:autoSpaceDN w:val="0"/>
        <w:autoSpaceDE w:val="0"/>
        <w:widowControl/>
        <w:spacing w:line="264" w:lineRule="exact" w:before="110" w:after="0"/>
        <w:ind w:left="0" w:right="20" w:firstLine="0"/>
        <w:jc w:val="both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Securities Purchased Under Resale Agreements, Securities Lent Under Securities Lending </w:t>
      </w: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Agreements and Securities Sold Under Repurchase Agreements and Payable for Cash Collateral </w:t>
      </w:r>
      <w:r>
        <w:rPr>
          <w:rFonts w:ascii="TimesNewRoman" w:hAnsi="TimesNewRoman" w:eastAsia="TimesNewRoman"/>
          <w:b/>
          <w:i w:val="0"/>
          <w:color w:val="000000"/>
          <w:sz w:val="22"/>
        </w:rPr>
        <w:t>Received</w:t>
      </w:r>
    </w:p>
    <w:p>
      <w:pPr>
        <w:autoSpaceDN w:val="0"/>
        <w:autoSpaceDE w:val="0"/>
        <w:widowControl/>
        <w:spacing w:line="240" w:lineRule="exact" w:before="13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Securities purchased under resale agreements, securities lent under securities lending agreements, securities sold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repurchase agreements and payable for cash collateral received are reported at face value which approximates 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556" w:after="0"/>
        <w:ind w:left="41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95</w:t>
      </w:r>
    </w:p>
    <w:p>
      <w:pPr>
        <w:sectPr>
          <w:pgSz w:w="12240" w:h="15840"/>
          <w:pgMar w:top="700" w:right="136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fair value, as they are short term in nature. IBRD receives securities purchased under resale agreements, monitors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fair value of the securities and, if necessary, closes out transactions and enters into new repriced transactions.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securities transferred to counterparties under repurchase and security lending arrangements and the securities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transferred to IBRD under resale agreements have not met the accounting criteria for treatment as a sale. Therefore,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securities transferred under repurchase agreements and security lending arrangements are retained as assets on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Balance Sheets, and securities received under resale agreements are not recorded on the Balance Sheets. Securities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lent under securities lending agreements and sold under securities repurchase agreements as well as securities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purchased under resale agreements are presented on a gross basis which is consistent with the manner in which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instruments are settled. The interest earned from securities purchased under resale agreements is included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Investments–Trading, net in the Statements of Income. The interest expense pertaining to the securities sold under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repurchase agreements and security lending arrangements, is included in the Borrowing expenses, net line in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Statements of Income.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Nonnegotiable, Noninterest-bearing Demand Obligations on Account of Subscribed Capital</w:t>
      </w:r>
    </w:p>
    <w:p>
      <w:pPr>
        <w:autoSpaceDN w:val="0"/>
        <w:autoSpaceDE w:val="0"/>
        <w:widowControl/>
        <w:spacing w:line="240" w:lineRule="exact" w:before="13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 demand obligations are held in bank accounts which bear IBRD’s name and are carried and reported at face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value as a reduction to equity. Payments on some of these instruments are due to IBRD upon demand. Others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due to IBRD on demand, but only after IBRD’s callable subscribed capital has been entirely called pursuant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Article IV, Section 2 (a) of the Articles of Agreement.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Premises and Equipment</w:t>
      </w:r>
    </w:p>
    <w:p>
      <w:pPr>
        <w:autoSpaceDN w:val="0"/>
        <w:autoSpaceDE w:val="0"/>
        <w:widowControl/>
        <w:spacing w:line="240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Premises and equipment, including leasehold improvements, and information technology assets are carried at cost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less accumulated depreciation and amortization. IBRD computes depreciation and amortization using the straight-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line method over the estimated useful lives of the owned assets, which range between three and fifty years.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leasehold improvements, depreciation is computed over the lesser of the remaining term of the leased facility or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estimated economic life of the improvement.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Maintenance and repairs are charged to expense as incurred, while major improvements are capitalized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amortized over the estimated useful life. 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Lessee Arrangements</w:t>
      </w:r>
    </w:p>
    <w:p>
      <w:pPr>
        <w:autoSpaceDN w:val="0"/>
        <w:autoSpaceDE w:val="0"/>
        <w:widowControl/>
        <w:spacing w:line="240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IBRD’s lessee arrangements are mostly real estate operating leases. Under these arrangements, IBRD records right-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of-use assets and lease liabilities at lease commencement. Right-of-use assets are reported in Other assets - Premises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equipment, net and the related lease liabilities are reported in Other liabilities - Accounts payable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miscellaneous liabilities. IBRD has elected to account for the lease and non-lease components together as a single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lease component. At lease commencement, lease liabilities are recognized based on the present value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remaining lease payments and discounted using IBRD’s incremental borrowing rate. All leases are recorded on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Balance Sheets except short-term leases with an initial term of 12 months or less. Lease expense, including that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short-term leases, is recognized on a straight-line basis over the lease term and is recorded in Administrative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expenses in the Statements of Income.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Borrowings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ensure funds are available for lending and liquidity purposes, IBRD borrows in the international capital markets,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offering its securities (discount notes, vanilla and structured bonds) to private and governmental buyers. IBRD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issues debt instruments of varying maturities denominated in various currencies with both fixed and variable interest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rates.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has elected the fair value option for all borrowings. All changes in fair value are recognized in the related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Unrealized mark-to-market gains and losses on non-trading portfolios, net, line in the Statements of Income, except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changes in the fair value related to IBRD’s own credit risk, which are reported in Other Comprehensive Income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(OCI) as a Debit Valuation Adjustment (DVA). The DVA on fair value option elected liabilities is measured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revaluing each borrowing instrument to determine the changes in fair value of that instrument arising from changes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 IBRD’s funding spread relative to the applicable reference rate.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Structured bonds issued by IBRD have coupon or repayment terms linked to the level or the performance of interest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rates, foreign exchange rates, equity indices, catastrophic events or commodities. </w:t>
      </w:r>
    </w:p>
    <w:p>
      <w:pPr>
        <w:autoSpaceDN w:val="0"/>
        <w:tabs>
          <w:tab w:pos="848" w:val="left"/>
        </w:tabs>
        <w:autoSpaceDE w:val="0"/>
        <w:widowControl/>
        <w:spacing w:line="224" w:lineRule="exact" w:before="628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2024</w:t>
      </w:r>
    </w:p>
    <w:p>
      <w:pPr>
        <w:sectPr>
          <w:pgSz w:w="12240" w:h="15840"/>
          <w:pgMar w:top="700" w:right="137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 purpose of the Statements of Cash Flows, short-term borrowings, if any, with original maturities less than 90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days, are presented net of new issuances and retirements. By contrast, short-term borrowings with original maturities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greater than 90 days and up to one year are presented on a gross basis.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Interest expense relating to all debt instruments in IBRD’s borrowing portfolio is measured on an effective yield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basis and is reported as part of Borrowing expenses, net in the Statements of Income.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Amortization of discounts and premiums is recorded using the effective interest method and is included in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Borrowing expenses, net line in the Statements of Income. 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Accounting for Derivatives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has elected not to designate any hedging relationships for accounting purposes. Rather, all derivative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instruments are reported at fair value on the Balance Sheets, with changes in fair values accounted for through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Statements of Income. 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presentation of derivative instruments on IBRD’s Balance Sheets reflects the netting of derivative asset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liability positions and the related cash collateral received from the counterparty, when a legally enforceable master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netting agreement exists, and the other conditions are met. In addition, in the Notes to the financial statements,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unless stated differently, derivatives are presented on a net basis by instrument.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 master netting agreement is an industry standard agreement with a counterparty that permits multiple transactions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governed by that agreement to be terminated or accelerated and settled through a single payment in a single currency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the event of a default (e.g., bankruptcy, failure to make a required payment or transfer security or deliver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collateral when due). Obligations under master netting agreements are often secured by collateral posted under 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industry standard credit support annex to the master netting agreement. Upon default by the counterparty,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collateral agreement grants an entity the right to set-off any amounts payable by the counterparty against any posted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collateral.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uses derivative instruments in its investment trading portfolio to manage interest rate and currency risks.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These derivatives are carried and reported at fair value. Interest revenue/expenses are reflected as part of Interest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revenue, while unrealized mark-to-market gains and losses on these derivatives are reflected as part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Unrealized mark-to-market gains (losses) in Investments-Trading, net line in the Statements of Income.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also uses derivatives in its loan, borrowing and asset/liability management activities. It also offers derivative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intermediation services to clients. In the loan and borrowing portfolios, derivatives are used to modify the interest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rate and/or currency characteristics of these portfolios. The interest component of these derivatives is recognized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 adjustment to the related loan revenue and borrowing costs over the life of the derivative contracts and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included in the related Interest revenue/expenses lines in the Statements of Income. Changes in fair values of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derivatives are recorded in the Statements of Income as Unrealized mark-to-market gains and losses in non-trading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portfolios, net.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 purpose of the Statements of Cash Flows, IBRD has elected to report the cash flows associated with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derivative instruments that are used to economically hedge its loans, investments and borrowings, in a manner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consistent with the presentation of the related loan, investment and borrowing cash flows.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Derivative contracts include currency forward contracts, to-be-announced (TBA) securities, swaptions, exchange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traded options and futures contracts, currency swaps and interest rate swaps. Currency swaps and interest rate swaps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are either plain vanilla or structured. Currency forward contracts and plain vanilla currency and interest rate swaps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are valued using the discounted cash flow methods using observable market inputs such as yield curves, foreign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exchange rates, basis spreads and funding spreads. For structured currency and interest rate swaps, which primarily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consist of callable swaps linked to interest rates, foreign exchange rates, and equity indices, valuation models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inputs similar to the ones applicable to structured bond valuations are used. Where applicable, the models also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incorporate significant unobservable inputs such as correlations and long-dated interest rate volatilities.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Most outstanding derivative positions are transacted over-the-counter and therefore valued using internally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developed valuation models. For commercial and non-commercial counterparties where IBRD has a net receivable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position, IBRD calculates a Credit Valuation Adjustment (CVA) to reflect credit risk. For net derivative positions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with commercial and non-commercial counterparties where IBRD is in a net payable position, IBRD calculates a 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700" w:after="0"/>
        <w:ind w:left="41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97</w:t>
      </w:r>
    </w:p>
    <w:p>
      <w:pPr>
        <w:sectPr>
          <w:pgSz w:w="12240" w:h="15840"/>
          <w:pgMar w:top="700" w:right="137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DVA to reflect its own credit risk. The CVA is calculated using future projected exposures of the derivative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contracts, net of collateral received under credit support agreements, and the probability of counterparty default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based on the Credit Default Swaps (CDS) spread and, where applicable, proxy CDS spreads. The DVA calculation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is generally consistent with the CVA methodology and incorporates IBRD’s own credit spread as observed through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CDS market.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Valuation of Financial Instruments 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has an established and documented process for determining fair values. Fair value is based upon quoted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market prices for the same or similar securities, where available. Financial instruments for which quoted market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prices are not readily available are valued based on discounted cash flow models and other established valuation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models. These models primarily use market-based or independently-sourced market parameters such as yield curves,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interest rates, volatilities, foreign exchange rates and credit curves, and may incorporate unobservable inputs, some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which may be significant. Selection of these inputs may involve some judgment. In instances where management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relies on instrument valuations supplied by external pricing vendors, there are procedures in place to validate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appropriateness of the models used as well as inputs applied in determining those values. The fair value of certain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instruments is calculated using NAV as a practical expedient. To ensure that the valuations are appropriate where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internally-developed models are used, IBRD has various controls in place, which include both internal and periodic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external verification and review. 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Fair Value Hierarchy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Financial instruments are categorized based on the priority of the inputs to the valuation technique. The fair value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hierarchy gives the highest priority to quoted prices in active markets for identical assets or liabilities (Level 1),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next highest priority to observable market-based inputs or inputs that are corroborated by market data (Level 2)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lowest priority to unobservable inputs that are not corroborated by market data (Level 3).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Financial assets and liabilities recorded at fair value on the Balance Sheets are categorized based on the inputs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valuation techniques as follows:</w:t>
      </w:r>
    </w:p>
    <w:p>
      <w:pPr>
        <w:autoSpaceDN w:val="0"/>
        <w:tabs>
          <w:tab w:pos="720" w:val="left"/>
        </w:tabs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Level 1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: Financial assets and liabilities whose values are based on unadjusted quoted prices for identical assets or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liabilities in active markets.</w:t>
      </w:r>
    </w:p>
    <w:p>
      <w:pPr>
        <w:autoSpaceDN w:val="0"/>
        <w:autoSpaceDE w:val="0"/>
        <w:widowControl/>
        <w:spacing w:line="240" w:lineRule="exact" w:before="120" w:after="0"/>
        <w:ind w:left="720" w:right="22" w:hanging="720"/>
        <w:jc w:val="both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Level 2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: Financial assets and liabilities whose values are based on quoted prices for similar assets or liabilities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active markets; quoted prices for identical or similar assets or liabilities in markets that are not active; 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pricing models for which all significant inputs are observable, either directly or indirectly for substantially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full term of the asset or liability. </w:t>
      </w:r>
    </w:p>
    <w:p>
      <w:pPr>
        <w:autoSpaceDN w:val="0"/>
        <w:tabs>
          <w:tab w:pos="720" w:val="left"/>
        </w:tabs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Level 3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: Financial assets and liabilities whose values are based on prices or valuation techniques that require inputs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that are both unobservable and significant to the overall fair value measurement.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policy is to recognize transfers in and transfers out of levels as of the end of the reporting period in which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they occur.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Investments measured at NAV (or its equivalent) are not classified in the fair value hierarchy.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Accounting for Grant Expenses</w:t>
      </w:r>
    </w:p>
    <w:p>
      <w:pPr>
        <w:autoSpaceDN w:val="0"/>
        <w:autoSpaceDE w:val="0"/>
        <w:widowControl/>
        <w:spacing w:line="240" w:lineRule="exact" w:before="13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recognizes an expense for unconditional grants, such as Contributions to Special Programs and most Board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Governors-approved and other transfers, upon approval. IBRD recognizes an expense for conditional grants when </w:t>
      </w:r>
    </w:p>
    <w:p>
      <w:pPr>
        <w:autoSpaceDN w:val="0"/>
        <w:autoSpaceDE w:val="0"/>
        <w:widowControl/>
        <w:spacing w:line="222" w:lineRule="exact" w:before="46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conditions specified for use by the beneficiaries have been met.</w:t>
      </w:r>
    </w:p>
    <w:p>
      <w:pPr>
        <w:autoSpaceDN w:val="0"/>
        <w:autoSpaceDE w:val="0"/>
        <w:widowControl/>
        <w:spacing w:line="244" w:lineRule="exact" w:before="15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Trust Funds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the extent that IBRD acts as an agent for, or controls Bank-executed activities for trust funds, assets held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behalf of specified beneficiaries are recorded on IBRD’s Balance Sheets, along with corresponding liabilities.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Amounts disbursed from these trust funds are recorded as expenses with corresponding amounts recognized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revenues. For recipient-executed activities for trust funds, since IBRD acts as a trustee, no assets or liabilities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relating to these activities are recorded on the Balance Sheets. In some trust funds, execution is split between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recipient-executed and Bank-executed portions. Decisions on assignment of funding resources between the two </w:t>
      </w:r>
    </w:p>
    <w:p>
      <w:pPr>
        <w:autoSpaceDN w:val="0"/>
        <w:tabs>
          <w:tab w:pos="848" w:val="left"/>
        </w:tabs>
        <w:autoSpaceDE w:val="0"/>
        <w:widowControl/>
        <w:spacing w:line="224" w:lineRule="exact" w:before="700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2024</w:t>
      </w:r>
    </w:p>
    <w:p>
      <w:pPr>
        <w:sectPr>
          <w:pgSz w:w="12240" w:h="15840"/>
          <w:pgMar w:top="700" w:right="137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types of execution may be made on an ongoing basis, therefore, the execution of a portion of these available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resources may not yet be assigned.</w:t>
      </w:r>
    </w:p>
    <w:p>
      <w:pPr>
        <w:autoSpaceDN w:val="0"/>
        <w:autoSpaceDE w:val="0"/>
        <w:widowControl/>
        <w:spacing w:line="240" w:lineRule="exact" w:before="120" w:after="0"/>
        <w:ind w:left="0" w:right="7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also acts as a financial intermediary to provide specific administrative or financial services with a limited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fiduciary or operational role. These arrangements, referred to as Financial Intermediary Funds, include, for example,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administration of debt service trust funds, financial intermediation and other more specialized limited fund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roles. For these arrangements, funds are held and disbursed in accordance with instructions from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donors or, in some cases, an external governance structure or a body operating on behalf of donors. For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Intermediary Funds, since IBRD acts as a trustee, no assets or liabilities relating to these activities are recorded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Balance Sheets.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/>
          <w:color w:val="000000"/>
          <w:sz w:val="22"/>
        </w:rPr>
        <w:t>A</w:t>
      </w:r>
      <w:r>
        <w:rPr>
          <w:rFonts w:ascii="TimesNewRoman" w:hAnsi="TimesNewRoman" w:eastAsia="TimesNewRoman"/>
          <w:b/>
          <w:i w:val="0"/>
          <w:color w:val="000000"/>
          <w:sz w:val="22"/>
        </w:rPr>
        <w:t>ccounting and Reporting Developments</w:t>
      </w:r>
    </w:p>
    <w:p>
      <w:pPr>
        <w:autoSpaceDN w:val="0"/>
        <w:autoSpaceDE w:val="0"/>
        <w:widowControl/>
        <w:spacing w:line="222" w:lineRule="exact" w:before="14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Evaluated Accounting Standards:</w:t>
      </w:r>
    </w:p>
    <w:p>
      <w:pPr>
        <w:autoSpaceDN w:val="0"/>
        <w:autoSpaceDE w:val="0"/>
        <w:widowControl/>
        <w:spacing w:line="240" w:lineRule="exact" w:before="120" w:after="0"/>
        <w:ind w:left="0" w:right="7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June 2022, the Financial Accounting Standards Board (FASB) issued Accounting Standard Update (ASU)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2022-03, Fair Value Measurement (Topic 820)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Fair Value Measurement of Equity Securities Subject to Contractual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>Sale Restrictions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, which clarifies that a contractual restriction on the sale of an equity security is not considered part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the unit of account of the equity security and should not be factored in when measuring fair value. The ASU also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clarifies that an entity cannot, as a separate unit of account, recognize and measure a contractual sale restriction.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ASU requires certain disclosures for equity securities subject to contractual sale restrictions. For IBRD, the ASU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will be effective from the quarter ending September 30, 2024 (fiscal year 2025 for IBRD), and the adoption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ASU is not expected to have a material impact on IBRD's financial statements. </w:t>
      </w:r>
    </w:p>
    <w:p>
      <w:pPr>
        <w:autoSpaceDN w:val="0"/>
        <w:autoSpaceDE w:val="0"/>
        <w:widowControl/>
        <w:spacing w:line="240" w:lineRule="exact" w:before="120" w:after="0"/>
        <w:ind w:left="0" w:right="7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March 2022, the FASB issued ASU 2022-02,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>Troubled Debt Restructurings and Vintage Disclosures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, which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eliminates the accounting guidance on troubled debt restructurings for creditors and amends the guidance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“vintage disclosures” to require disclosure of current-period gross write-offs by year of origination. The ASU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became effective for IBRD from the quarter ended September 30, 2023, and the adoption  of the ASU did not have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material impact on IBRD's financial statements. 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Accounting Standards Under Evaluation:</w:t>
      </w:r>
    </w:p>
    <w:p>
      <w:pPr>
        <w:autoSpaceDN w:val="0"/>
        <w:autoSpaceDE w:val="0"/>
        <w:widowControl/>
        <w:spacing w:line="240" w:lineRule="exact" w:before="120" w:after="0"/>
        <w:ind w:left="0" w:right="7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November 2023, the FASB issued ASU 2023-07,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Segment Reporting (Topic 280): Improvements to Reportable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Segment Disclosures,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which requires additional segment disclosures for public entities, including those with a single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reportable segment, such as the significant segment expenses that are regularly provided to the chief operating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decision maker (CODM), the title and position of the CODM, as well as an explanation of how the CODM uses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reported measure of segment profit or loss. All existing annual disclosures about segment profit or loss must be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provided on an interim basis, in addition to disclosure of significant segment expenses. For IBRD, the ASU will be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effective for the annual period ending June 30, 2025 (fiscal year 2025 for IBRD). IBRD is currently evaluating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impact of the ASU on its financial statements. </w:t>
      </w:r>
    </w:p>
    <w:p>
      <w:pPr>
        <w:autoSpaceDN w:val="0"/>
        <w:autoSpaceDE w:val="0"/>
        <w:widowControl/>
        <w:spacing w:line="224" w:lineRule="exact" w:before="136" w:after="0"/>
        <w:ind w:left="0" w:right="7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October 2023, the FASB issued ASU 2023-06,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Disclosure Improvements: Codification Amendments in Response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>to the SEC’s Disclosure Update and Simplification Initiative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. The new guidance is intended to align U.S. GAAP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requirements with those of the SEC and to facilitate the application of U.S. GAAP for all entities. If by June 30,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2027, the SEC has not removed the related SEC requirement, the related ASU amendment will not become effective.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IBRD is currently evaluating the impact of the ASU on its financial statements.</w:t>
      </w:r>
    </w:p>
    <w:p>
      <w:pPr>
        <w:autoSpaceDN w:val="0"/>
        <w:tabs>
          <w:tab w:pos="9084" w:val="left"/>
        </w:tabs>
        <w:autoSpaceDE w:val="0"/>
        <w:widowControl/>
        <w:spacing w:line="224" w:lineRule="exact" w:before="3524" w:after="0"/>
        <w:ind w:left="41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99</w:t>
      </w:r>
    </w:p>
    <w:p>
      <w:pPr>
        <w:sectPr>
          <w:pgSz w:w="12240" w:h="15840"/>
          <w:pgMar w:top="700" w:right="132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B—CAPITAL STOCK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 provides a summary of changes in IBRD’s authorized and subscribed shares: </w:t>
      </w:r>
    </w:p>
    <w:p>
      <w:pPr>
        <w:autoSpaceDN w:val="0"/>
        <w:autoSpaceDE w:val="0"/>
        <w:widowControl/>
        <w:spacing w:line="220" w:lineRule="exact" w:before="136" w:after="52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B1: IBRD's Shares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4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Authorized shares</w:t>
            </w:r>
          </w:p>
        </w:tc>
        <w:tc>
          <w:tcPr>
            <w:tcW w:type="dxa" w:w="16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Subscribed shares</w:t>
            </w:r>
          </w:p>
        </w:tc>
      </w:tr>
      <w:tr>
        <w:trPr>
          <w:trHeight w:hRule="exact" w:val="236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 of June 30, 2022</w:t>
            </w:r>
          </w:p>
        </w:tc>
        <w:tc>
          <w:tcPr>
            <w:tcW w:type="dxa" w:w="16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2,783,873 </w:t>
            </w:r>
          </w:p>
        </w:tc>
        <w:tc>
          <w:tcPr>
            <w:tcW w:type="dxa" w:w="16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2,545,984 </w:t>
            </w:r>
          </w:p>
        </w:tc>
      </w:tr>
      <w:tr>
        <w:trPr>
          <w:trHeight w:hRule="exact" w:val="244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General Capital Increase/Selective Capital Increase (GCI/SCI)</w:t>
            </w:r>
          </w:p>
        </w:tc>
        <w:tc>
          <w:tcPr>
            <w:tcW w:type="dxa" w:w="16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6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88,744 </w:t>
            </w:r>
          </w:p>
        </w:tc>
      </w:tr>
      <w:tr>
        <w:trPr>
          <w:trHeight w:hRule="exact" w:val="236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 of June 30, 2023</w:t>
            </w:r>
          </w:p>
        </w:tc>
        <w:tc>
          <w:tcPr>
            <w:tcW w:type="dxa" w:w="16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2,783,873 </w:t>
            </w:r>
          </w:p>
        </w:tc>
        <w:tc>
          <w:tcPr>
            <w:tcW w:type="dxa" w:w="16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2,634,728 </w:t>
            </w:r>
          </w:p>
        </w:tc>
      </w:tr>
      <w:tr>
        <w:trPr>
          <w:trHeight w:hRule="exact" w:val="244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GCI/SCI</w:t>
            </w:r>
          </w:p>
        </w:tc>
        <w:tc>
          <w:tcPr>
            <w:tcW w:type="dxa" w:w="16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6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43,370 </w:t>
            </w:r>
          </w:p>
        </w:tc>
      </w:tr>
      <w:tr>
        <w:trPr>
          <w:trHeight w:hRule="exact" w:val="22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 of June 30, 2024</w:t>
            </w:r>
          </w:p>
        </w:tc>
        <w:tc>
          <w:tcPr>
            <w:tcW w:type="dxa" w:w="16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2,783,873 </w:t>
            </w:r>
          </w:p>
        </w:tc>
        <w:tc>
          <w:tcPr>
            <w:tcW w:type="dxa" w:w="16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2,678,098 </w:t>
            </w:r>
          </w:p>
        </w:tc>
      </w:tr>
    </w:tbl>
    <w:p>
      <w:pPr>
        <w:autoSpaceDN w:val="0"/>
        <w:autoSpaceDE w:val="0"/>
        <w:widowControl/>
        <w:spacing w:line="240" w:lineRule="exact" w:before="41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 provides a summary of the changes in subscribed capital, uncalled portion of subscriptions,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paid-in capital: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B2: IBRD's Capital</w:t>
      </w:r>
    </w:p>
    <w:p>
      <w:pPr>
        <w:autoSpaceDN w:val="0"/>
        <w:autoSpaceDE w:val="0"/>
        <w:widowControl/>
        <w:spacing w:line="178" w:lineRule="exact" w:before="15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4" w:after="6"/>
        <w:ind w:left="0" w:right="1736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Uncalled portion of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16"/>
        </w:trPr>
        <w:tc>
          <w:tcPr>
            <w:tcW w:type="dxa" w:w="46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Subscribed capital</w:t>
            </w:r>
          </w:p>
        </w:tc>
        <w:tc>
          <w:tcPr>
            <w:tcW w:type="dxa" w:w="3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9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subscriptions</w:t>
            </w:r>
          </w:p>
        </w:tc>
        <w:tc>
          <w:tcPr>
            <w:tcW w:type="dxa" w:w="2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4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Paid-in capital</w:t>
            </w:r>
          </w:p>
        </w:tc>
      </w:tr>
      <w:tr>
        <w:trPr>
          <w:trHeight w:hRule="exact" w:val="238"/>
        </w:trPr>
        <w:tc>
          <w:tcPr>
            <w:tcW w:type="dxa" w:w="46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 of June 30, 2022</w:t>
            </w:r>
          </w:p>
        </w:tc>
        <w:tc>
          <w:tcPr>
            <w:tcW w:type="dxa" w:w="364"/>
            <w:tcBorders>
              <w:top w:sz="8.0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56"/>
            <w:tcBorders>
              <w:top w:sz="8.0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307,135 </w:t>
            </w:r>
          </w:p>
        </w:tc>
        <w:tc>
          <w:tcPr>
            <w:tcW w:type="dxa" w:w="304"/>
            <w:tcBorders>
              <w:top w:sz="8.0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(286,636) </w:t>
            </w:r>
          </w:p>
        </w:tc>
        <w:tc>
          <w:tcPr>
            <w:tcW w:type="dxa" w:w="250"/>
            <w:tcBorders>
              <w:top w:sz="8.0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10"/>
            <w:tcBorders>
              <w:top w:sz="8.0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20,499 </w:t>
            </w:r>
          </w:p>
        </w:tc>
      </w:tr>
      <w:tr>
        <w:trPr>
          <w:trHeight w:hRule="exact" w:val="242"/>
        </w:trPr>
        <w:tc>
          <w:tcPr>
            <w:tcW w:type="dxa" w:w="46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GCI/SCI</w:t>
            </w:r>
          </w:p>
        </w:tc>
        <w:tc>
          <w:tcPr>
            <w:tcW w:type="dxa" w:w="1520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10,705 </w:t>
            </w:r>
          </w:p>
        </w:tc>
        <w:tc>
          <w:tcPr>
            <w:tcW w:type="dxa" w:w="30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(9,385) </w:t>
            </w:r>
          </w:p>
        </w:tc>
        <w:tc>
          <w:tcPr>
            <w:tcW w:type="dxa" w:w="25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1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1,320 </w:t>
            </w:r>
          </w:p>
        </w:tc>
      </w:tr>
      <w:tr>
        <w:trPr>
          <w:trHeight w:hRule="exact" w:val="238"/>
        </w:trPr>
        <w:tc>
          <w:tcPr>
            <w:tcW w:type="dxa" w:w="46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 of June 30, 2023</w:t>
            </w:r>
          </w:p>
        </w:tc>
        <w:tc>
          <w:tcPr>
            <w:tcW w:type="dxa" w:w="1520"/>
            <w:gridSpan w:val="2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1520"/>
            </w:tblGrid>
            <w:tr>
              <w:trPr>
                <w:trHeight w:hRule="exact" w:val="220"/>
              </w:trPr>
              <w:tc>
                <w:tcPr>
                  <w:tcW w:type="dxa" w:w="1336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2" w:after="0"/>
                    <w:ind w:left="0" w:right="16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317,840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4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(296,021) </w:t>
            </w:r>
          </w:p>
        </w:tc>
        <w:tc>
          <w:tcPr>
            <w:tcW w:type="dxa" w:w="25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1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21,819 </w:t>
            </w:r>
          </w:p>
        </w:tc>
      </w:tr>
      <w:tr>
        <w:trPr>
          <w:trHeight w:hRule="exact" w:val="242"/>
        </w:trPr>
        <w:tc>
          <w:tcPr>
            <w:tcW w:type="dxa" w:w="46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GCI/SCI</w:t>
            </w:r>
          </w:p>
        </w:tc>
        <w:tc>
          <w:tcPr>
            <w:tcW w:type="dxa" w:w="1520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5,232 </w:t>
            </w:r>
          </w:p>
        </w:tc>
        <w:tc>
          <w:tcPr>
            <w:tcW w:type="dxa" w:w="30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(4,599) </w:t>
            </w:r>
          </w:p>
        </w:tc>
        <w:tc>
          <w:tcPr>
            <w:tcW w:type="dxa" w:w="25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1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633 </w:t>
            </w:r>
          </w:p>
        </w:tc>
      </w:tr>
      <w:tr>
        <w:trPr>
          <w:trHeight w:hRule="exact" w:val="220"/>
        </w:trPr>
        <w:tc>
          <w:tcPr>
            <w:tcW w:type="dxa" w:w="46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 of June 30, 2024</w:t>
            </w:r>
          </w:p>
        </w:tc>
        <w:tc>
          <w:tcPr>
            <w:tcW w:type="dxa" w:w="36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5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323,072 </w:t>
            </w:r>
          </w:p>
        </w:tc>
        <w:tc>
          <w:tcPr>
            <w:tcW w:type="dxa" w:w="30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(300,620) </w:t>
            </w:r>
          </w:p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1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22,452 </w:t>
            </w:r>
          </w:p>
        </w:tc>
      </w:tr>
    </w:tbl>
    <w:p>
      <w:pPr>
        <w:autoSpaceDN w:val="0"/>
        <w:autoSpaceDE w:val="0"/>
        <w:widowControl/>
        <w:spacing w:line="240" w:lineRule="exact" w:before="4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uncalled portion of subscriptions is subject to call only when required to meet the obligations incurred by IBRD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as a result of borrowings or guaranteeing loans.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 October 1, 2018, IBRD’s Board of Governors approved two resolutions that increased IBRD’s authorized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capital. The total increase in authorized capital was $57.5 billion, of which, $27.8 billion and $29.7 billion relate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GCI and SCI, respectively. Under the terms of the 2018 GCI and SCI, paid-in capital is expected to increase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up to $7.5 billion. On May 23, 2023, the Board approved the extension of the subscription period for GCI and SCI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from October 1, 2023 to October 1, 2025. As of June 30, 2024, the cumulative subscription payments received under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2018 capital increases were $6.0 billion.</w:t>
      </w:r>
    </w:p>
    <w:p>
      <w:pPr>
        <w:autoSpaceDN w:val="0"/>
        <w:autoSpaceDE w:val="0"/>
        <w:widowControl/>
        <w:spacing w:line="244" w:lineRule="exact" w:before="132" w:after="0"/>
        <w:ind w:left="10" w:right="0" w:firstLine="0"/>
        <w:jc w:val="left"/>
      </w:pPr>
      <w:r>
        <w:rPr>
          <w:rFonts w:ascii="TimesNewRoman" w:hAnsi="TimesNewRoman" w:eastAsia="TimesNewRoman"/>
          <w:b/>
          <w:i/>
          <w:color w:val="000000"/>
          <w:sz w:val="22"/>
        </w:rPr>
        <w:t>Amounts to Maintain the Value of Currency Holdings</w:t>
      </w:r>
    </w:p>
    <w:p>
      <w:pPr>
        <w:autoSpaceDN w:val="0"/>
        <w:autoSpaceDE w:val="0"/>
        <w:widowControl/>
        <w:spacing w:line="240" w:lineRule="exact" w:before="12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 summarizes the amounts to Maintain the Value of Currency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(MOV), classified as components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of equity:</w:t>
      </w:r>
    </w:p>
    <w:p>
      <w:pPr>
        <w:autoSpaceDN w:val="0"/>
        <w:autoSpaceDE w:val="0"/>
        <w:widowControl/>
        <w:spacing w:line="222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B3: MOV balances</w:t>
      </w:r>
    </w:p>
    <w:p>
      <w:pPr>
        <w:autoSpaceDN w:val="0"/>
        <w:autoSpaceDE w:val="0"/>
        <w:widowControl/>
        <w:spacing w:line="180" w:lineRule="exact" w:before="92" w:after="20"/>
        <w:ind w:left="11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240"/>
        </w:trPr>
        <w:tc>
          <w:tcPr>
            <w:tcW w:type="dxa" w:w="349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MOV receivable</w:t>
            </w:r>
          </w:p>
        </w:tc>
        <w:tc>
          <w:tcPr>
            <w:tcW w:type="dxa" w:w="19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7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7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  <w:tc>
          <w:tcPr>
            <w:tcW w:type="dxa" w:w="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2023</w:t>
            </w:r>
          </w:p>
        </w:tc>
      </w:tr>
      <w:tr>
        <w:trPr>
          <w:trHeight w:hRule="exact" w:val="240"/>
        </w:trPr>
        <w:tc>
          <w:tcPr>
            <w:tcW w:type="dxa" w:w="3146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7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(337) </w:t>
            </w:r>
          </w:p>
        </w:tc>
        <w:tc>
          <w:tcPr>
            <w:tcW w:type="dxa" w:w="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7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(345) </w:t>
            </w:r>
          </w:p>
        </w:tc>
      </w:tr>
      <w:tr>
        <w:trPr>
          <w:trHeight w:hRule="exact" w:val="476"/>
        </w:trPr>
        <w:tc>
          <w:tcPr>
            <w:tcW w:type="dxa" w:w="539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6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Deferred MOV receivable</w:t>
            </w:r>
          </w:p>
        </w:tc>
        <w:tc>
          <w:tcPr>
            <w:tcW w:type="dxa" w:w="17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6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(428) </w:t>
            </w:r>
          </w:p>
        </w:tc>
        <w:tc>
          <w:tcPr>
            <w:tcW w:type="dxa" w:w="53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6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(306) </w:t>
            </w:r>
          </w:p>
        </w:tc>
      </w:tr>
      <w:tr>
        <w:trPr>
          <w:trHeight w:hRule="exact" w:val="258"/>
        </w:trPr>
        <w:tc>
          <w:tcPr>
            <w:tcW w:type="dxa" w:w="539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Deferred demand obligations</w:t>
            </w:r>
          </w:p>
        </w:tc>
        <w:tc>
          <w:tcPr>
            <w:tcW w:type="dxa" w:w="17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(130) </w:t>
            </w:r>
          </w:p>
        </w:tc>
        <w:tc>
          <w:tcPr>
            <w:tcW w:type="dxa" w:w="157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(130) </w:t>
            </w:r>
          </w:p>
        </w:tc>
      </w:tr>
      <w:tr>
        <w:trPr>
          <w:trHeight w:hRule="exact" w:val="220"/>
        </w:trPr>
        <w:tc>
          <w:tcPr>
            <w:tcW w:type="dxa" w:w="349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Deferred MOV receivable</w:t>
            </w:r>
          </w:p>
        </w:tc>
        <w:tc>
          <w:tcPr>
            <w:tcW w:type="dxa" w:w="19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7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(558) </w:t>
            </w:r>
          </w:p>
        </w:tc>
        <w:tc>
          <w:tcPr>
            <w:tcW w:type="dxa" w:w="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7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(436) </w:t>
            </w:r>
          </w:p>
        </w:tc>
      </w:tr>
      <w:tr>
        <w:trPr>
          <w:trHeight w:hRule="exact" w:val="2532"/>
        </w:trPr>
        <w:tc>
          <w:tcPr>
            <w:tcW w:type="dxa" w:w="6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47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2024</w:t>
            </w:r>
          </w:p>
        </w:tc>
        <w:tc>
          <w:tcPr>
            <w:tcW w:type="dxa" w:w="17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0" w:right="137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C—INVESTMENTS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investments include the liquid asset portfolio, holdings relating to the Post Employment Benefit Plan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(PEBP) and the Post Retirement Contribution Reserve Fund (PCRF).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Investments held by IBRD are designated as trading and reported at fair value or at face value which approximates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fair value. As of June 30, 2024, Investments were primarily comprised of time deposits (56%) and government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agency obligations (39%), with all of the instruments classified as Level 1 or Level 2 within the fair value hierarchy. 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A summary of IBRD’s Investments-Trading is as follows: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C1: Investments - Trading  composition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4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2023</w:t>
            </w:r>
          </w:p>
        </w:tc>
      </w:tr>
      <w:tr>
        <w:trPr>
          <w:trHeight w:hRule="exact" w:val="236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Government and agency obligations</w:t>
            </w:r>
          </w:p>
        </w:tc>
        <w:tc>
          <w:tcPr>
            <w:tcW w:type="dxa" w:w="240"/>
            <w:vMerge w:val="restart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84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32,353 </w:t>
            </w:r>
          </w:p>
        </w:tc>
        <w:tc>
          <w:tcPr>
            <w:tcW w:type="dxa" w:w="2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39,046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Time deposits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45,991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36,809 </w:t>
            </w:r>
          </w:p>
        </w:tc>
      </w:tr>
      <w:tr>
        <w:trPr>
          <w:trHeight w:hRule="exact" w:val="22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Asset-backed Securities (ABS)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1,880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1,087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fund investments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2,155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1,982 </w:t>
            </w:r>
          </w:p>
        </w:tc>
      </w:tr>
      <w:tr>
        <w:trPr>
          <w:trHeight w:hRule="exact" w:val="264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Equity securities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8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349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275 </w:t>
            </w:r>
          </w:p>
        </w:tc>
      </w:tr>
      <w:tr>
        <w:trPr>
          <w:trHeight w:hRule="exact" w:val="22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82,728 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79,199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18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Related to PEBP holdings. Other fund investments are comprised of investments in hedge funds, private equity funds,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commingled funds, credit strategy funds and real asset funds, at net asset value (NAV).</w:t>
      </w:r>
    </w:p>
    <w:p>
      <w:pPr>
        <w:autoSpaceDN w:val="0"/>
        <w:autoSpaceDE w:val="0"/>
        <w:widowControl/>
        <w:spacing w:line="240" w:lineRule="exact" w:before="186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manages its investments on a net portfolio basis. As of June 30, 2024, the largest holdings from a single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counterparty within the net investment portfolio was the Monetary Authority of Singapore (11%). The following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table summarizes IBRD’s net investment portfolio position:</w:t>
      </w:r>
    </w:p>
    <w:p>
      <w:pPr>
        <w:autoSpaceDN w:val="0"/>
        <w:autoSpaceDE w:val="0"/>
        <w:widowControl/>
        <w:spacing w:line="222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C2: Net investment portfolio </w:t>
      </w:r>
    </w:p>
    <w:p>
      <w:pPr>
        <w:autoSpaceDN w:val="0"/>
        <w:autoSpaceDE w:val="0"/>
        <w:widowControl/>
        <w:spacing w:line="180" w:lineRule="exact" w:before="92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4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2023</w:t>
            </w:r>
          </w:p>
        </w:tc>
      </w:tr>
      <w:tr>
        <w:trPr>
          <w:trHeight w:hRule="exact" w:val="230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Investments-Trading</w:t>
            </w:r>
          </w:p>
        </w:tc>
        <w:tc>
          <w:tcPr>
            <w:tcW w:type="dxa" w:w="2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82,728 </w:t>
            </w:r>
          </w:p>
        </w:tc>
        <w:tc>
          <w:tcPr>
            <w:tcW w:type="dxa" w:w="27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79,199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Securities purchased under resale agreements</w:t>
            </w:r>
          </w:p>
        </w:tc>
        <w:tc>
          <w:tcPr>
            <w:tcW w:type="dxa" w:w="1888"/>
            <w:vMerge/>
            <w:tcBorders>
              <w:top w:sz="8.0" w:val="single" w:color="#000000"/>
            </w:tcBorders>
          </w:tcPr>
          <w:p/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 </w:t>
            </w:r>
          </w:p>
        </w:tc>
        <w:tc>
          <w:tcPr>
            <w:tcW w:type="dxa" w:w="1888"/>
            <w:vMerge/>
            <w:tcBorders>
              <w:top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 </w:t>
            </w:r>
          </w:p>
        </w:tc>
      </w:tr>
      <w:tr>
        <w:trPr>
          <w:trHeight w:hRule="exact" w:val="218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Securities sold under repurchase agreements, securities lent under </w:t>
            </w:r>
          </w:p>
        </w:tc>
        <w:tc>
          <w:tcPr>
            <w:tcW w:type="dxa" w:w="1888"/>
            <w:vMerge/>
            <w:tcBorders>
              <w:top w:sz="8.0" w:val="single" w:color="#000000"/>
            </w:tcBorders>
          </w:tcPr>
          <w:p/>
        </w:tc>
        <w:tc>
          <w:tcPr>
            <w:tcW w:type="dxa" w:w="13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6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(277) </w:t>
            </w:r>
          </w:p>
        </w:tc>
        <w:tc>
          <w:tcPr>
            <w:tcW w:type="dxa" w:w="1888"/>
            <w:vMerge/>
            <w:tcBorders>
              <w:top w:sz="8.0" w:val="single" w:color="#000000"/>
            </w:tcBorders>
          </w:tcPr>
          <w:p/>
        </w:tc>
        <w:tc>
          <w:tcPr>
            <w:tcW w:type="dxa" w:w="13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6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(149) </w:t>
            </w:r>
          </w:p>
        </w:tc>
      </w:tr>
      <w:tr>
        <w:trPr>
          <w:trHeight w:hRule="exact" w:val="226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securities lending agreements, and payable for cash collateral received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888"/>
            <w:vMerge/>
            <w:tcBorders>
              <w:top w:sz="8.0" w:val="single" w:color="#000000"/>
            </w:tcBorders>
          </w:tcPr>
          <w:p/>
        </w:tc>
        <w:tc>
          <w:tcPr>
            <w:tcW w:type="dxa" w:w="1888"/>
            <w:vMerge/>
            <w:tcBorders/>
          </w:tcPr>
          <w:p/>
        </w:tc>
        <w:tc>
          <w:tcPr>
            <w:tcW w:type="dxa" w:w="1888"/>
            <w:vMerge/>
            <w:tcBorders>
              <w:top w:sz="8.0" w:val="single" w:color="#000000"/>
            </w:tcBorders>
          </w:tcPr>
          <w:p/>
        </w:tc>
        <w:tc>
          <w:tcPr>
            <w:tcW w:type="dxa" w:w="188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22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Derivative 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3147"/>
        <w:gridCol w:w="3147"/>
        <w:gridCol w:w="3147"/>
      </w:tblGrid>
      <w:tr>
        <w:trPr>
          <w:trHeight w:hRule="exact" w:val="236"/>
        </w:trPr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forward contracts</w:t>
            </w:r>
          </w:p>
        </w:tc>
        <w:tc>
          <w:tcPr>
            <w:tcW w:type="dxa" w:w="1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812 </w:t>
            </w:r>
          </w:p>
        </w:tc>
        <w:tc>
          <w:tcPr>
            <w:tcW w:type="dxa" w:w="1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926 </w:t>
            </w:r>
          </w:p>
        </w:tc>
      </w:tr>
      <w:tr>
        <w:trPr>
          <w:trHeight w:hRule="exact" w:val="240"/>
        </w:trPr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1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 </w:t>
            </w:r>
          </w:p>
        </w:tc>
      </w:tr>
      <w:tr>
        <w:trPr>
          <w:trHeight w:hRule="exact" w:val="244"/>
        </w:trPr>
        <w:tc>
          <w:tcPr>
            <w:tcW w:type="dxa" w:w="5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</w:t>
            </w:r>
          </w:p>
        </w:tc>
        <w:tc>
          <w:tcPr>
            <w:tcW w:type="dxa" w:w="16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6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</w:tr>
      <w:tr>
        <w:trPr>
          <w:trHeight w:hRule="exact" w:val="240"/>
        </w:trPr>
        <w:tc>
          <w:tcPr>
            <w:tcW w:type="dxa" w:w="59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16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827 </w:t>
            </w:r>
          </w:p>
        </w:tc>
        <w:tc>
          <w:tcPr>
            <w:tcW w:type="dxa" w:w="16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944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Derivative liabilities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36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forward contracts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(68) </w:t>
            </w:r>
          </w:p>
        </w:tc>
        <w:tc>
          <w:tcPr>
            <w:tcW w:type="dxa" w:w="4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(33) </w:t>
            </w:r>
          </w:p>
        </w:tc>
      </w:tr>
      <w:tr>
        <w:trPr>
          <w:trHeight w:hRule="exact" w:val="22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(450)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(300) </w:t>
            </w:r>
          </w:p>
        </w:tc>
      </w:tr>
      <w:tr>
        <w:trPr>
          <w:trHeight w:hRule="exact" w:val="264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(6) </w:t>
            </w:r>
          </w:p>
        </w:tc>
      </w:tr>
      <w:tr>
        <w:trPr>
          <w:trHeight w:hRule="exact" w:val="24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(518) </w:t>
            </w:r>
          </w:p>
        </w:tc>
        <w:tc>
          <w:tcPr>
            <w:tcW w:type="dxa" w:w="4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(339) </w:t>
            </w:r>
          </w:p>
        </w:tc>
      </w:tr>
      <w:tr>
        <w:trPr>
          <w:trHeight w:hRule="exact" w:val="236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Cash held in investment portfolio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4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308 </w:t>
            </w:r>
          </w:p>
        </w:tc>
        <w:tc>
          <w:tcPr>
            <w:tcW w:type="dxa" w:w="49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385 </w:t>
            </w:r>
          </w:p>
        </w:tc>
      </w:tr>
      <w:tr>
        <w:trPr>
          <w:trHeight w:hRule="exact" w:val="22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Receivable from investment securities traded and other assets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438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102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Payable for investment securities purchased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(561)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(640) </w:t>
            </w:r>
          </w:p>
        </w:tc>
      </w:tr>
      <w:tr>
        <w:trPr>
          <w:trHeight w:hRule="exact" w:val="264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IFC PCRF payable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e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(344)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(385) </w:t>
            </w:r>
          </w:p>
        </w:tc>
      </w:tr>
      <w:tr>
        <w:trPr>
          <w:trHeight w:hRule="exact" w:val="22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investment portfolio</w:t>
            </w:r>
          </w:p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82,680 </w:t>
            </w:r>
          </w:p>
        </w:tc>
        <w:tc>
          <w:tcPr>
            <w:tcW w:type="dxa" w:w="4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79,195 </w:t>
            </w:r>
          </w:p>
        </w:tc>
      </w:tr>
    </w:tbl>
    <w:p>
      <w:pPr>
        <w:autoSpaceDN w:val="0"/>
        <w:autoSpaceDE w:val="0"/>
        <w:widowControl/>
        <w:spacing w:line="178" w:lineRule="exact" w:before="29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Includes $21 million of cash collateral received from counterparties under derivative agreements ($140 million—June 30, 2023).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Includes swaptions, options, and futures contracts.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This amount is included in Unrestricted cash under Due from banks on the Balance Sheets.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d. Includes $59 million of liabilities related to short sales ($59 million—June 30, 2023).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e. Liabilities are included in Other liabilities – Accounts payable and miscellaneous liabilities on the Balance Sheets.</w:t>
      </w:r>
    </w:p>
    <w:p>
      <w:pPr>
        <w:autoSpaceDN w:val="0"/>
        <w:tabs>
          <w:tab w:pos="8984" w:val="left"/>
        </w:tabs>
        <w:autoSpaceDE w:val="0"/>
        <w:widowControl/>
        <w:spacing w:line="224" w:lineRule="exact" w:before="872" w:after="0"/>
        <w:ind w:left="42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101</w:t>
      </w:r>
    </w:p>
    <w:p>
      <w:pPr>
        <w:sectPr>
          <w:pgSz w:w="12240" w:h="15840"/>
          <w:pgMar w:top="700" w:right="137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composition of IBRD’s net investment portfolio is as follows: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C3: Net investment portfolio composition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240"/>
        </w:trPr>
        <w:tc>
          <w:tcPr>
            <w:tcW w:type="dxa" w:w="77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0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  <w:tc>
          <w:tcPr>
            <w:tcW w:type="dxa" w:w="16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2023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Net investment portfolio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38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Liquid assets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78,792 </w:t>
            </w:r>
          </w:p>
        </w:tc>
        <w:tc>
          <w:tcPr>
            <w:tcW w:type="dxa" w:w="4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75,413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PEBP holdings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2,939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2,684 </w:t>
            </w:r>
          </w:p>
        </w:tc>
      </w:tr>
      <w:tr>
        <w:trPr>
          <w:trHeight w:hRule="exact" w:val="240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PCRF holdings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949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1,098 </w:t>
            </w:r>
          </w:p>
        </w:tc>
      </w:tr>
      <w:tr>
        <w:trPr>
          <w:trHeight w:hRule="exact" w:val="22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82,680 </w:t>
            </w:r>
          </w:p>
        </w:tc>
        <w:tc>
          <w:tcPr>
            <w:tcW w:type="dxa" w:w="4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79,195 </w:t>
            </w:r>
          </w:p>
        </w:tc>
      </w:tr>
    </w:tbl>
    <w:p>
      <w:pPr>
        <w:autoSpaceDN w:val="0"/>
        <w:autoSpaceDE w:val="0"/>
        <w:widowControl/>
        <w:spacing w:line="240" w:lineRule="exact" w:before="42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uses derivative instruments to manage the associated currency and interest rate risks in the portfolio.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details of these instruments, see Note F—Derivative Instruments. After considering the effects of these derivatives,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IBRD’s investment portfolio is predominantly denominated in U.S. dollars.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Commercial Credit Risk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 purpose of risk management, IBRD is party to a variety of financial transactions, certain of which involve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elements of credit risk. Credit risk exposure represents the maximum potential loss due to possible non-performance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by obligors and counterparties under the terms of the contracts. For all securities, IBRD limits trading to a list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authorized dealers and counterparties. In addition, IBRD may require collateral in connection with resale agreements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swap agreements. The collateral serves to mitigate IBRD’s exposure to credit risk. 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Swap Agreements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Credit risk is mitigated through the application of eligibility criteria and volume limits for transactions with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individual counterparties and through the use of mark-to-market collateral arrangements for swap transactions.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may require collateral in the form of cash or other approved liquid securities from individual counterparties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order to mitigate its credit exposure.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has entered into master derivative agreements that contain legally enforceable close-out netting provisions.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These agreements may further reduce the gross credit risk exposure related to the swaps. Credit risk with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assets subject to a master derivatives arrangement is further reduced under these agreements to the extent that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payments and receipts with the counterparty are netted at settlement. The reduction in exposure as a result of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netting provisions can vary due to the impact of changes in market conditions on existing and new transactions.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extent of the reduction in exposure may therefore change substantially within a short period of time following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balance sheet date. For more information on netting and offsetting provisions, see Note F—Derivative Instruments.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is a summary of the collateral received by IBRD for swap transactions: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C4: Collateral received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240"/>
        </w:trPr>
        <w:tc>
          <w:tcPr>
            <w:tcW w:type="dxa" w:w="77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0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  <w:tc>
          <w:tcPr>
            <w:tcW w:type="dxa" w:w="16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2023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Collateral received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36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Cash</w:t>
            </w:r>
          </w:p>
        </w:tc>
        <w:tc>
          <w:tcPr>
            <w:tcW w:type="dxa" w:w="5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  <w:tc>
          <w:tcPr>
            <w:tcW w:type="dxa" w:w="5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140 </w:t>
            </w:r>
          </w:p>
        </w:tc>
      </w:tr>
      <w:tr>
        <w:trPr>
          <w:trHeight w:hRule="exact" w:val="244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Securities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322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161 </w:t>
            </w:r>
          </w:p>
        </w:tc>
      </w:tr>
      <w:tr>
        <w:trPr>
          <w:trHeight w:hRule="exact" w:val="24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collateral received</w:t>
            </w:r>
          </w:p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343 </w:t>
            </w:r>
          </w:p>
        </w:tc>
        <w:tc>
          <w:tcPr>
            <w:tcW w:type="dxa" w:w="5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301 </w:t>
            </w:r>
          </w:p>
        </w:tc>
      </w:tr>
      <w:tr>
        <w:trPr>
          <w:trHeight w:hRule="exact" w:val="236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Collateral permitted to be repledged</w:t>
            </w:r>
          </w:p>
        </w:tc>
        <w:tc>
          <w:tcPr>
            <w:tcW w:type="dxa" w:w="5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343 </w:t>
            </w:r>
          </w:p>
        </w:tc>
        <w:tc>
          <w:tcPr>
            <w:tcW w:type="dxa" w:w="55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301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Amount of collateral repledged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</w:tr>
      <w:tr>
        <w:trPr>
          <w:trHeight w:hRule="exact" w:val="484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Amount of cash collateral invested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134 </w:t>
            </w:r>
          </w:p>
        </w:tc>
      </w:tr>
    </w:tbl>
    <w:p>
      <w:pPr>
        <w:autoSpaceDN w:val="0"/>
        <w:autoSpaceDE w:val="0"/>
        <w:widowControl/>
        <w:spacing w:line="222" w:lineRule="exact" w:before="18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Securities Lending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may engage in securities lending and repurchases, against adequate collateral, as well as secured borrowing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and reverse repurchases (resales) of government and agency obligations, corporate securities, ABS and Mortgage-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backed securities (MBS). These transactions, if any, are conducted under legally enforceable master netting </w:t>
      </w:r>
    </w:p>
    <w:p>
      <w:pPr>
        <w:autoSpaceDN w:val="0"/>
        <w:tabs>
          <w:tab w:pos="858" w:val="left"/>
        </w:tabs>
        <w:autoSpaceDE w:val="0"/>
        <w:widowControl/>
        <w:spacing w:line="224" w:lineRule="exact" w:before="740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2024</w:t>
      </w:r>
    </w:p>
    <w:p>
      <w:pPr>
        <w:sectPr>
          <w:pgSz w:w="12240" w:h="15840"/>
          <w:pgMar w:top="700" w:right="137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arrangements, which allow IBRD to reduce its gross credit exposure related to these transactions. IBRD presents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securities lending and repurchases, as well as resales, on a gross basis on the Balance Sheets. As of June 30, 2024,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amount that could potentially be offset as a result of legally enforceable master netting arrangements were $59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million (Nil—June 30, 2023).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Securities lending and repurchase agreements expose IBRD to several risks, including counterparty risk,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reinvestment risk, and risk of a collateral gap (due to increases or decrease in the fair value of collateral pledged).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has procedures in place to ensure that trading activity and balances under these agreements are below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predefined counterparty and maturity limits, and to actively manage net counterparty exposure, after collateral, using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daily market values. Whenever the collateral pledged by IBRD related to its borrowings under repurchase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agreements and securities lending agreements declines in value, the transaction is re-priced as appropriate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returning cash or pledging additional collateral.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Transfers of securities by IBRD to counterparties are not accounted for as sales as the accounting criteria for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treatment as a sale have not been met. Counterparties are permitted to repledge these securities until the repurchase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date.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June 30, 2024, liabilities relating to securities transferred under repurchase or securities lending agreements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were $256 million ($9 mill</w:t>
      </w:r>
      <w:r>
        <w:rPr>
          <w:rFonts w:ascii="TimesNewRoman" w:hAnsi="TimesNewRoman" w:eastAsia="TimesNewRoman"/>
          <w:b w:val="0"/>
          <w:i w:val="0"/>
          <w:color w:val="242424"/>
          <w:sz w:val="20"/>
        </w:rPr>
        <w:t xml:space="preserve">ion—June 30, 2023) and there were no unsettled trades relating to repurchase or </w:t>
      </w:r>
      <w:r>
        <w:rPr>
          <w:rFonts w:ascii="TimesNewRoman" w:hAnsi="TimesNewRoman" w:eastAsia="TimesNewRoman"/>
          <w:b w:val="0"/>
          <w:i w:val="0"/>
          <w:color w:val="242424"/>
          <w:sz w:val="20"/>
        </w:rPr>
        <w:t xml:space="preserve">securities lending agreements (Nil —June 30, 2023). There were no replacement trades entered into in anticipation </w:t>
      </w:r>
      <w:r>
        <w:rPr>
          <w:rFonts w:ascii="TimesNewRoman" w:hAnsi="TimesNewRoman" w:eastAsia="TimesNewRoman"/>
          <w:b w:val="0"/>
          <w:i w:val="0"/>
          <w:color w:val="242424"/>
          <w:sz w:val="20"/>
        </w:rPr>
        <w:t>of maturing trades of a similar amount (Nil—June 30, 2023). A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 of June 30, 2024 an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 June 30, 2023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, the remaining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contractual maturity of these agreements was less than 30 days. The securities transferred were mainly comprised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government and agency obligations, equity securities and sovereign debt.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the case of resale agreements, IBRD receives collateral in the form of liquid securities and is permitted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repledge these securities. While these transactions are legally considered to be true purchases and sales,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securities received are not recorded on IBRD’s Balance Sheets as the accounting criteria for treatment as a sale have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not been met. As of June 30, 2024 and June 30, 2023, there were no unsettled trades pertaining to securities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purchased under resale agreements. For resale agreements, IBRD received securities with a fair value of $79 million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June 30, 2024 ($78 million—June 30, 2023). As of June 30, 2024 and June 30, 2023, none of these securities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had been transferred under repurchase or security lending agreements.</w:t>
      </w:r>
    </w:p>
    <w:p>
      <w:pPr>
        <w:autoSpaceDN w:val="0"/>
        <w:autoSpaceDE w:val="0"/>
        <w:widowControl/>
        <w:spacing w:line="246" w:lineRule="exact" w:before="2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D—LOANS AND OTHER EXPOSURES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loans and other exposures (collectively, “exposures”) are generally made to, or guaranteed by, member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countries of IBRD. In addition, IBRD may also make loans to the International Finance Corporation (I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FC), 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affiliated organization, without any guarantee. Other exposures include signed loan commitments including Deferred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Drawdown Options (DDOs) and irrevocable commitments and guarantees. As of June 30, 2024, all of IBRD’s loans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were reported at amortized cost.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loan portfolio includes loans with multicurrency terms, variable spread terms and fixed spread terms. As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June 30, 2024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, only loans with variable spread terms (including special development policy loans), were available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for new commitments. Effective April 1, 2021, IBRD suspended the offering of loans on fixed spread terms.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June 30, 2024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, 88% of IBRD’s loans carried variable interest rates. IBRD uses derivative instruments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 the currency risk as well as repricing risk between its loans and borrowings. After the effects of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derivatives, the entire loan portfolio carried variable interest rates, with a weighted average interest rate of </w:t>
      </w:r>
      <w:r>
        <w:rPr>
          <w:rFonts w:ascii="TimesNewRoman" w:hAnsi="TimesNewRoman" w:eastAsia="TimesNewRoman"/>
          <w:b w:val="0"/>
          <w:i w:val="0"/>
          <w:color w:val="242424"/>
          <w:sz w:val="20"/>
        </w:rPr>
        <w:t>6.25%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June 30, 2024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(5.63%—June 30, 2023). For details regarding derivatives used in the loan portfolio see Note F—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Derivative Instruments.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majority of IBRD’s loans outstanding are denominated in U.S. dollars (80%) and euro (18%). 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excludes the interest receivable balance from the amortized cost basis and from the related disclosures. As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June 30, 2024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, accrued interest receivable on loans of $3,706 million is included in Receivables – Accrued income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on loans and guarantee fees receivable in the Balance Sheets ($3,138 million—June 30, 2023).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June 30, 2024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, 0.5% of IBRD’s loans were in nonaccrual status and related to two borrowers (see Table D6: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Loans in nonaccrual status). The total accumulated provision for losses on loans in accrual status and nonaccrual </w:t>
      </w:r>
    </w:p>
    <w:p>
      <w:pPr>
        <w:autoSpaceDN w:val="0"/>
        <w:tabs>
          <w:tab w:pos="8974" w:val="left"/>
        </w:tabs>
        <w:autoSpaceDE w:val="0"/>
        <w:widowControl/>
        <w:spacing w:line="224" w:lineRule="exact" w:before="820" w:after="0"/>
        <w:ind w:left="41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103</w:t>
      </w:r>
    </w:p>
    <w:p>
      <w:pPr>
        <w:sectPr>
          <w:pgSz w:w="12240" w:h="15840"/>
          <w:pgMar w:top="700" w:right="137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status accounted for 0.9% of the total loan portfolio. Based on IBRD’s internal credit quality indicators, the majority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of loans outstanding are in the medium-risk or high-risk classes.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 summary of IBRD’s loans outstanding by currency and by interest rate characteristics (fixed or variable) is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follows: 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D1: Loans outstanding currency and interest rate structure</w:t>
      </w:r>
    </w:p>
    <w:p>
      <w:pPr>
        <w:autoSpaceDN w:val="0"/>
        <w:autoSpaceDE w:val="0"/>
        <w:widowControl/>
        <w:spacing w:line="134" w:lineRule="exact" w:before="78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2"/>
        </w:rPr>
        <w:t>In millions of U.S. dollars, except as otherwise noted</w:t>
      </w:r>
    </w:p>
    <w:p>
      <w:pPr>
        <w:autoSpaceDN w:val="0"/>
        <w:autoSpaceDE w:val="0"/>
        <w:widowControl/>
        <w:spacing w:line="134" w:lineRule="exact" w:before="62" w:after="4"/>
        <w:ind w:left="0" w:right="3490" w:firstLine="0"/>
        <w:jc w:val="right"/>
      </w:pPr>
      <w:r>
        <w:rPr>
          <w:rFonts w:ascii="Arial" w:hAnsi="Arial" w:eastAsia="Arial"/>
          <w:b w:val="0"/>
          <w:i/>
          <w:color w:val="000000"/>
          <w:sz w:val="12"/>
        </w:rPr>
        <w:t>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</w:tblGrid>
      <w:tr>
        <w:trPr>
          <w:trHeight w:hRule="exact" w:val="180"/>
        </w:trPr>
        <w:tc>
          <w:tcPr>
            <w:tcW w:type="dxa" w:w="3290"/>
            <w:gridSpan w:val="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45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U.S. dollars</w:t>
            </w:r>
          </w:p>
        </w:tc>
        <w:tc>
          <w:tcPr>
            <w:tcW w:type="dxa" w:w="1320"/>
            <w:gridSpan w:val="5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Euro</w:t>
            </w:r>
          </w:p>
        </w:tc>
        <w:tc>
          <w:tcPr>
            <w:tcW w:type="dxa" w:w="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0"/>
            <w:gridSpan w:val="5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11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Japanese Yen</w:t>
            </w:r>
          </w:p>
        </w:tc>
        <w:tc>
          <w:tcPr>
            <w:tcW w:type="dxa" w:w="1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47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Others</w:t>
            </w:r>
          </w:p>
        </w:tc>
        <w:tc>
          <w:tcPr>
            <w:tcW w:type="dxa" w:w="1350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Loans Outstanding</w:t>
            </w:r>
          </w:p>
        </w:tc>
        <w:tc>
          <w:tcPr>
            <w:tcW w:type="dxa" w:w="674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Total</w:t>
            </w:r>
          </w:p>
        </w:tc>
      </w:tr>
      <w:tr>
        <w:trPr>
          <w:trHeight w:hRule="exact" w:val="180"/>
        </w:trPr>
        <w:tc>
          <w:tcPr>
            <w:tcW w:type="dxa" w:w="2610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27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Fixed</w:t>
            </w:r>
          </w:p>
        </w:tc>
        <w:tc>
          <w:tcPr>
            <w:tcW w:type="dxa" w:w="68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Variable</w:t>
            </w:r>
          </w:p>
        </w:tc>
        <w:tc>
          <w:tcPr>
            <w:tcW w:type="dxa" w:w="68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Fixed</w:t>
            </w:r>
          </w:p>
        </w:tc>
        <w:tc>
          <w:tcPr>
            <w:tcW w:type="dxa" w:w="64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Variable</w:t>
            </w:r>
          </w:p>
        </w:tc>
        <w:tc>
          <w:tcPr>
            <w:tcW w:type="dxa" w:w="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Fixed</w:t>
            </w:r>
          </w:p>
        </w:tc>
        <w:tc>
          <w:tcPr>
            <w:tcW w:type="dxa" w:w="650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Variable</w:t>
            </w:r>
          </w:p>
        </w:tc>
        <w:tc>
          <w:tcPr>
            <w:tcW w:type="dxa" w:w="1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Fixed</w:t>
            </w:r>
          </w:p>
        </w:tc>
        <w:tc>
          <w:tcPr>
            <w:tcW w:type="dxa" w:w="64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Variable</w:t>
            </w:r>
          </w:p>
        </w:tc>
        <w:tc>
          <w:tcPr>
            <w:tcW w:type="dxa" w:w="70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Fixed</w:t>
            </w:r>
          </w:p>
        </w:tc>
        <w:tc>
          <w:tcPr>
            <w:tcW w:type="dxa" w:w="65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Variable</w:t>
            </w:r>
          </w:p>
        </w:tc>
        <w:tc>
          <w:tcPr>
            <w:tcW w:type="dxa" w:w="674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1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7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Multicurrency terms</w:t>
            </w:r>
            <w:r>
              <w:rPr>
                <w:w w:val="97.50000238418579"/>
                <w:rFonts w:ascii="ArialMT" w:hAnsi="ArialMT" w:eastAsia="ArialMT"/>
                <w:b w:val="0"/>
                <w:i w:val="0"/>
                <w:color w:val="000000"/>
                <w:sz w:val="8"/>
              </w:rPr>
              <w:t xml:space="preserve"> a</w:t>
            </w:r>
          </w:p>
        </w:tc>
        <w:tc>
          <w:tcPr>
            <w:tcW w:type="dxa" w:w="448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43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21 </w:t>
            </w:r>
          </w:p>
        </w:tc>
        <w:tc>
          <w:tcPr>
            <w:tcW w:type="dxa" w:w="28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9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402 </w:t>
            </w:r>
          </w:p>
        </w:tc>
        <w:tc>
          <w:tcPr>
            <w:tcW w:type="dxa" w:w="32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5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 </w:t>
            </w:r>
          </w:p>
        </w:tc>
        <w:tc>
          <w:tcPr>
            <w:tcW w:type="dxa" w:w="4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1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 </w:t>
            </w:r>
          </w:p>
        </w:tc>
        <w:tc>
          <w:tcPr>
            <w:tcW w:type="dxa" w:w="2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 </w:t>
            </w:r>
          </w:p>
        </w:tc>
        <w:tc>
          <w:tcPr>
            <w:tcW w:type="dxa" w:w="48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1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 </w:t>
            </w:r>
          </w:p>
        </w:tc>
        <w:tc>
          <w:tcPr>
            <w:tcW w:type="dxa" w:w="1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292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4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3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33 </w:t>
            </w:r>
          </w:p>
        </w:tc>
        <w:tc>
          <w:tcPr>
            <w:tcW w:type="dxa" w:w="28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6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412 </w:t>
            </w:r>
          </w:p>
        </w:tc>
        <w:tc>
          <w:tcPr>
            <w:tcW w:type="dxa" w:w="2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445 </w:t>
            </w:r>
          </w:p>
        </w:tc>
      </w:tr>
      <w:tr>
        <w:trPr>
          <w:trHeight w:hRule="exact" w:val="208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Weighted average rate (%) </w:t>
            </w:r>
            <w:r>
              <w:rPr>
                <w:w w:val="97.50000238418579"/>
                <w:rFonts w:ascii="ArialMT" w:hAnsi="ArialMT" w:eastAsia="ArialMT"/>
                <w:b w:val="0"/>
                <w:i w:val="0"/>
                <w:color w:val="000000"/>
                <w:sz w:val="8"/>
              </w:rPr>
              <w:t>b</w:t>
            </w:r>
          </w:p>
        </w:tc>
        <w:tc>
          <w:tcPr>
            <w:tcW w:type="dxa" w:w="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8.37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6.38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2.78 </w:t>
            </w:r>
          </w:p>
        </w:tc>
        <w:tc>
          <w:tcPr>
            <w:tcW w:type="dxa" w:w="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6.43 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2.78 </w:t>
            </w:r>
          </w:p>
        </w:tc>
        <w:tc>
          <w:tcPr>
            <w:tcW w:type="dxa" w:w="6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6.43 </w:t>
            </w:r>
          </w:p>
        </w:tc>
        <w:tc>
          <w:tcPr>
            <w:tcW w:type="dxa" w:w="1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6.32 </w:t>
            </w:r>
          </w:p>
        </w:tc>
        <w:tc>
          <w:tcPr>
            <w:tcW w:type="dxa" w:w="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6.38 </w:t>
            </w:r>
          </w:p>
        </w:tc>
        <w:tc>
          <w:tcPr>
            <w:tcW w:type="dxa" w:w="6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6.38 </w:t>
            </w:r>
          </w:p>
        </w:tc>
      </w:tr>
      <w:tr>
        <w:trPr>
          <w:trHeight w:hRule="exact" w:val="270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Average Maturity (years)</w:t>
            </w:r>
          </w:p>
        </w:tc>
        <w:tc>
          <w:tcPr>
            <w:tcW w:type="dxa" w:w="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0.39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1.12 </w:t>
            </w:r>
          </w:p>
        </w:tc>
        <w:tc>
          <w:tcPr>
            <w:tcW w:type="dxa" w:w="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337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1.09 </w:t>
            </w:r>
          </w:p>
        </w:tc>
        <w:tc>
          <w:tcPr>
            <w:tcW w:type="dxa" w:w="6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337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0.65 </w:t>
            </w:r>
          </w:p>
        </w:tc>
        <w:tc>
          <w:tcPr>
            <w:tcW w:type="dxa" w:w="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0.05 </w:t>
            </w:r>
          </w:p>
        </w:tc>
      </w:tr>
      <w:tr>
        <w:trPr>
          <w:trHeight w:hRule="exact" w:val="242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9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Variable-spread terms</w:t>
            </w:r>
          </w:p>
        </w:tc>
        <w:tc>
          <w:tcPr>
            <w:tcW w:type="dxa" w:w="4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$ 167,948 </w:t>
            </w:r>
          </w:p>
        </w:tc>
        <w:tc>
          <w:tcPr>
            <w:tcW w:type="dxa" w:w="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$ 28,782 </w:t>
            </w:r>
          </w:p>
        </w:tc>
        <w:tc>
          <w:tcPr>
            <w:tcW w:type="dxa" w:w="337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334 </w:t>
            </w:r>
          </w:p>
        </w:tc>
        <w:tc>
          <w:tcPr>
            <w:tcW w:type="dxa" w:w="337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4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2,544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$ 199,608 </w:t>
            </w:r>
          </w:p>
        </w:tc>
        <w:tc>
          <w:tcPr>
            <w:tcW w:type="dxa" w:w="6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$ 199,608 </w:t>
            </w:r>
          </w:p>
        </w:tc>
      </w:tr>
      <w:tr>
        <w:trPr>
          <w:trHeight w:hRule="exact" w:val="208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Weighted average rate (%)</w:t>
            </w:r>
            <w:r>
              <w:rPr>
                <w:w w:val="97.50000238418579"/>
                <w:rFonts w:ascii="ArialMT" w:hAnsi="ArialMT" w:eastAsia="ArialMT"/>
                <w:b w:val="0"/>
                <w:i w:val="0"/>
                <w:color w:val="000000"/>
                <w:sz w:val="8"/>
              </w:rPr>
              <w:t xml:space="preserve"> b</w:t>
            </w:r>
          </w:p>
        </w:tc>
        <w:tc>
          <w:tcPr>
            <w:tcW w:type="dxa" w:w="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6.35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4.40 </w:t>
            </w:r>
          </w:p>
        </w:tc>
        <w:tc>
          <w:tcPr>
            <w:tcW w:type="dxa" w:w="2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2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0.84 </w:t>
            </w:r>
          </w:p>
        </w:tc>
        <w:tc>
          <w:tcPr>
            <w:tcW w:type="dxa" w:w="1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2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10.13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6.11 </w:t>
            </w:r>
          </w:p>
        </w:tc>
        <w:tc>
          <w:tcPr>
            <w:tcW w:type="dxa" w:w="6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6.11 </w:t>
            </w:r>
          </w:p>
        </w:tc>
      </w:tr>
      <w:tr>
        <w:trPr>
          <w:trHeight w:hRule="exact" w:val="338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Average Maturity (years)</w:t>
            </w:r>
          </w:p>
        </w:tc>
        <w:tc>
          <w:tcPr>
            <w:tcW w:type="dxa" w:w="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8.52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7.97 </w:t>
            </w:r>
          </w:p>
        </w:tc>
        <w:tc>
          <w:tcPr>
            <w:tcW w:type="dxa" w:w="337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6.69 </w:t>
            </w:r>
          </w:p>
        </w:tc>
        <w:tc>
          <w:tcPr>
            <w:tcW w:type="dxa" w:w="337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6.15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8.41 </w:t>
            </w:r>
          </w:p>
        </w:tc>
        <w:tc>
          <w:tcPr>
            <w:tcW w:type="dxa" w:w="6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8.41 </w:t>
            </w:r>
          </w:p>
        </w:tc>
      </w:tr>
      <w:tr>
        <w:trPr>
          <w:trHeight w:hRule="exact" w:val="314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Fixed-spread terms</w:t>
            </w:r>
          </w:p>
        </w:tc>
        <w:tc>
          <w:tcPr>
            <w:tcW w:type="dxa" w:w="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5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18,351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$ 23,792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$ 12,429 </w:t>
            </w:r>
          </w:p>
        </w:tc>
        <w:tc>
          <w:tcPr>
            <w:tcW w:type="dxa" w:w="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4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7,132 </w:t>
            </w:r>
          </w:p>
        </w:tc>
        <w:tc>
          <w:tcPr>
            <w:tcW w:type="dxa" w:w="337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0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711 </w:t>
            </w:r>
          </w:p>
        </w:tc>
        <w:tc>
          <w:tcPr>
            <w:tcW w:type="dxa" w:w="337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297 </w:t>
            </w:r>
          </w:p>
        </w:tc>
        <w:tc>
          <w:tcPr>
            <w:tcW w:type="dxa" w:w="2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425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$ 31,077 </w:t>
            </w:r>
          </w:p>
        </w:tc>
        <w:tc>
          <w:tcPr>
            <w:tcW w:type="dxa" w:w="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$ 32,060 </w:t>
            </w:r>
          </w:p>
        </w:tc>
        <w:tc>
          <w:tcPr>
            <w:tcW w:type="dxa" w:w="6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$ 63,137 </w:t>
            </w:r>
          </w:p>
        </w:tc>
      </w:tr>
      <w:tr>
        <w:trPr>
          <w:trHeight w:hRule="exact" w:val="180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Weighted average rate (%) </w:t>
            </w:r>
            <w:r>
              <w:rPr>
                <w:w w:val="97.50000238418579"/>
                <w:rFonts w:ascii="ArialMT" w:hAnsi="ArialMT" w:eastAsia="ArialMT"/>
                <w:b w:val="0"/>
                <w:i w:val="0"/>
                <w:color w:val="000000"/>
                <w:sz w:val="8"/>
              </w:rPr>
              <w:t>b</w:t>
            </w:r>
          </w:p>
        </w:tc>
        <w:tc>
          <w:tcPr>
            <w:tcW w:type="dxa" w:w="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3.30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6.88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2.08 </w:t>
            </w:r>
          </w:p>
        </w:tc>
        <w:tc>
          <w:tcPr>
            <w:tcW w:type="dxa" w:w="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4.77 </w:t>
            </w:r>
          </w:p>
        </w:tc>
        <w:tc>
          <w:tcPr>
            <w:tcW w:type="dxa" w:w="337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0.64 </w:t>
            </w:r>
          </w:p>
        </w:tc>
        <w:tc>
          <w:tcPr>
            <w:tcW w:type="dxa" w:w="337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8.67 </w:t>
            </w:r>
          </w:p>
        </w:tc>
        <w:tc>
          <w:tcPr>
            <w:tcW w:type="dxa" w:w="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10.51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2.86 </w:t>
            </w:r>
          </w:p>
        </w:tc>
        <w:tc>
          <w:tcPr>
            <w:tcW w:type="dxa" w:w="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6.32 </w:t>
            </w:r>
          </w:p>
        </w:tc>
        <w:tc>
          <w:tcPr>
            <w:tcW w:type="dxa" w:w="6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4.62 </w:t>
            </w:r>
          </w:p>
        </w:tc>
      </w:tr>
      <w:tr>
        <w:trPr>
          <w:trHeight w:hRule="exact" w:val="194"/>
        </w:trPr>
        <w:tc>
          <w:tcPr>
            <w:tcW w:type="dxa" w:w="1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Average maturity (years)</w:t>
            </w:r>
          </w:p>
        </w:tc>
        <w:tc>
          <w:tcPr>
            <w:tcW w:type="dxa" w:w="88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7.63 </w:t>
            </w:r>
          </w:p>
        </w:tc>
        <w:tc>
          <w:tcPr>
            <w:tcW w:type="dxa" w:w="6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8.96 </w:t>
            </w:r>
          </w:p>
        </w:tc>
        <w:tc>
          <w:tcPr>
            <w:tcW w:type="dxa" w:w="6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9.59 </w:t>
            </w:r>
          </w:p>
        </w:tc>
        <w:tc>
          <w:tcPr>
            <w:tcW w:type="dxa" w:w="64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7.14 </w:t>
            </w:r>
          </w:p>
        </w:tc>
        <w:tc>
          <w:tcPr>
            <w:tcW w:type="dxa" w:w="337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50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4.18 </w:t>
            </w:r>
          </w:p>
        </w:tc>
        <w:tc>
          <w:tcPr>
            <w:tcW w:type="dxa" w:w="337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8.27 </w:t>
            </w:r>
          </w:p>
        </w:tc>
        <w:tc>
          <w:tcPr>
            <w:tcW w:type="dxa" w:w="64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7.17 </w:t>
            </w:r>
          </w:p>
        </w:tc>
        <w:tc>
          <w:tcPr>
            <w:tcW w:type="dxa" w:w="7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8.42 </w:t>
            </w:r>
          </w:p>
        </w:tc>
        <w:tc>
          <w:tcPr>
            <w:tcW w:type="dxa" w:w="65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8.43 </w:t>
            </w:r>
          </w:p>
        </w:tc>
        <w:tc>
          <w:tcPr>
            <w:tcW w:type="dxa" w:w="67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8.43 </w:t>
            </w:r>
          </w:p>
        </w:tc>
      </w:tr>
      <w:tr>
        <w:trPr>
          <w:trHeight w:hRule="exact" w:val="166"/>
        </w:trPr>
        <w:tc>
          <w:tcPr>
            <w:tcW w:type="dxa" w:w="1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Loans Outstanding</w:t>
            </w:r>
          </w:p>
        </w:tc>
        <w:tc>
          <w:tcPr>
            <w:tcW w:type="dxa" w:w="32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552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18,372 </w:t>
            </w:r>
          </w:p>
        </w:tc>
        <w:tc>
          <w:tcPr>
            <w:tcW w:type="dxa" w:w="6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$ 192,142 </w:t>
            </w:r>
          </w:p>
        </w:tc>
        <w:tc>
          <w:tcPr>
            <w:tcW w:type="dxa" w:w="6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$ 12,437 </w:t>
            </w:r>
          </w:p>
        </w:tc>
        <w:tc>
          <w:tcPr>
            <w:tcW w:type="dxa" w:w="64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$ 35,921 </w:t>
            </w:r>
          </w:p>
        </w:tc>
        <w:tc>
          <w:tcPr>
            <w:tcW w:type="dxa" w:w="2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 </w:t>
            </w:r>
          </w:p>
        </w:tc>
        <w:tc>
          <w:tcPr>
            <w:tcW w:type="dxa" w:w="23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418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1,048 </w:t>
            </w:r>
          </w:p>
        </w:tc>
        <w:tc>
          <w:tcPr>
            <w:tcW w:type="dxa" w:w="1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297 </w:t>
            </w:r>
          </w:p>
        </w:tc>
        <w:tc>
          <w:tcPr>
            <w:tcW w:type="dxa" w:w="22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418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2,969 </w:t>
            </w:r>
          </w:p>
        </w:tc>
        <w:tc>
          <w:tcPr>
            <w:tcW w:type="dxa" w:w="7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$ 31,110 </w:t>
            </w:r>
          </w:p>
        </w:tc>
        <w:tc>
          <w:tcPr>
            <w:tcW w:type="dxa" w:w="65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$ 232,080 </w:t>
            </w:r>
          </w:p>
        </w:tc>
        <w:tc>
          <w:tcPr>
            <w:tcW w:type="dxa" w:w="67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$ 263,190 </w:t>
            </w:r>
          </w:p>
        </w:tc>
      </w:tr>
      <w:tr>
        <w:trPr>
          <w:trHeight w:hRule="exact" w:val="180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Weighted average rate (%) </w:t>
            </w:r>
            <w:r>
              <w:rPr>
                <w:w w:val="97.50000238418579"/>
                <w:rFonts w:ascii="ArialMT" w:hAnsi="ArialMT" w:eastAsia="ArialMT"/>
                <w:b w:val="0"/>
                <w:i w:val="0"/>
                <w:color w:val="000000"/>
                <w:sz w:val="8"/>
              </w:rPr>
              <w:t>b</w:t>
            </w:r>
          </w:p>
        </w:tc>
        <w:tc>
          <w:tcPr>
            <w:tcW w:type="dxa" w:w="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3.30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6.41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2.08 </w:t>
            </w:r>
          </w:p>
        </w:tc>
        <w:tc>
          <w:tcPr>
            <w:tcW w:type="dxa" w:w="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4.47 </w:t>
            </w:r>
          </w:p>
        </w:tc>
        <w:tc>
          <w:tcPr>
            <w:tcW w:type="dxa" w:w="33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2.78 </w:t>
            </w:r>
          </w:p>
        </w:tc>
        <w:tc>
          <w:tcPr>
            <w:tcW w:type="dxa" w:w="6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0.72 </w:t>
            </w:r>
          </w:p>
        </w:tc>
        <w:tc>
          <w:tcPr>
            <w:tcW w:type="dxa" w:w="33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8.67 </w:t>
            </w:r>
          </w:p>
        </w:tc>
        <w:tc>
          <w:tcPr>
            <w:tcW w:type="dxa" w:w="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10.19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2.86 </w:t>
            </w:r>
          </w:p>
        </w:tc>
        <w:tc>
          <w:tcPr>
            <w:tcW w:type="dxa" w:w="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6.14 </w:t>
            </w:r>
          </w:p>
        </w:tc>
        <w:tc>
          <w:tcPr>
            <w:tcW w:type="dxa" w:w="6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5.75 </w:t>
            </w:r>
          </w:p>
        </w:tc>
      </w:tr>
      <w:tr>
        <w:trPr>
          <w:trHeight w:hRule="exact" w:val="194"/>
        </w:trPr>
        <w:tc>
          <w:tcPr>
            <w:tcW w:type="dxa" w:w="1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Average Maturity (years)</w:t>
            </w:r>
          </w:p>
        </w:tc>
        <w:tc>
          <w:tcPr>
            <w:tcW w:type="dxa" w:w="88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7.63 </w:t>
            </w:r>
          </w:p>
        </w:tc>
        <w:tc>
          <w:tcPr>
            <w:tcW w:type="dxa" w:w="6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8.56 </w:t>
            </w:r>
          </w:p>
        </w:tc>
        <w:tc>
          <w:tcPr>
            <w:tcW w:type="dxa" w:w="6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9.59 </w:t>
            </w:r>
          </w:p>
        </w:tc>
        <w:tc>
          <w:tcPr>
            <w:tcW w:type="dxa" w:w="64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7.80 </w:t>
            </w:r>
          </w:p>
        </w:tc>
        <w:tc>
          <w:tcPr>
            <w:tcW w:type="dxa" w:w="33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1.09 </w:t>
            </w:r>
          </w:p>
        </w:tc>
        <w:tc>
          <w:tcPr>
            <w:tcW w:type="dxa" w:w="650"/>
            <w:gridSpan w:val="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4.97 </w:t>
            </w:r>
          </w:p>
        </w:tc>
        <w:tc>
          <w:tcPr>
            <w:tcW w:type="dxa" w:w="33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8.27 </w:t>
            </w:r>
          </w:p>
        </w:tc>
        <w:tc>
          <w:tcPr>
            <w:tcW w:type="dxa" w:w="640"/>
            <w:gridSpan w:val="3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6.29 </w:t>
            </w:r>
          </w:p>
        </w:tc>
        <w:tc>
          <w:tcPr>
            <w:tcW w:type="dxa" w:w="700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8.42 </w:t>
            </w:r>
          </w:p>
        </w:tc>
        <w:tc>
          <w:tcPr>
            <w:tcW w:type="dxa" w:w="650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8.39 </w:t>
            </w:r>
          </w:p>
        </w:tc>
        <w:tc>
          <w:tcPr>
            <w:tcW w:type="dxa" w:w="67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6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8.40 </w:t>
            </w:r>
          </w:p>
        </w:tc>
      </w:tr>
      <w:tr>
        <w:trPr>
          <w:trHeight w:hRule="exact" w:val="146"/>
        </w:trPr>
        <w:tc>
          <w:tcPr>
            <w:tcW w:type="dxa" w:w="4610"/>
            <w:gridSpan w:val="11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Loans Outstanding</w:t>
            </w:r>
          </w:p>
        </w:tc>
        <w:tc>
          <w:tcPr>
            <w:tcW w:type="dxa" w:w="2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37"/>
            <w:vMerge/>
            <w:tcBorders>
              <w:bottom w:sz="8.0" w:val="single" w:color="#000000"/>
            </w:tcBorders>
          </w:tcPr>
          <w:p/>
        </w:tc>
        <w:tc>
          <w:tcPr>
            <w:tcW w:type="dxa" w:w="1348"/>
            <w:gridSpan w:val="4"/>
            <w:vMerge/>
            <w:tcBorders>
              <w:bottom w:sz="8.0" w:val="single" w:color="#000000"/>
            </w:tcBorders>
          </w:tcPr>
          <w:p/>
        </w:tc>
        <w:tc>
          <w:tcPr>
            <w:tcW w:type="dxa" w:w="1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37"/>
            <w:vMerge/>
            <w:tcBorders>
              <w:bottom w:sz="8.0" w:val="single" w:color="#000000"/>
            </w:tcBorders>
          </w:tcPr>
          <w:p/>
        </w:tc>
        <w:tc>
          <w:tcPr>
            <w:tcW w:type="dxa" w:w="1011"/>
            <w:gridSpan w:val="3"/>
            <w:vMerge/>
            <w:tcBorders>
              <w:bottom w:sz="8.0" w:val="single" w:color="#000000"/>
            </w:tcBorders>
          </w:tcPr>
          <w:p/>
        </w:tc>
        <w:tc>
          <w:tcPr>
            <w:tcW w:type="dxa" w:w="674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674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67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$ 263,190 </w:t>
            </w:r>
          </w:p>
        </w:tc>
      </w:tr>
      <w:tr>
        <w:trPr>
          <w:trHeight w:hRule="exact" w:val="214"/>
        </w:trPr>
        <w:tc>
          <w:tcPr>
            <w:tcW w:type="dxa" w:w="4610"/>
            <w:gridSpan w:val="11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Less accumulated provision for loan losses and deferred loan income</w:t>
            </w:r>
          </w:p>
        </w:tc>
        <w:tc>
          <w:tcPr>
            <w:tcW w:type="dxa" w:w="33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37"/>
            <w:vMerge/>
            <w:tcBorders>
              <w:bottom w:sz="8.0" w:val="single" w:color="#000000"/>
            </w:tcBorders>
          </w:tcPr>
          <w:p/>
        </w:tc>
        <w:tc>
          <w:tcPr>
            <w:tcW w:type="dxa" w:w="1348"/>
            <w:gridSpan w:val="4"/>
            <w:vMerge/>
            <w:tcBorders>
              <w:bottom w:sz="8.0" w:val="single" w:color="#000000"/>
            </w:tcBorders>
          </w:tcPr>
          <w:p/>
        </w:tc>
        <w:tc>
          <w:tcPr>
            <w:tcW w:type="dxa" w:w="33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37"/>
            <w:vMerge/>
            <w:tcBorders>
              <w:bottom w:sz="8.0" w:val="single" w:color="#000000"/>
            </w:tcBorders>
          </w:tcPr>
          <w:p/>
        </w:tc>
        <w:tc>
          <w:tcPr>
            <w:tcW w:type="dxa" w:w="1011"/>
            <w:gridSpan w:val="3"/>
            <w:vMerge/>
            <w:tcBorders>
              <w:bottom w:sz="8.0" w:val="single" w:color="#000000"/>
            </w:tcBorders>
          </w:tcPr>
          <w:p/>
        </w:tc>
        <w:tc>
          <w:tcPr>
            <w:tcW w:type="dxa" w:w="674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674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67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6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2,954 </w:t>
            </w:r>
          </w:p>
        </w:tc>
      </w:tr>
      <w:tr>
        <w:trPr>
          <w:trHeight w:hRule="exact" w:val="206"/>
        </w:trPr>
        <w:tc>
          <w:tcPr>
            <w:tcW w:type="dxa" w:w="4610"/>
            <w:gridSpan w:val="11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Net loans outstanding</w:t>
            </w:r>
          </w:p>
        </w:tc>
        <w:tc>
          <w:tcPr>
            <w:tcW w:type="dxa" w:w="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7"/>
            <w:vMerge/>
            <w:tcBorders>
              <w:bottom w:sz="8.0" w:val="single" w:color="#000000"/>
            </w:tcBorders>
          </w:tcPr>
          <w:p/>
        </w:tc>
        <w:tc>
          <w:tcPr>
            <w:tcW w:type="dxa" w:w="1348"/>
            <w:gridSpan w:val="4"/>
            <w:vMerge/>
            <w:tcBorders>
              <w:bottom w:sz="8.0" w:val="single" w:color="#000000"/>
            </w:tcBorders>
          </w:tcPr>
          <w:p/>
        </w:tc>
        <w:tc>
          <w:tcPr>
            <w:tcW w:type="dxa" w:w="1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7"/>
            <w:vMerge/>
            <w:tcBorders>
              <w:bottom w:sz="8.0" w:val="single" w:color="#000000"/>
            </w:tcBorders>
          </w:tcPr>
          <w:p/>
        </w:tc>
        <w:tc>
          <w:tcPr>
            <w:tcW w:type="dxa" w:w="1011"/>
            <w:gridSpan w:val="3"/>
            <w:vMerge/>
            <w:tcBorders>
              <w:bottom w:sz="8.0" w:val="single" w:color="#000000"/>
            </w:tcBorders>
          </w:tcPr>
          <w:p/>
        </w:tc>
        <w:tc>
          <w:tcPr>
            <w:tcW w:type="dxa" w:w="674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674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67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$ 260,236 </w:t>
            </w:r>
          </w:p>
        </w:tc>
      </w:tr>
    </w:tbl>
    <w:p>
      <w:pPr>
        <w:autoSpaceDN w:val="0"/>
        <w:autoSpaceDE w:val="0"/>
        <w:widowControl/>
        <w:spacing w:line="220" w:lineRule="exact" w:before="368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D1.1</w:t>
      </w:r>
    </w:p>
    <w:p>
      <w:pPr>
        <w:autoSpaceDN w:val="0"/>
        <w:autoSpaceDE w:val="0"/>
        <w:widowControl/>
        <w:spacing w:line="134" w:lineRule="exact" w:before="138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2"/>
        </w:rPr>
        <w:t>In millions of U.S. dollars, except as otherwise noted</w:t>
      </w:r>
    </w:p>
    <w:p>
      <w:pPr>
        <w:autoSpaceDN w:val="0"/>
        <w:autoSpaceDE w:val="0"/>
        <w:widowControl/>
        <w:spacing w:line="134" w:lineRule="exact" w:before="46" w:after="20"/>
        <w:ind w:left="0" w:right="2726" w:firstLine="0"/>
        <w:jc w:val="right"/>
      </w:pPr>
      <w:r>
        <w:rPr>
          <w:rFonts w:ascii="Arial" w:hAnsi="Arial" w:eastAsia="Arial"/>
          <w:b w:val="0"/>
          <w:i/>
          <w:color w:val="000000"/>
          <w:sz w:val="12"/>
        </w:rPr>
        <w:t>June 30, 2023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</w:tblGrid>
      <w:tr>
        <w:trPr>
          <w:trHeight w:hRule="exact" w:val="180"/>
        </w:trPr>
        <w:tc>
          <w:tcPr>
            <w:tcW w:type="dxa" w:w="3830"/>
            <w:gridSpan w:val="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90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U.S. dollars</w:t>
            </w:r>
          </w:p>
        </w:tc>
        <w:tc>
          <w:tcPr>
            <w:tcW w:type="dxa" w:w="79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1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Euro</w:t>
            </w:r>
          </w:p>
        </w:tc>
        <w:tc>
          <w:tcPr>
            <w:tcW w:type="dxa" w:w="2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4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10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Japanese Yen</w:t>
            </w:r>
          </w:p>
        </w:tc>
        <w:tc>
          <w:tcPr>
            <w:tcW w:type="dxa" w:w="1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6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47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Others</w:t>
            </w:r>
          </w:p>
        </w:tc>
        <w:tc>
          <w:tcPr>
            <w:tcW w:type="dxa" w:w="1348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Loans Outstanding</w:t>
            </w:r>
          </w:p>
        </w:tc>
        <w:tc>
          <w:tcPr>
            <w:tcW w:type="dxa" w:w="676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Total</w:t>
            </w:r>
          </w:p>
        </w:tc>
      </w:tr>
      <w:tr>
        <w:trPr>
          <w:trHeight w:hRule="exact" w:val="180"/>
        </w:trPr>
        <w:tc>
          <w:tcPr>
            <w:tcW w:type="dxa" w:w="249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6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Fixed</w:t>
            </w:r>
          </w:p>
        </w:tc>
        <w:tc>
          <w:tcPr>
            <w:tcW w:type="dxa" w:w="824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13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Variable</w:t>
            </w:r>
          </w:p>
        </w:tc>
        <w:tc>
          <w:tcPr>
            <w:tcW w:type="dxa" w:w="516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5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Fixed</w:t>
            </w:r>
          </w:p>
        </w:tc>
        <w:tc>
          <w:tcPr>
            <w:tcW w:type="dxa" w:w="79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9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Variable</w:t>
            </w:r>
          </w:p>
        </w:tc>
        <w:tc>
          <w:tcPr>
            <w:tcW w:type="dxa" w:w="2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Fixed</w:t>
            </w:r>
          </w:p>
        </w:tc>
        <w:tc>
          <w:tcPr>
            <w:tcW w:type="dxa" w:w="804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Variable</w:t>
            </w:r>
          </w:p>
        </w:tc>
        <w:tc>
          <w:tcPr>
            <w:tcW w:type="dxa" w:w="1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Fixed</w:t>
            </w:r>
          </w:p>
        </w:tc>
        <w:tc>
          <w:tcPr>
            <w:tcW w:type="dxa" w:w="69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Variable</w:t>
            </w:r>
          </w:p>
        </w:tc>
        <w:tc>
          <w:tcPr>
            <w:tcW w:type="dxa" w:w="56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6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Fixed</w:t>
            </w:r>
          </w:p>
        </w:tc>
        <w:tc>
          <w:tcPr>
            <w:tcW w:type="dxa" w:w="78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Variable</w:t>
            </w:r>
          </w:p>
        </w:tc>
        <w:tc>
          <w:tcPr>
            <w:tcW w:type="dxa" w:w="700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18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7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Multicurrency terms </w:t>
            </w:r>
            <w:r>
              <w:rPr>
                <w:w w:val="97.50000238418579"/>
                <w:rFonts w:ascii="ArialMT" w:hAnsi="ArialMT" w:eastAsia="ArialMT"/>
                <w:b w:val="0"/>
                <w:i w:val="0"/>
                <w:color w:val="000000"/>
                <w:sz w:val="8"/>
              </w:rPr>
              <w:t>a</w:t>
            </w:r>
          </w:p>
        </w:tc>
        <w:tc>
          <w:tcPr>
            <w:tcW w:type="dxa" w:w="35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26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26 </w:t>
            </w:r>
          </w:p>
        </w:tc>
        <w:tc>
          <w:tcPr>
            <w:tcW w:type="dxa" w:w="4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403 </w:t>
            </w:r>
          </w:p>
        </w:tc>
        <w:tc>
          <w:tcPr>
            <w:tcW w:type="dxa" w:w="292"/>
            <w:gridSpan w:val="4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2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 </w:t>
            </w:r>
          </w:p>
        </w:tc>
        <w:tc>
          <w:tcPr>
            <w:tcW w:type="dxa" w:w="5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2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 </w:t>
            </w:r>
          </w:p>
        </w:tc>
        <w:tc>
          <w:tcPr>
            <w:tcW w:type="dxa" w:w="2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10 </w:t>
            </w:r>
          </w:p>
        </w:tc>
        <w:tc>
          <w:tcPr>
            <w:tcW w:type="dxa" w:w="56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134" w:lineRule="exact" w:before="19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2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 </w:t>
            </w:r>
          </w:p>
        </w:tc>
        <w:tc>
          <w:tcPr>
            <w:tcW w:type="dxa" w:w="1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4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3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2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2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44 </w:t>
            </w:r>
          </w:p>
        </w:tc>
        <w:tc>
          <w:tcPr>
            <w:tcW w:type="dxa" w:w="4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6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413 </w:t>
            </w:r>
          </w:p>
        </w:tc>
        <w:tc>
          <w:tcPr>
            <w:tcW w:type="dxa" w:w="2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9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457 </w:t>
            </w:r>
          </w:p>
        </w:tc>
      </w:tr>
      <w:tr>
        <w:trPr>
          <w:trHeight w:hRule="exact" w:val="209"/>
        </w:trPr>
        <w:tc>
          <w:tcPr>
            <w:tcW w:type="dxa" w:w="1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Weighted average rate (%) </w:t>
            </w:r>
            <w:r>
              <w:rPr>
                <w:w w:val="97.50000238418579"/>
                <w:rFonts w:ascii="ArialMT" w:hAnsi="ArialMT" w:eastAsia="ArialMT"/>
                <w:b w:val="0"/>
                <w:i w:val="0"/>
                <w:color w:val="000000"/>
                <w:sz w:val="8"/>
              </w:rPr>
              <w:t>b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7.30 </w:t>
            </w:r>
          </w:p>
        </w:tc>
        <w:tc>
          <w:tcPr>
            <w:tcW w:type="dxa" w:w="9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6.43 </w:t>
            </w:r>
          </w:p>
        </w:tc>
        <w:tc>
          <w:tcPr>
            <w:tcW w:type="dxa" w:w="4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2.78 </w:t>
            </w:r>
          </w:p>
        </w:tc>
        <w:tc>
          <w:tcPr>
            <w:tcW w:type="dxa" w:w="7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6.61 </w:t>
            </w:r>
          </w:p>
        </w:tc>
        <w:tc>
          <w:tcPr>
            <w:tcW w:type="dxa" w:w="2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9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2.78 </w:t>
            </w:r>
          </w:p>
        </w:tc>
        <w:tc>
          <w:tcPr>
            <w:tcW w:type="dxa" w:w="8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2" w:val="left"/>
              </w:tabs>
              <w:autoSpaceDE w:val="0"/>
              <w:widowControl/>
              <w:spacing w:line="134" w:lineRule="exact" w:before="5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6.61 </w:t>
            </w:r>
          </w:p>
        </w:tc>
        <w:tc>
          <w:tcPr>
            <w:tcW w:type="dxa" w:w="1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5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5.46 </w:t>
            </w:r>
          </w:p>
        </w:tc>
        <w:tc>
          <w:tcPr>
            <w:tcW w:type="dxa" w:w="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6.43 </w:t>
            </w:r>
          </w:p>
        </w:tc>
        <w:tc>
          <w:tcPr>
            <w:tcW w:type="dxa" w:w="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6.34 </w:t>
            </w:r>
          </w:p>
        </w:tc>
      </w:tr>
      <w:tr>
        <w:trPr>
          <w:trHeight w:hRule="exact" w:val="270"/>
        </w:trPr>
        <w:tc>
          <w:tcPr>
            <w:tcW w:type="dxa" w:w="1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Average Maturity (years)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0.77 </w:t>
            </w:r>
          </w:p>
        </w:tc>
        <w:tc>
          <w:tcPr>
            <w:tcW w:type="dxa" w:w="9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4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1.62 </w:t>
            </w:r>
          </w:p>
        </w:tc>
        <w:tc>
          <w:tcPr>
            <w:tcW w:type="dxa" w:w="7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1.62 </w:t>
            </w:r>
          </w:p>
        </w:tc>
        <w:tc>
          <w:tcPr>
            <w:tcW w:type="dxa" w:w="8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4" w:val="left"/>
              </w:tabs>
              <w:autoSpaceDE w:val="0"/>
              <w:widowControl/>
              <w:spacing w:line="134" w:lineRule="exact" w:before="2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350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5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1.11 </w:t>
            </w:r>
          </w:p>
        </w:tc>
        <w:tc>
          <w:tcPr>
            <w:tcW w:type="dxa" w:w="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0.11 </w:t>
            </w:r>
          </w:p>
        </w:tc>
      </w:tr>
      <w:tr>
        <w:trPr>
          <w:trHeight w:hRule="exact" w:val="240"/>
        </w:trPr>
        <w:tc>
          <w:tcPr>
            <w:tcW w:type="dxa" w:w="1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9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Variable-spread terms</w:t>
            </w:r>
          </w:p>
        </w:tc>
        <w:tc>
          <w:tcPr>
            <w:tcW w:type="dxa" w:w="3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8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6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$ 150,309 </w:t>
            </w:r>
          </w:p>
        </w:tc>
        <w:tc>
          <w:tcPr>
            <w:tcW w:type="dxa" w:w="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2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7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6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$ 24,930 </w:t>
            </w:r>
          </w:p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134" w:lineRule="exact" w:before="10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4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233 </w:t>
            </w:r>
          </w:p>
        </w:tc>
        <w:tc>
          <w:tcPr>
            <w:tcW w:type="dxa" w:w="350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6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$ 2,671 </w:t>
            </w:r>
          </w:p>
        </w:tc>
        <w:tc>
          <w:tcPr>
            <w:tcW w:type="dxa" w:w="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6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$ 178,143 </w:t>
            </w:r>
          </w:p>
        </w:tc>
        <w:tc>
          <w:tcPr>
            <w:tcW w:type="dxa" w:w="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$ 178,143 </w:t>
            </w:r>
          </w:p>
        </w:tc>
      </w:tr>
      <w:tr>
        <w:trPr>
          <w:trHeight w:hRule="exact" w:val="209"/>
        </w:trPr>
        <w:tc>
          <w:tcPr>
            <w:tcW w:type="dxa" w:w="1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Weighted average rate (%) </w:t>
            </w:r>
            <w:r>
              <w:rPr>
                <w:w w:val="97.50000238418579"/>
                <w:rFonts w:ascii="ArialMT" w:hAnsi="ArialMT" w:eastAsia="ArialMT"/>
                <w:b w:val="0"/>
                <w:i w:val="0"/>
                <w:color w:val="000000"/>
                <w:sz w:val="8"/>
              </w:rPr>
              <w:t>b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97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5.77 </w:t>
            </w:r>
          </w:p>
        </w:tc>
        <w:tc>
          <w:tcPr>
            <w:tcW w:type="dxa" w:w="3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7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3.94 </w:t>
            </w:r>
          </w:p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8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4" w:val="left"/>
              </w:tabs>
              <w:autoSpaceDE w:val="0"/>
              <w:widowControl/>
              <w:spacing w:line="134" w:lineRule="exact" w:before="5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0.55 </w:t>
            </w:r>
          </w:p>
        </w:tc>
        <w:tc>
          <w:tcPr>
            <w:tcW w:type="dxa" w:w="1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9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10.16 </w:t>
            </w:r>
          </w:p>
        </w:tc>
        <w:tc>
          <w:tcPr>
            <w:tcW w:type="dxa" w:w="5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5.58 </w:t>
            </w:r>
          </w:p>
        </w:tc>
        <w:tc>
          <w:tcPr>
            <w:tcW w:type="dxa" w:w="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5.58 </w:t>
            </w:r>
          </w:p>
        </w:tc>
      </w:tr>
      <w:tr>
        <w:trPr>
          <w:trHeight w:hRule="exact" w:val="270"/>
        </w:trPr>
        <w:tc>
          <w:tcPr>
            <w:tcW w:type="dxa" w:w="1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Average Maturity (years)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97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8.42 </w:t>
            </w:r>
          </w:p>
        </w:tc>
        <w:tc>
          <w:tcPr>
            <w:tcW w:type="dxa" w:w="3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7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7.95 </w:t>
            </w:r>
          </w:p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8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4" w:val="left"/>
              </w:tabs>
              <w:autoSpaceDE w:val="0"/>
              <w:widowControl/>
              <w:spacing w:line="134" w:lineRule="exact" w:before="2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6.21 </w:t>
            </w:r>
          </w:p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6.87 </w:t>
            </w:r>
          </w:p>
        </w:tc>
        <w:tc>
          <w:tcPr>
            <w:tcW w:type="dxa" w:w="5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8.33 </w:t>
            </w:r>
          </w:p>
        </w:tc>
        <w:tc>
          <w:tcPr>
            <w:tcW w:type="dxa" w:w="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8.33 </w:t>
            </w:r>
          </w:p>
        </w:tc>
      </w:tr>
      <w:tr>
        <w:trPr>
          <w:trHeight w:hRule="exact" w:val="240"/>
        </w:trPr>
        <w:tc>
          <w:tcPr>
            <w:tcW w:type="dxa" w:w="1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9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Fixed-spread terms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$ 19,560 </w:t>
            </w:r>
          </w:p>
        </w:tc>
        <w:tc>
          <w:tcPr>
            <w:tcW w:type="dxa" w:w="8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$ 24,198 </w:t>
            </w:r>
          </w:p>
        </w:tc>
        <w:tc>
          <w:tcPr>
            <w:tcW w:type="dxa" w:w="52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6" w:after="0"/>
              <w:ind w:left="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$ 12,717 </w:t>
            </w:r>
          </w:p>
        </w:tc>
        <w:tc>
          <w:tcPr>
            <w:tcW w:type="dxa" w:w="7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6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$ 7,242 </w:t>
            </w:r>
          </w:p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*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4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807 </w:t>
            </w:r>
          </w:p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357 </w:t>
            </w:r>
          </w:p>
        </w:tc>
        <w:tc>
          <w:tcPr>
            <w:tcW w:type="dxa" w:w="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415 </w:t>
            </w:r>
          </w:p>
        </w:tc>
        <w:tc>
          <w:tcPr>
            <w:tcW w:type="dxa" w:w="5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$ 32,634 </w:t>
            </w:r>
          </w:p>
        </w:tc>
        <w:tc>
          <w:tcPr>
            <w:tcW w:type="dxa" w:w="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6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$ 32,662 </w:t>
            </w:r>
          </w:p>
        </w:tc>
        <w:tc>
          <w:tcPr>
            <w:tcW w:type="dxa" w:w="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$ 65,296 </w:t>
            </w:r>
          </w:p>
        </w:tc>
      </w:tr>
      <w:tr>
        <w:trPr>
          <w:trHeight w:hRule="exact" w:val="200"/>
        </w:trPr>
        <w:tc>
          <w:tcPr>
            <w:tcW w:type="dxa" w:w="1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Weighted average rate (%) </w:t>
            </w:r>
            <w:r>
              <w:rPr>
                <w:w w:val="97.50000238418579"/>
                <w:rFonts w:ascii="ArialMT" w:hAnsi="ArialMT" w:eastAsia="ArialMT"/>
                <w:b w:val="0"/>
                <w:i w:val="0"/>
                <w:color w:val="000000"/>
                <w:sz w:val="8"/>
              </w:rPr>
              <w:t>b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3.32 </w:t>
            </w:r>
          </w:p>
        </w:tc>
        <w:tc>
          <w:tcPr>
            <w:tcW w:type="dxa" w:w="9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6.35 </w:t>
            </w:r>
          </w:p>
        </w:tc>
        <w:tc>
          <w:tcPr>
            <w:tcW w:type="dxa" w:w="4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2.04 </w:t>
            </w:r>
          </w:p>
        </w:tc>
        <w:tc>
          <w:tcPr>
            <w:tcW w:type="dxa" w:w="7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4.26 </w:t>
            </w:r>
          </w:p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2.30 </w:t>
            </w:r>
          </w:p>
        </w:tc>
        <w:tc>
          <w:tcPr>
            <w:tcW w:type="dxa" w:w="8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2" w:val="left"/>
              </w:tabs>
              <w:autoSpaceDE w:val="0"/>
              <w:widowControl/>
              <w:spacing w:line="134" w:lineRule="exact" w:before="5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0.50 </w:t>
            </w:r>
          </w:p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8.13 </w:t>
            </w:r>
          </w:p>
        </w:tc>
        <w:tc>
          <w:tcPr>
            <w:tcW w:type="dxa" w:w="6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10.76 </w:t>
            </w:r>
          </w:p>
        </w:tc>
        <w:tc>
          <w:tcPr>
            <w:tcW w:type="dxa" w:w="5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2.87 </w:t>
            </w:r>
          </w:p>
        </w:tc>
        <w:tc>
          <w:tcPr>
            <w:tcW w:type="dxa" w:w="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5.80 </w:t>
            </w:r>
          </w:p>
        </w:tc>
        <w:tc>
          <w:tcPr>
            <w:tcW w:type="dxa" w:w="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4.34 </w:t>
            </w:r>
          </w:p>
        </w:tc>
      </w:tr>
      <w:tr>
        <w:trPr>
          <w:trHeight w:hRule="exact" w:val="180"/>
        </w:trPr>
        <w:tc>
          <w:tcPr>
            <w:tcW w:type="dxa" w:w="18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Average maturity (years)</w:t>
            </w:r>
          </w:p>
        </w:tc>
        <w:tc>
          <w:tcPr>
            <w:tcW w:type="dxa" w:w="6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8.06 </w:t>
            </w:r>
          </w:p>
        </w:tc>
        <w:tc>
          <w:tcPr>
            <w:tcW w:type="dxa" w:w="82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9.42 </w:t>
            </w:r>
          </w:p>
        </w:tc>
        <w:tc>
          <w:tcPr>
            <w:tcW w:type="dxa" w:w="516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10.19 </w:t>
            </w:r>
          </w:p>
        </w:tc>
        <w:tc>
          <w:tcPr>
            <w:tcW w:type="dxa" w:w="79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7.40 </w:t>
            </w:r>
          </w:p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3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0.08 </w:t>
            </w:r>
          </w:p>
        </w:tc>
        <w:tc>
          <w:tcPr>
            <w:tcW w:type="dxa" w:w="80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2" w:val="left"/>
              </w:tabs>
              <w:autoSpaceDE w:val="0"/>
              <w:widowControl/>
              <w:spacing w:line="134" w:lineRule="exact" w:before="3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5.08 </w:t>
            </w:r>
          </w:p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8.23 </w:t>
            </w:r>
          </w:p>
        </w:tc>
        <w:tc>
          <w:tcPr>
            <w:tcW w:type="dxa" w:w="69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7.67 </w:t>
            </w:r>
          </w:p>
        </w:tc>
        <w:tc>
          <w:tcPr>
            <w:tcW w:type="dxa" w:w="56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8.89 </w:t>
            </w:r>
          </w:p>
        </w:tc>
        <w:tc>
          <w:tcPr>
            <w:tcW w:type="dxa" w:w="78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8.85 </w:t>
            </w:r>
          </w:p>
        </w:tc>
        <w:tc>
          <w:tcPr>
            <w:tcW w:type="dxa" w:w="67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8.87 </w:t>
            </w:r>
          </w:p>
        </w:tc>
      </w:tr>
      <w:tr>
        <w:trPr>
          <w:trHeight w:hRule="exact" w:val="160"/>
        </w:trPr>
        <w:tc>
          <w:tcPr>
            <w:tcW w:type="dxa" w:w="18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Loans Outstanding</w:t>
            </w:r>
          </w:p>
        </w:tc>
        <w:tc>
          <w:tcPr>
            <w:tcW w:type="dxa" w:w="6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$ 19,586 </w:t>
            </w:r>
          </w:p>
        </w:tc>
        <w:tc>
          <w:tcPr>
            <w:tcW w:type="dxa" w:w="812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$ 174,910 </w:t>
            </w:r>
          </w:p>
        </w:tc>
        <w:tc>
          <w:tcPr>
            <w:tcW w:type="dxa" w:w="528"/>
            <w:gridSpan w:val="5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$ 12,725 </w:t>
            </w:r>
          </w:p>
        </w:tc>
        <w:tc>
          <w:tcPr>
            <w:tcW w:type="dxa" w:w="79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$ 32,179 </w:t>
            </w:r>
          </w:p>
        </w:tc>
        <w:tc>
          <w:tcPr>
            <w:tcW w:type="dxa" w:w="2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3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10 </w:t>
            </w:r>
          </w:p>
        </w:tc>
        <w:tc>
          <w:tcPr>
            <w:tcW w:type="dxa" w:w="804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134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$ 1,043 </w:t>
            </w:r>
          </w:p>
        </w:tc>
        <w:tc>
          <w:tcPr>
            <w:tcW w:type="dxa" w:w="19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4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357 </w:t>
            </w:r>
          </w:p>
        </w:tc>
        <w:tc>
          <w:tcPr>
            <w:tcW w:type="dxa" w:w="69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$ 3,086 </w:t>
            </w:r>
          </w:p>
        </w:tc>
        <w:tc>
          <w:tcPr>
            <w:tcW w:type="dxa" w:w="56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$ 32,678 </w:t>
            </w:r>
          </w:p>
        </w:tc>
        <w:tc>
          <w:tcPr>
            <w:tcW w:type="dxa" w:w="78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$ 211,218 </w:t>
            </w:r>
          </w:p>
        </w:tc>
        <w:tc>
          <w:tcPr>
            <w:tcW w:type="dxa" w:w="67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$ 243,896 </w:t>
            </w:r>
          </w:p>
        </w:tc>
      </w:tr>
      <w:tr>
        <w:trPr>
          <w:trHeight w:hRule="exact" w:val="200"/>
        </w:trPr>
        <w:tc>
          <w:tcPr>
            <w:tcW w:type="dxa" w:w="1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Weighted average rate (%) </w:t>
            </w:r>
            <w:r>
              <w:rPr>
                <w:w w:val="97.50000238418579"/>
                <w:rFonts w:ascii="ArialMT" w:hAnsi="ArialMT" w:eastAsia="ArialMT"/>
                <w:b w:val="0"/>
                <w:i w:val="0"/>
                <w:color w:val="000000"/>
                <w:sz w:val="8"/>
              </w:rPr>
              <w:t>b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3.33 </w:t>
            </w:r>
          </w:p>
        </w:tc>
        <w:tc>
          <w:tcPr>
            <w:tcW w:type="dxa" w:w="9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5.85 </w:t>
            </w:r>
          </w:p>
        </w:tc>
        <w:tc>
          <w:tcPr>
            <w:tcW w:type="dxa" w:w="4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2.04 </w:t>
            </w:r>
          </w:p>
        </w:tc>
        <w:tc>
          <w:tcPr>
            <w:tcW w:type="dxa" w:w="7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4.01 </w:t>
            </w:r>
          </w:p>
        </w:tc>
        <w:tc>
          <w:tcPr>
            <w:tcW w:type="dxa" w:w="3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2.76 </w:t>
            </w:r>
          </w:p>
        </w:tc>
        <w:tc>
          <w:tcPr>
            <w:tcW w:type="dxa" w:w="8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2" w:val="left"/>
              </w:tabs>
              <w:autoSpaceDE w:val="0"/>
              <w:widowControl/>
              <w:spacing w:line="134" w:lineRule="exact" w:before="5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0.53 </w:t>
            </w:r>
          </w:p>
        </w:tc>
        <w:tc>
          <w:tcPr>
            <w:tcW w:type="dxa" w:w="3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8.13 </w:t>
            </w:r>
          </w:p>
        </w:tc>
        <w:tc>
          <w:tcPr>
            <w:tcW w:type="dxa" w:w="6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10.24 </w:t>
            </w:r>
          </w:p>
        </w:tc>
        <w:tc>
          <w:tcPr>
            <w:tcW w:type="dxa" w:w="5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2.88 </w:t>
            </w:r>
          </w:p>
        </w:tc>
        <w:tc>
          <w:tcPr>
            <w:tcW w:type="dxa" w:w="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5.61 </w:t>
            </w:r>
          </w:p>
        </w:tc>
        <w:tc>
          <w:tcPr>
            <w:tcW w:type="dxa" w:w="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5.25 </w:t>
            </w:r>
          </w:p>
        </w:tc>
      </w:tr>
      <w:tr>
        <w:trPr>
          <w:trHeight w:hRule="exact" w:val="180"/>
        </w:trPr>
        <w:tc>
          <w:tcPr>
            <w:tcW w:type="dxa" w:w="18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Average Maturity (years)</w:t>
            </w:r>
          </w:p>
        </w:tc>
        <w:tc>
          <w:tcPr>
            <w:tcW w:type="dxa" w:w="6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8.05 </w:t>
            </w:r>
          </w:p>
        </w:tc>
        <w:tc>
          <w:tcPr>
            <w:tcW w:type="dxa" w:w="82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8.54 </w:t>
            </w:r>
          </w:p>
        </w:tc>
        <w:tc>
          <w:tcPr>
            <w:tcW w:type="dxa" w:w="516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10.19 </w:t>
            </w:r>
          </w:p>
        </w:tc>
        <w:tc>
          <w:tcPr>
            <w:tcW w:type="dxa" w:w="79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7.82 </w:t>
            </w:r>
          </w:p>
        </w:tc>
        <w:tc>
          <w:tcPr>
            <w:tcW w:type="dxa" w:w="3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1.57 </w:t>
            </w:r>
          </w:p>
        </w:tc>
        <w:tc>
          <w:tcPr>
            <w:tcW w:type="dxa" w:w="804"/>
            <w:gridSpan w:val="3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2" w:val="left"/>
              </w:tabs>
              <w:autoSpaceDE w:val="0"/>
              <w:widowControl/>
              <w:spacing w:line="134" w:lineRule="exact" w:before="3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5.32 </w:t>
            </w:r>
          </w:p>
        </w:tc>
        <w:tc>
          <w:tcPr>
            <w:tcW w:type="dxa" w:w="3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8.23 </w:t>
            </w:r>
          </w:p>
        </w:tc>
        <w:tc>
          <w:tcPr>
            <w:tcW w:type="dxa" w:w="696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6.98 </w:t>
            </w:r>
          </w:p>
        </w:tc>
        <w:tc>
          <w:tcPr>
            <w:tcW w:type="dxa" w:w="564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8.88 </w:t>
            </w:r>
          </w:p>
        </w:tc>
        <w:tc>
          <w:tcPr>
            <w:tcW w:type="dxa" w:w="784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8.39 </w:t>
            </w:r>
          </w:p>
        </w:tc>
        <w:tc>
          <w:tcPr>
            <w:tcW w:type="dxa" w:w="67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8.46 </w:t>
            </w:r>
          </w:p>
        </w:tc>
      </w:tr>
      <w:tr>
        <w:trPr>
          <w:trHeight w:hRule="exact" w:val="140"/>
        </w:trPr>
        <w:tc>
          <w:tcPr>
            <w:tcW w:type="dxa" w:w="4626"/>
            <w:gridSpan w:val="1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Loans Outstanding</w:t>
            </w:r>
          </w:p>
        </w:tc>
        <w:tc>
          <w:tcPr>
            <w:tcW w:type="dxa" w:w="2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1050"/>
            <w:gridSpan w:val="3"/>
            <w:vMerge/>
            <w:tcBorders>
              <w:bottom w:sz="8.0" w:val="single" w:color="#000000"/>
            </w:tcBorders>
          </w:tcPr>
          <w:p/>
        </w:tc>
        <w:tc>
          <w:tcPr>
            <w:tcW w:type="dxa" w:w="19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700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700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700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676"/>
            <w:gridSpan w:val="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$ 243,896 </w:t>
            </w:r>
          </w:p>
        </w:tc>
      </w:tr>
      <w:tr>
        <w:trPr>
          <w:trHeight w:hRule="exact" w:val="50"/>
        </w:trPr>
        <w:tc>
          <w:tcPr>
            <w:tcW w:type="dxa" w:w="4626"/>
            <w:gridSpan w:val="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Less accumulated provision for loan losses and deferred loan income</w:t>
            </w:r>
          </w:p>
        </w:tc>
        <w:tc>
          <w:tcPr>
            <w:tcW w:type="dxa" w:w="3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1050"/>
            <w:gridSpan w:val="3"/>
            <w:vMerge/>
            <w:tcBorders>
              <w:bottom w:sz="8.0" w:val="single" w:color="#000000"/>
            </w:tcBorders>
          </w:tcPr>
          <w:p/>
        </w:tc>
        <w:tc>
          <w:tcPr>
            <w:tcW w:type="dxa" w:w="3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700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700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700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700"/>
            <w:gridSpan w:val="2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170"/>
        </w:trPr>
        <w:tc>
          <w:tcPr>
            <w:tcW w:type="dxa" w:w="4200"/>
            <w:gridSpan w:val="12"/>
            <w:vMerge/>
            <w:tcBorders>
              <w:bottom w:sz="8.0" w:val="single" w:color="#000000"/>
            </w:tcBorders>
          </w:tcPr>
          <w:p/>
        </w:tc>
        <w:tc>
          <w:tcPr>
            <w:tcW w:type="dxa" w:w="3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1050"/>
            <w:gridSpan w:val="3"/>
            <w:vMerge/>
            <w:tcBorders>
              <w:bottom w:sz="8.0" w:val="single" w:color="#000000"/>
            </w:tcBorders>
          </w:tcPr>
          <w:p/>
        </w:tc>
        <w:tc>
          <w:tcPr>
            <w:tcW w:type="dxa" w:w="3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700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700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700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67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2,855 </w:t>
            </w:r>
          </w:p>
        </w:tc>
      </w:tr>
      <w:tr>
        <w:trPr>
          <w:trHeight w:hRule="exact" w:val="206"/>
        </w:trPr>
        <w:tc>
          <w:tcPr>
            <w:tcW w:type="dxa" w:w="4626"/>
            <w:gridSpan w:val="1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2"/>
              </w:rPr>
              <w:t>Net loans outstanding</w:t>
            </w:r>
          </w:p>
        </w:tc>
        <w:tc>
          <w:tcPr>
            <w:tcW w:type="dxa" w:w="2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1050"/>
            <w:gridSpan w:val="3"/>
            <w:vMerge/>
            <w:tcBorders>
              <w:bottom w:sz="8.0" w:val="single" w:color="#000000"/>
            </w:tcBorders>
          </w:tcPr>
          <w:p/>
        </w:tc>
        <w:tc>
          <w:tcPr>
            <w:tcW w:type="dxa" w:w="1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vMerge/>
            <w:tcBorders>
              <w:bottom w:sz="8.0" w:val="single" w:color="#000000"/>
            </w:tcBorders>
          </w:tcPr>
          <w:p/>
        </w:tc>
        <w:tc>
          <w:tcPr>
            <w:tcW w:type="dxa" w:w="700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700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700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67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$ 241,041 </w:t>
            </w:r>
          </w:p>
        </w:tc>
      </w:tr>
    </w:tbl>
    <w:p>
      <w:pPr>
        <w:autoSpaceDN w:val="0"/>
        <w:autoSpaceDE w:val="0"/>
        <w:widowControl/>
        <w:spacing w:line="134" w:lineRule="exact" w:before="20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2"/>
        </w:rPr>
        <w:t>a. Variable rates for multicurrency loans are based on the weighted average cost of allocated debt.</w:t>
      </w:r>
    </w:p>
    <w:p>
      <w:pPr>
        <w:autoSpaceDN w:val="0"/>
        <w:autoSpaceDE w:val="0"/>
        <w:widowControl/>
        <w:spacing w:line="134" w:lineRule="exact" w:before="4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2"/>
        </w:rPr>
        <w:t>b. Excludes effects of any waivers of loan interest.</w:t>
      </w:r>
    </w:p>
    <w:p>
      <w:pPr>
        <w:autoSpaceDN w:val="0"/>
        <w:autoSpaceDE w:val="0"/>
        <w:widowControl/>
        <w:spacing w:line="134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2"/>
        </w:rPr>
        <w:t>* Indicates amount less than $0.5 million.</w:t>
      </w:r>
    </w:p>
    <w:p>
      <w:pPr>
        <w:autoSpaceDN w:val="0"/>
        <w:tabs>
          <w:tab w:pos="858" w:val="left"/>
        </w:tabs>
        <w:autoSpaceDE w:val="0"/>
        <w:widowControl/>
        <w:spacing w:line="224" w:lineRule="exact" w:before="251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2024</w:t>
      </w:r>
    </w:p>
    <w:p>
      <w:pPr>
        <w:sectPr>
          <w:pgSz w:w="12240" w:h="15840"/>
          <w:pgMar w:top="700" w:right="1372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maturity structure of IBRD’s loans is as follows: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D2: Loans maturity structure </w:t>
      </w:r>
    </w:p>
    <w:p>
      <w:pPr>
        <w:autoSpaceDN w:val="0"/>
        <w:autoSpaceDE w:val="0"/>
        <w:widowControl/>
        <w:spacing w:line="134" w:lineRule="exact" w:before="78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2"/>
        </w:rPr>
        <w:t>In millions of U.S. dollars</w:t>
      </w:r>
    </w:p>
    <w:p>
      <w:pPr>
        <w:autoSpaceDN w:val="0"/>
        <w:autoSpaceDE w:val="0"/>
        <w:widowControl/>
        <w:spacing w:line="134" w:lineRule="exact" w:before="46" w:after="20"/>
        <w:ind w:left="0" w:right="3372" w:firstLine="0"/>
        <w:jc w:val="right"/>
      </w:pPr>
      <w:r>
        <w:rPr>
          <w:rFonts w:ascii="Arial" w:hAnsi="Arial" w:eastAsia="Arial"/>
          <w:b w:val="0"/>
          <w:i/>
          <w:color w:val="000000"/>
          <w:sz w:val="12"/>
        </w:rPr>
        <w:t>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160"/>
        </w:trPr>
        <w:tc>
          <w:tcPr>
            <w:tcW w:type="dxa" w:w="214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72" w:after="0"/>
              <w:ind w:left="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Terms/Rate Type</w:t>
            </w:r>
          </w:p>
        </w:tc>
        <w:tc>
          <w:tcPr>
            <w:tcW w:type="dxa" w:w="14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 xml:space="preserve">July 1, 2024 through </w:t>
            </w:r>
          </w:p>
        </w:tc>
        <w:tc>
          <w:tcPr>
            <w:tcW w:type="dxa" w:w="145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 xml:space="preserve">July 1, 2025 through </w:t>
            </w:r>
          </w:p>
        </w:tc>
        <w:tc>
          <w:tcPr>
            <w:tcW w:type="dxa" w:w="14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 xml:space="preserve">July 1, 2029 through </w:t>
            </w:r>
          </w:p>
        </w:tc>
        <w:tc>
          <w:tcPr>
            <w:tcW w:type="dxa" w:w="136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Thereafter</w:t>
            </w:r>
          </w:p>
        </w:tc>
        <w:tc>
          <w:tcPr>
            <w:tcW w:type="dxa" w:w="13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Total</w:t>
            </w:r>
          </w:p>
        </w:tc>
      </w:tr>
      <w:tr>
        <w:trPr>
          <w:trHeight w:hRule="exact" w:val="186"/>
        </w:trPr>
        <w:tc>
          <w:tcPr>
            <w:tcW w:type="dxa" w:w="157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4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June 30, 2025</w:t>
            </w:r>
          </w:p>
        </w:tc>
        <w:tc>
          <w:tcPr>
            <w:tcW w:type="dxa" w:w="145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June 30, 2029</w:t>
            </w:r>
          </w:p>
        </w:tc>
        <w:tc>
          <w:tcPr>
            <w:tcW w:type="dxa" w:w="14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June 30, 2039</w:t>
            </w:r>
          </w:p>
        </w:tc>
        <w:tc>
          <w:tcPr>
            <w:tcW w:type="dxa" w:w="157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73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34" w:lineRule="exact" w:before="6" w:after="2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2"/>
        </w:rPr>
        <w:t>Multicurrency terms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162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Fixed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8" w:after="0"/>
              <w:ind w:left="0" w:right="3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8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24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8" w:after="0"/>
              <w:ind w:left="0" w:right="3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8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9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8" w:after="0"/>
              <w:ind w:left="0" w:right="3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8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8" w:after="0"/>
              <w:ind w:left="0" w:right="3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8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8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33 </w:t>
            </w:r>
          </w:p>
        </w:tc>
      </w:tr>
      <w:tr>
        <w:trPr>
          <w:trHeight w:hRule="exact" w:val="206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Variable</w:t>
            </w:r>
          </w:p>
        </w:tc>
        <w:tc>
          <w:tcPr>
            <w:tcW w:type="dxa" w:w="858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6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412 </w:t>
            </w:r>
          </w:p>
        </w:tc>
        <w:tc>
          <w:tcPr>
            <w:tcW w:type="dxa" w:w="858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6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858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6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858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6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858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412 </w:t>
            </w:r>
          </w:p>
        </w:tc>
      </w:tr>
    </w:tbl>
    <w:p>
      <w:pPr>
        <w:autoSpaceDN w:val="0"/>
        <w:autoSpaceDE w:val="0"/>
        <w:widowControl/>
        <w:spacing w:line="134" w:lineRule="exact" w:before="16" w:after="2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2"/>
        </w:rPr>
        <w:t>Variable-spread terms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16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Fixed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8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8" w:after="0"/>
              <w:ind w:left="0" w:right="5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8" w:after="0"/>
              <w:ind w:left="0" w:right="4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8" w:after="0"/>
              <w:ind w:left="0" w:right="4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8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</w:tr>
      <w:tr>
        <w:trPr>
          <w:trHeight w:hRule="exact" w:val="20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Variable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6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12,034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56,517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104,736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26,321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6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199,608 </w:t>
            </w:r>
          </w:p>
        </w:tc>
      </w:tr>
    </w:tbl>
    <w:p>
      <w:pPr>
        <w:autoSpaceDN w:val="0"/>
        <w:autoSpaceDE w:val="0"/>
        <w:widowControl/>
        <w:spacing w:line="134" w:lineRule="exact" w:before="16" w:after="2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2"/>
        </w:rPr>
        <w:t>Fixed-spread terms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162"/>
        </w:trPr>
        <w:tc>
          <w:tcPr>
            <w:tcW w:type="dxa" w:w="2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Fixed</w:t>
            </w:r>
          </w:p>
        </w:tc>
        <w:tc>
          <w:tcPr>
            <w:tcW w:type="dxa" w:w="14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8" w:after="0"/>
              <w:ind w:left="0" w:right="3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1,719 </w:t>
            </w:r>
          </w:p>
        </w:tc>
        <w:tc>
          <w:tcPr>
            <w:tcW w:type="dxa" w:w="1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8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7,038 </w:t>
            </w:r>
          </w:p>
        </w:tc>
        <w:tc>
          <w:tcPr>
            <w:tcW w:type="dxa" w:w="1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8" w:after="0"/>
              <w:ind w:left="0" w:right="3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18,107 </w:t>
            </w:r>
          </w:p>
        </w:tc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8" w:after="0"/>
              <w:ind w:left="0" w:right="3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4,213 </w:t>
            </w:r>
          </w:p>
        </w:tc>
        <w:tc>
          <w:tcPr>
            <w:tcW w:type="dxa" w:w="1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8" w:after="0"/>
              <w:ind w:left="0" w:right="3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31,077 </w:t>
            </w:r>
          </w:p>
        </w:tc>
      </w:tr>
      <w:tr>
        <w:trPr>
          <w:trHeight w:hRule="exact" w:val="206"/>
        </w:trPr>
        <w:tc>
          <w:tcPr>
            <w:tcW w:type="dxa" w:w="20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Variable</w:t>
            </w:r>
          </w:p>
        </w:tc>
        <w:tc>
          <w:tcPr>
            <w:tcW w:type="dxa" w:w="14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6" w:after="0"/>
              <w:ind w:left="0" w:right="3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2,018 </w:t>
            </w:r>
          </w:p>
        </w:tc>
        <w:tc>
          <w:tcPr>
            <w:tcW w:type="dxa" w:w="14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6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9,391 </w:t>
            </w:r>
          </w:p>
        </w:tc>
        <w:tc>
          <w:tcPr>
            <w:tcW w:type="dxa" w:w="14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6" w:after="0"/>
              <w:ind w:left="0" w:right="3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16,040 </w:t>
            </w:r>
          </w:p>
        </w:tc>
        <w:tc>
          <w:tcPr>
            <w:tcW w:type="dxa" w:w="13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6" w:after="0"/>
              <w:ind w:left="0" w:right="3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4,611 </w:t>
            </w:r>
          </w:p>
        </w:tc>
        <w:tc>
          <w:tcPr>
            <w:tcW w:type="dxa" w:w="1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6" w:after="0"/>
              <w:ind w:left="0" w:right="3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32,060 </w:t>
            </w:r>
          </w:p>
        </w:tc>
      </w:tr>
    </w:tbl>
    <w:p>
      <w:pPr>
        <w:autoSpaceDN w:val="0"/>
        <w:autoSpaceDE w:val="0"/>
        <w:widowControl/>
        <w:spacing w:line="134" w:lineRule="exact" w:before="16" w:after="2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2"/>
        </w:rPr>
        <w:t>All Loans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162"/>
        </w:trPr>
        <w:tc>
          <w:tcPr>
            <w:tcW w:type="dxa" w:w="2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Fixed</w:t>
            </w:r>
          </w:p>
        </w:tc>
        <w:tc>
          <w:tcPr>
            <w:tcW w:type="dxa" w:w="4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1,743 </w:t>
            </w:r>
          </w:p>
        </w:tc>
        <w:tc>
          <w:tcPr>
            <w:tcW w:type="dxa" w:w="4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7,047 </w:t>
            </w:r>
          </w:p>
        </w:tc>
        <w:tc>
          <w:tcPr>
            <w:tcW w:type="dxa" w:w="43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18,107 </w:t>
            </w:r>
          </w:p>
        </w:tc>
        <w:tc>
          <w:tcPr>
            <w:tcW w:type="dxa" w:w="3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4,213 </w:t>
            </w:r>
          </w:p>
        </w:tc>
        <w:tc>
          <w:tcPr>
            <w:tcW w:type="dxa" w:w="3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8" w:after="0"/>
              <w:ind w:left="2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31,110 </w:t>
            </w:r>
          </w:p>
        </w:tc>
      </w:tr>
      <w:tr>
        <w:trPr>
          <w:trHeight w:hRule="exact" w:val="206"/>
        </w:trPr>
        <w:tc>
          <w:tcPr>
            <w:tcW w:type="dxa" w:w="21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Variable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10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6" w:after="0"/>
              <w:ind w:left="0" w:right="3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14,464 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10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6" w:after="0"/>
              <w:ind w:left="0" w:right="3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65,908 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10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6" w:after="0"/>
              <w:ind w:left="2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120,776 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9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6" w:after="0"/>
              <w:ind w:left="2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30,932 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10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6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232,080 </w:t>
            </w:r>
          </w:p>
        </w:tc>
      </w:tr>
      <w:tr>
        <w:trPr>
          <w:trHeight w:hRule="exact" w:val="204"/>
        </w:trPr>
        <w:tc>
          <w:tcPr>
            <w:tcW w:type="dxa" w:w="21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Total loans outstanding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10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0" w:after="0"/>
              <w:ind w:left="0" w:right="3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16,207 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10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0" w:after="0"/>
              <w:ind w:left="0" w:right="3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72,955 </w:t>
            </w:r>
          </w:p>
        </w:tc>
        <w:tc>
          <w:tcPr>
            <w:tcW w:type="dxa" w:w="4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10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0" w:after="0"/>
              <w:ind w:left="2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138,883 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0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9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0" w:after="0"/>
              <w:ind w:left="2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35,145 </w:t>
            </w:r>
          </w:p>
        </w:tc>
        <w:tc>
          <w:tcPr>
            <w:tcW w:type="dxa" w:w="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10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263,190 </w:t>
            </w:r>
          </w:p>
        </w:tc>
      </w:tr>
    </w:tbl>
    <w:p>
      <w:pPr>
        <w:autoSpaceDN w:val="0"/>
        <w:autoSpaceDE w:val="0"/>
        <w:widowControl/>
        <w:spacing w:line="220" w:lineRule="exact" w:before="378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D2.1</w:t>
      </w:r>
    </w:p>
    <w:p>
      <w:pPr>
        <w:autoSpaceDN w:val="0"/>
        <w:autoSpaceDE w:val="0"/>
        <w:widowControl/>
        <w:spacing w:line="134" w:lineRule="exact" w:before="138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2"/>
        </w:rPr>
        <w:t>In millions of U.S. dollars</w:t>
      </w:r>
    </w:p>
    <w:p>
      <w:pPr>
        <w:autoSpaceDN w:val="0"/>
        <w:autoSpaceDE w:val="0"/>
        <w:widowControl/>
        <w:spacing w:line="134" w:lineRule="exact" w:before="46" w:after="20"/>
        <w:ind w:left="0" w:right="3298" w:firstLine="0"/>
        <w:jc w:val="right"/>
      </w:pPr>
      <w:r>
        <w:rPr>
          <w:rFonts w:ascii="Arial" w:hAnsi="Arial" w:eastAsia="Arial"/>
          <w:b w:val="0"/>
          <w:i/>
          <w:color w:val="000000"/>
          <w:sz w:val="12"/>
        </w:rPr>
        <w:t>June 30, 2023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170"/>
        </w:trPr>
        <w:tc>
          <w:tcPr>
            <w:tcW w:type="dxa" w:w="214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72" w:after="0"/>
              <w:ind w:left="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Terms/Rate Type</w:t>
            </w:r>
          </w:p>
        </w:tc>
        <w:tc>
          <w:tcPr>
            <w:tcW w:type="dxa" w:w="14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 xml:space="preserve">July 1, 2023 through </w:t>
            </w:r>
          </w:p>
        </w:tc>
        <w:tc>
          <w:tcPr>
            <w:tcW w:type="dxa" w:w="145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 xml:space="preserve">July 1, 2024 through </w:t>
            </w:r>
          </w:p>
        </w:tc>
        <w:tc>
          <w:tcPr>
            <w:tcW w:type="dxa" w:w="14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 xml:space="preserve">July 1, 2028 through </w:t>
            </w:r>
          </w:p>
        </w:tc>
        <w:tc>
          <w:tcPr>
            <w:tcW w:type="dxa" w:w="145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Thereafter</w:t>
            </w:r>
          </w:p>
        </w:tc>
        <w:tc>
          <w:tcPr>
            <w:tcW w:type="dxa" w:w="145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Total</w:t>
            </w:r>
          </w:p>
        </w:tc>
      </w:tr>
      <w:tr>
        <w:trPr>
          <w:trHeight w:hRule="exact" w:val="174"/>
        </w:trPr>
        <w:tc>
          <w:tcPr>
            <w:tcW w:type="dxa" w:w="157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4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June 30, 2024</w:t>
            </w:r>
          </w:p>
        </w:tc>
        <w:tc>
          <w:tcPr>
            <w:tcW w:type="dxa" w:w="145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June 30, 2028</w:t>
            </w:r>
          </w:p>
        </w:tc>
        <w:tc>
          <w:tcPr>
            <w:tcW w:type="dxa" w:w="14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2"/>
              </w:rPr>
              <w:t>June 30, 2038</w:t>
            </w:r>
          </w:p>
        </w:tc>
        <w:tc>
          <w:tcPr>
            <w:tcW w:type="dxa" w:w="157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73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34" w:lineRule="exact" w:before="8" w:after="24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2"/>
        </w:rPr>
        <w:t>Multicurrency terms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15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Fixed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6" w:after="0"/>
              <w:ind w:left="0" w:right="3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24 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6" w:after="0"/>
              <w:ind w:left="0" w:right="3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20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6" w:after="0"/>
              <w:ind w:left="0" w:right="3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6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6" w:after="0"/>
              <w:ind w:left="0" w:right="3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44 </w:t>
            </w:r>
          </w:p>
        </w:tc>
      </w:tr>
      <w:tr>
        <w:trPr>
          <w:trHeight w:hRule="exact" w:val="216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Variable</w:t>
            </w:r>
          </w:p>
        </w:tc>
        <w:tc>
          <w:tcPr>
            <w:tcW w:type="dxa" w:w="858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6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413 </w:t>
            </w:r>
          </w:p>
        </w:tc>
        <w:tc>
          <w:tcPr>
            <w:tcW w:type="dxa" w:w="858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6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858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6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858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6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858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6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413 </w:t>
            </w:r>
          </w:p>
        </w:tc>
      </w:tr>
    </w:tbl>
    <w:p>
      <w:pPr>
        <w:autoSpaceDN w:val="0"/>
        <w:autoSpaceDE w:val="0"/>
        <w:widowControl/>
        <w:spacing w:line="134" w:lineRule="exact" w:before="16" w:after="24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2"/>
        </w:rPr>
        <w:t>Variable-spread terms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15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Fixed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5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5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4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— </w:t>
            </w:r>
          </w:p>
        </w:tc>
      </w:tr>
      <w:tr>
        <w:trPr>
          <w:trHeight w:hRule="exact" w:val="216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Variable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6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9,261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51,025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95,141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22,716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6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178,143 </w:t>
            </w:r>
          </w:p>
        </w:tc>
      </w:tr>
    </w:tbl>
    <w:p>
      <w:pPr>
        <w:autoSpaceDN w:val="0"/>
        <w:autoSpaceDE w:val="0"/>
        <w:widowControl/>
        <w:spacing w:line="134" w:lineRule="exact" w:before="16" w:after="24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2"/>
        </w:rPr>
        <w:t>Fixed-spread terms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150"/>
        </w:trPr>
        <w:tc>
          <w:tcPr>
            <w:tcW w:type="dxa" w:w="2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Fixed</w:t>
            </w:r>
          </w:p>
        </w:tc>
        <w:tc>
          <w:tcPr>
            <w:tcW w:type="dxa" w:w="14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3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1,920 </w:t>
            </w:r>
          </w:p>
        </w:tc>
        <w:tc>
          <w:tcPr>
            <w:tcW w:type="dxa" w:w="14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3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6,901 </w:t>
            </w:r>
          </w:p>
        </w:tc>
        <w:tc>
          <w:tcPr>
            <w:tcW w:type="dxa" w:w="1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3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19,016 </w:t>
            </w:r>
          </w:p>
        </w:tc>
        <w:tc>
          <w:tcPr>
            <w:tcW w:type="dxa" w:w="1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3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4,797 </w:t>
            </w:r>
          </w:p>
        </w:tc>
        <w:tc>
          <w:tcPr>
            <w:tcW w:type="dxa" w:w="14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3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32,634 </w:t>
            </w:r>
          </w:p>
        </w:tc>
      </w:tr>
      <w:tr>
        <w:trPr>
          <w:trHeight w:hRule="exact" w:val="214"/>
        </w:trPr>
        <w:tc>
          <w:tcPr>
            <w:tcW w:type="dxa" w:w="20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Variable</w:t>
            </w:r>
          </w:p>
        </w:tc>
        <w:tc>
          <w:tcPr>
            <w:tcW w:type="dxa" w:w="14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6" w:after="0"/>
              <w:ind w:left="0" w:right="3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2,040 </w:t>
            </w:r>
          </w:p>
        </w:tc>
        <w:tc>
          <w:tcPr>
            <w:tcW w:type="dxa" w:w="145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6" w:after="0"/>
              <w:ind w:left="0" w:right="3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8,722 </w:t>
            </w:r>
          </w:p>
        </w:tc>
        <w:tc>
          <w:tcPr>
            <w:tcW w:type="dxa" w:w="14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6" w:after="0"/>
              <w:ind w:left="0" w:right="3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16,717 </w:t>
            </w:r>
          </w:p>
        </w:tc>
        <w:tc>
          <w:tcPr>
            <w:tcW w:type="dxa" w:w="14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6" w:after="0"/>
              <w:ind w:left="0" w:right="3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5,183 </w:t>
            </w:r>
          </w:p>
        </w:tc>
        <w:tc>
          <w:tcPr>
            <w:tcW w:type="dxa" w:w="145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6" w:after="0"/>
              <w:ind w:left="0" w:right="3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32,662 </w:t>
            </w:r>
          </w:p>
        </w:tc>
      </w:tr>
    </w:tbl>
    <w:p>
      <w:pPr>
        <w:autoSpaceDN w:val="0"/>
        <w:autoSpaceDE w:val="0"/>
        <w:widowControl/>
        <w:spacing w:line="134" w:lineRule="exact" w:before="18" w:after="24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2"/>
        </w:rPr>
        <w:t>All Loans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150"/>
        </w:trPr>
        <w:tc>
          <w:tcPr>
            <w:tcW w:type="dxa" w:w="2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Fixed</w:t>
            </w:r>
          </w:p>
        </w:tc>
        <w:tc>
          <w:tcPr>
            <w:tcW w:type="dxa" w:w="4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1,944 </w:t>
            </w:r>
          </w:p>
        </w:tc>
        <w:tc>
          <w:tcPr>
            <w:tcW w:type="dxa" w:w="4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6,921 </w:t>
            </w:r>
          </w:p>
        </w:tc>
        <w:tc>
          <w:tcPr>
            <w:tcW w:type="dxa" w:w="4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19,016 </w:t>
            </w:r>
          </w:p>
        </w:tc>
        <w:tc>
          <w:tcPr>
            <w:tcW w:type="dxa" w:w="4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4,797 </w:t>
            </w:r>
          </w:p>
        </w:tc>
        <w:tc>
          <w:tcPr>
            <w:tcW w:type="dxa" w:w="4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32,678 </w:t>
            </w:r>
          </w:p>
        </w:tc>
      </w:tr>
      <w:tr>
        <w:trPr>
          <w:trHeight w:hRule="exact" w:val="214"/>
        </w:trPr>
        <w:tc>
          <w:tcPr>
            <w:tcW w:type="dxa" w:w="21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Variable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10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6" w:after="0"/>
              <w:ind w:left="0" w:right="3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11,714 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10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6" w:after="0"/>
              <w:ind w:left="0" w:right="3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59,747 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10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6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111,858 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10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6" w:after="0"/>
              <w:ind w:left="0" w:right="3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27,899 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10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6" w:after="0"/>
              <w:ind w:left="2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211,218 </w:t>
            </w:r>
          </w:p>
        </w:tc>
      </w:tr>
      <w:tr>
        <w:trPr>
          <w:trHeight w:hRule="exact" w:val="206"/>
        </w:trPr>
        <w:tc>
          <w:tcPr>
            <w:tcW w:type="dxa" w:w="21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>Total loans outstanding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10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13,658 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10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66,668 </w:t>
            </w:r>
          </w:p>
        </w:tc>
        <w:tc>
          <w:tcPr>
            <w:tcW w:type="dxa" w:w="4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10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130,874 </w:t>
            </w:r>
          </w:p>
        </w:tc>
        <w:tc>
          <w:tcPr>
            <w:tcW w:type="dxa" w:w="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10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3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32,696 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$ </w:t>
            </w:r>
          </w:p>
        </w:tc>
        <w:tc>
          <w:tcPr>
            <w:tcW w:type="dxa" w:w="10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2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2"/>
              </w:rPr>
              <w:t xml:space="preserve">243,896 </w:t>
            </w:r>
          </w:p>
        </w:tc>
      </w:tr>
    </w:tbl>
    <w:p>
      <w:pPr>
        <w:autoSpaceDN w:val="0"/>
        <w:autoSpaceDE w:val="0"/>
        <w:widowControl/>
        <w:spacing w:line="244" w:lineRule="exact" w:before="37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Credit Quality of Sovereign Exposures</w:t>
      </w:r>
    </w:p>
    <w:p>
      <w:pPr>
        <w:autoSpaceDN w:val="0"/>
        <w:autoSpaceDE w:val="0"/>
        <w:widowControl/>
        <w:spacing w:line="240" w:lineRule="exact" w:before="7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Based on an evaluation of IBRD’s exposures, management has determined that IBRD has one portfolio segment –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Sovereign Exposures. IBRD’s loans constitute the majority of the Sovereign Exposures portfolio segment.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country risk ratings are an assessment of its borrowers’ ability and willingness to repay IBRD on time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full. These ratings are internal credit quality indicators. Individual country risk ratings are derived on the basis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both quantitative and qualitative analysis. The components considered in the analysis can be grouped broadly into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eight categories: political risk, external debt and liquidity, fiscal policy and public debt burden, balance of payments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risks, economic structure and growth prospects, monetary and exchange rate policy, financial sector risks,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corporate sector debt and vulnerabilities. The analysis also takes into account Environmental, Social,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Governance (ESG) factors. For the purpose of analyzing the risk characteristics of IBRD’s exposures,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exposures are grouped into three classes in accordance with assigned borrower risk ratings, which relate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likelihood of loss: Low, Medium and High-risk classes, as well as exposures in nonaccrual status.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borrowers’ country risk ratings are key determinants in the provision for losses. Country risk ratings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grouped in pools of borrowers with similar credit ratings for the purpose of the calculation of the expected credit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losses. Exposure for certain countries in accrual status may be individually assessed on the basis that they do not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share common risk characteristics with an existing pool of exposures. All exposures for countries in nonaccrual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status are individually assessed. Country risk ratings are determined in review meetings that take place several times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 year. All countries are reviewed at least once a year, or more frequently, if circumstances warrant, to determine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appropriate ratings.</w:t>
      </w:r>
    </w:p>
    <w:p>
      <w:pPr>
        <w:autoSpaceDN w:val="0"/>
        <w:tabs>
          <w:tab w:pos="8984" w:val="left"/>
        </w:tabs>
        <w:autoSpaceDE w:val="0"/>
        <w:widowControl/>
        <w:spacing w:line="224" w:lineRule="exact" w:before="800" w:after="0"/>
        <w:ind w:left="42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105</w:t>
      </w:r>
    </w:p>
    <w:p>
      <w:pPr>
        <w:sectPr>
          <w:pgSz w:w="12240" w:h="15840"/>
          <w:pgMar w:top="700" w:right="137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 assessment was also performed to determine whether a qualitative adjustment of the loan loss provision was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needed as of June 30, 2024, including consideration of global and macroeconomic events. Management concluded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that a qualitative adjustment beyond the regular application of IBRD’s loan loss provision framework was not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warranted.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tables provide an aging analysis of the loans outstanding: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D3: Loan portfolio aging structure</w:t>
      </w:r>
    </w:p>
    <w:p>
      <w:pPr>
        <w:autoSpaceDN w:val="0"/>
        <w:autoSpaceDE w:val="0"/>
        <w:widowControl/>
        <w:spacing w:line="178" w:lineRule="exact" w:before="15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0"/>
        <w:ind w:left="0" w:right="298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2024</w:t>
      </w:r>
    </w:p>
    <w:p>
      <w:pPr>
        <w:autoSpaceDN w:val="0"/>
        <w:autoSpaceDE w:val="0"/>
        <w:widowControl/>
        <w:spacing w:line="180" w:lineRule="exact" w:before="64" w:after="6"/>
        <w:ind w:left="0" w:right="180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Total Past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14"/>
        </w:trPr>
        <w:tc>
          <w:tcPr>
            <w:tcW w:type="dxa" w:w="18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Days past due</w:t>
            </w:r>
          </w:p>
        </w:tc>
        <w:tc>
          <w:tcPr>
            <w:tcW w:type="dxa" w:w="15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7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Up to 45</w:t>
            </w:r>
          </w:p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46-60</w:t>
            </w:r>
          </w:p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61-90</w:t>
            </w:r>
          </w:p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91-180</w:t>
            </w:r>
          </w:p>
        </w:tc>
        <w:tc>
          <w:tcPr>
            <w:tcW w:type="dxa" w:w="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Over 180</w:t>
            </w:r>
          </w:p>
        </w:tc>
        <w:tc>
          <w:tcPr>
            <w:tcW w:type="dxa" w:w="7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Due</w:t>
            </w:r>
          </w:p>
        </w:tc>
        <w:tc>
          <w:tcPr>
            <w:tcW w:type="dxa" w:w="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Current</w:t>
            </w:r>
          </w:p>
        </w:tc>
        <w:tc>
          <w:tcPr>
            <w:tcW w:type="dxa" w:w="8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Risk Class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</w:tblGrid>
      <w:tr>
        <w:trPr>
          <w:trHeight w:hRule="exact" w:val="224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3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6,935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6,935 </w:t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124,106 </w:t>
            </w:r>
          </w:p>
        </w:tc>
        <w:tc>
          <w:tcPr>
            <w:tcW w:type="dxa" w:w="8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124,106 </w:t>
            </w:r>
          </w:p>
        </w:tc>
      </w:tr>
      <w:tr>
        <w:trPr>
          <w:trHeight w:hRule="exact" w:val="254"/>
        </w:trPr>
        <w:tc>
          <w:tcPr>
            <w:tcW w:type="dxa" w:w="2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High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4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 </w:t>
            </w:r>
          </w:p>
        </w:tc>
        <w:tc>
          <w:tcPr>
            <w:tcW w:type="dxa" w:w="9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130,723 </w:t>
            </w:r>
          </w:p>
        </w:tc>
        <w:tc>
          <w:tcPr>
            <w:tcW w:type="dxa" w:w="89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130,739 </w:t>
            </w:r>
          </w:p>
        </w:tc>
      </w:tr>
      <w:tr>
        <w:trPr>
          <w:trHeight w:hRule="exact" w:val="226"/>
        </w:trPr>
        <w:tc>
          <w:tcPr>
            <w:tcW w:type="dxa" w:w="2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3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3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3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3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 </w:t>
            </w:r>
          </w:p>
        </w:tc>
        <w:tc>
          <w:tcPr>
            <w:tcW w:type="dxa" w:w="9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261,764 </w:t>
            </w:r>
          </w:p>
        </w:tc>
        <w:tc>
          <w:tcPr>
            <w:tcW w:type="dxa" w:w="89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261,780 </w:t>
            </w:r>
          </w:p>
        </w:tc>
      </w:tr>
      <w:tr>
        <w:trPr>
          <w:trHeight w:hRule="exact" w:val="254"/>
        </w:trPr>
        <w:tc>
          <w:tcPr>
            <w:tcW w:type="dxa" w:w="2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55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5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5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 </w:t>
            </w:r>
          </w:p>
        </w:tc>
        <w:tc>
          <w:tcPr>
            <w:tcW w:type="dxa" w:w="55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</w:t>
            </w:r>
          </w:p>
        </w:tc>
        <w:tc>
          <w:tcPr>
            <w:tcW w:type="dxa" w:w="55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661 </w:t>
            </w:r>
          </w:p>
        </w:tc>
        <w:tc>
          <w:tcPr>
            <w:tcW w:type="dxa" w:w="55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726 </w:t>
            </w:r>
          </w:p>
        </w:tc>
        <w:tc>
          <w:tcPr>
            <w:tcW w:type="dxa" w:w="9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684 </w:t>
            </w:r>
          </w:p>
        </w:tc>
        <w:tc>
          <w:tcPr>
            <w:tcW w:type="dxa" w:w="89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1,410 </w:t>
            </w:r>
          </w:p>
        </w:tc>
      </w:tr>
      <w:tr>
        <w:trPr>
          <w:trHeight w:hRule="exact" w:val="220"/>
        </w:trPr>
        <w:tc>
          <w:tcPr>
            <w:tcW w:type="dxa" w:w="2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</w:t>
            </w:r>
          </w:p>
        </w:tc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 </w:t>
            </w:r>
          </w:p>
        </w:tc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</w:t>
            </w:r>
          </w:p>
        </w:tc>
        <w:tc>
          <w:tcPr>
            <w:tcW w:type="dxa" w:w="3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661 </w:t>
            </w:r>
          </w:p>
        </w:tc>
        <w:tc>
          <w:tcPr>
            <w:tcW w:type="dxa" w:w="3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742 </w:t>
            </w:r>
          </w:p>
        </w:tc>
        <w:tc>
          <w:tcPr>
            <w:tcW w:type="dxa" w:w="92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$ 262,448 </w:t>
            </w:r>
          </w:p>
        </w:tc>
        <w:tc>
          <w:tcPr>
            <w:tcW w:type="dxa" w:w="89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$ 263,190 </w:t>
            </w:r>
          </w:p>
        </w:tc>
      </w:tr>
    </w:tbl>
    <w:p>
      <w:pPr>
        <w:autoSpaceDN w:val="0"/>
        <w:autoSpaceDE w:val="0"/>
        <w:widowControl/>
        <w:spacing w:line="222" w:lineRule="exact" w:before="438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D3.1</w:t>
      </w:r>
    </w:p>
    <w:p>
      <w:pPr>
        <w:autoSpaceDN w:val="0"/>
        <w:autoSpaceDE w:val="0"/>
        <w:widowControl/>
        <w:spacing w:line="180" w:lineRule="exact" w:before="9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0"/>
        <w:ind w:left="0" w:right="298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2023</w:t>
      </w:r>
    </w:p>
    <w:p>
      <w:pPr>
        <w:autoSpaceDN w:val="0"/>
        <w:autoSpaceDE w:val="0"/>
        <w:widowControl/>
        <w:spacing w:line="178" w:lineRule="exact" w:before="64" w:after="8"/>
        <w:ind w:left="0" w:right="180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Total Past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14"/>
        </w:trPr>
        <w:tc>
          <w:tcPr>
            <w:tcW w:type="dxa" w:w="18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Days past due</w:t>
            </w:r>
          </w:p>
        </w:tc>
        <w:tc>
          <w:tcPr>
            <w:tcW w:type="dxa" w:w="15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7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Up to 45</w:t>
            </w:r>
          </w:p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46-60</w:t>
            </w:r>
          </w:p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61-90</w:t>
            </w:r>
          </w:p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91-180</w:t>
            </w:r>
          </w:p>
        </w:tc>
        <w:tc>
          <w:tcPr>
            <w:tcW w:type="dxa" w:w="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Over 180</w:t>
            </w:r>
          </w:p>
        </w:tc>
        <w:tc>
          <w:tcPr>
            <w:tcW w:type="dxa" w:w="7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Due</w:t>
            </w:r>
          </w:p>
        </w:tc>
        <w:tc>
          <w:tcPr>
            <w:tcW w:type="dxa" w:w="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Current</w:t>
            </w:r>
          </w:p>
        </w:tc>
        <w:tc>
          <w:tcPr>
            <w:tcW w:type="dxa" w:w="8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Risk Class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</w:tblGrid>
      <w:tr>
        <w:trPr>
          <w:trHeight w:hRule="exact" w:val="228"/>
        </w:trPr>
        <w:tc>
          <w:tcPr>
            <w:tcW w:type="dxa" w:w="22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7,341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7,341 </w:t>
            </w:r>
          </w:p>
        </w:tc>
      </w:tr>
      <w:tr>
        <w:trPr>
          <w:trHeight w:hRule="exact" w:val="240"/>
        </w:trPr>
        <w:tc>
          <w:tcPr>
            <w:tcW w:type="dxa" w:w="22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2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497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497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117,886 </w:t>
            </w:r>
          </w:p>
        </w:tc>
        <w:tc>
          <w:tcPr>
            <w:tcW w:type="dxa" w:w="8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117,886 </w:t>
            </w:r>
          </w:p>
        </w:tc>
      </w:tr>
      <w:tr>
        <w:trPr>
          <w:trHeight w:hRule="exact" w:val="250"/>
        </w:trPr>
        <w:tc>
          <w:tcPr>
            <w:tcW w:type="dxa" w:w="22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High </w:t>
            </w:r>
          </w:p>
        </w:tc>
        <w:tc>
          <w:tcPr>
            <w:tcW w:type="dxa" w:w="10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8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240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497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497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9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117,242 </w:t>
            </w:r>
          </w:p>
        </w:tc>
        <w:tc>
          <w:tcPr>
            <w:tcW w:type="dxa" w:w="89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117,244 </w:t>
            </w:r>
          </w:p>
        </w:tc>
      </w:tr>
      <w:tr>
        <w:trPr>
          <w:trHeight w:hRule="exact" w:val="230"/>
        </w:trPr>
        <w:tc>
          <w:tcPr>
            <w:tcW w:type="dxa" w:w="227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10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86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240"/>
            <w:gridSpan w:val="4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4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9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242,469 </w:t>
            </w:r>
          </w:p>
        </w:tc>
        <w:tc>
          <w:tcPr>
            <w:tcW w:type="dxa" w:w="89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242,471 </w:t>
            </w:r>
          </w:p>
        </w:tc>
      </w:tr>
      <w:tr>
        <w:trPr>
          <w:trHeight w:hRule="exact" w:val="250"/>
        </w:trPr>
        <w:tc>
          <w:tcPr>
            <w:tcW w:type="dxa" w:w="22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10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240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 </w:t>
            </w:r>
          </w:p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 </w:t>
            </w:r>
          </w:p>
        </w:tc>
        <w:tc>
          <w:tcPr>
            <w:tcW w:type="dxa" w:w="49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532 </w:t>
            </w:r>
          </w:p>
        </w:tc>
        <w:tc>
          <w:tcPr>
            <w:tcW w:type="dxa" w:w="49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599 </w:t>
            </w:r>
          </w:p>
        </w:tc>
        <w:tc>
          <w:tcPr>
            <w:tcW w:type="dxa" w:w="9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826 </w:t>
            </w:r>
          </w:p>
        </w:tc>
        <w:tc>
          <w:tcPr>
            <w:tcW w:type="dxa" w:w="89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1,425 </w:t>
            </w:r>
          </w:p>
        </w:tc>
      </w:tr>
      <w:tr>
        <w:trPr>
          <w:trHeight w:hRule="exact" w:val="220"/>
        </w:trPr>
        <w:tc>
          <w:tcPr>
            <w:tcW w:type="dxa" w:w="227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60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1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4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1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6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 </w:t>
            </w:r>
          </w:p>
        </w:tc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 </w:t>
            </w:r>
          </w:p>
        </w:tc>
        <w:tc>
          <w:tcPr>
            <w:tcW w:type="dxa" w:w="3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532 </w:t>
            </w:r>
          </w:p>
        </w:tc>
        <w:tc>
          <w:tcPr>
            <w:tcW w:type="dxa" w:w="3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601 </w:t>
            </w:r>
          </w:p>
        </w:tc>
        <w:tc>
          <w:tcPr>
            <w:tcW w:type="dxa" w:w="920"/>
            <w:gridSpan w:val="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$ 243,295 </w:t>
            </w:r>
          </w:p>
        </w:tc>
        <w:tc>
          <w:tcPr>
            <w:tcW w:type="dxa" w:w="890"/>
            <w:gridSpan w:val="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$ 243,896 </w:t>
            </w:r>
          </w:p>
        </w:tc>
      </w:tr>
      <w:tr>
        <w:trPr>
          <w:trHeight w:hRule="exact" w:val="6100"/>
        </w:trPr>
        <w:tc>
          <w:tcPr>
            <w:tcW w:type="dxa" w:w="6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88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106</w:t>
            </w:r>
          </w:p>
        </w:tc>
        <w:tc>
          <w:tcPr>
            <w:tcW w:type="dxa" w:w="4764"/>
            <w:gridSpan w:val="9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88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2024</w:t>
            </w:r>
          </w:p>
        </w:tc>
        <w:tc>
          <w:tcPr>
            <w:tcW w:type="dxa" w:w="4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4"/>
            <w:gridSpan w:val="2"/>
            <w:vMerge/>
            <w:tcBorders>
              <w:top w:sz="8.0" w:val="single" w:color="#000000"/>
            </w:tcBorders>
          </w:tcPr>
          <w:p/>
        </w:tc>
        <w:tc>
          <w:tcPr>
            <w:tcW w:type="dxa" w:w="994"/>
            <w:gridSpan w:val="2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0" w:right="137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considers the signature date of a loan agreement as the best indicator of the decision point in the origination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process, rather than the disbursement date. The tables below disclose the outstanding balances of IBRD’s loan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portfolio, classified by the year the loan agreement was signed. 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D4: Loan portfolio vintage disclosure</w:t>
      </w:r>
    </w:p>
    <w:p>
      <w:pPr>
        <w:autoSpaceDN w:val="0"/>
        <w:autoSpaceDE w:val="0"/>
        <w:widowControl/>
        <w:spacing w:line="178" w:lineRule="exact" w:before="9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0"/>
        <w:ind w:left="0" w:right="3306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2024</w:t>
      </w:r>
    </w:p>
    <w:p>
      <w:pPr>
        <w:autoSpaceDN w:val="0"/>
        <w:autoSpaceDE w:val="0"/>
        <w:widowControl/>
        <w:spacing w:line="178" w:lineRule="exact" w:before="62" w:after="20"/>
        <w:ind w:left="0" w:right="4332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Fiscal Year of Origination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3.9999999999998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00"/>
        </w:trPr>
        <w:tc>
          <w:tcPr>
            <w:tcW w:type="dxa" w:w="72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76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7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2022</w:t>
            </w:r>
          </w:p>
        </w:tc>
        <w:tc>
          <w:tcPr>
            <w:tcW w:type="dxa" w:w="7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2021</w:t>
            </w:r>
          </w:p>
        </w:tc>
        <w:tc>
          <w:tcPr>
            <w:tcW w:type="dxa" w:w="76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2020</w:t>
            </w:r>
          </w:p>
        </w:tc>
        <w:tc>
          <w:tcPr>
            <w:tcW w:type="dxa" w:w="88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90" w:after="0"/>
              <w:ind w:left="0" w:right="21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Prior </w:t>
            </w:r>
          </w:p>
        </w:tc>
        <w:tc>
          <w:tcPr>
            <w:tcW w:type="dxa" w:w="9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3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CAT </w:t>
            </w:r>
          </w:p>
        </w:tc>
        <w:tc>
          <w:tcPr>
            <w:tcW w:type="dxa" w:w="9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3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CAT </w:t>
            </w:r>
          </w:p>
        </w:tc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2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</w:tr>
      <w:tr>
        <w:trPr>
          <w:trHeight w:hRule="exact" w:val="200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7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DDOs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7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DDOs </w:t>
            </w:r>
          </w:p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outstanding </w:t>
            </w:r>
          </w:p>
        </w:tc>
      </w:tr>
      <w:tr>
        <w:trPr>
          <w:trHeight w:hRule="exact" w:val="180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Disbursed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Converted </w:t>
            </w:r>
          </w:p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as of </w:t>
            </w:r>
          </w:p>
        </w:tc>
      </w:tr>
      <w:tr>
        <w:trPr>
          <w:trHeight w:hRule="exact" w:val="200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6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and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0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 Term </w:t>
            </w:r>
          </w:p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June 30, </w:t>
            </w:r>
          </w:p>
        </w:tc>
      </w:tr>
      <w:tr>
        <w:trPr>
          <w:trHeight w:hRule="exact" w:val="226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Years</w:t>
            </w:r>
          </w:p>
        </w:tc>
        <w:tc>
          <w:tcPr>
            <w:tcW w:type="dxa" w:w="9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Revolving</w:t>
            </w:r>
          </w:p>
        </w:tc>
        <w:tc>
          <w:tcPr>
            <w:tcW w:type="dxa" w:w="9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Loans</w:t>
            </w:r>
          </w:p>
        </w:tc>
        <w:tc>
          <w:tcPr>
            <w:tcW w:type="dxa" w:w="10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Risk Class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</w:tblGrid>
      <w:tr>
        <w:trPr>
          <w:trHeight w:hRule="exact" w:val="234"/>
        </w:trPr>
        <w:tc>
          <w:tcPr>
            <w:tcW w:type="dxa" w:w="1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$ 150 </w:t>
            </w:r>
          </w:p>
        </w:tc>
        <w:tc>
          <w:tcPr>
            <w:tcW w:type="dxa" w:w="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$ 250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$ 6,535 </w:t>
            </w:r>
          </w:p>
        </w:tc>
        <w:tc>
          <w:tcPr>
            <w:tcW w:type="dxa" w:w="3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2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2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6,935 </w:t>
            </w:r>
          </w:p>
        </w:tc>
      </w:tr>
      <w:tr>
        <w:trPr>
          <w:trHeight w:hRule="exact" w:val="240"/>
        </w:trPr>
        <w:tc>
          <w:tcPr>
            <w:tcW w:type="dxa" w:w="1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7,885 </w:t>
            </w:r>
          </w:p>
        </w:tc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8,445 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6,893 </w:t>
            </w:r>
          </w:p>
        </w:tc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10,126 </w:t>
            </w:r>
          </w:p>
        </w:tc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8,421 </w:t>
            </w:r>
          </w:p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79,700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302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2,334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124,106 </w:t>
            </w:r>
          </w:p>
        </w:tc>
      </w:tr>
      <w:tr>
        <w:trPr>
          <w:trHeight w:hRule="exact" w:val="246"/>
        </w:trPr>
        <w:tc>
          <w:tcPr>
            <w:tcW w:type="dxa" w:w="18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High</w:t>
            </w:r>
          </w:p>
        </w:tc>
        <w:tc>
          <w:tcPr>
            <w:tcW w:type="dxa" w:w="7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11,645 </w:t>
            </w:r>
          </w:p>
        </w:tc>
        <w:tc>
          <w:tcPr>
            <w:tcW w:type="dxa" w:w="76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7,402 </w:t>
            </w:r>
          </w:p>
        </w:tc>
        <w:tc>
          <w:tcPr>
            <w:tcW w:type="dxa" w:w="7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11,897 </w:t>
            </w:r>
          </w:p>
        </w:tc>
        <w:tc>
          <w:tcPr>
            <w:tcW w:type="dxa" w:w="76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9,951 </w:t>
            </w:r>
          </w:p>
        </w:tc>
        <w:tc>
          <w:tcPr>
            <w:tcW w:type="dxa" w:w="76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8,486 </w:t>
            </w:r>
          </w:p>
        </w:tc>
        <w:tc>
          <w:tcPr>
            <w:tcW w:type="dxa" w:w="8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80,454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5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6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903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130,739 </w:t>
            </w:r>
          </w:p>
        </w:tc>
      </w:tr>
      <w:tr>
        <w:trPr>
          <w:trHeight w:hRule="exact" w:val="242"/>
        </w:trPr>
        <w:tc>
          <w:tcPr>
            <w:tcW w:type="dxa" w:w="18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7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19,680 </w:t>
            </w:r>
          </w:p>
        </w:tc>
        <w:tc>
          <w:tcPr>
            <w:tcW w:type="dxa" w:w="76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15,847 </w:t>
            </w:r>
          </w:p>
        </w:tc>
        <w:tc>
          <w:tcPr>
            <w:tcW w:type="dxa" w:w="7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19,040 </w:t>
            </w:r>
          </w:p>
        </w:tc>
        <w:tc>
          <w:tcPr>
            <w:tcW w:type="dxa" w:w="76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20,077 </w:t>
            </w:r>
          </w:p>
        </w:tc>
        <w:tc>
          <w:tcPr>
            <w:tcW w:type="dxa" w:w="76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16,907 </w:t>
            </w:r>
          </w:p>
        </w:tc>
        <w:tc>
          <w:tcPr>
            <w:tcW w:type="dxa" w:w="8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166,689 </w:t>
            </w:r>
          </w:p>
        </w:tc>
        <w:tc>
          <w:tcPr>
            <w:tcW w:type="dxa" w:w="3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303 </w:t>
            </w:r>
          </w:p>
        </w:tc>
        <w:tc>
          <w:tcPr>
            <w:tcW w:type="dxa" w:w="2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3,237 </w:t>
            </w:r>
          </w:p>
        </w:tc>
        <w:tc>
          <w:tcPr>
            <w:tcW w:type="dxa" w:w="2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261,780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Loans in nonaccrual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</w:tblGrid>
      <w:tr>
        <w:trPr>
          <w:trHeight w:hRule="exact" w:val="216"/>
        </w:trPr>
        <w:tc>
          <w:tcPr>
            <w:tcW w:type="dxa" w:w="187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7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115 </w:t>
            </w:r>
          </w:p>
        </w:tc>
        <w:tc>
          <w:tcPr>
            <w:tcW w:type="dxa" w:w="8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1,295 </w:t>
            </w:r>
          </w:p>
        </w:tc>
        <w:tc>
          <w:tcPr>
            <w:tcW w:type="dxa" w:w="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2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0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1,410 </w:t>
            </w:r>
          </w:p>
        </w:tc>
      </w:tr>
      <w:tr>
        <w:trPr>
          <w:trHeight w:hRule="exact" w:val="220"/>
        </w:trPr>
        <w:tc>
          <w:tcPr>
            <w:tcW w:type="dxa" w:w="187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7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$ 19,680 </w:t>
            </w:r>
          </w:p>
        </w:tc>
        <w:tc>
          <w:tcPr>
            <w:tcW w:type="dxa" w:w="7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$ 15,847 </w:t>
            </w:r>
          </w:p>
        </w:tc>
        <w:tc>
          <w:tcPr>
            <w:tcW w:type="dxa" w:w="7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$ 19,040 </w:t>
            </w:r>
          </w:p>
        </w:tc>
        <w:tc>
          <w:tcPr>
            <w:tcW w:type="dxa" w:w="7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$ 20,077 </w:t>
            </w:r>
          </w:p>
        </w:tc>
        <w:tc>
          <w:tcPr>
            <w:tcW w:type="dxa" w:w="7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$ 17,022 </w:t>
            </w:r>
          </w:p>
        </w:tc>
        <w:tc>
          <w:tcPr>
            <w:tcW w:type="dxa" w:w="8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$ 167,984 </w:t>
            </w:r>
          </w:p>
        </w:tc>
        <w:tc>
          <w:tcPr>
            <w:tcW w:type="dxa" w:w="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303 </w:t>
            </w:r>
          </w:p>
        </w:tc>
        <w:tc>
          <w:tcPr>
            <w:tcW w:type="dxa" w:w="2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3,237 </w:t>
            </w:r>
          </w:p>
        </w:tc>
        <w:tc>
          <w:tcPr>
            <w:tcW w:type="dxa" w:w="10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$ 263,190 </w:t>
            </w:r>
          </w:p>
        </w:tc>
      </w:tr>
    </w:tbl>
    <w:p>
      <w:pPr>
        <w:autoSpaceDN w:val="0"/>
        <w:autoSpaceDE w:val="0"/>
        <w:widowControl/>
        <w:spacing w:line="220" w:lineRule="exact" w:before="438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D4.1</w:t>
      </w:r>
    </w:p>
    <w:p>
      <w:pPr>
        <w:autoSpaceDN w:val="0"/>
        <w:autoSpaceDE w:val="0"/>
        <w:widowControl/>
        <w:spacing w:line="178" w:lineRule="exact" w:before="9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0"/>
        <w:ind w:left="0" w:right="3306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2023</w:t>
      </w:r>
    </w:p>
    <w:p>
      <w:pPr>
        <w:autoSpaceDN w:val="0"/>
        <w:autoSpaceDE w:val="0"/>
        <w:widowControl/>
        <w:spacing w:line="178" w:lineRule="exact" w:before="62" w:after="20"/>
        <w:ind w:left="0" w:right="4332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Fiscal Year of Origination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3.9999999999998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200"/>
        </w:trPr>
        <w:tc>
          <w:tcPr>
            <w:tcW w:type="dxa" w:w="72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76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2022</w:t>
            </w:r>
          </w:p>
        </w:tc>
        <w:tc>
          <w:tcPr>
            <w:tcW w:type="dxa" w:w="7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2021</w:t>
            </w:r>
          </w:p>
        </w:tc>
        <w:tc>
          <w:tcPr>
            <w:tcW w:type="dxa" w:w="7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2020</w:t>
            </w:r>
          </w:p>
        </w:tc>
        <w:tc>
          <w:tcPr>
            <w:tcW w:type="dxa" w:w="76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2019</w:t>
            </w:r>
          </w:p>
        </w:tc>
        <w:tc>
          <w:tcPr>
            <w:tcW w:type="dxa" w:w="88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90" w:after="0"/>
              <w:ind w:left="0" w:right="21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Prior </w:t>
            </w:r>
          </w:p>
        </w:tc>
        <w:tc>
          <w:tcPr>
            <w:tcW w:type="dxa" w:w="9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3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CAT </w:t>
            </w:r>
          </w:p>
        </w:tc>
        <w:tc>
          <w:tcPr>
            <w:tcW w:type="dxa" w:w="9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3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CAT </w:t>
            </w:r>
          </w:p>
        </w:tc>
        <w:tc>
          <w:tcPr>
            <w:tcW w:type="dxa" w:w="100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</w:tr>
      <w:tr>
        <w:trPr>
          <w:trHeight w:hRule="exact" w:val="180"/>
        </w:trPr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</w:tcBorders>
          </w:tcPr>
          <w:p/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7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DDOs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7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DDOs </w:t>
            </w:r>
          </w:p>
        </w:tc>
        <w:tc>
          <w:tcPr>
            <w:tcW w:type="dxa" w:w="10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outstanding </w:t>
            </w:r>
          </w:p>
        </w:tc>
      </w:tr>
      <w:tr>
        <w:trPr>
          <w:trHeight w:hRule="exact" w:val="200"/>
        </w:trPr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</w:tcBorders>
          </w:tcPr>
          <w:p/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Disbursed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Converted </w:t>
            </w:r>
          </w:p>
        </w:tc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as </w:t>
            </w: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of </w:t>
            </w:r>
          </w:p>
        </w:tc>
      </w:tr>
      <w:tr>
        <w:trPr>
          <w:trHeight w:hRule="exact" w:val="200"/>
        </w:trPr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</w:tcBorders>
          </w:tcPr>
          <w:p/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6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and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0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 Term </w:t>
            </w:r>
          </w:p>
        </w:tc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June </w:t>
            </w: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30, </w:t>
            </w:r>
          </w:p>
        </w:tc>
      </w:tr>
      <w:tr>
        <w:trPr>
          <w:trHeight w:hRule="exact" w:val="226"/>
        </w:trPr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Years</w:t>
            </w:r>
          </w:p>
        </w:tc>
        <w:tc>
          <w:tcPr>
            <w:tcW w:type="dxa" w:w="9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Revolving</w:t>
            </w:r>
          </w:p>
        </w:tc>
        <w:tc>
          <w:tcPr>
            <w:tcW w:type="dxa" w:w="9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Loans</w:t>
            </w:r>
          </w:p>
        </w:tc>
        <w:tc>
          <w:tcPr>
            <w:tcW w:type="dxa" w:w="10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Risk Class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</w:tblGrid>
      <w:tr>
        <w:trPr>
          <w:trHeight w:hRule="exact" w:val="234"/>
        </w:trPr>
        <w:tc>
          <w:tcPr>
            <w:tcW w:type="dxa" w:w="1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3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$ 250 </w:t>
            </w:r>
          </w:p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$ 7,091 </w:t>
            </w:r>
          </w:p>
        </w:tc>
        <w:tc>
          <w:tcPr>
            <w:tcW w:type="dxa" w:w="3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2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2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7,341 </w:t>
            </w:r>
          </w:p>
        </w:tc>
      </w:tr>
      <w:tr>
        <w:trPr>
          <w:trHeight w:hRule="exact" w:val="240"/>
        </w:trPr>
        <w:tc>
          <w:tcPr>
            <w:tcW w:type="dxa" w:w="1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7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7,012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6,082 </w:t>
            </w:r>
          </w:p>
        </w:tc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9,419 </w:t>
            </w:r>
          </w:p>
        </w:tc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7,516 </w:t>
            </w:r>
          </w:p>
        </w:tc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5,499 </w:t>
            </w:r>
          </w:p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79,676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800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1,882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117,886 </w:t>
            </w:r>
          </w:p>
        </w:tc>
      </w:tr>
      <w:tr>
        <w:trPr>
          <w:trHeight w:hRule="exact" w:val="246"/>
        </w:trPr>
        <w:tc>
          <w:tcPr>
            <w:tcW w:type="dxa" w:w="18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High</w:t>
            </w:r>
          </w:p>
        </w:tc>
        <w:tc>
          <w:tcPr>
            <w:tcW w:type="dxa" w:w="7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4,977 </w:t>
            </w:r>
          </w:p>
        </w:tc>
        <w:tc>
          <w:tcPr>
            <w:tcW w:type="dxa" w:w="7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10,660 </w:t>
            </w:r>
          </w:p>
        </w:tc>
        <w:tc>
          <w:tcPr>
            <w:tcW w:type="dxa" w:w="76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9,128 </w:t>
            </w:r>
          </w:p>
        </w:tc>
        <w:tc>
          <w:tcPr>
            <w:tcW w:type="dxa" w:w="76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7,674 </w:t>
            </w:r>
          </w:p>
        </w:tc>
        <w:tc>
          <w:tcPr>
            <w:tcW w:type="dxa" w:w="76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7,476 </w:t>
            </w:r>
          </w:p>
        </w:tc>
        <w:tc>
          <w:tcPr>
            <w:tcW w:type="dxa" w:w="8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76,405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6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924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117,244 </w:t>
            </w:r>
          </w:p>
        </w:tc>
      </w:tr>
      <w:tr>
        <w:trPr>
          <w:trHeight w:hRule="exact" w:val="242"/>
        </w:trPr>
        <w:tc>
          <w:tcPr>
            <w:tcW w:type="dxa" w:w="18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72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11,989 </w:t>
            </w:r>
          </w:p>
        </w:tc>
        <w:tc>
          <w:tcPr>
            <w:tcW w:type="dxa" w:w="7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16,992 </w:t>
            </w:r>
          </w:p>
        </w:tc>
        <w:tc>
          <w:tcPr>
            <w:tcW w:type="dxa" w:w="76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18,547 </w:t>
            </w:r>
          </w:p>
        </w:tc>
        <w:tc>
          <w:tcPr>
            <w:tcW w:type="dxa" w:w="76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15,190 </w:t>
            </w:r>
          </w:p>
        </w:tc>
        <w:tc>
          <w:tcPr>
            <w:tcW w:type="dxa" w:w="76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12,975 </w:t>
            </w:r>
          </w:p>
        </w:tc>
        <w:tc>
          <w:tcPr>
            <w:tcW w:type="dxa" w:w="8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163,172 </w:t>
            </w:r>
          </w:p>
        </w:tc>
        <w:tc>
          <w:tcPr>
            <w:tcW w:type="dxa" w:w="3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800 </w:t>
            </w:r>
          </w:p>
        </w:tc>
        <w:tc>
          <w:tcPr>
            <w:tcW w:type="dxa" w:w="2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2,806 </w:t>
            </w:r>
          </w:p>
        </w:tc>
        <w:tc>
          <w:tcPr>
            <w:tcW w:type="dxa" w:w="2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242,471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Loans in nonaccrual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</w:tblGrid>
      <w:tr>
        <w:trPr>
          <w:trHeight w:hRule="exact" w:val="216"/>
        </w:trPr>
        <w:tc>
          <w:tcPr>
            <w:tcW w:type="dxa" w:w="187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status</w:t>
            </w:r>
          </w:p>
        </w:tc>
        <w:tc>
          <w:tcPr>
            <w:tcW w:type="dxa" w:w="7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127 </w:t>
            </w:r>
          </w:p>
        </w:tc>
        <w:tc>
          <w:tcPr>
            <w:tcW w:type="dxa" w:w="8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 </w:t>
            </w:r>
          </w:p>
        </w:tc>
        <w:tc>
          <w:tcPr>
            <w:tcW w:type="dxa" w:w="8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1,270 </w:t>
            </w:r>
          </w:p>
        </w:tc>
        <w:tc>
          <w:tcPr>
            <w:tcW w:type="dxa" w:w="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2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0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1,425 </w:t>
            </w:r>
          </w:p>
        </w:tc>
      </w:tr>
      <w:tr>
        <w:trPr>
          <w:trHeight w:hRule="exact" w:val="220"/>
        </w:trPr>
        <w:tc>
          <w:tcPr>
            <w:tcW w:type="dxa" w:w="187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7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$ 11,989 </w:t>
            </w:r>
          </w:p>
        </w:tc>
        <w:tc>
          <w:tcPr>
            <w:tcW w:type="dxa" w:w="7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$ 16,992 </w:t>
            </w:r>
          </w:p>
        </w:tc>
        <w:tc>
          <w:tcPr>
            <w:tcW w:type="dxa" w:w="7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$ 18,547 </w:t>
            </w:r>
          </w:p>
        </w:tc>
        <w:tc>
          <w:tcPr>
            <w:tcW w:type="dxa" w:w="7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$ 15,317 </w:t>
            </w:r>
          </w:p>
        </w:tc>
        <w:tc>
          <w:tcPr>
            <w:tcW w:type="dxa" w:w="8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$ 13,003 </w:t>
            </w:r>
          </w:p>
        </w:tc>
        <w:tc>
          <w:tcPr>
            <w:tcW w:type="dxa" w:w="8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$ 164,442 </w:t>
            </w:r>
          </w:p>
        </w:tc>
        <w:tc>
          <w:tcPr>
            <w:tcW w:type="dxa" w:w="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800 </w:t>
            </w:r>
          </w:p>
        </w:tc>
        <w:tc>
          <w:tcPr>
            <w:tcW w:type="dxa" w:w="2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2,806 </w:t>
            </w:r>
          </w:p>
        </w:tc>
        <w:tc>
          <w:tcPr>
            <w:tcW w:type="dxa" w:w="10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$ 243,896 </w:t>
            </w:r>
          </w:p>
        </w:tc>
      </w:tr>
    </w:tbl>
    <w:p>
      <w:pPr>
        <w:autoSpaceDN w:val="0"/>
        <w:autoSpaceDE w:val="0"/>
        <w:widowControl/>
        <w:spacing w:line="240" w:lineRule="exact" w:before="42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amount of Catastrophe Deferred Drawdown Option (CAT DDOs) converted to term loans during the fiscal year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ended June 30, 2024, is $500 million ($473 million—fiscal year ended June 30, 2023).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Accumulated Provision for Losses on Loans and Other Exposures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determines the appropriate level of accumulated provision for losses, which reflects the expected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losses inherent in IBRD’s exposures.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Delays in receiving loan payments result in economic losses to IBRD since it does not charge additional interest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any overdue interest or loan charges. These economic losses are estimated as the difference between the present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value of payments of interest and charges made according to the related loan's contractual terms and the present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value of its expected future cash flows. It is IBRD’s practice not to write off its loans. Historically, all contractual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obligations associated with exposures in nonaccrual status were eventually cleared, thereby allowing borrowers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emerge from nonaccrual status. To date, no loans have been written off by IBRD.</w:t>
      </w:r>
    </w:p>
    <w:p>
      <w:pPr>
        <w:autoSpaceDN w:val="0"/>
        <w:tabs>
          <w:tab w:pos="8984" w:val="left"/>
        </w:tabs>
        <w:autoSpaceDE w:val="0"/>
        <w:widowControl/>
        <w:spacing w:line="224" w:lineRule="exact" w:before="1100" w:after="0"/>
        <w:ind w:left="42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107</w:t>
      </w:r>
    </w:p>
    <w:p>
      <w:pPr>
        <w:sectPr>
          <w:pgSz w:w="12240" w:h="15840"/>
          <w:pgMar w:top="700" w:right="137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0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reassesses the adequacy of the accumulated provision on a quarterly basis and adjustments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accumulated provision are recorded as a charge to or release of provision in the Statements of Income.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Changes to the accumulated provision for losses on loans and other exposures are summarized below: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D5: Accumulated provision</w:t>
      </w:r>
    </w:p>
    <w:p>
      <w:pPr>
        <w:autoSpaceDN w:val="0"/>
        <w:autoSpaceDE w:val="0"/>
        <w:widowControl/>
        <w:spacing w:line="178" w:lineRule="exact" w:before="9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0"/>
        <w:ind w:left="0" w:right="233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203"/>
        <w:gridCol w:w="1203"/>
        <w:gridCol w:w="1203"/>
        <w:gridCol w:w="1203"/>
        <w:gridCol w:w="1203"/>
        <w:gridCol w:w="1203"/>
        <w:gridCol w:w="1203"/>
        <w:gridCol w:w="1203"/>
      </w:tblGrid>
      <w:tr>
        <w:trPr>
          <w:trHeight w:hRule="exact" w:val="240"/>
        </w:trPr>
        <w:tc>
          <w:tcPr>
            <w:tcW w:type="dxa" w:w="4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Loans outstanding</w:t>
            </w:r>
          </w:p>
        </w:tc>
        <w:tc>
          <w:tcPr>
            <w:tcW w:type="dxa" w:w="154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 commitments</w:t>
            </w:r>
          </w:p>
        </w:tc>
        <w:tc>
          <w:tcPr>
            <w:tcW w:type="dxa" w:w="88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9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40"/>
        </w:trPr>
        <w:tc>
          <w:tcPr>
            <w:tcW w:type="dxa" w:w="43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Accumulated provision, beginning of the fiscal year</w:t>
            </w:r>
          </w:p>
        </w:tc>
        <w:tc>
          <w:tcPr>
            <w:tcW w:type="dxa" w:w="5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2,336 </w:t>
            </w:r>
          </w:p>
        </w:tc>
        <w:tc>
          <w:tcPr>
            <w:tcW w:type="dxa" w:w="6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452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 </w:t>
            </w:r>
          </w:p>
        </w:tc>
        <w:tc>
          <w:tcPr>
            <w:tcW w:type="dxa" w:w="9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$ 2,878 </w:t>
            </w:r>
          </w:p>
        </w:tc>
      </w:tr>
      <w:tr>
        <w:trPr>
          <w:trHeight w:hRule="exact" w:val="240"/>
        </w:trPr>
        <w:tc>
          <w:tcPr>
            <w:tcW w:type="dxa" w:w="4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Provision - charge</w:t>
            </w:r>
          </w:p>
        </w:tc>
        <w:tc>
          <w:tcPr>
            <w:tcW w:type="dxa" w:w="14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 </w:t>
            </w:r>
          </w:p>
        </w:tc>
      </w:tr>
      <w:tr>
        <w:trPr>
          <w:trHeight w:hRule="exact" w:val="240"/>
        </w:trPr>
        <w:tc>
          <w:tcPr>
            <w:tcW w:type="dxa" w:w="4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Translation adjustment</w:t>
            </w:r>
          </w:p>
        </w:tc>
        <w:tc>
          <w:tcPr>
            <w:tcW w:type="dxa" w:w="145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(5) </w:t>
            </w:r>
          </w:p>
        </w:tc>
        <w:tc>
          <w:tcPr>
            <w:tcW w:type="dxa" w:w="15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  <w:tc>
          <w:tcPr>
            <w:tcW w:type="dxa" w:w="8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9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(6) </w:t>
            </w:r>
          </w:p>
        </w:tc>
      </w:tr>
      <w:tr>
        <w:trPr>
          <w:trHeight w:hRule="exact" w:val="220"/>
        </w:trPr>
        <w:tc>
          <w:tcPr>
            <w:tcW w:type="dxa" w:w="4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Accumulated provision, end of the fiscal year</w:t>
            </w:r>
          </w:p>
        </w:tc>
        <w:tc>
          <w:tcPr>
            <w:tcW w:type="dxa" w:w="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2,360 </w:t>
            </w:r>
          </w:p>
        </w:tc>
        <w:tc>
          <w:tcPr>
            <w:tcW w:type="dxa" w:w="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514 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 </w:t>
            </w:r>
          </w:p>
        </w:tc>
        <w:tc>
          <w:tcPr>
            <w:tcW w:type="dxa" w:w="9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$ 2,966 </w:t>
            </w:r>
          </w:p>
        </w:tc>
      </w:tr>
    </w:tbl>
    <w:p>
      <w:pPr>
        <w:autoSpaceDN w:val="0"/>
        <w:autoSpaceDE w:val="0"/>
        <w:widowControl/>
        <w:spacing w:line="178" w:lineRule="exact" w:before="42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Composed of accumulated provision for losses 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406"/>
        <w:gridCol w:w="2406"/>
        <w:gridCol w:w="2406"/>
        <w:gridCol w:w="2406"/>
      </w:tblGrid>
      <w:tr>
        <w:trPr>
          <w:trHeight w:hRule="exact" w:val="238"/>
        </w:trPr>
        <w:tc>
          <w:tcPr>
            <w:tcW w:type="dxa" w:w="3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53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2,036 </w:t>
            </w:r>
          </w:p>
        </w:tc>
      </w:tr>
      <w:tr>
        <w:trPr>
          <w:trHeight w:hRule="exact" w:val="240"/>
        </w:trPr>
        <w:tc>
          <w:tcPr>
            <w:tcW w:type="dxa" w:w="2406"/>
            <w:vMerge/>
            <w:tcBorders>
              <w:bottom w:sz="8.0" w:val="single" w:color="#000000"/>
            </w:tcBorders>
          </w:tcPr>
          <w:p/>
        </w:tc>
        <w:tc>
          <w:tcPr>
            <w:tcW w:type="dxa" w:w="39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nonaccrual status </w:t>
            </w:r>
          </w:p>
        </w:tc>
        <w:tc>
          <w:tcPr>
            <w:tcW w:type="dxa" w:w="2406"/>
            <w:vMerge/>
            <w:tcBorders>
              <w:bottom w:sz="8.0" w:val="single" w:color="#000000"/>
            </w:tcBorders>
          </w:tcPr>
          <w:p/>
        </w:tc>
        <w:tc>
          <w:tcPr>
            <w:tcW w:type="dxa" w:w="9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324 </w:t>
            </w:r>
          </w:p>
        </w:tc>
      </w:tr>
      <w:tr>
        <w:trPr>
          <w:trHeight w:hRule="exact" w:val="220"/>
        </w:trPr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9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2,360 </w:t>
            </w:r>
          </w:p>
        </w:tc>
      </w:tr>
    </w:tbl>
    <w:p>
      <w:pPr>
        <w:autoSpaceDN w:val="0"/>
        <w:autoSpaceDE w:val="0"/>
        <w:widowControl/>
        <w:spacing w:line="178" w:lineRule="exact" w:before="5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Loans, end of the fiscal year: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09"/>
        <w:gridCol w:w="3209"/>
        <w:gridCol w:w="3209"/>
      </w:tblGrid>
      <w:tr>
        <w:trPr>
          <w:trHeight w:hRule="exact" w:val="238"/>
        </w:trPr>
        <w:tc>
          <w:tcPr>
            <w:tcW w:type="dxa" w:w="4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4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261,780 </w:t>
            </w:r>
          </w:p>
        </w:tc>
      </w:tr>
      <w:tr>
        <w:trPr>
          <w:trHeight w:hRule="exact" w:val="240"/>
        </w:trPr>
        <w:tc>
          <w:tcPr>
            <w:tcW w:type="dxa" w:w="43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nonaccrual status </w:t>
            </w:r>
          </w:p>
        </w:tc>
        <w:tc>
          <w:tcPr>
            <w:tcW w:type="dxa" w:w="3209"/>
            <w:vMerge/>
            <w:tcBorders>
              <w:bottom w:sz="8.0" w:val="single" w:color="#000000"/>
            </w:tcBorders>
          </w:tcPr>
          <w:p/>
        </w:tc>
        <w:tc>
          <w:tcPr>
            <w:tcW w:type="dxa" w:w="9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1,410 </w:t>
            </w:r>
          </w:p>
        </w:tc>
      </w:tr>
      <w:tr>
        <w:trPr>
          <w:trHeight w:hRule="exact" w:val="220"/>
        </w:trPr>
        <w:tc>
          <w:tcPr>
            <w:tcW w:type="dxa" w:w="43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loans outstanding</w:t>
            </w:r>
          </w:p>
        </w:tc>
        <w:tc>
          <w:tcPr>
            <w:tcW w:type="dxa" w:w="4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263,190 </w:t>
            </w:r>
          </w:p>
        </w:tc>
      </w:tr>
    </w:tbl>
    <w:p>
      <w:pPr>
        <w:autoSpaceDN w:val="0"/>
        <w:autoSpaceDE w:val="0"/>
        <w:widowControl/>
        <w:spacing w:line="220" w:lineRule="exact" w:before="438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D5.1:</w:t>
      </w:r>
    </w:p>
    <w:p>
      <w:pPr>
        <w:autoSpaceDN w:val="0"/>
        <w:autoSpaceDE w:val="0"/>
        <w:widowControl/>
        <w:spacing w:line="178" w:lineRule="exact" w:before="9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0"/>
        <w:ind w:left="0" w:right="233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203"/>
        <w:gridCol w:w="1203"/>
        <w:gridCol w:w="1203"/>
        <w:gridCol w:w="1203"/>
        <w:gridCol w:w="1203"/>
        <w:gridCol w:w="1203"/>
        <w:gridCol w:w="1203"/>
        <w:gridCol w:w="1203"/>
      </w:tblGrid>
      <w:tr>
        <w:trPr>
          <w:trHeight w:hRule="exact" w:val="240"/>
        </w:trPr>
        <w:tc>
          <w:tcPr>
            <w:tcW w:type="dxa" w:w="4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Loans outstanding</w:t>
            </w:r>
          </w:p>
        </w:tc>
        <w:tc>
          <w:tcPr>
            <w:tcW w:type="dxa" w:w="154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 commitments</w:t>
            </w:r>
          </w:p>
        </w:tc>
        <w:tc>
          <w:tcPr>
            <w:tcW w:type="dxa" w:w="88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9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40"/>
        </w:trPr>
        <w:tc>
          <w:tcPr>
            <w:tcW w:type="dxa" w:w="43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Accumulated provision, beginning of the fiscal year</w:t>
            </w:r>
          </w:p>
        </w:tc>
        <w:tc>
          <w:tcPr>
            <w:tcW w:type="dxa" w:w="5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1,742 </w:t>
            </w:r>
          </w:p>
        </w:tc>
        <w:tc>
          <w:tcPr>
            <w:tcW w:type="dxa" w:w="6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359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 </w:t>
            </w:r>
          </w:p>
        </w:tc>
        <w:tc>
          <w:tcPr>
            <w:tcW w:type="dxa" w:w="9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$ 2,165 </w:t>
            </w:r>
          </w:p>
        </w:tc>
      </w:tr>
      <w:tr>
        <w:trPr>
          <w:trHeight w:hRule="exact" w:val="240"/>
        </w:trPr>
        <w:tc>
          <w:tcPr>
            <w:tcW w:type="dxa" w:w="4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Provision - charge</w:t>
            </w:r>
          </w:p>
        </w:tc>
        <w:tc>
          <w:tcPr>
            <w:tcW w:type="dxa" w:w="14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573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</w:t>
            </w:r>
          </w:p>
        </w:tc>
        <w:tc>
          <w:tcPr>
            <w:tcW w:type="dxa" w:w="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685 </w:t>
            </w:r>
          </w:p>
        </w:tc>
      </w:tr>
      <w:tr>
        <w:trPr>
          <w:trHeight w:hRule="exact" w:val="240"/>
        </w:trPr>
        <w:tc>
          <w:tcPr>
            <w:tcW w:type="dxa" w:w="4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Translation adjustment</w:t>
            </w:r>
          </w:p>
        </w:tc>
        <w:tc>
          <w:tcPr>
            <w:tcW w:type="dxa" w:w="145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  <w:tc>
          <w:tcPr>
            <w:tcW w:type="dxa" w:w="15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8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9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 </w:t>
            </w:r>
          </w:p>
        </w:tc>
      </w:tr>
      <w:tr>
        <w:trPr>
          <w:trHeight w:hRule="exact" w:val="220"/>
        </w:trPr>
        <w:tc>
          <w:tcPr>
            <w:tcW w:type="dxa" w:w="4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Accumulated provision, end of the fiscal year</w:t>
            </w:r>
          </w:p>
        </w:tc>
        <w:tc>
          <w:tcPr>
            <w:tcW w:type="dxa" w:w="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2,336 </w:t>
            </w:r>
          </w:p>
        </w:tc>
        <w:tc>
          <w:tcPr>
            <w:tcW w:type="dxa" w:w="6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452 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 </w:t>
            </w:r>
          </w:p>
        </w:tc>
        <w:tc>
          <w:tcPr>
            <w:tcW w:type="dxa" w:w="9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$ 2,878 </w:t>
            </w:r>
          </w:p>
        </w:tc>
      </w:tr>
    </w:tbl>
    <w:p>
      <w:pPr>
        <w:autoSpaceDN w:val="0"/>
        <w:autoSpaceDE w:val="0"/>
        <w:widowControl/>
        <w:spacing w:line="178" w:lineRule="exact" w:before="42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Composed of accumulated provision for losses 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406"/>
        <w:gridCol w:w="2406"/>
        <w:gridCol w:w="2406"/>
        <w:gridCol w:w="2406"/>
      </w:tblGrid>
      <w:tr>
        <w:trPr>
          <w:trHeight w:hRule="exact" w:val="238"/>
        </w:trPr>
        <w:tc>
          <w:tcPr>
            <w:tcW w:type="dxa" w:w="3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53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2,014 </w:t>
            </w:r>
          </w:p>
        </w:tc>
      </w:tr>
      <w:tr>
        <w:trPr>
          <w:trHeight w:hRule="exact" w:val="240"/>
        </w:trPr>
        <w:tc>
          <w:tcPr>
            <w:tcW w:type="dxa" w:w="2406"/>
            <w:vMerge/>
            <w:tcBorders>
              <w:bottom w:sz="8.0" w:val="single" w:color="#000000"/>
            </w:tcBorders>
          </w:tcPr>
          <w:p/>
        </w:tc>
        <w:tc>
          <w:tcPr>
            <w:tcW w:type="dxa" w:w="39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2406"/>
            <w:vMerge/>
            <w:tcBorders>
              <w:bottom w:sz="8.0" w:val="single" w:color="#000000"/>
            </w:tcBorders>
          </w:tcPr>
          <w:p/>
        </w:tc>
        <w:tc>
          <w:tcPr>
            <w:tcW w:type="dxa" w:w="9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322 </w:t>
            </w:r>
          </w:p>
        </w:tc>
      </w:tr>
      <w:tr>
        <w:trPr>
          <w:trHeight w:hRule="exact" w:val="220"/>
        </w:trPr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9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2,336 </w:t>
            </w:r>
          </w:p>
        </w:tc>
      </w:tr>
    </w:tbl>
    <w:p>
      <w:pPr>
        <w:autoSpaceDN w:val="0"/>
        <w:autoSpaceDE w:val="0"/>
        <w:widowControl/>
        <w:spacing w:line="178" w:lineRule="exact" w:before="5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Loans, end of the fiscal year: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09"/>
        <w:gridCol w:w="3209"/>
        <w:gridCol w:w="3209"/>
      </w:tblGrid>
      <w:tr>
        <w:trPr>
          <w:trHeight w:hRule="exact" w:val="238"/>
        </w:trPr>
        <w:tc>
          <w:tcPr>
            <w:tcW w:type="dxa" w:w="4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4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242,471 </w:t>
            </w:r>
          </w:p>
        </w:tc>
      </w:tr>
      <w:tr>
        <w:trPr>
          <w:trHeight w:hRule="exact" w:val="240"/>
        </w:trPr>
        <w:tc>
          <w:tcPr>
            <w:tcW w:type="dxa" w:w="43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3209"/>
            <w:vMerge/>
            <w:tcBorders>
              <w:bottom w:sz="8.0" w:val="single" w:color="#000000"/>
            </w:tcBorders>
          </w:tcPr>
          <w:p/>
        </w:tc>
        <w:tc>
          <w:tcPr>
            <w:tcW w:type="dxa" w:w="9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1,425 </w:t>
            </w:r>
          </w:p>
        </w:tc>
      </w:tr>
      <w:tr>
        <w:trPr>
          <w:trHeight w:hRule="exact" w:val="220"/>
        </w:trPr>
        <w:tc>
          <w:tcPr>
            <w:tcW w:type="dxa" w:w="43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loans outstanding</w:t>
            </w:r>
          </w:p>
        </w:tc>
        <w:tc>
          <w:tcPr>
            <w:tcW w:type="dxa" w:w="4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243,896 </w:t>
            </w:r>
          </w:p>
        </w:tc>
      </w:tr>
    </w:tbl>
    <w:p>
      <w:pPr>
        <w:autoSpaceDN w:val="0"/>
        <w:autoSpaceDE w:val="0"/>
        <w:widowControl/>
        <w:spacing w:line="192" w:lineRule="exact" w:before="300" w:after="0"/>
        <w:ind w:left="242" w:right="576" w:hanging="18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Primarily relates to guarantees and does not include recoverable assets relating to certain guarantees received (including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guarantees received under the Exposure Exchange Agreements) </w:t>
      </w:r>
      <w:r>
        <w:rPr>
          <w:rFonts w:ascii="Arial" w:hAnsi="Arial" w:eastAsia="Arial"/>
          <w:b w:val="0"/>
          <w:i/>
          <w:color w:val="000000"/>
          <w:sz w:val="16"/>
          <w:u w:val="single"/>
        </w:rPr>
        <w:t>or the benefit of credit enhancements that are derivatives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. </w:t>
      </w:r>
      <w:r>
        <w:rPr>
          <w:rFonts w:ascii="Arial" w:hAnsi="Arial" w:eastAsia="Arial"/>
          <w:b w:val="0"/>
          <w:i/>
          <w:color w:val="000000"/>
          <w:sz w:val="16"/>
        </w:rPr>
        <w:t>For more details, see Guarantees section.</w:t>
      </w:r>
    </w:p>
    <w:p>
      <w:pPr>
        <w:autoSpaceDN w:val="0"/>
        <w:autoSpaceDE w:val="0"/>
        <w:widowControl/>
        <w:spacing w:line="180" w:lineRule="exact" w:before="280" w:after="20"/>
        <w:ind w:left="0" w:right="2842" w:firstLine="0"/>
        <w:jc w:val="right"/>
      </w:pPr>
      <w:r>
        <w:rPr>
          <w:rFonts w:ascii="Arial" w:hAnsi="Arial" w:eastAsia="Arial"/>
          <w:b/>
          <w:i/>
          <w:color w:val="000000"/>
          <w:sz w:val="16"/>
        </w:rPr>
        <w:t>Reported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86.0" w:type="dxa"/>
      </w:tblPr>
      <w:tblGrid>
        <w:gridCol w:w="4813"/>
        <w:gridCol w:w="4813"/>
      </w:tblGrid>
      <w:tr>
        <w:trPr>
          <w:trHeight w:hRule="exact" w:val="240"/>
        </w:trPr>
        <w:tc>
          <w:tcPr>
            <w:tcW w:type="dxa" w:w="29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42" w:firstLine="0"/>
              <w:jc w:val="right"/>
            </w:pPr>
            <w:r>
              <w:rPr>
                <w:rFonts w:ascii="Arial" w:hAnsi="Arial" w:eastAsia="Arial"/>
                <w:b/>
                <w:i/>
                <w:color w:val="000000"/>
                <w:sz w:val="16"/>
              </w:rPr>
              <w:t>Balance Sheets</w:t>
            </w:r>
          </w:p>
        </w:tc>
        <w:tc>
          <w:tcPr>
            <w:tcW w:type="dxa" w:w="36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8" w:firstLine="0"/>
              <w:jc w:val="right"/>
            </w:pPr>
            <w:r>
              <w:rPr>
                <w:rFonts w:ascii="Arial" w:hAnsi="Arial" w:eastAsia="Arial"/>
                <w:b/>
                <w:i/>
                <w:color w:val="000000"/>
                <w:sz w:val="16"/>
              </w:rPr>
              <w:t>Statements of Income</w:t>
            </w:r>
          </w:p>
        </w:tc>
      </w:tr>
    </w:tbl>
    <w:p>
      <w:pPr>
        <w:autoSpaceDN w:val="0"/>
        <w:autoSpaceDE w:val="0"/>
        <w:widowControl/>
        <w:spacing w:line="178" w:lineRule="exact" w:before="14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Accumulated Provision for Losses 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09"/>
        <w:gridCol w:w="3209"/>
        <w:gridCol w:w="3209"/>
      </w:tblGrid>
      <w:tr>
        <w:trPr>
          <w:trHeight w:hRule="exact" w:val="220"/>
        </w:trPr>
        <w:tc>
          <w:tcPr>
            <w:tcW w:type="dxa" w:w="2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outstanding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Accumulated provision for loan losses</w:t>
            </w:r>
          </w:p>
        </w:tc>
        <w:tc>
          <w:tcPr>
            <w:tcW w:type="dxa" w:w="3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Provision for losses on loans and other exposures</w:t>
            </w:r>
          </w:p>
        </w:tc>
      </w:tr>
      <w:tr>
        <w:trPr>
          <w:trHeight w:hRule="exact" w:val="506"/>
        </w:trPr>
        <w:tc>
          <w:tcPr>
            <w:tcW w:type="dxa" w:w="29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 commitments and other exposures</w:t>
            </w:r>
          </w:p>
        </w:tc>
        <w:tc>
          <w:tcPr>
            <w:tcW w:type="dxa" w:w="2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liabilities</w:t>
            </w:r>
          </w:p>
        </w:tc>
        <w:tc>
          <w:tcPr>
            <w:tcW w:type="dxa" w:w="37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Provision for losses on loans and other exposures</w:t>
            </w:r>
          </w:p>
        </w:tc>
      </w:tr>
    </w:tbl>
    <w:p>
      <w:pPr>
        <w:autoSpaceDN w:val="0"/>
        <w:autoSpaceDE w:val="0"/>
        <w:widowControl/>
        <w:spacing w:line="240" w:lineRule="exact" w:before="160" w:after="0"/>
        <w:ind w:left="10" w:right="21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accumulated provision for losses on loan and other exposures as of June 30, 2024 was $2,966 million, compared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$2,878 million as of June 30, 2023. The increase of $88 million in the accumulated provision for losses on loan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other exposures is due to the increase in exposures and the increase in severity from the increase in relevant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forward interest rates. </w:t>
      </w:r>
    </w:p>
    <w:p>
      <w:pPr>
        <w:autoSpaceDN w:val="0"/>
        <w:tabs>
          <w:tab w:pos="858" w:val="left"/>
        </w:tabs>
        <w:autoSpaceDE w:val="0"/>
        <w:widowControl/>
        <w:spacing w:line="224" w:lineRule="exact" w:before="740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2024</w:t>
      </w:r>
    </w:p>
    <w:p>
      <w:pPr>
        <w:sectPr>
          <w:pgSz w:w="12240" w:h="15840"/>
          <w:pgMar w:top="700" w:right="118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6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Overdue Amounts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considers loans to be past due when a borrower fails to make payment on any principal, interest or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charges due to IBRD on the dates provided in the contractual loan agreement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June 30, 2024, no principal or interest amounts are overdue by more than three months for loans in accrual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status.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tables provide a summary of selected financial information related to loans in nonaccrual status: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D6: Loans in nonaccrual status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>
        <w:trPr>
          <w:trHeight w:hRule="exact" w:val="256"/>
        </w:trPr>
        <w:tc>
          <w:tcPr>
            <w:tcW w:type="dxa" w:w="12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2" w:after="0"/>
              <w:ind w:left="0" w:right="20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Borrower</w:t>
            </w:r>
          </w:p>
        </w:tc>
        <w:tc>
          <w:tcPr>
            <w:tcW w:type="dxa" w:w="1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gridSpan w:val="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8" w:after="0"/>
              <w:ind w:left="0" w:right="25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Recorded </w:t>
            </w:r>
          </w:p>
        </w:tc>
        <w:tc>
          <w:tcPr>
            <w:tcW w:type="dxa" w:w="13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Accumulated </w:t>
            </w:r>
          </w:p>
        </w:tc>
        <w:tc>
          <w:tcPr>
            <w:tcW w:type="dxa" w:w="13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Average </w:t>
            </w:r>
          </w:p>
        </w:tc>
        <w:tc>
          <w:tcPr>
            <w:tcW w:type="dxa" w:w="2600"/>
            <w:gridSpan w:val="5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Overdue amounts</w:t>
            </w:r>
          </w:p>
        </w:tc>
      </w:tr>
      <w:tr>
        <w:trPr>
          <w:trHeight w:hRule="exact" w:val="180"/>
        </w:trPr>
        <w:tc>
          <w:tcPr>
            <w:tcW w:type="dxa" w:w="72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6" w:after="0"/>
              <w:ind w:left="2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Nonaccrual since</w:t>
            </w:r>
          </w:p>
        </w:tc>
        <w:tc>
          <w:tcPr>
            <w:tcW w:type="dxa" w:w="1452"/>
            <w:gridSpan w:val="2"/>
            <w:vMerge/>
            <w:tcBorders>
              <w:top w:sz="8.0" w:val="single" w:color="#000000"/>
            </w:tcBorders>
          </w:tcPr>
          <w:p/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3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Provision for </w:t>
            </w:r>
          </w:p>
        </w:tc>
        <w:tc>
          <w:tcPr>
            <w:tcW w:type="dxa" w:w="136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recorded </w:t>
            </w:r>
          </w:p>
        </w:tc>
        <w:tc>
          <w:tcPr>
            <w:tcW w:type="dxa" w:w="2600"/>
            <w:gridSpan w:val="5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7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Interest and </w:t>
            </w:r>
          </w:p>
        </w:tc>
      </w:tr>
      <w:tr>
        <w:trPr>
          <w:trHeight w:hRule="exact" w:val="224"/>
        </w:trPr>
        <w:tc>
          <w:tcPr>
            <w:tcW w:type="dxa" w:w="72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2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investment</w:t>
            </w:r>
          </w:p>
        </w:tc>
        <w:tc>
          <w:tcPr>
            <w:tcW w:type="dxa" w:w="13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 losses</w:t>
            </w:r>
          </w:p>
        </w:tc>
        <w:tc>
          <w:tcPr>
            <w:tcW w:type="dxa" w:w="13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investment</w:t>
            </w:r>
          </w:p>
        </w:tc>
        <w:tc>
          <w:tcPr>
            <w:tcW w:type="dxa" w:w="133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Principal</w:t>
            </w:r>
          </w:p>
        </w:tc>
        <w:tc>
          <w:tcPr>
            <w:tcW w:type="dxa" w:w="127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Charges</w:t>
            </w:r>
          </w:p>
        </w:tc>
      </w:tr>
      <w:tr>
        <w:trPr>
          <w:trHeight w:hRule="exact" w:val="216"/>
        </w:trPr>
        <w:tc>
          <w:tcPr>
            <w:tcW w:type="dxa" w:w="12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Belarus</w:t>
            </w:r>
          </w:p>
        </w:tc>
        <w:tc>
          <w:tcPr>
            <w:tcW w:type="dxa" w:w="15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October 2022</w:t>
            </w:r>
          </w:p>
        </w:tc>
        <w:tc>
          <w:tcPr>
            <w:tcW w:type="dxa" w:w="6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984 </w:t>
            </w:r>
          </w:p>
        </w:tc>
        <w:tc>
          <w:tcPr>
            <w:tcW w:type="dxa" w:w="6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  <w:tc>
          <w:tcPr>
            <w:tcW w:type="dxa" w:w="6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992 </w:t>
            </w:r>
          </w:p>
        </w:tc>
        <w:tc>
          <w:tcPr>
            <w:tcW w:type="dxa" w:w="6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300 </w:t>
            </w:r>
          </w:p>
        </w:tc>
        <w:tc>
          <w:tcPr>
            <w:tcW w:type="dxa" w:w="9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 </w:t>
            </w:r>
          </w:p>
        </w:tc>
      </w:tr>
      <w:tr>
        <w:trPr>
          <w:trHeight w:hRule="exact" w:val="264"/>
        </w:trPr>
        <w:tc>
          <w:tcPr>
            <w:tcW w:type="dxa" w:w="12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Zimbabwe</w:t>
            </w:r>
          </w:p>
        </w:tc>
        <w:tc>
          <w:tcPr>
            <w:tcW w:type="dxa" w:w="15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October 2000</w:t>
            </w:r>
          </w:p>
        </w:tc>
        <w:tc>
          <w:tcPr>
            <w:tcW w:type="dxa" w:w="13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426 </w:t>
            </w:r>
          </w:p>
        </w:tc>
        <w:tc>
          <w:tcPr>
            <w:tcW w:type="dxa" w:w="13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213 </w:t>
            </w:r>
          </w:p>
        </w:tc>
        <w:tc>
          <w:tcPr>
            <w:tcW w:type="dxa" w:w="13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426 </w:t>
            </w:r>
          </w:p>
        </w:tc>
        <w:tc>
          <w:tcPr>
            <w:tcW w:type="dxa" w:w="133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426 </w:t>
            </w:r>
          </w:p>
        </w:tc>
        <w:tc>
          <w:tcPr>
            <w:tcW w:type="dxa" w:w="127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686 </w:t>
            </w:r>
          </w:p>
        </w:tc>
      </w:tr>
      <w:tr>
        <w:trPr>
          <w:trHeight w:hRule="exact" w:val="220"/>
        </w:trPr>
        <w:tc>
          <w:tcPr>
            <w:tcW w:type="dxa" w:w="278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- June 30, 2024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1,410 </w:t>
            </w:r>
          </w:p>
        </w:tc>
        <w:tc>
          <w:tcPr>
            <w:tcW w:type="dxa" w:w="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324 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1,418 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726 </w:t>
            </w:r>
          </w:p>
        </w:tc>
        <w:tc>
          <w:tcPr>
            <w:tcW w:type="dxa" w:w="6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767 </w:t>
            </w:r>
          </w:p>
        </w:tc>
      </w:tr>
      <w:tr>
        <w:trPr>
          <w:trHeight w:hRule="exact" w:val="240"/>
        </w:trPr>
        <w:tc>
          <w:tcPr>
            <w:tcW w:type="dxa" w:w="278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- June 30, 2023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1,425 </w:t>
            </w:r>
          </w:p>
        </w:tc>
        <w:tc>
          <w:tcPr>
            <w:tcW w:type="dxa" w:w="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322 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1,419 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598 </w:t>
            </w:r>
          </w:p>
        </w:tc>
        <w:tc>
          <w:tcPr>
            <w:tcW w:type="dxa" w:w="6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690 </w:t>
            </w:r>
          </w:p>
        </w:tc>
      </w:tr>
    </w:tbl>
    <w:p>
      <w:pPr>
        <w:autoSpaceDN w:val="0"/>
        <w:autoSpaceDE w:val="0"/>
        <w:widowControl/>
        <w:spacing w:line="222" w:lineRule="exact" w:before="43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fiscal year ended June 30, 2024, no loans were placed in nonaccrual status or restored to accrual status.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fiscal year ended June 30, 2024, interest and other revenue not recognized as a result of loans being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nonaccrual status was $80 million ($69 million– June 30, 2023 and $27 million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– June 30, 2022).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addition, during the fiscal year ended June 30, 2024, $4 million of interest income was recognized on loans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nonaccrual status upon receipt of payment ($2 million —June 30, 2023 and less than $1 million —June 30, 2022).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Guarantees</w:t>
      </w:r>
    </w:p>
    <w:p>
      <w:pPr>
        <w:autoSpaceDN w:val="0"/>
        <w:autoSpaceDE w:val="0"/>
        <w:widowControl/>
        <w:spacing w:line="222" w:lineRule="exact" w:before="14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Guarantees provided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Guarantees of $7,168 million were outstanding as of June 30, 2024 ($6,542 million—June 30, 2023), including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guarantees provided under the EEA. These amounts represent the maximum potential amount of undiscounted future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payments that IBRD could be required to make under these guarantees, and are not included in the Balance Sheets.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These guarantees have original maturities ranging between 10 and 23 years and expire in decreasing amounts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through 2047.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June 30, 2024, liabilities related to IBRD's obligations under guarantees included the obligation to stand ready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$296 million ($303 million—June 30, 2023), and the accumulated provision for guarantee losses of $71 million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($76 million—June 30, 2023). These are included in Other liabilities - Accounts payable and miscellaneous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liabilities on the Balance Sheets.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During the fiscal year ended June 30, 2024 and June 30, 2023, no guarantees provided by IBRD were called.</w:t>
      </w:r>
    </w:p>
    <w:p>
      <w:pPr>
        <w:autoSpaceDN w:val="0"/>
        <w:tabs>
          <w:tab w:pos="8984" w:val="left"/>
        </w:tabs>
        <w:autoSpaceDE w:val="0"/>
        <w:widowControl/>
        <w:spacing w:line="224" w:lineRule="exact" w:before="4116" w:after="0"/>
        <w:ind w:left="42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109</w:t>
      </w:r>
    </w:p>
    <w:p>
      <w:pPr>
        <w:sectPr>
          <w:pgSz w:w="12240" w:h="15840"/>
          <w:pgMar w:top="696" w:right="137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participates in Exposure Exchange Agreements (EEAs) which are recognized as financial guarantees in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financial statements. Information on the location and amounts associated with the EEAs executed with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Multilateral Investment Guarantee Agency (MIGA), African Development Bank and Inter-American Development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Bank included in the Balance Sheets and Statements of Income is presented in the following table: 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D7: Amounts associated with EEAs</w:t>
      </w:r>
    </w:p>
    <w:p>
      <w:pPr>
        <w:autoSpaceDN w:val="0"/>
        <w:autoSpaceDE w:val="0"/>
        <w:widowControl/>
        <w:spacing w:line="178" w:lineRule="exact" w:before="15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240"/>
        </w:trPr>
        <w:tc>
          <w:tcPr>
            <w:tcW w:type="dxa" w:w="19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94"/>
            <w:gridSpan w:val="9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  <w:tc>
          <w:tcPr>
            <w:tcW w:type="dxa" w:w="3174"/>
            <w:gridSpan w:val="7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2023</w:t>
            </w:r>
          </w:p>
        </w:tc>
        <w:tc>
          <w:tcPr>
            <w:tcW w:type="dxa" w:w="12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0"/>
        </w:trPr>
        <w:tc>
          <w:tcPr>
            <w:tcW w:type="dxa" w:w="190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gridSpan w:val="6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(Stand ready </w:t>
            </w:r>
          </w:p>
        </w:tc>
        <w:tc>
          <w:tcPr>
            <w:tcW w:type="dxa" w:w="115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(Provision) </w:t>
            </w:r>
          </w:p>
        </w:tc>
        <w:tc>
          <w:tcPr>
            <w:tcW w:type="dxa" w:w="1970"/>
            <w:gridSpan w:val="4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(Stand ready </w:t>
            </w:r>
          </w:p>
        </w:tc>
        <w:tc>
          <w:tcPr>
            <w:tcW w:type="dxa" w:w="1204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(Provision) </w:t>
            </w:r>
          </w:p>
        </w:tc>
        <w:tc>
          <w:tcPr>
            <w:tcW w:type="dxa" w:w="12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Location on </w:t>
            </w:r>
          </w:p>
        </w:tc>
      </w:tr>
      <w:tr>
        <w:trPr>
          <w:trHeight w:hRule="exact" w:val="200"/>
        </w:trPr>
        <w:tc>
          <w:tcPr>
            <w:tcW w:type="dxa" w:w="52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Notional </w:t>
            </w:r>
          </w:p>
        </w:tc>
        <w:tc>
          <w:tcPr>
            <w:tcW w:type="dxa" w:w="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obligation) </w:t>
            </w:r>
          </w:p>
        </w:tc>
        <w:tc>
          <w:tcPr>
            <w:tcW w:type="dxa" w:w="11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Recoverable </w:t>
            </w:r>
          </w:p>
        </w:tc>
        <w:tc>
          <w:tcPr>
            <w:tcW w:type="dxa" w:w="10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Notional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obligation) </w:t>
            </w:r>
          </w:p>
        </w:tc>
        <w:tc>
          <w:tcPr>
            <w:tcW w:type="dxa" w:w="12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Recoverable </w:t>
            </w:r>
          </w:p>
        </w:tc>
        <w:tc>
          <w:tcPr>
            <w:tcW w:type="dxa" w:w="1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the Balance </w:t>
            </w:r>
          </w:p>
        </w:tc>
      </w:tr>
      <w:tr>
        <w:trPr>
          <w:trHeight w:hRule="exact" w:val="226"/>
        </w:trPr>
        <w:tc>
          <w:tcPr>
            <w:tcW w:type="dxa" w:w="52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2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4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amount</w:t>
            </w:r>
          </w:p>
        </w:tc>
        <w:tc>
          <w:tcPr>
            <w:tcW w:type="dxa" w:w="92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Asset</w:t>
            </w:r>
          </w:p>
        </w:tc>
        <w:tc>
          <w:tcPr>
            <w:tcW w:type="dxa" w:w="115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asset</w:t>
            </w:r>
          </w:p>
        </w:tc>
        <w:tc>
          <w:tcPr>
            <w:tcW w:type="dxa" w:w="107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8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amount</w:t>
            </w:r>
          </w:p>
        </w:tc>
        <w:tc>
          <w:tcPr>
            <w:tcW w:type="dxa" w:w="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Asset</w:t>
            </w:r>
          </w:p>
        </w:tc>
        <w:tc>
          <w:tcPr>
            <w:tcW w:type="dxa" w:w="120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asset</w:t>
            </w:r>
          </w:p>
        </w:tc>
        <w:tc>
          <w:tcPr>
            <w:tcW w:type="dxa" w:w="12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Sheets</w:t>
            </w:r>
          </w:p>
        </w:tc>
      </w:tr>
      <w:tr>
        <w:trPr>
          <w:trHeight w:hRule="exact" w:val="234"/>
        </w:trPr>
        <w:tc>
          <w:tcPr>
            <w:tcW w:type="dxa" w:w="19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Guarantees provided </w:t>
            </w:r>
          </w:p>
        </w:tc>
        <w:tc>
          <w:tcPr>
            <w:tcW w:type="dxa" w:w="80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$ 3,609 </w:t>
            </w:r>
          </w:p>
        </w:tc>
        <w:tc>
          <w:tcPr>
            <w:tcW w:type="dxa" w:w="418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2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(129)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(25) </w:t>
            </w:r>
          </w:p>
        </w:tc>
        <w:tc>
          <w:tcPr>
            <w:tcW w:type="dxa" w:w="2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3,619 </w:t>
            </w:r>
          </w:p>
        </w:tc>
        <w:tc>
          <w:tcPr>
            <w:tcW w:type="dxa" w:w="19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(149) </w:t>
            </w:r>
          </w:p>
        </w:tc>
        <w:tc>
          <w:tcPr>
            <w:tcW w:type="dxa" w:w="4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8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(29) </w:t>
            </w:r>
          </w:p>
        </w:tc>
        <w:tc>
          <w:tcPr>
            <w:tcW w:type="dxa" w:w="12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liabilities</w:t>
            </w:r>
          </w:p>
        </w:tc>
      </w:tr>
      <w:tr>
        <w:trPr>
          <w:trHeight w:hRule="exact" w:val="246"/>
        </w:trPr>
        <w:tc>
          <w:tcPr>
            <w:tcW w:type="dxa" w:w="19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Guarantees received </w:t>
            </w:r>
          </w:p>
        </w:tc>
        <w:tc>
          <w:tcPr>
            <w:tcW w:type="dxa" w:w="102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(3,611) </w:t>
            </w:r>
          </w:p>
        </w:tc>
        <w:tc>
          <w:tcPr>
            <w:tcW w:type="dxa" w:w="92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129 </w:t>
            </w:r>
          </w:p>
        </w:tc>
        <w:tc>
          <w:tcPr>
            <w:tcW w:type="dxa" w:w="115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 </w:t>
            </w:r>
          </w:p>
        </w:tc>
        <w:tc>
          <w:tcPr>
            <w:tcW w:type="dxa" w:w="107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(3,619)  </w:t>
            </w:r>
          </w:p>
        </w:tc>
        <w:tc>
          <w:tcPr>
            <w:tcW w:type="dxa" w:w="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149 </w:t>
            </w:r>
          </w:p>
        </w:tc>
        <w:tc>
          <w:tcPr>
            <w:tcW w:type="dxa" w:w="120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 </w:t>
            </w:r>
          </w:p>
        </w:tc>
        <w:tc>
          <w:tcPr>
            <w:tcW w:type="dxa" w:w="12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assets</w:t>
            </w:r>
          </w:p>
        </w:tc>
      </w:tr>
      <w:tr>
        <w:trPr>
          <w:trHeight w:hRule="exact" w:val="220"/>
        </w:trPr>
        <w:tc>
          <w:tcPr>
            <w:tcW w:type="dxa" w:w="19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18"/>
            <w:gridSpan w:val="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 $ </w:t>
            </w:r>
          </w:p>
        </w:tc>
        <w:tc>
          <w:tcPr>
            <w:tcW w:type="dxa" w:w="58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444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(6) </w:t>
            </w:r>
          </w:p>
        </w:tc>
        <w:tc>
          <w:tcPr>
            <w:tcW w:type="dxa" w:w="2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98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46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  <w:tc>
          <w:tcPr>
            <w:tcW w:type="dxa" w:w="12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19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96"/>
            <w:gridSpan w:val="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2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8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2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2" w:lineRule="exact" w:before="17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Guarantees received</w:t>
      </w:r>
    </w:p>
    <w:p>
      <w:pPr>
        <w:autoSpaceDN w:val="0"/>
        <w:autoSpaceDE w:val="0"/>
        <w:widowControl/>
        <w:spacing w:line="240" w:lineRule="exact" w:before="118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June 30, 2024, IBRD had received third-party financial guarantees, including guarantees received under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EEA. The outstanding amount of loans subject to guarantees received amounted to $12,461 million ($6,664 million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June 30, 2023). Financial guarantees received protect IBRD against the risk of loss related to loans in IBRD's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 and increase IBRD's lending capacity. </w:t>
      </w:r>
    </w:p>
    <w:p>
      <w:pPr>
        <w:autoSpaceDN w:val="0"/>
        <w:autoSpaceDE w:val="0"/>
        <w:widowControl/>
        <w:spacing w:line="244" w:lineRule="exact" w:before="13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Waivers of Loan Charges</w:t>
      </w:r>
    </w:p>
    <w:p>
      <w:pPr>
        <w:autoSpaceDN w:val="0"/>
        <w:autoSpaceDE w:val="0"/>
        <w:widowControl/>
        <w:spacing w:line="240" w:lineRule="exact" w:before="128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Executive Directors have approved waivers of certain charges on eligible loans. These include a portion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interest on loans, a portion of the commitment charge on undisbursed balances, and a portion of the front-end fee.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forgone income resulting from waivers of loan charges was $9 million for year ended June 30, 2024 ($16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million— June 30, 2023 and $20 million —June 30, 2022). </w:t>
      </w:r>
    </w:p>
    <w:p>
      <w:pPr>
        <w:autoSpaceDN w:val="0"/>
        <w:autoSpaceDE w:val="0"/>
        <w:widowControl/>
        <w:spacing w:line="244" w:lineRule="exact" w:before="13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Concentration risk</w:t>
      </w:r>
    </w:p>
    <w:p>
      <w:pPr>
        <w:autoSpaceDN w:val="0"/>
        <w:autoSpaceDE w:val="0"/>
        <w:widowControl/>
        <w:spacing w:line="240" w:lineRule="exact" w:before="128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 revenue comprises interest, commitment fees, loan origination fees and prepayment premiums, net of waivers.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 fiscal year ended June 30, 2024, there was no country that contributed more than 10% to the total loan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revenue.</w:t>
      </w:r>
    </w:p>
    <w:p>
      <w:pPr>
        <w:autoSpaceDN w:val="0"/>
        <w:autoSpaceDE w:val="0"/>
        <w:widowControl/>
        <w:spacing w:line="220" w:lineRule="exact" w:before="14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loan revenue and associated loans outstanding by geographic region is presented in the following table: </w:t>
      </w:r>
    </w:p>
    <w:p>
      <w:pPr>
        <w:autoSpaceDN w:val="0"/>
        <w:autoSpaceDE w:val="0"/>
        <w:widowControl/>
        <w:spacing w:line="222" w:lineRule="exact" w:before="136" w:after="92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D8: Loan revenue and associated outstanding loan balances by geographic region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>
        <w:trPr>
          <w:trHeight w:hRule="exact" w:val="268"/>
        </w:trPr>
        <w:tc>
          <w:tcPr>
            <w:tcW w:type="dxa" w:w="3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millions of U.S. dollars</w:t>
            </w:r>
          </w:p>
        </w:tc>
        <w:tc>
          <w:tcPr>
            <w:tcW w:type="dxa" w:w="5780"/>
            <w:gridSpan w:val="1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For the fiscal year ended and as of</w:t>
            </w:r>
          </w:p>
        </w:tc>
      </w:tr>
      <w:tr>
        <w:trPr>
          <w:trHeight w:hRule="exact" w:val="242"/>
        </w:trPr>
        <w:tc>
          <w:tcPr>
            <w:tcW w:type="dxa" w:w="3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10"/>
            <w:gridSpan w:val="5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  <w:tc>
          <w:tcPr>
            <w:tcW w:type="dxa" w:w="2970"/>
            <w:gridSpan w:val="7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92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2023</w:t>
            </w:r>
          </w:p>
        </w:tc>
      </w:tr>
      <w:tr>
        <w:trPr>
          <w:trHeight w:hRule="exact" w:val="206"/>
        </w:trPr>
        <w:tc>
          <w:tcPr>
            <w:tcW w:type="dxa" w:w="36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Region</w:t>
            </w:r>
          </w:p>
        </w:tc>
        <w:tc>
          <w:tcPr>
            <w:tcW w:type="dxa" w:w="2810"/>
            <w:gridSpan w:val="5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8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  <w:tc>
          <w:tcPr>
            <w:tcW w:type="dxa" w:w="2970"/>
            <w:gridSpan w:val="7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44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</w:tr>
      <w:tr>
        <w:trPr>
          <w:trHeight w:hRule="exact" w:val="228"/>
        </w:trPr>
        <w:tc>
          <w:tcPr>
            <w:tcW w:type="dxa" w:w="72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90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3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 Revenue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4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Outstanding</w:t>
            </w:r>
          </w:p>
        </w:tc>
        <w:tc>
          <w:tcPr>
            <w:tcW w:type="dxa" w:w="1604"/>
            <w:gridSpan w:val="5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 Revenue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36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Outstanding</w:t>
            </w:r>
          </w:p>
        </w:tc>
      </w:tr>
      <w:tr>
        <w:trPr>
          <w:trHeight w:hRule="exact" w:val="232"/>
        </w:trPr>
        <w:tc>
          <w:tcPr>
            <w:tcW w:type="dxa" w:w="36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62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Latin America and the Caribbean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East Asia and Pacific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Europe and Central Asia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Middle East and North Africa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South Asia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Eastern and Southern Africa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Western and Central Africa</w:t>
            </w:r>
          </w:p>
        </w:tc>
        <w:tc>
          <w:tcPr>
            <w:tcW w:type="dxa" w:w="4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0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4,674 </w:t>
            </w:r>
          </w:p>
        </w:tc>
        <w:tc>
          <w:tcPr>
            <w:tcW w:type="dxa" w:w="2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80,934 </w:t>
            </w:r>
          </w:p>
        </w:tc>
        <w:tc>
          <w:tcPr>
            <w:tcW w:type="dxa" w:w="512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3,484 </w:t>
            </w:r>
          </w:p>
        </w:tc>
        <w:tc>
          <w:tcPr>
            <w:tcW w:type="dxa" w:w="62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78,233 </w:t>
            </w:r>
          </w:p>
        </w:tc>
      </w:tr>
      <w:tr>
        <w:trPr>
          <w:trHeight w:hRule="exact" w:val="240"/>
        </w:trPr>
        <w:tc>
          <w:tcPr>
            <w:tcW w:type="dxa" w:w="72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9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3,154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52,621 </w:t>
            </w:r>
          </w:p>
        </w:tc>
        <w:tc>
          <w:tcPr>
            <w:tcW w:type="dxa" w:w="2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2,315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50,140 </w:t>
            </w:r>
          </w:p>
        </w:tc>
      </w:tr>
      <w:tr>
        <w:trPr>
          <w:trHeight w:hRule="exact" w:val="240"/>
        </w:trPr>
        <w:tc>
          <w:tcPr>
            <w:tcW w:type="dxa" w:w="72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9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2,769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54,838 </w:t>
            </w:r>
          </w:p>
        </w:tc>
        <w:tc>
          <w:tcPr>
            <w:tcW w:type="dxa" w:w="2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1,605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48,029 </w:t>
            </w:r>
          </w:p>
        </w:tc>
      </w:tr>
      <w:tr>
        <w:trPr>
          <w:trHeight w:hRule="exact" w:val="240"/>
        </w:trPr>
        <w:tc>
          <w:tcPr>
            <w:tcW w:type="dxa" w:w="72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9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1,860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35,300 </w:t>
            </w:r>
          </w:p>
        </w:tc>
        <w:tc>
          <w:tcPr>
            <w:tcW w:type="dxa" w:w="2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1,313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33,733 </w:t>
            </w:r>
          </w:p>
        </w:tc>
      </w:tr>
      <w:tr>
        <w:trPr>
          <w:trHeight w:hRule="exact" w:val="240"/>
        </w:trPr>
        <w:tc>
          <w:tcPr>
            <w:tcW w:type="dxa" w:w="72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9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1,655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26,415 </w:t>
            </w:r>
          </w:p>
        </w:tc>
        <w:tc>
          <w:tcPr>
            <w:tcW w:type="dxa" w:w="2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1,136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23,862 </w:t>
            </w:r>
          </w:p>
        </w:tc>
      </w:tr>
      <w:tr>
        <w:trPr>
          <w:trHeight w:hRule="exact" w:val="240"/>
        </w:trPr>
        <w:tc>
          <w:tcPr>
            <w:tcW w:type="dxa" w:w="72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9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524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11,014 </w:t>
            </w:r>
          </w:p>
        </w:tc>
        <w:tc>
          <w:tcPr>
            <w:tcW w:type="dxa" w:w="2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373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8,001 </w:t>
            </w:r>
          </w:p>
        </w:tc>
      </w:tr>
      <w:tr>
        <w:trPr>
          <w:trHeight w:hRule="exact" w:val="248"/>
        </w:trPr>
        <w:tc>
          <w:tcPr>
            <w:tcW w:type="dxa" w:w="72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90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4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 </w:t>
            </w:r>
          </w:p>
        </w:tc>
        <w:tc>
          <w:tcPr>
            <w:tcW w:type="dxa" w:w="1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2,068 </w:t>
            </w:r>
          </w:p>
        </w:tc>
        <w:tc>
          <w:tcPr>
            <w:tcW w:type="dxa" w:w="2080"/>
            <w:gridSpan w:val="6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 </w:t>
            </w:r>
          </w:p>
        </w:tc>
        <w:tc>
          <w:tcPr>
            <w:tcW w:type="dxa" w:w="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1,898 </w:t>
            </w:r>
          </w:p>
        </w:tc>
      </w:tr>
      <w:tr>
        <w:trPr>
          <w:trHeight w:hRule="exact" w:val="220"/>
        </w:trPr>
        <w:tc>
          <w:tcPr>
            <w:tcW w:type="dxa" w:w="3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14,712 </w:t>
            </w:r>
          </w:p>
        </w:tc>
        <w:tc>
          <w:tcPr>
            <w:tcW w:type="dxa" w:w="33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263,190 </w:t>
            </w:r>
          </w:p>
        </w:tc>
        <w:tc>
          <w:tcPr>
            <w:tcW w:type="dxa" w:w="53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10,279 </w:t>
            </w:r>
          </w:p>
        </w:tc>
        <w:tc>
          <w:tcPr>
            <w:tcW w:type="dxa" w:w="62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243,896 </w:t>
            </w:r>
          </w:p>
        </w:tc>
      </w:tr>
    </w:tbl>
    <w:p>
      <w:pPr>
        <w:autoSpaceDN w:val="0"/>
        <w:autoSpaceDE w:val="0"/>
        <w:widowControl/>
        <w:spacing w:line="192" w:lineRule="exact" w:before="300" w:after="0"/>
        <w:ind w:left="242" w:right="288" w:hanging="18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Excludes $1,268 million interest income from loan related derivatives for the fiscal year ended June 30, 2024 ($367 million—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fiscal year ended June 30, 2023). Includes commitment charges of $149 million for the fiscal year ended June 30, 2024 ($124 </w:t>
      </w:r>
      <w:r>
        <w:rPr>
          <w:rFonts w:ascii="Arial" w:hAnsi="Arial" w:eastAsia="Arial"/>
          <w:b w:val="0"/>
          <w:i/>
          <w:color w:val="000000"/>
          <w:sz w:val="16"/>
        </w:rPr>
        <w:t>million—fiscal year ended June 30, 2023).</w:t>
      </w:r>
    </w:p>
    <w:p>
      <w:pPr>
        <w:autoSpaceDN w:val="0"/>
        <w:autoSpaceDE w:val="0"/>
        <w:widowControl/>
        <w:spacing w:line="240" w:lineRule="exact" w:before="19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 fiscal year ended June 30, 2024, Interest revenue—Loans, net in the Statements of Income was $15,831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 ($10,522 million—June 30, 2023 and $2,368 million —June 30, 2022). This includes $1,268 million of </w:t>
      </w:r>
    </w:p>
    <w:p>
      <w:pPr>
        <w:autoSpaceDN w:val="0"/>
        <w:tabs>
          <w:tab w:pos="858" w:val="left"/>
        </w:tabs>
        <w:autoSpaceDE w:val="0"/>
        <w:widowControl/>
        <w:spacing w:line="224" w:lineRule="exact" w:before="672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2024</w:t>
      </w:r>
    </w:p>
    <w:p>
      <w:pPr>
        <w:sectPr>
          <w:pgSz w:w="12240" w:h="15840"/>
          <w:pgMar w:top="700" w:right="137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interest income, net related to loan related derivatives associated with the Loan portfolio (interest income, net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$367 million June 30, 2023 and interest expense, net $871 million —June 30, 2022).</w:t>
      </w:r>
    </w:p>
    <w:p>
      <w:pPr>
        <w:autoSpaceDN w:val="0"/>
        <w:autoSpaceDE w:val="0"/>
        <w:widowControl/>
        <w:spacing w:line="246" w:lineRule="exact" w:before="25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E—BORROWINGS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issues unsubordinated and unsecured fixed and variable rate debt in a variety of currencies. Variable rates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primarily based on exchange rates or market interest rates.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Borrowings issued by IBRD are reported at fair value. As of June 30, 2024, 98% of the instruments were classified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Level 2 within the fair value hierarchy. In addition, most of these instruments were denominated in U.S. dollars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and euro (63% and 15%, respectively).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uses derivatives, reported at fair value, to manage the currency risk and the interest rate risk between its loans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and borrowings. For details regarding the derivatives used, see Note F—Derivative Instruments.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After the effect of these derivatives, the borrowing portfolio carried variable interest rates, with a weighted average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cost of 5.54% as of June 30, 2024 (5.05% as of June 30, 2023).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 summarizes IBRD’s borrowing portfolio, including derivatives: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E1: Borrowings and borrowing-related derivatives</w:t>
      </w:r>
    </w:p>
    <w:p>
      <w:pPr>
        <w:autoSpaceDN w:val="0"/>
        <w:autoSpaceDE w:val="0"/>
        <w:widowControl/>
        <w:spacing w:line="178" w:lineRule="exact" w:before="15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4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  <w:tc>
          <w:tcPr>
            <w:tcW w:type="dxa" w:w="2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2023</w:t>
            </w:r>
          </w:p>
        </w:tc>
      </w:tr>
      <w:tr>
        <w:trPr>
          <w:trHeight w:hRule="exact" w:val="236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Borrowings </w:t>
            </w:r>
          </w:p>
        </w:tc>
        <w:tc>
          <w:tcPr>
            <w:tcW w:type="dxa" w:w="2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261,790 </w:t>
            </w:r>
          </w:p>
        </w:tc>
        <w:tc>
          <w:tcPr>
            <w:tcW w:type="dxa" w:w="23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237,265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swaps, net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4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7,427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8,697 </w:t>
            </w:r>
          </w:p>
        </w:tc>
      </w:tr>
      <w:tr>
        <w:trPr>
          <w:trHeight w:hRule="exact" w:val="244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swaps, net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4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17,900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20,866 </w:t>
            </w:r>
          </w:p>
        </w:tc>
      </w:tr>
      <w:tr>
        <w:trPr>
          <w:trHeight w:hRule="exact" w:val="22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287,117 </w:t>
            </w:r>
          </w:p>
        </w:tc>
        <w:tc>
          <w:tcPr>
            <w:tcW w:type="dxa" w:w="2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266,828 </w:t>
            </w:r>
          </w:p>
        </w:tc>
      </w:tr>
    </w:tbl>
    <w:p>
      <w:pPr>
        <w:autoSpaceDN w:val="0"/>
        <w:autoSpaceDE w:val="0"/>
        <w:widowControl/>
        <w:spacing w:line="240" w:lineRule="exact" w:before="41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 fiscal year ended June 30, 2024, Borrowing expenses, net in the Statements of Income was $15,215 million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($9,562 million—June 30, 2023 and $750 million —June 30, 2022). This includes $7,781 million of interest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expense, net related to derivatives associated with the Borrowing portfolio (interest expense, net of $4,237 million—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June 30, 2023 and interest revenue, net of $2,317 million —June 30, 2022).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 provides a summary of the interest rate characteristics of IBRD’s borrowings: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E2: Interest rate composition of Borrowings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dollars, except as otherwise noted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4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WAC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 (%)</w:t>
            </w:r>
          </w:p>
        </w:tc>
        <w:tc>
          <w:tcPr>
            <w:tcW w:type="dxa" w:w="12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2023</w:t>
            </w:r>
          </w:p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WAC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 (%)</w:t>
            </w:r>
          </w:p>
        </w:tc>
      </w:tr>
      <w:tr>
        <w:trPr>
          <w:trHeight w:hRule="exact" w:val="236"/>
        </w:trPr>
        <w:tc>
          <w:tcPr>
            <w:tcW w:type="dxa" w:w="43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Fixed</w:t>
            </w:r>
          </w:p>
        </w:tc>
        <w:tc>
          <w:tcPr>
            <w:tcW w:type="dxa" w:w="3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253,337 </w:t>
            </w:r>
          </w:p>
        </w:tc>
        <w:tc>
          <w:tcPr>
            <w:tcW w:type="dxa" w:w="12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2.42</w:t>
            </w:r>
          </w:p>
        </w:tc>
        <w:tc>
          <w:tcPr>
            <w:tcW w:type="dxa" w:w="3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232,316 </w:t>
            </w:r>
          </w:p>
        </w:tc>
        <w:tc>
          <w:tcPr>
            <w:tcW w:type="dxa" w:w="12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1.93</w:t>
            </w:r>
          </w:p>
        </w:tc>
      </w:tr>
      <w:tr>
        <w:trPr>
          <w:trHeight w:hRule="exact" w:val="244"/>
        </w:trPr>
        <w:tc>
          <w:tcPr>
            <w:tcW w:type="dxa" w:w="43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12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29,494 </w:t>
            </w:r>
          </w:p>
        </w:tc>
        <w:tc>
          <w:tcPr>
            <w:tcW w:type="dxa" w:w="12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8.40</w:t>
            </w:r>
          </w:p>
        </w:tc>
        <w:tc>
          <w:tcPr>
            <w:tcW w:type="dxa" w:w="12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29,969 </w:t>
            </w:r>
          </w:p>
        </w:tc>
        <w:tc>
          <w:tcPr>
            <w:tcW w:type="dxa" w:w="12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9.29</w:t>
            </w:r>
          </w:p>
        </w:tc>
      </w:tr>
      <w:tr>
        <w:trPr>
          <w:trHeight w:hRule="exact" w:val="236"/>
        </w:trPr>
        <w:tc>
          <w:tcPr>
            <w:tcW w:type="dxa" w:w="43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Borrowings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3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282,831 </w:t>
            </w:r>
          </w:p>
        </w:tc>
        <w:tc>
          <w:tcPr>
            <w:tcW w:type="dxa" w:w="12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3.04%</w:t>
            </w:r>
          </w:p>
        </w:tc>
        <w:tc>
          <w:tcPr>
            <w:tcW w:type="dxa" w:w="3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262,285 </w:t>
            </w:r>
          </w:p>
        </w:tc>
        <w:tc>
          <w:tcPr>
            <w:tcW w:type="dxa" w:w="12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2.76%</w:t>
            </w:r>
          </w:p>
        </w:tc>
      </w:tr>
      <w:tr>
        <w:trPr>
          <w:trHeight w:hRule="exact" w:val="244"/>
        </w:trPr>
        <w:tc>
          <w:tcPr>
            <w:tcW w:type="dxa" w:w="43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Fair Value Adjustment</w:t>
            </w:r>
          </w:p>
        </w:tc>
        <w:tc>
          <w:tcPr>
            <w:tcW w:type="dxa" w:w="12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(21,041)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(25,020)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4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 at fair value</w:t>
            </w:r>
          </w:p>
        </w:tc>
        <w:tc>
          <w:tcPr>
            <w:tcW w:type="dxa" w:w="3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261,790 </w:t>
            </w:r>
          </w:p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237,265 </w:t>
            </w:r>
          </w:p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4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2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WAC refers to weighted average borrowings cost as of the reporting date.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At amortized cost.</w:t>
      </w:r>
    </w:p>
    <w:p>
      <w:pPr>
        <w:autoSpaceDN w:val="0"/>
        <w:autoSpaceDE w:val="0"/>
        <w:widowControl/>
        <w:spacing w:line="222" w:lineRule="exact" w:before="21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currency composition of IBRD’s borrowing portfolio before derivatives was as follows: </w:t>
      </w:r>
    </w:p>
    <w:p>
      <w:pPr>
        <w:autoSpaceDN w:val="0"/>
        <w:autoSpaceDE w:val="0"/>
        <w:widowControl/>
        <w:spacing w:line="220" w:lineRule="exact" w:before="136" w:after="112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E3: Currency composition of Borrowings (before derivatives)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240"/>
        </w:trPr>
        <w:tc>
          <w:tcPr>
            <w:tcW w:type="dxa" w:w="25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  <w:tc>
          <w:tcPr>
            <w:tcW w:type="dxa" w:w="190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2023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6"/>
        </w:trPr>
        <w:tc>
          <w:tcPr>
            <w:tcW w:type="dxa" w:w="25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U.S. Dollar</w:t>
            </w:r>
          </w:p>
        </w:tc>
        <w:tc>
          <w:tcPr>
            <w:tcW w:type="dxa" w:w="4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62.6</w:t>
            </w:r>
          </w:p>
        </w:tc>
        <w:tc>
          <w:tcPr>
            <w:tcW w:type="dxa" w:w="838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  <w:tc>
          <w:tcPr>
            <w:tcW w:type="dxa" w:w="106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62.3</w:t>
            </w:r>
          </w:p>
        </w:tc>
        <w:tc>
          <w:tcPr>
            <w:tcW w:type="dxa" w:w="4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</w:tr>
      <w:tr>
        <w:trPr>
          <w:trHeight w:hRule="exact" w:val="240"/>
        </w:trPr>
        <w:tc>
          <w:tcPr>
            <w:tcW w:type="dxa" w:w="2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Euro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15.1</w:t>
            </w:r>
          </w:p>
        </w:tc>
        <w:tc>
          <w:tcPr>
            <w:tcW w:type="dxa" w:w="1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13.6</w:t>
            </w:r>
          </w:p>
        </w:tc>
        <w:tc>
          <w:tcPr>
            <w:tcW w:type="dxa" w:w="1573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44"/>
        </w:trPr>
        <w:tc>
          <w:tcPr>
            <w:tcW w:type="dxa" w:w="25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Others</w:t>
            </w:r>
          </w:p>
        </w:tc>
        <w:tc>
          <w:tcPr>
            <w:tcW w:type="dxa" w:w="4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22.3</w:t>
            </w:r>
          </w:p>
        </w:tc>
        <w:tc>
          <w:tcPr>
            <w:tcW w:type="dxa" w:w="190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24.1</w:t>
            </w:r>
          </w:p>
        </w:tc>
        <w:tc>
          <w:tcPr>
            <w:tcW w:type="dxa" w:w="1573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100.0</w:t>
            </w:r>
          </w:p>
        </w:tc>
        <w:tc>
          <w:tcPr>
            <w:tcW w:type="dxa" w:w="79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  <w:tc>
          <w:tcPr>
            <w:tcW w:type="dxa" w:w="1108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100.0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%</w:t>
            </w:r>
          </w:p>
        </w:tc>
      </w:tr>
      <w:tr>
        <w:trPr>
          <w:trHeight w:hRule="exact" w:val="1266"/>
        </w:trPr>
        <w:tc>
          <w:tcPr>
            <w:tcW w:type="dxa" w:w="25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20"/>
            <w:gridSpan w:val="4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52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2024</w:t>
            </w:r>
          </w:p>
        </w:tc>
        <w:tc>
          <w:tcPr>
            <w:tcW w:type="dxa" w:w="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0" w:right="137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maturity structure of IBRD’s borrowings outstanding was as follows: 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E4: Maturity structure of Borrowings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40"/>
        </w:trPr>
        <w:tc>
          <w:tcPr>
            <w:tcW w:type="dxa" w:w="5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  <w:tc>
          <w:tcPr>
            <w:tcW w:type="dxa" w:w="2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2023</w:t>
            </w:r>
          </w:p>
        </w:tc>
      </w:tr>
      <w:tr>
        <w:trPr>
          <w:trHeight w:hRule="exact" w:val="242"/>
        </w:trPr>
        <w:tc>
          <w:tcPr>
            <w:tcW w:type="dxa" w:w="57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Less than 1 year</w:t>
            </w:r>
          </w:p>
        </w:tc>
        <w:tc>
          <w:tcPr>
            <w:tcW w:type="dxa" w:w="2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41,955 </w:t>
            </w:r>
          </w:p>
        </w:tc>
        <w:tc>
          <w:tcPr>
            <w:tcW w:type="dxa" w:w="2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38,996 </w:t>
            </w:r>
          </w:p>
        </w:tc>
      </w:tr>
    </w:tbl>
    <w:p>
      <w:pPr>
        <w:autoSpaceDN w:val="0"/>
        <w:autoSpaceDE w:val="0"/>
        <w:widowControl/>
        <w:spacing w:line="178" w:lineRule="exact" w:before="20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Between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38"/>
        </w:trPr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1-2 years</w:t>
            </w:r>
          </w:p>
        </w:tc>
        <w:tc>
          <w:tcPr>
            <w:tcW w:type="dxa" w:w="4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32,883 </w:t>
            </w:r>
          </w:p>
        </w:tc>
        <w:tc>
          <w:tcPr>
            <w:tcW w:type="dxa" w:w="4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31,917 </w:t>
            </w:r>
          </w:p>
        </w:tc>
      </w:tr>
      <w:tr>
        <w:trPr>
          <w:trHeight w:hRule="exact" w:val="240"/>
        </w:trPr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2-3 years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31,082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29,004 </w:t>
            </w:r>
          </w:p>
        </w:tc>
      </w:tr>
      <w:tr>
        <w:trPr>
          <w:trHeight w:hRule="exact" w:val="240"/>
        </w:trPr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3-4 years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29,994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27,040 </w:t>
            </w:r>
          </w:p>
        </w:tc>
      </w:tr>
      <w:tr>
        <w:trPr>
          <w:trHeight w:hRule="exact" w:val="240"/>
        </w:trPr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4-5 years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32,042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25,850 </w:t>
            </w:r>
          </w:p>
        </w:tc>
      </w:tr>
      <w:tr>
        <w:trPr>
          <w:trHeight w:hRule="exact" w:val="240"/>
        </w:trPr>
        <w:tc>
          <w:tcPr>
            <w:tcW w:type="dxa" w:w="57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Thereafter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3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93,834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3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84,458 </w:t>
            </w:r>
          </w:p>
        </w:tc>
      </w:tr>
      <w:tr>
        <w:trPr>
          <w:trHeight w:hRule="exact" w:val="220"/>
        </w:trPr>
        <w:tc>
          <w:tcPr>
            <w:tcW w:type="dxa" w:w="5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261,790 </w:t>
            </w:r>
          </w:p>
        </w:tc>
        <w:tc>
          <w:tcPr>
            <w:tcW w:type="dxa" w:w="4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237,265 </w:t>
            </w:r>
          </w:p>
        </w:tc>
      </w:tr>
    </w:tbl>
    <w:p>
      <w:pPr>
        <w:autoSpaceDN w:val="0"/>
        <w:autoSpaceDE w:val="0"/>
        <w:widowControl/>
        <w:spacing w:line="222" w:lineRule="exact" w:before="44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IBRD’s borrowings have original maturities ranging from 34 days to 50 years, with the final maturity in 2073.</w:t>
      </w:r>
    </w:p>
    <w:p>
      <w:pPr>
        <w:autoSpaceDN w:val="0"/>
        <w:autoSpaceDE w:val="0"/>
        <w:widowControl/>
        <w:spacing w:line="246" w:lineRule="exact" w:before="25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F—DERIVATIVE INSTRUMENTS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uses derivative instruments in its investment, loan and borrowing portfolios, and for asset/liability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purposes. It also offers derivative intermediation services to clients and, concurrently, enters into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offsetting transactions with market counterparties. </w:t>
      </w:r>
    </w:p>
    <w:p>
      <w:pPr>
        <w:autoSpaceDN w:val="0"/>
        <w:autoSpaceDE w:val="0"/>
        <w:widowControl/>
        <w:spacing w:line="222" w:lineRule="exact" w:before="138" w:after="168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 summarizes IBRD’s use of derivatives in its various financial portfolios: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40"/>
        </w:trPr>
        <w:tc>
          <w:tcPr>
            <w:tcW w:type="dxa" w:w="22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Portfolio</w:t>
            </w:r>
          </w:p>
        </w:tc>
        <w:tc>
          <w:tcPr>
            <w:tcW w:type="dxa" w:w="337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/>
                <w:color w:val="000000"/>
                <w:sz w:val="16"/>
              </w:rPr>
              <w:t>Derivative instruments used</w:t>
            </w:r>
          </w:p>
        </w:tc>
        <w:tc>
          <w:tcPr>
            <w:tcW w:type="dxa" w:w="37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/>
                <w:color w:val="000000"/>
                <w:sz w:val="16"/>
              </w:rPr>
              <w:t>Purpose / Risk being managed</w:t>
            </w:r>
          </w:p>
        </w:tc>
      </w:tr>
    </w:tbl>
    <w:p>
      <w:pPr>
        <w:autoSpaceDN w:val="0"/>
        <w:autoSpaceDE w:val="0"/>
        <w:widowControl/>
        <w:spacing w:line="178" w:lineRule="exact" w:before="18" w:after="2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Risk management purposes: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3147"/>
        <w:gridCol w:w="3147"/>
        <w:gridCol w:w="3147"/>
      </w:tblGrid>
      <w:tr>
        <w:trPr>
          <w:trHeight w:hRule="exact" w:val="214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swaps, currency forward contracts, 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Manage currency and interest rate risk</w:t>
            </w:r>
          </w:p>
        </w:tc>
      </w:tr>
    </w:tbl>
    <w:p>
      <w:pPr>
        <w:autoSpaceDN w:val="0"/>
        <w:autoSpaceDE w:val="0"/>
        <w:widowControl/>
        <w:spacing w:line="190" w:lineRule="exact" w:before="0" w:after="38"/>
        <w:ind w:left="2388" w:right="38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interest rate swaps, options, swaptions and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futures contracts, to-be-announced (TBA)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securities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10"/>
        </w:trPr>
        <w:tc>
          <w:tcPr>
            <w:tcW w:type="dxa" w:w="15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</w:t>
            </w:r>
          </w:p>
        </w:tc>
        <w:tc>
          <w:tcPr>
            <w:tcW w:type="dxa" w:w="39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8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interest rate swaps</w:t>
            </w:r>
          </w:p>
        </w:tc>
        <w:tc>
          <w:tcPr>
            <w:tcW w:type="dxa" w:w="38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Manage currency risk and interest rate risk </w:t>
            </w:r>
          </w:p>
        </w:tc>
      </w:tr>
    </w:tbl>
    <w:p>
      <w:pPr>
        <w:autoSpaceDN w:val="0"/>
        <w:autoSpaceDE w:val="0"/>
        <w:widowControl/>
        <w:spacing w:line="178" w:lineRule="exact" w:before="0" w:after="30"/>
        <w:ind w:left="0" w:right="1286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between loans and borrowings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08"/>
        </w:trPr>
        <w:tc>
          <w:tcPr>
            <w:tcW w:type="dxa" w:w="1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37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interest rate swaps</w:t>
            </w:r>
          </w:p>
        </w:tc>
        <w:tc>
          <w:tcPr>
            <w:tcW w:type="dxa" w:w="38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Manage currency risk and interest rate risk </w:t>
            </w:r>
          </w:p>
        </w:tc>
      </w:tr>
    </w:tbl>
    <w:p>
      <w:pPr>
        <w:autoSpaceDN w:val="0"/>
        <w:autoSpaceDE w:val="0"/>
        <w:widowControl/>
        <w:spacing w:line="178" w:lineRule="exact" w:before="0" w:after="32"/>
        <w:ind w:left="0" w:right="1286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between loans and borrowings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00"/>
        </w:trPr>
        <w:tc>
          <w:tcPr>
            <w:tcW w:type="dxa" w:w="22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asset/liability </w:t>
            </w:r>
          </w:p>
        </w:tc>
        <w:tc>
          <w:tcPr>
            <w:tcW w:type="dxa" w:w="32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interest rate swaps</w:t>
            </w:r>
          </w:p>
        </w:tc>
        <w:tc>
          <w:tcPr>
            <w:tcW w:type="dxa" w:w="38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Manage currency risk and the duration of IBRD’s </w:t>
            </w:r>
          </w:p>
        </w:tc>
      </w:tr>
      <w:tr>
        <w:trPr>
          <w:trHeight w:hRule="exact" w:val="234"/>
        </w:trPr>
        <w:tc>
          <w:tcPr>
            <w:tcW w:type="dxa" w:w="22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management derivatives</w:t>
            </w:r>
          </w:p>
        </w:tc>
        <w:tc>
          <w:tcPr>
            <w:tcW w:type="dxa" w:w="314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4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equity </w:t>
            </w:r>
          </w:p>
        </w:tc>
      </w:tr>
    </w:tbl>
    <w:p>
      <w:pPr>
        <w:autoSpaceDN w:val="0"/>
        <w:autoSpaceDE w:val="0"/>
        <w:widowControl/>
        <w:spacing w:line="178" w:lineRule="exact" w:before="14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Other purposes: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3147"/>
        <w:gridCol w:w="3147"/>
        <w:gridCol w:w="3147"/>
      </w:tblGrid>
      <w:tr>
        <w:trPr>
          <w:trHeight w:hRule="exact" w:val="214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Client operations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4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swaps, currency forward contracts,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Assist clients in managing risks</w:t>
            </w:r>
          </w:p>
        </w:tc>
      </w:tr>
    </w:tbl>
    <w:p>
      <w:pPr>
        <w:autoSpaceDN w:val="0"/>
        <w:autoSpaceDE w:val="0"/>
        <w:widowControl/>
        <w:spacing w:line="178" w:lineRule="exact" w:before="8" w:after="0"/>
        <w:ind w:left="0" w:right="540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>and interest rate swaps</w:t>
      </w:r>
    </w:p>
    <w:p>
      <w:pPr>
        <w:autoSpaceDN w:val="0"/>
        <w:autoSpaceDE w:val="0"/>
        <w:widowControl/>
        <w:spacing w:line="220" w:lineRule="exact" w:before="22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Under client operations, derivative intermediation services are provided to the following: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/>
          <w:i/>
          <w:color w:val="000000"/>
          <w:sz w:val="20"/>
        </w:rPr>
        <w:t xml:space="preserve">Borrowing Countries: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Currency and interest rate swap transactions are executed between IBRD and its borrowers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under master derivatives agreements.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/>
          <w:i/>
          <w:color w:val="000000"/>
          <w:sz w:val="20"/>
        </w:rPr>
        <w:t>Non-Affiliated Organizations: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IBRD has a master derivatives agreement with the International Finance Facility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Immunisation (IFFIm), under which several transactions have been executed.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/>
          <w:i/>
          <w:color w:val="000000"/>
          <w:sz w:val="20"/>
        </w:rPr>
        <w:t>Affiliated Organizations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: Derivative contracts are executed between IBRD and IDA, under an agreement allowing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IBRD to intermediate derivative contracts on behalf of IDA.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derivatives in the related tables of Note F are presented on a net basis by instrument. A reconciliation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presentation in the Balance Sheets is shown in Table F1.</w:t>
      </w:r>
    </w:p>
    <w:p>
      <w:pPr>
        <w:autoSpaceDN w:val="0"/>
        <w:autoSpaceDE w:val="0"/>
        <w:widowControl/>
        <w:spacing w:line="244" w:lineRule="exact" w:before="13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Offsetting assets and liabilities</w:t>
      </w:r>
    </w:p>
    <w:p>
      <w:pPr>
        <w:autoSpaceDN w:val="0"/>
        <w:autoSpaceDE w:val="0"/>
        <w:widowControl/>
        <w:spacing w:line="240" w:lineRule="exact" w:before="128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enters into International Swaps and Derivatives Association, Inc. (ISDA) master netting agreements with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substantially all of its derivative counterparties. These legally enforceable master netting agreements give IBRD the </w:t>
      </w:r>
    </w:p>
    <w:p>
      <w:pPr>
        <w:autoSpaceDN w:val="0"/>
        <w:tabs>
          <w:tab w:pos="858" w:val="left"/>
        </w:tabs>
        <w:autoSpaceDE w:val="0"/>
        <w:widowControl/>
        <w:spacing w:line="224" w:lineRule="exact" w:before="912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2024</w:t>
      </w:r>
    </w:p>
    <w:p>
      <w:pPr>
        <w:sectPr>
          <w:pgSz w:w="12240" w:h="15840"/>
          <w:pgMar w:top="700" w:right="137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right to liquidate securities held as collateral and to offset receivables and payables with the same counterparty in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event of default by the counterparty.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tables summarize the gross and net derivative positions by instrument type. Instruments that are in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net asset position are included in the Derivative Assets columns and instruments that are in a net liability position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are included in the Derivative Liabilities columns.  The effects of the ISDA master netting agreements are applied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 aggregate basis to the total derivative asset and liability positions and are presented net of any cash collateral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received on the Balance Sheets. The net derivative asset positions in the tables below have been further reduced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any securities received as collateral to show IBRD’s net exposure on its derivative asset positions. 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F1: Derivative assets and liabilities before and after netting adjustments</w:t>
      </w:r>
    </w:p>
    <w:p>
      <w:pPr>
        <w:autoSpaceDN w:val="0"/>
        <w:autoSpaceDE w:val="0"/>
        <w:widowControl/>
        <w:spacing w:line="178" w:lineRule="exact" w:before="15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40"/>
        </w:trPr>
        <w:tc>
          <w:tcPr>
            <w:tcW w:type="dxa" w:w="40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4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1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  <w:tc>
          <w:tcPr>
            <w:tcW w:type="dxa" w:w="2640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4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2023</w:t>
            </w:r>
          </w:p>
        </w:tc>
      </w:tr>
      <w:tr>
        <w:trPr>
          <w:trHeight w:hRule="exact" w:val="220"/>
        </w:trPr>
        <w:tc>
          <w:tcPr>
            <w:tcW w:type="dxa" w:w="40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Derivative </w:t>
            </w:r>
          </w:p>
        </w:tc>
        <w:tc>
          <w:tcPr>
            <w:tcW w:type="dxa" w:w="138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Derivative </w:t>
            </w:r>
          </w:p>
        </w:tc>
        <w:tc>
          <w:tcPr>
            <w:tcW w:type="dxa" w:w="145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7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Derivative </w:t>
            </w:r>
          </w:p>
        </w:tc>
        <w:tc>
          <w:tcPr>
            <w:tcW w:type="dxa" w:w="118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1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Derivative </w:t>
            </w:r>
          </w:p>
        </w:tc>
      </w:tr>
      <w:tr>
        <w:trPr>
          <w:trHeight w:hRule="exact" w:val="214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Assets</w:t>
            </w:r>
          </w:p>
        </w:tc>
        <w:tc>
          <w:tcPr>
            <w:tcW w:type="dxa" w:w="138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0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Liabilities</w:t>
            </w:r>
          </w:p>
        </w:tc>
        <w:tc>
          <w:tcPr>
            <w:tcW w:type="dxa" w:w="145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43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Assets</w:t>
            </w:r>
          </w:p>
        </w:tc>
        <w:tc>
          <w:tcPr>
            <w:tcW w:type="dxa" w:w="118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8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Liabilities</w:t>
            </w:r>
          </w:p>
        </w:tc>
      </w:tr>
      <w:tr>
        <w:trPr>
          <w:trHeight w:hRule="exact" w:val="206"/>
        </w:trPr>
        <w:tc>
          <w:tcPr>
            <w:tcW w:type="dxa" w:w="40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3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7,977 </w:t>
            </w:r>
          </w:p>
        </w:tc>
        <w:tc>
          <w:tcPr>
            <w:tcW w:type="dxa" w:w="68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24,759 </w:t>
            </w:r>
          </w:p>
        </w:tc>
        <w:tc>
          <w:tcPr>
            <w:tcW w:type="dxa" w:w="5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8,193 </w:t>
            </w:r>
          </w:p>
        </w:tc>
        <w:tc>
          <w:tcPr>
            <w:tcW w:type="dxa" w:w="48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28,172 </w:t>
            </w:r>
          </w:p>
        </w:tc>
      </w:tr>
      <w:tr>
        <w:trPr>
          <w:trHeight w:hRule="exact" w:val="220"/>
        </w:trPr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4,057 </w:t>
            </w:r>
          </w:p>
        </w:tc>
        <w:tc>
          <w:tcPr>
            <w:tcW w:type="dxa" w:w="13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9,907 </w:t>
            </w:r>
          </w:p>
        </w:tc>
        <w:tc>
          <w:tcPr>
            <w:tcW w:type="dxa" w:w="14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4,623 </w:t>
            </w:r>
          </w:p>
        </w:tc>
        <w:tc>
          <w:tcPr>
            <w:tcW w:type="dxa" w:w="11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11,564 </w:t>
            </w:r>
          </w:p>
        </w:tc>
      </w:tr>
      <w:tr>
        <w:trPr>
          <w:trHeight w:hRule="exact" w:val="250"/>
        </w:trPr>
        <w:tc>
          <w:tcPr>
            <w:tcW w:type="dxa" w:w="40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38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45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18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  <w:tr>
        <w:trPr>
          <w:trHeight w:hRule="exact" w:val="220"/>
        </w:trPr>
        <w:tc>
          <w:tcPr>
            <w:tcW w:type="dxa" w:w="40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Gross Total</w:t>
            </w:r>
          </w:p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12,035 </w:t>
            </w:r>
          </w:p>
        </w:tc>
        <w:tc>
          <w:tcPr>
            <w:tcW w:type="dxa" w:w="68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34,666 </w:t>
            </w:r>
          </w:p>
        </w:tc>
        <w:tc>
          <w:tcPr>
            <w:tcW w:type="dxa" w:w="5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12,816 </w:t>
            </w:r>
          </w:p>
        </w:tc>
        <w:tc>
          <w:tcPr>
            <w:tcW w:type="dxa" w:w="48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39,742 </w:t>
            </w:r>
          </w:p>
        </w:tc>
      </w:tr>
    </w:tbl>
    <w:p>
      <w:pPr>
        <w:autoSpaceDN w:val="0"/>
        <w:autoSpaceDE w:val="0"/>
        <w:widowControl/>
        <w:spacing w:line="178" w:lineRule="exact" w:before="34" w:after="5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38"/>
        </w:trPr>
        <w:tc>
          <w:tcPr>
            <w:tcW w:type="dxa" w:w="4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Amounts subject to legally enforceable master netting </w:t>
            </w:r>
          </w:p>
        </w:tc>
        <w:tc>
          <w:tcPr>
            <w:tcW w:type="dxa" w:w="3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11,558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ᵈ</w:t>
            </w:r>
          </w:p>
        </w:tc>
        <w:tc>
          <w:tcPr>
            <w:tcW w:type="dxa" w:w="3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11,938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ᵉ</w:t>
            </w:r>
          </w:p>
        </w:tc>
        <w:tc>
          <w:tcPr>
            <w:tcW w:type="dxa" w:w="3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12,405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ᵈ</w:t>
            </w:r>
          </w:p>
        </w:tc>
        <w:tc>
          <w:tcPr>
            <w:tcW w:type="dxa" w:w="3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0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12,849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ᵉ</w:t>
            </w:r>
          </w:p>
        </w:tc>
      </w:tr>
      <w:tr>
        <w:trPr>
          <w:trHeight w:hRule="exact" w:val="200"/>
        </w:trPr>
        <w:tc>
          <w:tcPr>
            <w:tcW w:type="dxa" w:w="4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agreements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41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Cash collateral received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140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29"/>
        </w:trPr>
        <w:tc>
          <w:tcPr>
            <w:tcW w:type="dxa" w:w="41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derivative position on the Balance Sheet</w:t>
            </w:r>
          </w:p>
        </w:tc>
        <w:tc>
          <w:tcPr>
            <w:tcW w:type="dxa" w:w="3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456 </w:t>
            </w:r>
          </w:p>
        </w:tc>
        <w:tc>
          <w:tcPr>
            <w:tcW w:type="dxa" w:w="3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22,728 </w:t>
            </w:r>
          </w:p>
        </w:tc>
        <w:tc>
          <w:tcPr>
            <w:tcW w:type="dxa" w:w="3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271 </w:t>
            </w:r>
          </w:p>
        </w:tc>
        <w:tc>
          <w:tcPr>
            <w:tcW w:type="dxa" w:w="3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26,893 </w:t>
            </w:r>
          </w:p>
        </w:tc>
      </w:tr>
    </w:tbl>
    <w:p>
      <w:pPr>
        <w:autoSpaceDN w:val="0"/>
        <w:autoSpaceDE w:val="0"/>
        <w:widowControl/>
        <w:spacing w:line="178" w:lineRule="exact" w:before="36" w:after="14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34"/>
        </w:trPr>
        <w:tc>
          <w:tcPr>
            <w:tcW w:type="dxa" w:w="42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collateral received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4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298 </w:t>
            </w:r>
          </w:p>
        </w:tc>
        <w:tc>
          <w:tcPr>
            <w:tcW w:type="dxa" w:w="20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145 </w:t>
            </w:r>
          </w:p>
        </w:tc>
      </w:tr>
      <w:tr>
        <w:trPr>
          <w:trHeight w:hRule="exact" w:val="220"/>
        </w:trPr>
        <w:tc>
          <w:tcPr>
            <w:tcW w:type="dxa" w:w="4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derivative exposure after collateral</w:t>
            </w:r>
          </w:p>
        </w:tc>
        <w:tc>
          <w:tcPr>
            <w:tcW w:type="dxa" w:w="4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158 </w:t>
            </w:r>
          </w:p>
        </w:tc>
        <w:tc>
          <w:tcPr>
            <w:tcW w:type="dxa" w:w="20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126 </w:t>
            </w:r>
          </w:p>
        </w:tc>
      </w:tr>
    </w:tbl>
    <w:p>
      <w:pPr>
        <w:autoSpaceDN w:val="0"/>
        <w:autoSpaceDE w:val="0"/>
        <w:widowControl/>
        <w:spacing w:line="178" w:lineRule="exact" w:before="270" w:after="0"/>
        <w:ind w:left="6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Includes currency forward contracts.</w:t>
      </w:r>
    </w:p>
    <w:p>
      <w:pPr>
        <w:autoSpaceDN w:val="0"/>
        <w:autoSpaceDE w:val="0"/>
        <w:widowControl/>
        <w:spacing w:line="178" w:lineRule="exact" w:before="46" w:after="0"/>
        <w:ind w:left="6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Relate to swaptions, options and futures contracts.</w:t>
      </w:r>
    </w:p>
    <w:p>
      <w:pPr>
        <w:autoSpaceDN w:val="0"/>
        <w:autoSpaceDE w:val="0"/>
        <w:widowControl/>
        <w:spacing w:line="180" w:lineRule="exact" w:before="54" w:after="0"/>
        <w:ind w:left="6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Does not include excess collateral received.</w:t>
      </w:r>
    </w:p>
    <w:p>
      <w:pPr>
        <w:autoSpaceDN w:val="0"/>
        <w:autoSpaceDE w:val="0"/>
        <w:widowControl/>
        <w:spacing w:line="178" w:lineRule="exact" w:before="5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d. Includes $29 million Credit Valuation Adjustment (CVA) ($27 million—June 30, 2023).</w:t>
      </w:r>
    </w:p>
    <w:p>
      <w:pPr>
        <w:autoSpaceDN w:val="0"/>
        <w:autoSpaceDE w:val="0"/>
        <w:widowControl/>
        <w:spacing w:line="178" w:lineRule="exact" w:before="4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e. Includes $409 million Debit Valuation Adjustment (DVA) ($471 million—June 30, 2023).</w:t>
      </w:r>
    </w:p>
    <w:p>
      <w:pPr>
        <w:autoSpaceDN w:val="0"/>
        <w:tabs>
          <w:tab w:pos="8998" w:val="left"/>
        </w:tabs>
        <w:autoSpaceDE w:val="0"/>
        <w:widowControl/>
        <w:spacing w:line="224" w:lineRule="exact" w:before="6014" w:after="0"/>
        <w:ind w:left="42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2024 </w:t>
      </w:r>
      <w:r>
        <w:rPr>
          <w:rFonts w:ascii="ArialMT" w:hAnsi="ArialMT" w:eastAsia="ArialMT"/>
          <w:b w:val="0"/>
          <w:i w:val="0"/>
          <w:color w:val="000000"/>
          <w:sz w:val="20"/>
        </w:rPr>
        <w:t>113</w:t>
      </w:r>
    </w:p>
    <w:p>
      <w:pPr>
        <w:sectPr>
          <w:pgSz w:w="12240" w:h="15840"/>
          <w:pgMar w:top="700" w:right="137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tables provide information about the credit risk exposures at fair value of IBRD’s derivative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instruments by portfolio, before the effects of master netting arrangements and collateral:</w:t>
      </w:r>
    </w:p>
    <w:p>
      <w:pPr>
        <w:autoSpaceDN w:val="0"/>
        <w:autoSpaceDE w:val="0"/>
        <w:widowControl/>
        <w:spacing w:line="248" w:lineRule="exact" w:before="108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F2: Credit risk exposure of the derivative instruments </w:t>
      </w:r>
      <w:r>
        <w:rPr>
          <w:rFonts w:ascii="TimesNewRoman" w:hAnsi="TimesNewRoman" w:eastAsia="TimesNewRoman"/>
          <w:b/>
          <w:i w:val="0"/>
          <w:color w:val="000000"/>
          <w:sz w:val="13"/>
        </w:rPr>
        <w:t>a</w:t>
      </w:r>
    </w:p>
    <w:p>
      <w:pPr>
        <w:autoSpaceDN w:val="0"/>
        <w:autoSpaceDE w:val="0"/>
        <w:widowControl/>
        <w:spacing w:line="178" w:lineRule="exact" w:before="9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0"/>
        <w:ind w:left="0" w:right="251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2024</w:t>
      </w:r>
    </w:p>
    <w:p>
      <w:pPr>
        <w:autoSpaceDN w:val="0"/>
        <w:autoSpaceDE w:val="0"/>
        <w:widowControl/>
        <w:spacing w:line="192" w:lineRule="exact" w:before="70" w:after="6"/>
        <w:ind w:left="5328" w:right="2016" w:firstLine="0"/>
        <w:jc w:val="center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Currency swaps (including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 xml:space="preserve">currency forward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16"/>
        </w:trPr>
        <w:tc>
          <w:tcPr>
            <w:tcW w:type="dxa" w:w="34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Portfolio</w:t>
            </w:r>
          </w:p>
        </w:tc>
        <w:tc>
          <w:tcPr>
            <w:tcW w:type="dxa" w:w="2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Interest rate swaps</w:t>
            </w:r>
          </w:p>
        </w:tc>
        <w:tc>
          <w:tcPr>
            <w:tcW w:type="dxa" w:w="4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3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contracts)</w:t>
            </w:r>
          </w:p>
        </w:tc>
        <w:tc>
          <w:tcPr>
            <w:tcW w:type="dxa" w:w="5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3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14"/>
        </w:trPr>
        <w:tc>
          <w:tcPr>
            <w:tcW w:type="dxa" w:w="34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</w:t>
            </w:r>
          </w:p>
        </w:tc>
        <w:tc>
          <w:tcPr>
            <w:tcW w:type="dxa" w:w="2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4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812 </w:t>
            </w:r>
          </w:p>
        </w:tc>
        <w:tc>
          <w:tcPr>
            <w:tcW w:type="dxa" w:w="52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826 </w:t>
            </w:r>
          </w:p>
        </w:tc>
      </w:tr>
      <w:tr>
        <w:trPr>
          <w:trHeight w:hRule="exact" w:val="220"/>
        </w:trPr>
        <w:tc>
          <w:tcPr>
            <w:tcW w:type="dxa" w:w="3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5,893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1,314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7,207 </w:t>
            </w:r>
          </w:p>
        </w:tc>
      </w:tr>
      <w:tr>
        <w:trPr>
          <w:trHeight w:hRule="exact" w:val="240"/>
        </w:trPr>
        <w:tc>
          <w:tcPr>
            <w:tcW w:type="dxa" w:w="3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Client operations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274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424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698 </w:t>
            </w:r>
          </w:p>
        </w:tc>
      </w:tr>
      <w:tr>
        <w:trPr>
          <w:trHeight w:hRule="exact" w:val="220"/>
        </w:trPr>
        <w:tc>
          <w:tcPr>
            <w:tcW w:type="dxa" w:w="3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1,555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1,507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3,062 </w:t>
            </w:r>
          </w:p>
        </w:tc>
      </w:tr>
      <w:tr>
        <w:trPr>
          <w:trHeight w:hRule="exact" w:val="230"/>
        </w:trPr>
        <w:tc>
          <w:tcPr>
            <w:tcW w:type="dxa" w:w="34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asset/liability management derivatives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241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241 </w:t>
            </w:r>
          </w:p>
        </w:tc>
      </w:tr>
      <w:tr>
        <w:trPr>
          <w:trHeight w:hRule="exact" w:val="204"/>
        </w:trPr>
        <w:tc>
          <w:tcPr>
            <w:tcW w:type="dxa" w:w="34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Exposure</w:t>
            </w:r>
          </w:p>
        </w:tc>
        <w:tc>
          <w:tcPr>
            <w:tcW w:type="dxa" w:w="2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7,977 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4,057 </w:t>
            </w:r>
          </w:p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12,034 </w:t>
            </w:r>
          </w:p>
        </w:tc>
      </w:tr>
    </w:tbl>
    <w:p>
      <w:pPr>
        <w:autoSpaceDN w:val="0"/>
        <w:autoSpaceDE w:val="0"/>
        <w:widowControl/>
        <w:spacing w:line="220" w:lineRule="exact" w:before="364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F2.1</w:t>
      </w:r>
    </w:p>
    <w:p>
      <w:pPr>
        <w:autoSpaceDN w:val="0"/>
        <w:autoSpaceDE w:val="0"/>
        <w:widowControl/>
        <w:spacing w:line="178" w:lineRule="exact" w:before="14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54" w:after="0"/>
        <w:ind w:left="0" w:right="251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2023</w:t>
      </w:r>
    </w:p>
    <w:p>
      <w:pPr>
        <w:autoSpaceDN w:val="0"/>
        <w:autoSpaceDE w:val="0"/>
        <w:widowControl/>
        <w:spacing w:line="192" w:lineRule="exact" w:before="68" w:after="8"/>
        <w:ind w:left="5328" w:right="2016" w:firstLine="0"/>
        <w:jc w:val="center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Currency swaps (including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 xml:space="preserve">currency forward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14"/>
        </w:trPr>
        <w:tc>
          <w:tcPr>
            <w:tcW w:type="dxa" w:w="34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Portfolio</w:t>
            </w:r>
          </w:p>
        </w:tc>
        <w:tc>
          <w:tcPr>
            <w:tcW w:type="dxa" w:w="2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Interest rate swaps</w:t>
            </w:r>
          </w:p>
        </w:tc>
        <w:tc>
          <w:tcPr>
            <w:tcW w:type="dxa" w:w="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3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contracts)</w:t>
            </w:r>
          </w:p>
        </w:tc>
        <w:tc>
          <w:tcPr>
            <w:tcW w:type="dxa" w:w="5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3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10"/>
        </w:trPr>
        <w:tc>
          <w:tcPr>
            <w:tcW w:type="dxa" w:w="34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</w:t>
            </w:r>
          </w:p>
        </w:tc>
        <w:tc>
          <w:tcPr>
            <w:tcW w:type="dxa" w:w="2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 </w:t>
            </w:r>
          </w:p>
        </w:tc>
        <w:tc>
          <w:tcPr>
            <w:tcW w:type="dxa" w:w="4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926 </w:t>
            </w:r>
          </w:p>
        </w:tc>
        <w:tc>
          <w:tcPr>
            <w:tcW w:type="dxa" w:w="52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944 </w:t>
            </w:r>
          </w:p>
        </w:tc>
      </w:tr>
      <w:tr>
        <w:trPr>
          <w:trHeight w:hRule="exact" w:val="240"/>
        </w:trPr>
        <w:tc>
          <w:tcPr>
            <w:tcW w:type="dxa" w:w="3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6,032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1,486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7,518 </w:t>
            </w:r>
          </w:p>
        </w:tc>
      </w:tr>
      <w:tr>
        <w:trPr>
          <w:trHeight w:hRule="exact" w:val="220"/>
        </w:trPr>
        <w:tc>
          <w:tcPr>
            <w:tcW w:type="dxa" w:w="3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Client operations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323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531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854 </w:t>
            </w:r>
          </w:p>
        </w:tc>
      </w:tr>
      <w:tr>
        <w:trPr>
          <w:trHeight w:hRule="exact" w:val="220"/>
        </w:trPr>
        <w:tc>
          <w:tcPr>
            <w:tcW w:type="dxa" w:w="3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1,415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1,680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3,095 </w:t>
            </w:r>
          </w:p>
        </w:tc>
      </w:tr>
      <w:tr>
        <w:trPr>
          <w:trHeight w:hRule="exact" w:val="234"/>
        </w:trPr>
        <w:tc>
          <w:tcPr>
            <w:tcW w:type="dxa" w:w="34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asset/liability management derivatives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405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405 </w:t>
            </w:r>
          </w:p>
        </w:tc>
      </w:tr>
      <w:tr>
        <w:trPr>
          <w:trHeight w:hRule="exact" w:val="206"/>
        </w:trPr>
        <w:tc>
          <w:tcPr>
            <w:tcW w:type="dxa" w:w="34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Exposure</w:t>
            </w:r>
          </w:p>
        </w:tc>
        <w:tc>
          <w:tcPr>
            <w:tcW w:type="dxa" w:w="2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8,193 </w:t>
            </w:r>
          </w:p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4,623 </w:t>
            </w:r>
          </w:p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2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12,816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222" w:after="0"/>
        <w:ind w:left="62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Excludes exchange traded instruments as they are generally subject to daily margin requirements and are deemed to have no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material credit risk.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volume of derivative contracts is measured using the U.S. dollar equivalent notional balance. The notional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balance represents the face value or reference value on which the calculations of payments on the derivative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instruments are determined. As of June 30, 2024, the notional amounts of IBRD’s derivative contracts outstanding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were as follows: interest rate swaps $436,783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million ($443,108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million—June 30, 2023), currency swaps $120,483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million ($115,634 million—June 30, 2023), long positions of other derivatives $280 million ($360 million—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June 30, 2023), and short positions of other derivatives $201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 ($113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million—June 30, 2023).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is not required to post collateral under its derivative agreements as long as it maintains a triple-A credit rating.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aggregate fair value of all derivative instruments with credit-risk related contingent features that were in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liability position as of June 30, 2024 was $22,858 million ($27,110 million—June 30, 2023). IBRD has not posted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any collateral with these counterparties due to its triple-A credit rating.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If the credit risk related contingent features underlying these agreements were triggered to the extent that IBRD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would be required to post collateral as of June 30, 2024, the amount of collateral that would need to be posted would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be $18,593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million ($22,746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million—June 30, 2023). Subsequent triggers of contingent features would require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posting of additional collateral, up to a maximum of $22,858 million ($27,110 million—June 30, 2023). IBRD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received collateral totaling $343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million as of June 30, 2024 ($301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million—June 30, 2023), in relation to swap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transactions (see Note C—Investments).</w:t>
      </w:r>
    </w:p>
    <w:p>
      <w:pPr>
        <w:autoSpaceDN w:val="0"/>
        <w:tabs>
          <w:tab w:pos="858" w:val="left"/>
        </w:tabs>
        <w:autoSpaceDE w:val="0"/>
        <w:widowControl/>
        <w:spacing w:line="224" w:lineRule="exact" w:before="2250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2024</w:t>
      </w:r>
    </w:p>
    <w:p>
      <w:pPr>
        <w:sectPr>
          <w:pgSz w:w="12240" w:h="15840"/>
          <w:pgMar w:top="700" w:right="137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 provides information on the unrealized mark-to-market gains and losses on the non-trading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derivatives and their location on the Statements of Income: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F3: Unrealized mark-to-market gains or losses on non-trading derivatives</w:t>
      </w:r>
    </w:p>
    <w:p>
      <w:pPr>
        <w:autoSpaceDN w:val="0"/>
        <w:autoSpaceDE w:val="0"/>
        <w:widowControl/>
        <w:spacing w:line="178" w:lineRule="exact" w:before="15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26"/>
        </w:trPr>
        <w:tc>
          <w:tcPr>
            <w:tcW w:type="dxa" w:w="31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Reported as:</w:t>
            </w:r>
          </w:p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3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11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2022</w:t>
            </w:r>
          </w:p>
        </w:tc>
      </w:tr>
      <w:tr>
        <w:trPr>
          <w:trHeight w:hRule="exact" w:val="214"/>
        </w:trPr>
        <w:tc>
          <w:tcPr>
            <w:tcW w:type="dxa" w:w="319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22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Unrealized mark-to-market </w:t>
            </w:r>
          </w:p>
        </w:tc>
        <w:tc>
          <w:tcPr>
            <w:tcW w:type="dxa" w:w="3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3,324 </w:t>
            </w:r>
          </w:p>
        </w:tc>
        <w:tc>
          <w:tcPr>
            <w:tcW w:type="dxa" w:w="3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(4,948) </w:t>
            </w:r>
          </w:p>
        </w:tc>
        <w:tc>
          <w:tcPr>
            <w:tcW w:type="dxa" w:w="11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(13,844) </w:t>
            </w:r>
          </w:p>
        </w:tc>
      </w:tr>
      <w:tr>
        <w:trPr>
          <w:trHeight w:hRule="exact" w:val="230"/>
        </w:trPr>
        <w:tc>
          <w:tcPr>
            <w:tcW w:type="dxa" w:w="3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(including currency </w:t>
            </w:r>
          </w:p>
        </w:tc>
        <w:tc>
          <w:tcPr>
            <w:tcW w:type="dxa" w:w="2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gains (losses) on non-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1,145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(867) </w:t>
            </w:r>
          </w:p>
        </w:tc>
        <w:tc>
          <w:tcPr>
            <w:tcW w:type="dxa" w:w="11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(4,336) </w:t>
            </w:r>
          </w:p>
        </w:tc>
      </w:tr>
      <w:tr>
        <w:trPr>
          <w:trHeight w:hRule="exact" w:val="230"/>
        </w:trPr>
        <w:tc>
          <w:tcPr>
            <w:tcW w:type="dxa" w:w="31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forward contracts and structured swaps)</w:t>
            </w:r>
          </w:p>
        </w:tc>
        <w:tc>
          <w:tcPr>
            <w:tcW w:type="dxa" w:w="22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trading portfolios, net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06"/>
        </w:trPr>
        <w:tc>
          <w:tcPr>
            <w:tcW w:type="dxa" w:w="31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2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4,469 </w:t>
            </w:r>
          </w:p>
        </w:tc>
        <w:tc>
          <w:tcPr>
            <w:tcW w:type="dxa" w:w="3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(5,815) </w:t>
            </w:r>
          </w:p>
        </w:tc>
        <w:tc>
          <w:tcPr>
            <w:tcW w:type="dxa" w:w="11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(18,180) </w:t>
            </w:r>
          </w:p>
        </w:tc>
      </w:tr>
    </w:tbl>
    <w:p>
      <w:pPr>
        <w:autoSpaceDN w:val="0"/>
        <w:autoSpaceDE w:val="0"/>
        <w:widowControl/>
        <w:spacing w:line="240" w:lineRule="exact" w:before="39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 of the instruments in IBRD’s investment portfolio are held for trading purposes. Within the investment portfolio,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holds highly rated fixed income securities, equity securities and derivatives. The trading portfolio is primarily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held to ensure the availability of funds to meet future cash flow requirements and for liquidity management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purposes.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 provides information on the amount of unrealized mark-to-market gains and losses on the net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Investment–Trading portfolio and their location on the Statements of Income: 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F4: Unrealized mark-to-market gains or losses on net investment-trading portfolio</w:t>
      </w:r>
    </w:p>
    <w:p>
      <w:pPr>
        <w:autoSpaceDN w:val="0"/>
        <w:autoSpaceDE w:val="0"/>
        <w:widowControl/>
        <w:spacing w:line="178" w:lineRule="exact" w:before="15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0"/>
        <w:gridCol w:w="2360"/>
        <w:gridCol w:w="2360"/>
        <w:gridCol w:w="2360"/>
      </w:tblGrid>
      <w:tr>
        <w:trPr>
          <w:trHeight w:hRule="exact" w:val="240"/>
        </w:trPr>
        <w:tc>
          <w:tcPr>
            <w:tcW w:type="dxa" w:w="5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25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Reported as:</w:t>
            </w:r>
          </w:p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2022</w:t>
            </w:r>
          </w:p>
        </w:tc>
      </w:tr>
    </w:tbl>
    <w:p>
      <w:pPr>
        <w:autoSpaceDN w:val="0"/>
        <w:autoSpaceDE w:val="0"/>
        <w:widowControl/>
        <w:spacing w:line="200" w:lineRule="exact" w:before="0" w:after="2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Type of instrument </w:t>
      </w:r>
      <w:r>
        <w:rPr>
          <w:w w:val="103.99999618530273"/>
          <w:rFonts w:ascii="ArialMT" w:hAnsi="ArialMT" w:eastAsia="ArialMT"/>
          <w:b w:val="0"/>
          <w:i w:val="0"/>
          <w:color w:val="000000"/>
          <w:sz w:val="10"/>
        </w:rPr>
        <w:t>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212"/>
        </w:trPr>
        <w:tc>
          <w:tcPr>
            <w:tcW w:type="dxa" w:w="1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Fixed income </w:t>
            </w:r>
          </w:p>
        </w:tc>
        <w:tc>
          <w:tcPr>
            <w:tcW w:type="dxa" w:w="3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5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Unrealized mark-to-market gains (losses) on </w:t>
            </w:r>
          </w:p>
        </w:tc>
        <w:tc>
          <w:tcPr>
            <w:tcW w:type="dxa" w:w="4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4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</w:t>
            </w:r>
          </w:p>
        </w:tc>
        <w:tc>
          <w:tcPr>
            <w:tcW w:type="dxa" w:w="4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(74) </w:t>
            </w:r>
          </w:p>
        </w:tc>
      </w:tr>
      <w:tr>
        <w:trPr>
          <w:trHeight w:hRule="exact" w:val="270"/>
        </w:trPr>
        <w:tc>
          <w:tcPr>
            <w:tcW w:type="dxa" w:w="1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Equity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38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9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Investments-Trading portfolio, net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84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 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8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(3) </w:t>
            </w:r>
          </w:p>
        </w:tc>
      </w:tr>
      <w:tr>
        <w:trPr>
          <w:trHeight w:hRule="exact" w:val="220"/>
        </w:trPr>
        <w:tc>
          <w:tcPr>
            <w:tcW w:type="dxa" w:w="1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8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 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84 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(77)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282" w:after="0"/>
        <w:ind w:left="62" w:right="576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Amounts associated with each type of instrument include gains and losses on both derivative instruments and investment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securities. 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Related to PEBP holdings.</w:t>
      </w:r>
    </w:p>
    <w:p>
      <w:pPr>
        <w:autoSpaceDN w:val="0"/>
        <w:tabs>
          <w:tab w:pos="8998" w:val="left"/>
        </w:tabs>
        <w:autoSpaceDE w:val="0"/>
        <w:widowControl/>
        <w:spacing w:line="224" w:lineRule="exact" w:before="6490" w:after="0"/>
        <w:ind w:left="42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2024 </w:t>
      </w:r>
      <w:r>
        <w:rPr>
          <w:rFonts w:ascii="ArialMT" w:hAnsi="ArialMT" w:eastAsia="ArialMT"/>
          <w:b w:val="0"/>
          <w:i w:val="0"/>
          <w:color w:val="000000"/>
          <w:sz w:val="20"/>
        </w:rPr>
        <w:t>115</w:t>
      </w:r>
    </w:p>
    <w:p>
      <w:pPr>
        <w:sectPr>
          <w:pgSz w:w="12240" w:h="15840"/>
          <w:pgMar w:top="700" w:right="137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G—RETAINED EARNINGS, ALLOCATIONS AND TRANSFERS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changes in the components of Retained Earnings are summarized below:</w:t>
      </w:r>
    </w:p>
    <w:p>
      <w:pPr>
        <w:autoSpaceDN w:val="0"/>
        <w:autoSpaceDE w:val="0"/>
        <w:widowControl/>
        <w:spacing w:line="248" w:lineRule="exact" w:before="108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G1: Retained Earnings composition </w:t>
      </w:r>
      <w:r>
        <w:rPr>
          <w:rFonts w:ascii="TimesNewRoman" w:hAnsi="TimesNewRoman" w:eastAsia="TimesNewRoman"/>
          <w:b/>
          <w:i w:val="0"/>
          <w:color w:val="000000"/>
          <w:sz w:val="13"/>
        </w:rPr>
        <w:t>a</w:t>
      </w:r>
    </w:p>
    <w:p>
      <w:pPr>
        <w:autoSpaceDN w:val="0"/>
        <w:autoSpaceDE w:val="0"/>
        <w:widowControl/>
        <w:spacing w:line="156" w:lineRule="exact" w:before="162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190"/>
        </w:trPr>
        <w:tc>
          <w:tcPr>
            <w:tcW w:type="dxa" w:w="163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 xml:space="preserve">Special </w:t>
            </w:r>
          </w:p>
        </w:tc>
        <w:tc>
          <w:tcPr>
            <w:tcW w:type="dxa" w:w="854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4" w:after="0"/>
              <w:ind w:left="19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 xml:space="preserve">General </w:t>
            </w:r>
          </w:p>
        </w:tc>
        <w:tc>
          <w:tcPr>
            <w:tcW w:type="dxa" w:w="82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4" w:after="0"/>
              <w:ind w:left="18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 xml:space="preserve">Pension </w:t>
            </w:r>
          </w:p>
        </w:tc>
        <w:tc>
          <w:tcPr>
            <w:tcW w:type="dxa" w:w="70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5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Surplus</w:t>
            </w:r>
          </w:p>
        </w:tc>
        <w:tc>
          <w:tcPr>
            <w:tcW w:type="dxa" w:w="9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 xml:space="preserve">Cumulative </w:t>
            </w:r>
          </w:p>
        </w:tc>
        <w:tc>
          <w:tcPr>
            <w:tcW w:type="dxa" w:w="9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 xml:space="preserve">Unallocated </w:t>
            </w:r>
          </w:p>
        </w:tc>
        <w:tc>
          <w:tcPr>
            <w:tcW w:type="dxa" w:w="9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 xml:space="preserve">Restricted </w:t>
            </w:r>
          </w:p>
        </w:tc>
        <w:tc>
          <w:tcPr>
            <w:tcW w:type="dxa" w:w="9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 xml:space="preserve">Other </w:t>
            </w:r>
          </w:p>
        </w:tc>
        <w:tc>
          <w:tcPr>
            <w:tcW w:type="dxa" w:w="79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5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Total</w:t>
            </w:r>
          </w:p>
        </w:tc>
      </w:tr>
      <w:tr>
        <w:trPr>
          <w:trHeight w:hRule="exact" w:val="160"/>
        </w:trPr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18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 xml:space="preserve">Fair Value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 xml:space="preserve">Net Income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22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 xml:space="preserve">Retained </w:t>
            </w:r>
          </w:p>
        </w:tc>
        <w:tc>
          <w:tcPr>
            <w:tcW w:type="dxa" w:w="944"/>
            <w:vMerge/>
            <w:tcBorders>
              <w:top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04"/>
        </w:trPr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Reserve</w:t>
            </w:r>
          </w:p>
        </w:tc>
        <w:tc>
          <w:tcPr>
            <w:tcW w:type="dxa" w:w="85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18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 xml:space="preserve">Reserve </w:t>
            </w:r>
          </w:p>
        </w:tc>
        <w:tc>
          <w:tcPr>
            <w:tcW w:type="dxa" w:w="8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17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 xml:space="preserve">Reserve </w:t>
            </w:r>
          </w:p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Adjustments</w:t>
            </w:r>
          </w:p>
        </w:tc>
        <w:tc>
          <w:tcPr>
            <w:tcW w:type="dxa" w:w="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 xml:space="preserve">(Loss) </w:t>
            </w:r>
            <w:r>
              <w:rPr>
                <w:w w:val="101.11111534966363"/>
                <w:rFonts w:ascii="Arial" w:hAnsi="Arial" w:eastAsia="Arial"/>
                <w:b w:val="0"/>
                <w:i/>
                <w:color w:val="000000"/>
                <w:sz w:val="9"/>
              </w:rPr>
              <w:t>b</w:t>
            </w:r>
          </w:p>
        </w:tc>
        <w:tc>
          <w:tcPr>
            <w:tcW w:type="dxa" w:w="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 xml:space="preserve">Earnings </w:t>
            </w:r>
          </w:p>
        </w:tc>
        <w:tc>
          <w:tcPr>
            <w:tcW w:type="dxa" w:w="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 xml:space="preserve">reserves </w:t>
            </w:r>
            <w:r>
              <w:rPr>
                <w:w w:val="101.11111534966363"/>
                <w:rFonts w:ascii="Arial" w:hAnsi="Arial" w:eastAsia="Arial"/>
                <w:b w:val="0"/>
                <w:i/>
                <w:color w:val="000000"/>
                <w:sz w:val="9"/>
              </w:rPr>
              <w:t xml:space="preserve"> d</w:t>
            </w:r>
          </w:p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16"/>
        </w:trPr>
        <w:tc>
          <w:tcPr>
            <w:tcW w:type="dxa" w:w="163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As of June 30, 2021</w:t>
            </w:r>
          </w:p>
        </w:tc>
        <w:tc>
          <w:tcPr>
            <w:tcW w:type="dxa" w:w="7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293 </w:t>
            </w:r>
          </w:p>
        </w:tc>
        <w:tc>
          <w:tcPr>
            <w:tcW w:type="dxa" w:w="85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30,387 </w:t>
            </w:r>
          </w:p>
        </w:tc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731 </w:t>
            </w:r>
          </w:p>
        </w:tc>
        <w:tc>
          <w:tcPr>
            <w:tcW w:type="dxa" w:w="7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100 </w:t>
            </w:r>
          </w:p>
        </w:tc>
        <w:tc>
          <w:tcPr>
            <w:tcW w:type="dxa" w:w="9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(3,303) </w:t>
            </w:r>
          </w:p>
        </w:tc>
        <w:tc>
          <w:tcPr>
            <w:tcW w:type="dxa" w:w="9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2,450 </w:t>
            </w:r>
          </w:p>
        </w:tc>
        <w:tc>
          <w:tcPr>
            <w:tcW w:type="dxa" w:w="9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54 </w:t>
            </w:r>
          </w:p>
        </w:tc>
        <w:tc>
          <w:tcPr>
            <w:tcW w:type="dxa" w:w="9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295 </w:t>
            </w:r>
          </w:p>
        </w:tc>
        <w:tc>
          <w:tcPr>
            <w:tcW w:type="dxa" w:w="79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 31,007 </w:t>
            </w:r>
          </w:p>
        </w:tc>
      </w:tr>
      <w:tr>
        <w:trPr>
          <w:trHeight w:hRule="exact" w:val="234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Net income allocation </w:t>
            </w:r>
            <w:r>
              <w:rPr>
                <w:w w:val="101.11111534966363"/>
                <w:rFonts w:ascii="ArialMT" w:hAnsi="ArialMT" w:eastAsia="ArialMT"/>
                <w:b w:val="0"/>
                <w:i w:val="0"/>
                <w:color w:val="000000"/>
                <w:sz w:val="9"/>
              </w:rPr>
              <w:t>b</w:t>
            </w:r>
          </w:p>
        </w:tc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1,077 </w:t>
            </w:r>
          </w:p>
        </w:tc>
        <w:tc>
          <w:tcPr>
            <w:tcW w:type="dxa" w:w="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 (38) 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100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1,218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 (2,177)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 (12)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 (168) </w:t>
            </w:r>
          </w:p>
        </w:tc>
        <w:tc>
          <w:tcPr>
            <w:tcW w:type="dxa" w:w="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</w:tr>
    </w:tbl>
    <w:p>
      <w:pPr>
        <w:autoSpaceDN w:val="0"/>
        <w:autoSpaceDE w:val="0"/>
        <w:widowControl/>
        <w:spacing w:line="168" w:lineRule="exact" w:before="8" w:after="6"/>
        <w:ind w:left="0" w:right="8064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Board of Governors-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approved transfers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146"/>
        </w:trPr>
        <w:tc>
          <w:tcPr>
            <w:tcW w:type="dxa" w:w="1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funded from Surplus </w:t>
            </w:r>
          </w:p>
        </w:tc>
        <w:tc>
          <w:tcPr>
            <w:tcW w:type="dxa" w:w="7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 (100)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4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4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80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4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4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20 </w:t>
            </w:r>
          </w:p>
        </w:tc>
        <w:tc>
          <w:tcPr>
            <w:tcW w:type="dxa" w:w="7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</w:tr>
      <w:tr>
        <w:trPr>
          <w:trHeight w:hRule="exact" w:val="200"/>
        </w:trPr>
        <w:tc>
          <w:tcPr>
            <w:tcW w:type="dxa" w:w="1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and other transfers </w:t>
            </w:r>
            <w:r>
              <w:rPr>
                <w:w w:val="101.11111534966363"/>
                <w:rFonts w:ascii="ArialMT" w:hAnsi="ArialMT" w:eastAsia="ArialMT"/>
                <w:b w:val="0"/>
                <w:i w:val="0"/>
                <w:color w:val="000000"/>
                <w:sz w:val="9"/>
              </w:rPr>
              <w:t>c</w:t>
            </w:r>
          </w:p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6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Net income for the year</w:t>
            </w:r>
          </w:p>
        </w:tc>
        <w:tc>
          <w:tcPr>
            <w:tcW w:type="dxa" w:w="7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5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2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2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3,990 </w:t>
            </w:r>
          </w:p>
        </w:tc>
        <w:tc>
          <w:tcPr>
            <w:tcW w:type="dxa" w:w="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2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2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3,990 </w:t>
            </w:r>
          </w:p>
        </w:tc>
      </w:tr>
      <w:tr>
        <w:trPr>
          <w:trHeight w:hRule="exact" w:val="200"/>
        </w:trPr>
        <w:tc>
          <w:tcPr>
            <w:tcW w:type="dxa" w:w="16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As of June 30, 2022</w:t>
            </w:r>
          </w:p>
        </w:tc>
        <w:tc>
          <w:tcPr>
            <w:tcW w:type="dxa" w:w="7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293 </w:t>
            </w:r>
          </w:p>
        </w:tc>
        <w:tc>
          <w:tcPr>
            <w:tcW w:type="dxa" w:w="85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31,464 </w:t>
            </w:r>
          </w:p>
        </w:tc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693 </w:t>
            </w:r>
          </w:p>
        </w:tc>
        <w:tc>
          <w:tcPr>
            <w:tcW w:type="dxa" w:w="7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100 </w:t>
            </w:r>
          </w:p>
        </w:tc>
        <w:tc>
          <w:tcPr>
            <w:tcW w:type="dxa" w:w="9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(2,085) </w:t>
            </w:r>
          </w:p>
        </w:tc>
        <w:tc>
          <w:tcPr>
            <w:tcW w:type="dxa" w:w="9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4,343 </w:t>
            </w:r>
          </w:p>
        </w:tc>
        <w:tc>
          <w:tcPr>
            <w:tcW w:type="dxa" w:w="9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42 </w:t>
            </w:r>
          </w:p>
        </w:tc>
        <w:tc>
          <w:tcPr>
            <w:tcW w:type="dxa" w:w="9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147 </w:t>
            </w:r>
          </w:p>
        </w:tc>
        <w:tc>
          <w:tcPr>
            <w:tcW w:type="dxa" w:w="79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 34,997 </w:t>
            </w:r>
          </w:p>
        </w:tc>
      </w:tr>
      <w:tr>
        <w:trPr>
          <w:trHeight w:hRule="exact" w:val="248"/>
        </w:trPr>
        <w:tc>
          <w:tcPr>
            <w:tcW w:type="dxa" w:w="1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Net income allocation </w:t>
            </w:r>
            <w:r>
              <w:rPr>
                <w:w w:val="101.11111534966363"/>
                <w:rFonts w:ascii="ArialMT" w:hAnsi="ArialMT" w:eastAsia="ArialMT"/>
                <w:b w:val="0"/>
                <w:i w:val="0"/>
                <w:color w:val="000000"/>
                <w:sz w:val="9"/>
              </w:rPr>
              <w:t>b</w:t>
            </w:r>
          </w:p>
        </w:tc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589 </w:t>
            </w:r>
          </w:p>
        </w:tc>
        <w:tc>
          <w:tcPr>
            <w:tcW w:type="dxa" w:w="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46 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100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3,356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 (4,227)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 (21)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157 </w:t>
            </w:r>
          </w:p>
        </w:tc>
        <w:tc>
          <w:tcPr>
            <w:tcW w:type="dxa" w:w="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</w:tr>
    </w:tbl>
    <w:p>
      <w:pPr>
        <w:autoSpaceDN w:val="0"/>
        <w:autoSpaceDE w:val="0"/>
        <w:widowControl/>
        <w:spacing w:line="168" w:lineRule="exact" w:before="20" w:after="4"/>
        <w:ind w:left="0" w:right="8064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Board of Governors-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approved transfers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152"/>
        </w:trPr>
        <w:tc>
          <w:tcPr>
            <w:tcW w:type="dxa" w:w="1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funded from Surplus </w:t>
            </w:r>
          </w:p>
        </w:tc>
        <w:tc>
          <w:tcPr>
            <w:tcW w:type="dxa" w:w="7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7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7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7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7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(80)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74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74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104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74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74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(24) </w:t>
            </w:r>
          </w:p>
        </w:tc>
        <w:tc>
          <w:tcPr>
            <w:tcW w:type="dxa" w:w="7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7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</w:tr>
      <w:tr>
        <w:trPr>
          <w:trHeight w:hRule="exact" w:val="200"/>
        </w:trPr>
        <w:tc>
          <w:tcPr>
            <w:tcW w:type="dxa" w:w="1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and other transfers </w:t>
            </w:r>
            <w:r>
              <w:rPr>
                <w:w w:val="101.11111534966363"/>
                <w:rFonts w:ascii="ArialMT" w:hAnsi="ArialMT" w:eastAsia="ArialMT"/>
                <w:b w:val="0"/>
                <w:i w:val="0"/>
                <w:color w:val="000000"/>
                <w:sz w:val="9"/>
              </w:rPr>
              <w:t>c</w:t>
            </w:r>
          </w:p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</w:tr>
      <w:tr>
        <w:trPr>
          <w:trHeight w:hRule="exact" w:val="234"/>
        </w:trPr>
        <w:tc>
          <w:tcPr>
            <w:tcW w:type="dxa" w:w="16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Net income for the year</w:t>
            </w:r>
          </w:p>
        </w:tc>
        <w:tc>
          <w:tcPr>
            <w:tcW w:type="dxa" w:w="7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5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1,144 </w:t>
            </w:r>
          </w:p>
        </w:tc>
        <w:tc>
          <w:tcPr>
            <w:tcW w:type="dxa" w:w="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1,144 </w:t>
            </w:r>
          </w:p>
        </w:tc>
      </w:tr>
      <w:tr>
        <w:trPr>
          <w:trHeight w:hRule="exact" w:val="206"/>
        </w:trPr>
        <w:tc>
          <w:tcPr>
            <w:tcW w:type="dxa" w:w="16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As of June 30, 2023</w:t>
            </w:r>
          </w:p>
        </w:tc>
        <w:tc>
          <w:tcPr>
            <w:tcW w:type="dxa" w:w="7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293 </w:t>
            </w:r>
          </w:p>
        </w:tc>
        <w:tc>
          <w:tcPr>
            <w:tcW w:type="dxa" w:w="85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32,053 </w:t>
            </w:r>
          </w:p>
        </w:tc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739 </w:t>
            </w:r>
          </w:p>
        </w:tc>
        <w:tc>
          <w:tcPr>
            <w:tcW w:type="dxa" w:w="7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120 </w:t>
            </w:r>
          </w:p>
        </w:tc>
        <w:tc>
          <w:tcPr>
            <w:tcW w:type="dxa" w:w="9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1,271 </w:t>
            </w:r>
          </w:p>
        </w:tc>
        <w:tc>
          <w:tcPr>
            <w:tcW w:type="dxa" w:w="9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1,364 </w:t>
            </w:r>
          </w:p>
        </w:tc>
        <w:tc>
          <w:tcPr>
            <w:tcW w:type="dxa" w:w="9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21 </w:t>
            </w:r>
          </w:p>
        </w:tc>
        <w:tc>
          <w:tcPr>
            <w:tcW w:type="dxa" w:w="9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280 </w:t>
            </w:r>
          </w:p>
        </w:tc>
        <w:tc>
          <w:tcPr>
            <w:tcW w:type="dxa" w:w="79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 36,141 </w:t>
            </w:r>
          </w:p>
        </w:tc>
      </w:tr>
      <w:tr>
        <w:trPr>
          <w:trHeight w:hRule="exact" w:val="244"/>
        </w:trPr>
        <w:tc>
          <w:tcPr>
            <w:tcW w:type="dxa" w:w="1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Net income allocation </w:t>
            </w:r>
            <w:r>
              <w:rPr>
                <w:w w:val="101.11111534966363"/>
                <w:rFonts w:ascii="ArialMT" w:hAnsi="ArialMT" w:eastAsia="ArialMT"/>
                <w:b w:val="0"/>
                <w:i w:val="0"/>
                <w:color w:val="000000"/>
                <w:sz w:val="9"/>
              </w:rPr>
              <w:t>b</w:t>
            </w:r>
          </w:p>
        </w:tc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921 </w:t>
            </w:r>
          </w:p>
        </w:tc>
        <w:tc>
          <w:tcPr>
            <w:tcW w:type="dxa" w:w="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192 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100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(168)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(1,073)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(10)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38 </w:t>
            </w:r>
          </w:p>
        </w:tc>
        <w:tc>
          <w:tcPr>
            <w:tcW w:type="dxa" w:w="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</w:tr>
    </w:tbl>
    <w:p>
      <w:pPr>
        <w:autoSpaceDN w:val="0"/>
        <w:autoSpaceDE w:val="0"/>
        <w:widowControl/>
        <w:spacing w:line="168" w:lineRule="exact" w:before="18" w:after="6"/>
        <w:ind w:left="0" w:right="8064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4"/>
        </w:rPr>
        <w:t>Board of Governors-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approved transfers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15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funded from Surplus 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4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4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 (120) 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80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4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40 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4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</w:tr>
      <w:tr>
        <w:trPr>
          <w:trHeight w:hRule="exact" w:val="204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and other transfers </w:t>
            </w:r>
            <w:r>
              <w:rPr>
                <w:w w:val="101.11111534966363"/>
                <w:rFonts w:ascii="ArialMT" w:hAnsi="ArialMT" w:eastAsia="ArialMT"/>
                <w:b w:val="0"/>
                <w:i w:val="0"/>
                <w:color w:val="000000"/>
                <w:sz w:val="9"/>
              </w:rPr>
              <w:t>c</w:t>
            </w:r>
          </w:p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8" w:lineRule="exact" w:before="22" w:after="6"/>
        <w:ind w:left="62" w:right="79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Transfer from Pension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reserve to General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</w:tblGrid>
      <w:tr>
        <w:trPr>
          <w:trHeight w:hRule="exact" w:val="192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reserve</w:t>
            </w:r>
          </w:p>
        </w:tc>
        <w:tc>
          <w:tcPr>
            <w:tcW w:type="dxa" w:w="2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250 </w:t>
            </w:r>
          </w:p>
        </w:tc>
        <w:tc>
          <w:tcPr>
            <w:tcW w:type="dxa" w:w="23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(250) 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3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3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4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38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</w:tr>
      <w:tr>
        <w:trPr>
          <w:trHeight w:hRule="exact" w:val="224"/>
        </w:trPr>
        <w:tc>
          <w:tcPr>
            <w:tcW w:type="dxa" w:w="163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Net income for the year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4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8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5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6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6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2,142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5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5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2,142 </w:t>
            </w:r>
          </w:p>
        </w:tc>
      </w:tr>
      <w:tr>
        <w:trPr>
          <w:trHeight w:hRule="exact" w:val="206"/>
        </w:trPr>
        <w:tc>
          <w:tcPr>
            <w:tcW w:type="dxa" w:w="163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As of June 30, 2024</w:t>
            </w:r>
          </w:p>
        </w:tc>
        <w:tc>
          <w:tcPr>
            <w:tcW w:type="dxa" w:w="2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293 </w:t>
            </w:r>
          </w:p>
        </w:tc>
        <w:tc>
          <w:tcPr>
            <w:tcW w:type="dxa" w:w="8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$ 33,224 </w:t>
            </w:r>
          </w:p>
        </w:tc>
        <w:tc>
          <w:tcPr>
            <w:tcW w:type="dxa" w:w="2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681 </w:t>
            </w:r>
          </w:p>
        </w:tc>
        <w:tc>
          <w:tcPr>
            <w:tcW w:type="dxa" w:w="7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$ 100 </w:t>
            </w:r>
          </w:p>
        </w:tc>
        <w:tc>
          <w:tcPr>
            <w:tcW w:type="dxa" w:w="3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6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1,103 </w:t>
            </w:r>
          </w:p>
        </w:tc>
        <w:tc>
          <w:tcPr>
            <w:tcW w:type="dxa" w:w="3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6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2,513 </w:t>
            </w:r>
          </w:p>
        </w:tc>
        <w:tc>
          <w:tcPr>
            <w:tcW w:type="dxa" w:w="4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11 </w:t>
            </w:r>
          </w:p>
        </w:tc>
        <w:tc>
          <w:tcPr>
            <w:tcW w:type="dxa" w:w="3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5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358 </w:t>
            </w:r>
          </w:p>
        </w:tc>
        <w:tc>
          <w:tcPr>
            <w:tcW w:type="dxa" w:w="7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$ 38,283 </w:t>
            </w:r>
          </w:p>
        </w:tc>
      </w:tr>
    </w:tbl>
    <w:p>
      <w:pPr>
        <w:autoSpaceDN w:val="0"/>
        <w:autoSpaceDE w:val="0"/>
        <w:widowControl/>
        <w:spacing w:line="156" w:lineRule="exact" w:before="28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>a.</w:t>
      </w:r>
      <w:r>
        <w:rPr>
          <w:rFonts w:ascii="Arial" w:hAnsi="Arial" w:eastAsia="Arial"/>
          <w:b w:val="0"/>
          <w:i/>
          <w:color w:val="000000"/>
          <w:sz w:val="14"/>
        </w:rPr>
        <w:t>See Note A for details of the components of Retained Earnings.</w:t>
      </w:r>
    </w:p>
    <w:p>
      <w:pPr>
        <w:autoSpaceDN w:val="0"/>
        <w:autoSpaceDE w:val="0"/>
        <w:widowControl/>
        <w:spacing w:line="156" w:lineRule="exact" w:before="68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>b. Amounts retained as Surplus from the allocation of net income are approved by the Board of Governors.</w:t>
      </w:r>
    </w:p>
    <w:p>
      <w:pPr>
        <w:autoSpaceDN w:val="0"/>
        <w:tabs>
          <w:tab w:pos="242" w:val="left"/>
        </w:tabs>
        <w:autoSpaceDE w:val="0"/>
        <w:widowControl/>
        <w:spacing w:line="168" w:lineRule="exact" w:before="7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 xml:space="preserve">c. A concurrent transfer is made from Surplus to Unallocated Net Income (Loss) for all transfers reported in the Statements of Income and authorized </w:t>
      </w:r>
      <w:r>
        <w:tab/>
      </w:r>
      <w:r>
        <w:rPr>
          <w:rFonts w:ascii="Arial" w:hAnsi="Arial" w:eastAsia="Arial"/>
          <w:b w:val="0"/>
          <w:i/>
          <w:color w:val="000000"/>
          <w:sz w:val="14"/>
        </w:rPr>
        <w:t>to be funded from Surplus.</w:t>
      </w:r>
    </w:p>
    <w:p>
      <w:pPr>
        <w:autoSpaceDN w:val="0"/>
        <w:autoSpaceDE w:val="0"/>
        <w:widowControl/>
        <w:spacing w:line="204" w:lineRule="exact" w:before="32" w:after="0"/>
        <w:ind w:left="242" w:right="0" w:hanging="18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 xml:space="preserve">d. Comprised of non-functional currency translation gains/losses, the unutilized portion of the transfer to the IBRD Fund for Innovative Global Public </w:t>
      </w:r>
      <w:r>
        <w:rPr>
          <w:rFonts w:ascii="Arial" w:hAnsi="Arial" w:eastAsia="Arial"/>
          <w:b w:val="0"/>
          <w:i/>
          <w:color w:val="000000"/>
          <w:sz w:val="14"/>
        </w:rPr>
        <w:t xml:space="preserve">Goods Solutions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(</w:t>
      </w:r>
      <w:r>
        <w:rPr>
          <w:rFonts w:ascii="Arial" w:hAnsi="Arial" w:eastAsia="Arial"/>
          <w:b w:val="0"/>
          <w:i/>
          <w:color w:val="000000"/>
          <w:sz w:val="14"/>
        </w:rPr>
        <w:t>subsequently renamed the IBRD Surplus-Funded Livable Planet Fund or LPF1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)</w:t>
      </w:r>
      <w:r>
        <w:rPr>
          <w:rFonts w:ascii="Arial" w:hAnsi="Arial" w:eastAsia="Arial"/>
          <w:b w:val="0"/>
          <w:i/>
          <w:color w:val="000000"/>
          <w:sz w:val="14"/>
        </w:rPr>
        <w:t xml:space="preserve">, and revenue from prior years which is set aside </w:t>
      </w:r>
      <w:r>
        <w:rPr>
          <w:rFonts w:ascii="Arial" w:hAnsi="Arial" w:eastAsia="Arial"/>
          <w:b w:val="0"/>
          <w:i/>
          <w:color w:val="000000"/>
          <w:sz w:val="14"/>
        </w:rPr>
        <w:t>for a dedicated purpose.</w:t>
      </w:r>
    </w:p>
    <w:p>
      <w:pPr>
        <w:autoSpaceDN w:val="0"/>
        <w:autoSpaceDE w:val="0"/>
        <w:widowControl/>
        <w:spacing w:line="240" w:lineRule="exact" w:before="19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makes net income allocation decisions on the basis of reported net income, adjusted to exclude unrealized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mark-to-market gains and losses on non-trading portfolios, net, restricted income, Board of Governors-approved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other transfers, non-functional currency translation adjustments and the allocation to the pension reserve.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 June 13, 2024, IBRD’s Board approved a release of $250 million from the Pension Reserve to the General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Reserve.</w:t>
      </w:r>
    </w:p>
    <w:p>
      <w:pPr>
        <w:autoSpaceDN w:val="0"/>
        <w:tabs>
          <w:tab w:pos="858" w:val="left"/>
        </w:tabs>
        <w:autoSpaceDE w:val="0"/>
        <w:widowControl/>
        <w:spacing w:line="224" w:lineRule="exact" w:before="3510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2024</w:t>
      </w:r>
    </w:p>
    <w:p>
      <w:pPr>
        <w:sectPr>
          <w:pgSz w:w="12240" w:h="15840"/>
          <w:pgMar w:top="700" w:right="1372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 August 3, 2023, IBRD’s Executive Directors approved the following adjustments and allocations relating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net income earned in the fiscal year ended June 30, 2023, to arrive at allocable income for that fiscal year: </w:t>
      </w:r>
    </w:p>
    <w:p>
      <w:pPr>
        <w:autoSpaceDN w:val="0"/>
        <w:autoSpaceDE w:val="0"/>
        <w:widowControl/>
        <w:spacing w:line="156" w:lineRule="exact" w:before="202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224"/>
        </w:trPr>
        <w:tc>
          <w:tcPr>
            <w:tcW w:type="dxa" w:w="7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Adjustments and Allocations</w:t>
            </w:r>
          </w:p>
        </w:tc>
        <w:tc>
          <w:tcPr>
            <w:tcW w:type="dxa" w:w="15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Increase (decrease) </w:t>
            </w:r>
          </w:p>
        </w:tc>
      </w:tr>
      <w:tr>
        <w:trPr>
          <w:trHeight w:hRule="exact" w:val="214"/>
        </w:trPr>
        <w:tc>
          <w:tcPr>
            <w:tcW w:type="dxa" w:w="78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Cumulative Fair Value Adjustments, for the Unrealized mark-to-market gain on non-trading portfolios (this excludes realized </w:t>
            </w:r>
          </w:p>
        </w:tc>
        <w:tc>
          <w:tcPr>
            <w:tcW w:type="dxa" w:w="15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(168) </w:t>
            </w:r>
          </w:p>
        </w:tc>
      </w:tr>
    </w:tbl>
    <w:p>
      <w:pPr>
        <w:autoSpaceDN w:val="0"/>
        <w:autoSpaceDE w:val="0"/>
        <w:widowControl/>
        <w:spacing w:line="158" w:lineRule="exact" w:before="0" w:after="2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amounts).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1126"/>
        </w:trPr>
        <w:tc>
          <w:tcPr>
            <w:tcW w:type="dxa" w:w="75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62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Board of Governors-approved transfers, relating to income earned in prior fiscal years  (See Table G2)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General Reserve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Pension Reserve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Other reserves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Restricted Retained Earnings</w:t>
            </w:r>
          </w:p>
        </w:tc>
        <w:tc>
          <w:tcPr>
            <w:tcW w:type="dxa" w:w="18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152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221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921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192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38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(10) </w:t>
            </w:r>
          </w:p>
        </w:tc>
      </w:tr>
    </w:tbl>
    <w:p>
      <w:pPr>
        <w:autoSpaceDN w:val="0"/>
        <w:autoSpaceDE w:val="0"/>
        <w:widowControl/>
        <w:spacing w:line="224" w:lineRule="exact" w:before="17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 August 21, 2023, IBRD’s Board of Governors approved a transfer of $80 million from Surplus to the Trust fund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Gaza and the West Bank and $40 million from Surplus to the IBRD Fund for Innovative Global Public Goods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Solutions (subsequently renamed the IBRD Surplus-Funded Livable Planet Fund or LPF1). The transfers were made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on September 6, 2023 and September 12, 2023 respectively.</w:t>
      </w:r>
    </w:p>
    <w:p>
      <w:pPr>
        <w:autoSpaceDN w:val="0"/>
        <w:autoSpaceDE w:val="0"/>
        <w:widowControl/>
        <w:spacing w:line="224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fiscal year ended June 30, 2024, no grants were made by the LPF1, therefore no contribution expense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was recognized in the Statement of Income. Unutilized LPF1 contributions are included in Retained Earnings -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Other Reserves on the Condensed Balance Sheet ($101 million —June 30, 2024 and $61 million —June 30, 2023). </w:t>
      </w:r>
    </w:p>
    <w:p>
      <w:pPr>
        <w:autoSpaceDN w:val="0"/>
        <w:autoSpaceDE w:val="0"/>
        <w:widowControl/>
        <w:spacing w:line="240" w:lineRule="exact" w:before="10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 October 13, 2023, IBRD’s Board of Governors approved a transfer to IDA of $291 million and a transfer of $100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 to Surplus out of the net income earned in the fiscal year ended June 30, 2023. The transfer to IDA was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made on October 24, 2023.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Board of Governors-approved and other transfers that were expensed during the stated fiscal years are included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table:</w:t>
      </w:r>
    </w:p>
    <w:p>
      <w:pPr>
        <w:autoSpaceDN w:val="0"/>
        <w:autoSpaceDE w:val="0"/>
        <w:widowControl/>
        <w:spacing w:line="222" w:lineRule="exact" w:before="12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G2:</w:t>
      </w:r>
      <w:r>
        <w:rPr>
          <w:rFonts w:ascii="TimesNewRoman" w:hAnsi="TimesNewRoman" w:eastAsia="TimesNewRoman"/>
          <w:b/>
          <w:i w:val="0"/>
          <w:color w:val="000000"/>
          <w:sz w:val="20"/>
        </w:rPr>
        <w:t>Board of Governors-approved and other transfers expensed</w:t>
      </w:r>
    </w:p>
    <w:p>
      <w:pPr>
        <w:autoSpaceDN w:val="0"/>
        <w:autoSpaceDE w:val="0"/>
        <w:widowControl/>
        <w:spacing w:line="178" w:lineRule="exact" w:before="150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0"/>
        <w:gridCol w:w="2360"/>
        <w:gridCol w:w="2360"/>
        <w:gridCol w:w="2360"/>
      </w:tblGrid>
      <w:tr>
        <w:trPr>
          <w:trHeight w:hRule="exact" w:val="240"/>
        </w:trPr>
        <w:tc>
          <w:tcPr>
            <w:tcW w:type="dxa" w:w="50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Transfers funded from:</w:t>
            </w:r>
          </w:p>
        </w:tc>
        <w:tc>
          <w:tcPr>
            <w:tcW w:type="dxa" w:w="14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4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14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2022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Unallocated Net Income: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49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IDA</w:t>
            </w:r>
          </w:p>
        </w:tc>
        <w:tc>
          <w:tcPr>
            <w:tcW w:type="dxa" w:w="4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291 </w:t>
            </w:r>
          </w:p>
        </w:tc>
        <w:tc>
          <w:tcPr>
            <w:tcW w:type="dxa" w:w="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117 </w:t>
            </w:r>
          </w:p>
        </w:tc>
        <w:tc>
          <w:tcPr>
            <w:tcW w:type="dxa" w:w="4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274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Surplus: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360"/>
        <w:gridCol w:w="2360"/>
        <w:gridCol w:w="2360"/>
        <w:gridCol w:w="2360"/>
      </w:tblGrid>
      <w:tr>
        <w:trPr>
          <w:trHeight w:hRule="exact" w:val="240"/>
        </w:trPr>
        <w:tc>
          <w:tcPr>
            <w:tcW w:type="dxa" w:w="49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Trust fund for Gaza and West Bank</w:t>
            </w:r>
          </w:p>
        </w:tc>
        <w:tc>
          <w:tcPr>
            <w:tcW w:type="dxa" w:w="14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 </w:t>
            </w:r>
          </w:p>
        </w:tc>
        <w:tc>
          <w:tcPr>
            <w:tcW w:type="dxa" w:w="14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 </w:t>
            </w:r>
          </w:p>
        </w:tc>
        <w:tc>
          <w:tcPr>
            <w:tcW w:type="dxa" w:w="145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Other reserves: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505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LPF1</w:t>
            </w:r>
          </w:p>
        </w:tc>
        <w:tc>
          <w:tcPr>
            <w:tcW w:type="dxa" w:w="4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</w:t>
            </w:r>
          </w:p>
        </w:tc>
        <w:tc>
          <w:tcPr>
            <w:tcW w:type="dxa" w:w="4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50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371 </w:t>
            </w:r>
          </w:p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221 </w:t>
            </w:r>
          </w:p>
        </w:tc>
        <w:tc>
          <w:tcPr>
            <w:tcW w:type="dxa" w:w="4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354 </w:t>
            </w:r>
          </w:p>
        </w:tc>
      </w:tr>
    </w:tbl>
    <w:p>
      <w:pPr>
        <w:autoSpaceDN w:val="0"/>
        <w:autoSpaceDE w:val="0"/>
        <w:widowControl/>
        <w:spacing w:line="240" w:lineRule="exact" w:before="42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There were no amounts payable for the transfers approved by the Board of Governors as of June 30, 2024,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June 30, 2023.</w:t>
      </w:r>
    </w:p>
    <w:p>
      <w:pPr>
        <w:autoSpaceDN w:val="0"/>
        <w:autoSpaceDE w:val="0"/>
        <w:widowControl/>
        <w:spacing w:line="246" w:lineRule="exact" w:before="25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H—TRANSACTIONS WITH AFFILIATED ORGANIZATIONS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transacts with affiliated organizations by providing loans, administrative, derivative and investment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intermediation services, and through its pension and other postretirement benefit plans.</w:t>
      </w:r>
    </w:p>
    <w:p>
      <w:pPr>
        <w:autoSpaceDN w:val="0"/>
        <w:autoSpaceDE w:val="0"/>
        <w:widowControl/>
        <w:spacing w:line="240" w:lineRule="exact" w:before="120" w:after="0"/>
        <w:ind w:left="10" w:right="2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addition, IBRD provides transfers to IDA out of its net income, upon approval by the Board of Governors (see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Note G—Retained Earnings, Allocations and Transfers).</w:t>
      </w:r>
    </w:p>
    <w:p>
      <w:pPr>
        <w:autoSpaceDN w:val="0"/>
        <w:tabs>
          <w:tab w:pos="8998" w:val="left"/>
        </w:tabs>
        <w:autoSpaceDE w:val="0"/>
        <w:widowControl/>
        <w:spacing w:line="224" w:lineRule="exact" w:before="2476" w:after="0"/>
        <w:ind w:left="42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2024 </w:t>
      </w:r>
      <w:r>
        <w:rPr>
          <w:rFonts w:ascii="ArialMT" w:hAnsi="ArialMT" w:eastAsia="ArialMT"/>
          <w:b w:val="0"/>
          <w:i w:val="0"/>
          <w:color w:val="000000"/>
          <w:sz w:val="20"/>
        </w:rPr>
        <w:t>117</w:t>
      </w:r>
    </w:p>
    <w:p>
      <w:pPr>
        <w:sectPr>
          <w:pgSz w:w="12240" w:h="15840"/>
          <w:pgMar w:top="700" w:right="137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IBRD had the following receivables from (payables to) its affiliated organizations</w:t>
      </w:r>
      <w:r>
        <w:rPr>
          <w:rFonts w:ascii="ArialMT" w:hAnsi="ArialMT" w:eastAsia="Arial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H1: IBRD’s receivables and payables with affiliated organizations</w:t>
      </w:r>
    </w:p>
    <w:p>
      <w:pPr>
        <w:autoSpaceDN w:val="0"/>
        <w:autoSpaceDE w:val="0"/>
        <w:widowControl/>
        <w:spacing w:line="178" w:lineRule="exact" w:before="146" w:after="14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224"/>
        </w:trPr>
        <w:tc>
          <w:tcPr>
            <w:tcW w:type="dxa" w:w="36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8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  <w:tc>
          <w:tcPr>
            <w:tcW w:type="dxa" w:w="8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8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2023</w:t>
            </w:r>
          </w:p>
        </w:tc>
        <w:tc>
          <w:tcPr>
            <w:tcW w:type="dxa" w:w="8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4"/>
        </w:trPr>
        <w:tc>
          <w:tcPr>
            <w:tcW w:type="dxa" w:w="36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6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IDA</w:t>
            </w:r>
          </w:p>
        </w:tc>
        <w:tc>
          <w:tcPr>
            <w:tcW w:type="dxa" w:w="8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IFC</w:t>
            </w:r>
          </w:p>
        </w:tc>
        <w:tc>
          <w:tcPr>
            <w:tcW w:type="dxa" w:w="8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MIGA</w:t>
            </w:r>
          </w:p>
        </w:tc>
        <w:tc>
          <w:tcPr>
            <w:tcW w:type="dxa" w:w="8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  <w:tc>
          <w:tcPr>
            <w:tcW w:type="dxa" w:w="8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IDA</w:t>
            </w:r>
          </w:p>
        </w:tc>
        <w:tc>
          <w:tcPr>
            <w:tcW w:type="dxa" w:w="7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IFC</w:t>
            </w:r>
          </w:p>
        </w:tc>
        <w:tc>
          <w:tcPr>
            <w:tcW w:type="dxa" w:w="8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MIGA</w:t>
            </w:r>
          </w:p>
        </w:tc>
        <w:tc>
          <w:tcPr>
            <w:tcW w:type="dxa" w:w="8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78" w:lineRule="exact" w:before="26" w:after="8"/>
        <w:ind w:left="7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Receivable for administrative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</w:tblGrid>
      <w:tr>
        <w:trPr>
          <w:trHeight w:hRule="exact" w:val="204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services, net 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279 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 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296 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594 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 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639 </w:t>
            </w:r>
          </w:p>
        </w:tc>
      </w:tr>
      <w:tr>
        <w:trPr>
          <w:trHeight w:hRule="exact" w:val="252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Payable for PCRF investments </w:t>
            </w:r>
          </w:p>
        </w:tc>
        <w:tc>
          <w:tcPr>
            <w:tcW w:type="dxa" w:w="555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(489) </w:t>
            </w:r>
          </w:p>
        </w:tc>
        <w:tc>
          <w:tcPr>
            <w:tcW w:type="dxa" w:w="555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(344) </w:t>
            </w:r>
          </w:p>
        </w:tc>
        <w:tc>
          <w:tcPr>
            <w:tcW w:type="dxa" w:w="55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5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(833) </w:t>
            </w:r>
          </w:p>
        </w:tc>
        <w:tc>
          <w:tcPr>
            <w:tcW w:type="dxa" w:w="555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(579) </w:t>
            </w:r>
          </w:p>
        </w:tc>
        <w:tc>
          <w:tcPr>
            <w:tcW w:type="dxa" w:w="555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(385) </w:t>
            </w:r>
          </w:p>
        </w:tc>
        <w:tc>
          <w:tcPr>
            <w:tcW w:type="dxa" w:w="55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5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(964) 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6"/>
        <w:ind w:left="1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Pension and other postretirement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16"/>
        </w:trPr>
        <w:tc>
          <w:tcPr>
            <w:tcW w:type="dxa" w:w="2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benefits</w:t>
            </w:r>
          </w:p>
        </w:tc>
        <w:tc>
          <w:tcPr>
            <w:tcW w:type="dxa" w:w="7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(906) </w:t>
            </w:r>
          </w:p>
        </w:tc>
        <w:tc>
          <w:tcPr>
            <w:tcW w:type="dxa" w:w="11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(774) </w:t>
            </w:r>
          </w:p>
        </w:tc>
        <w:tc>
          <w:tcPr>
            <w:tcW w:type="dxa" w:w="4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(30) </w:t>
            </w:r>
          </w:p>
        </w:tc>
        <w:tc>
          <w:tcPr>
            <w:tcW w:type="dxa" w:w="11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(1,710) </w:t>
            </w:r>
          </w:p>
        </w:tc>
        <w:tc>
          <w:tcPr>
            <w:tcW w:type="dxa" w:w="4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(712) </w:t>
            </w:r>
          </w:p>
        </w:tc>
        <w:tc>
          <w:tcPr>
            <w:tcW w:type="dxa" w:w="11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(704) </w:t>
            </w:r>
          </w:p>
        </w:tc>
        <w:tc>
          <w:tcPr>
            <w:tcW w:type="dxa" w:w="4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(27) </w:t>
            </w:r>
          </w:p>
        </w:tc>
        <w:tc>
          <w:tcPr>
            <w:tcW w:type="dxa" w:w="8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(1,443) </w:t>
            </w:r>
          </w:p>
        </w:tc>
      </w:tr>
      <w:tr>
        <w:trPr>
          <w:trHeight w:hRule="exact" w:val="204"/>
        </w:trPr>
        <w:tc>
          <w:tcPr>
            <w:tcW w:type="dxa" w:w="2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197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(1,116)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  <w:u w:val="single"/>
              </w:rPr>
              <w:t xml:space="preserve">$ (1,117)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2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(14)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  <w:u w:val="single"/>
              </w:rPr>
              <w:t xml:space="preserve">$ (2,247)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8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(697)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  <w:u w:val="single"/>
              </w:rPr>
              <w:t xml:space="preserve">$ (1,054)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9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(17)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  <w:u w:val="single"/>
              </w:rPr>
              <w:t xml:space="preserve">$ (1,768) </w:t>
            </w:r>
          </w:p>
        </w:tc>
      </w:tr>
      <w:tr>
        <w:trPr>
          <w:trHeight w:hRule="exact" w:val="244"/>
        </w:trPr>
        <w:tc>
          <w:tcPr>
            <w:tcW w:type="dxa" w:w="2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9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09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09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09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2" w:lineRule="exact" w:before="496" w:after="168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receivables from (payables to) these affiliated organizations are reported on the Balance Sheets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900"/>
        </w:trPr>
        <w:tc>
          <w:tcPr>
            <w:tcW w:type="dxa" w:w="38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0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Receivables / Payables related to: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Administrative services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PCRF investments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Pension and other postretirement benefits</w:t>
            </w:r>
          </w:p>
        </w:tc>
        <w:tc>
          <w:tcPr>
            <w:tcW w:type="dxa" w:w="5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860" w:right="360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Reported as: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assets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liabilities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liabilities</w:t>
            </w:r>
          </w:p>
        </w:tc>
      </w:tr>
    </w:tbl>
    <w:p>
      <w:pPr>
        <w:autoSpaceDN w:val="0"/>
        <w:autoSpaceDE w:val="0"/>
        <w:widowControl/>
        <w:spacing w:line="244" w:lineRule="exact" w:before="16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Loans and Other Exposures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has a Local Currency Loan Facility Agreement with IFC, which is capped at $300 million. As of June 30,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2024 and June 30, 2023, there were no loans outstanding under this facility. </w:t>
      </w:r>
    </w:p>
    <w:p>
      <w:pPr>
        <w:autoSpaceDN w:val="0"/>
        <w:autoSpaceDE w:val="0"/>
        <w:widowControl/>
        <w:spacing w:line="224" w:lineRule="exact" w:before="13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fiscal year ended June 30, 2014, IBRD entered into an exposure exchange agreement with MIGA under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which IBRD and MIGA exchanged selected exposures, with each divesting exposure in countries where their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lending capacities are limited, in return for exposure in countries where they have excess lending capacity. Under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agreement, IBRD and MIGA have each exchanged $120 million of notional exposure as follows: MIGA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assumes IBRD's loan principal and interest exposure in exchange for IBRD's assumption of principal and interest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exposure of MIGA under its Non-Honoring of Sovereign Financial Obligation agreement. As of June 30, 2024, there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are no assets related to IBRD’s right to be indemnified under this agreement (less than $1 million—June 30, 2023),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and no liabilities related to IBRD’s obligation under this agreement (less than $1 million—June 30, 2023).</w:t>
      </w:r>
    </w:p>
    <w:p>
      <w:pPr>
        <w:autoSpaceDN w:val="0"/>
        <w:autoSpaceDE w:val="0"/>
        <w:widowControl/>
        <w:spacing w:line="244" w:lineRule="exact" w:before="114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Administrative Services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Expenses jointly incurred by IBRD and IDA are allocated based on an agreed cost-sharing methodology,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amounts are settled quarterly. For the fiscal year ended June 30, 2024, IBRD’s administrative expenses exclude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share of expenses allocated to IDA of $1,750 million ($1,744 million—fiscal year ended June 30, 2023 and $1,644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million fiscal year ended June 30, 2022).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Revenue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Revenue jointly earned by IBRD and IDA is allocated based on an agreed revenue-sharing methodology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amounts are settled quarterly. For the fiscal year ended June 30, 2024, IBRD’s other revenue excludes revenue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allocated to IDA of $326 million ($280 million—fiscal year ended June 30, 2023 and $252 million fiscal year ended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June 30, 2022), and is included in Revenue from externally funded activities on the Statements of Income. This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revenue also includes revenue from contracts with clients that are not affiliated with IBRD and are as follows: </w:t>
      </w:r>
    </w:p>
    <w:p>
      <w:pPr>
        <w:autoSpaceDN w:val="0"/>
        <w:tabs>
          <w:tab w:pos="858" w:val="left"/>
        </w:tabs>
        <w:autoSpaceDE w:val="0"/>
        <w:widowControl/>
        <w:spacing w:line="224" w:lineRule="exact" w:before="2734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2024</w:t>
      </w:r>
    </w:p>
    <w:p>
      <w:pPr>
        <w:sectPr>
          <w:pgSz w:w="12240" w:h="15840"/>
          <w:pgMar w:top="700" w:right="137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H2: Revenue from contracts with clients</w:t>
      </w:r>
    </w:p>
    <w:p>
      <w:pPr>
        <w:autoSpaceDN w:val="0"/>
        <w:autoSpaceDE w:val="0"/>
        <w:widowControl/>
        <w:spacing w:line="178" w:lineRule="exact" w:before="15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50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8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8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7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2022</w:t>
            </w:r>
          </w:p>
        </w:tc>
      </w:tr>
      <w:tr>
        <w:trPr>
          <w:trHeight w:hRule="exact" w:val="220"/>
        </w:trPr>
        <w:tc>
          <w:tcPr>
            <w:tcW w:type="dxa" w:w="50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Trust fund fees</w:t>
            </w:r>
          </w:p>
        </w:tc>
        <w:tc>
          <w:tcPr>
            <w:tcW w:type="dxa" w:w="34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192 </w:t>
            </w:r>
          </w:p>
        </w:tc>
        <w:tc>
          <w:tcPr>
            <w:tcW w:type="dxa" w:w="3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119 </w:t>
            </w:r>
          </w:p>
        </w:tc>
        <w:tc>
          <w:tcPr>
            <w:tcW w:type="dxa" w:w="6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93 </w:t>
            </w:r>
          </w:p>
        </w:tc>
      </w:tr>
      <w:tr>
        <w:trPr>
          <w:trHeight w:hRule="exact" w:val="240"/>
        </w:trPr>
        <w:tc>
          <w:tcPr>
            <w:tcW w:type="dxa" w:w="50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Reimbursable advisory services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5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 </w:t>
            </w:r>
          </w:p>
        </w:tc>
      </w:tr>
      <w:tr>
        <w:trPr>
          <w:trHeight w:hRule="exact" w:val="260"/>
        </w:trPr>
        <w:tc>
          <w:tcPr>
            <w:tcW w:type="dxa" w:w="50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Asset management services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5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</w:t>
            </w:r>
          </w:p>
        </w:tc>
      </w:tr>
      <w:tr>
        <w:trPr>
          <w:trHeight w:hRule="exact" w:val="240"/>
        </w:trPr>
        <w:tc>
          <w:tcPr>
            <w:tcW w:type="dxa" w:w="50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316 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249 </w:t>
            </w:r>
          </w:p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211 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2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Of which: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04"/>
        </w:trPr>
        <w:tc>
          <w:tcPr>
            <w:tcW w:type="dxa" w:w="3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IBRD’s share</w:t>
            </w:r>
          </w:p>
        </w:tc>
        <w:tc>
          <w:tcPr>
            <w:tcW w:type="dxa" w:w="21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1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163 </w:t>
            </w:r>
          </w:p>
        </w:tc>
        <w:tc>
          <w:tcPr>
            <w:tcW w:type="dxa" w:w="6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1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130 </w:t>
            </w:r>
          </w:p>
        </w:tc>
        <w:tc>
          <w:tcPr>
            <w:tcW w:type="dxa" w:w="6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113 </w:t>
            </w:r>
          </w:p>
        </w:tc>
      </w:tr>
      <w:tr>
        <w:trPr>
          <w:trHeight w:hRule="exact" w:val="520"/>
        </w:trPr>
        <w:tc>
          <w:tcPr>
            <w:tcW w:type="dxa" w:w="32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IDA’s share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1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153 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1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119 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98 </w:t>
            </w:r>
          </w:p>
        </w:tc>
      </w:tr>
    </w:tbl>
    <w:p>
      <w:pPr>
        <w:autoSpaceDN w:val="0"/>
        <w:autoSpaceDE w:val="0"/>
        <w:widowControl/>
        <w:spacing w:line="222" w:lineRule="exact" w:before="18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Each revenue stream represents compensation for services provided and the related revenue is recognized over time.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When IBRD performs services, its rights to consideration are deemed unconditional and are classified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receivables. IBRD also has an obligation to provide certain services for which it has received consideration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advance. Such consideration is presented as contract liability and is subsequently recognized as revenue when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related performance obligation is satisfied.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 shows IBRD’s receivables and contract liabilities related to revenue from contracts with clients: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H3: Receivables and contract liabilities related to revenue from contracts with clients</w:t>
      </w:r>
    </w:p>
    <w:p>
      <w:pPr>
        <w:autoSpaceDN w:val="0"/>
        <w:autoSpaceDE w:val="0"/>
        <w:widowControl/>
        <w:spacing w:line="178" w:lineRule="exact" w:before="146" w:after="14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24"/>
        </w:trPr>
        <w:tc>
          <w:tcPr>
            <w:tcW w:type="dxa" w:w="65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  <w:tc>
          <w:tcPr>
            <w:tcW w:type="dxa" w:w="114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2023</w:t>
            </w:r>
          </w:p>
        </w:tc>
      </w:tr>
      <w:tr>
        <w:trPr>
          <w:trHeight w:hRule="exact" w:val="210"/>
        </w:trPr>
        <w:tc>
          <w:tcPr>
            <w:tcW w:type="dxa" w:w="65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Receivables</w:t>
            </w:r>
          </w:p>
        </w:tc>
        <w:tc>
          <w:tcPr>
            <w:tcW w:type="dxa" w:w="2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5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  <w:tc>
          <w:tcPr>
            <w:tcW w:type="dxa" w:w="4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125 </w:t>
            </w:r>
          </w:p>
        </w:tc>
      </w:tr>
      <w:tr>
        <w:trPr>
          <w:trHeight w:hRule="exact" w:val="466"/>
        </w:trPr>
        <w:tc>
          <w:tcPr>
            <w:tcW w:type="dxa" w:w="65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Contract liabilities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4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5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185 </w:t>
            </w:r>
          </w:p>
        </w:tc>
        <w:tc>
          <w:tcPr>
            <w:tcW w:type="dxa" w:w="114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181 </w:t>
            </w:r>
          </w:p>
        </w:tc>
      </w:tr>
    </w:tbl>
    <w:p>
      <w:pPr>
        <w:autoSpaceDN w:val="0"/>
        <w:autoSpaceDE w:val="0"/>
        <w:widowControl/>
        <w:spacing w:line="240" w:lineRule="exact" w:before="15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amount of fee revenue associated with services provided to affiliated organizations that is included in Revenue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from externally funded activities in the Statements of Income, is as follows:</w:t>
      </w:r>
    </w:p>
    <w:p>
      <w:pPr>
        <w:autoSpaceDN w:val="0"/>
        <w:autoSpaceDE w:val="0"/>
        <w:widowControl/>
        <w:spacing w:line="220" w:lineRule="exact" w:before="14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H4: Fee revenue from affiliated organizations</w:t>
      </w:r>
    </w:p>
    <w:p>
      <w:pPr>
        <w:autoSpaceDN w:val="0"/>
        <w:autoSpaceDE w:val="0"/>
        <w:widowControl/>
        <w:spacing w:line="178" w:lineRule="exact" w:before="144" w:after="12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24"/>
        </w:trPr>
        <w:tc>
          <w:tcPr>
            <w:tcW w:type="dxa" w:w="40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2022</w:t>
            </w:r>
          </w:p>
        </w:tc>
      </w:tr>
      <w:tr>
        <w:trPr>
          <w:trHeight w:hRule="exact" w:val="226"/>
        </w:trPr>
        <w:tc>
          <w:tcPr>
            <w:tcW w:type="dxa" w:w="40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Fees charged to IFC</w:t>
            </w:r>
          </w:p>
        </w:tc>
        <w:tc>
          <w:tcPr>
            <w:tcW w:type="dxa" w:w="4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3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105 </w:t>
            </w:r>
          </w:p>
        </w:tc>
        <w:tc>
          <w:tcPr>
            <w:tcW w:type="dxa" w:w="47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3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102 </w:t>
            </w:r>
          </w:p>
        </w:tc>
        <w:tc>
          <w:tcPr>
            <w:tcW w:type="dxa" w:w="47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 </w:t>
            </w:r>
          </w:p>
        </w:tc>
      </w:tr>
      <w:tr>
        <w:trPr>
          <w:trHeight w:hRule="exact" w:val="450"/>
        </w:trPr>
        <w:tc>
          <w:tcPr>
            <w:tcW w:type="dxa" w:w="40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Fees charged to MIGA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4" w:lineRule="exact" w:before="16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Investments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These relate to investments that IBRD has made on behalf of IFC, associated with the PCRF and are included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Investments-Trading on IBRD’s Balance Sheets. The corresponding payable to IFC is included in Other liabilities –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Accounts payable and miscellaneous liabilities on IBRD’s Balance Sheets. As a result, there is no impact on IBRD’s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net asset value from these transactions.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Pension and Other Postretirement Benefits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payable to IDA represents IDA’s net share of prepaid costs for pension and other postretirement benefit plans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PEBP assets. These will be realized over the life of the pension plan participants. The payables to IFC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MIGA represent their respective share of PEBP assets.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PEBP assets are managed by IBRD and are part of the investment portfolio. For Pension and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Postretirement Benefits related disclosures, see Note K—Pension and Other Postretirement Benefits.</w:t>
      </w:r>
    </w:p>
    <w:p>
      <w:pPr>
        <w:autoSpaceDN w:val="0"/>
        <w:tabs>
          <w:tab w:pos="8998" w:val="left"/>
        </w:tabs>
        <w:autoSpaceDE w:val="0"/>
        <w:widowControl/>
        <w:spacing w:line="224" w:lineRule="exact" w:before="1786" w:after="0"/>
        <w:ind w:left="42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2024 </w:t>
      </w:r>
      <w:r>
        <w:rPr>
          <w:rFonts w:ascii="ArialMT" w:hAnsi="ArialMT" w:eastAsia="ArialMT"/>
          <w:b w:val="0"/>
          <w:i w:val="0"/>
          <w:color w:val="000000"/>
          <w:sz w:val="20"/>
        </w:rPr>
        <w:t>119</w:t>
      </w:r>
    </w:p>
    <w:p>
      <w:pPr>
        <w:sectPr>
          <w:pgSz w:w="12240" w:h="15840"/>
          <w:pgMar w:top="700" w:right="137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I—ACCUMULATED OTHER COMPREHENSIVE INCOME</w:t>
      </w:r>
    </w:p>
    <w:p>
      <w:pPr>
        <w:autoSpaceDN w:val="0"/>
        <w:autoSpaceDE w:val="0"/>
        <w:widowControl/>
        <w:spacing w:line="240" w:lineRule="exact" w:before="10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Comprehensive income or loss consists of net income and other gains and losses affecting equity that, under U.S.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GAAP, are excluded from net income. Other comprehensive income (loss) comprises currency translation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adjustments on assets and liabilities denominated in euro, DVA on Fair Value Option elected liabilities, and pension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related items. These items are presented in the Statements of Comprehensive Income.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tables present the changes in Accumulated Other Comprehensive Income (AOCI) and Accumulated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Other Comprehensive Loss (AOCL):</w:t>
      </w:r>
    </w:p>
    <w:p>
      <w:pPr>
        <w:autoSpaceDN w:val="0"/>
        <w:autoSpaceDE w:val="0"/>
        <w:widowControl/>
        <w:spacing w:line="222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I1: AOCI/AOCL changes</w:t>
      </w:r>
    </w:p>
    <w:p>
      <w:pPr>
        <w:autoSpaceDN w:val="0"/>
        <w:autoSpaceDE w:val="0"/>
        <w:widowControl/>
        <w:spacing w:line="180" w:lineRule="exact" w:before="15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0"/>
        <w:ind w:left="0" w:right="279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2024</w:t>
      </w:r>
    </w:p>
    <w:p>
      <w:pPr>
        <w:autoSpaceDN w:val="0"/>
        <w:autoSpaceDE w:val="0"/>
        <w:widowControl/>
        <w:spacing w:line="178" w:lineRule="exact" w:before="70" w:after="8"/>
        <w:ind w:left="0" w:right="2612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Amounts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186"/>
        </w:trPr>
        <w:tc>
          <w:tcPr>
            <w:tcW w:type="dxa" w:w="35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Balance, </w:t>
            </w:r>
          </w:p>
        </w:tc>
        <w:tc>
          <w:tcPr>
            <w:tcW w:type="dxa" w:w="2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8" w:after="0"/>
              <w:ind w:left="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Changes </w:t>
            </w:r>
          </w:p>
        </w:tc>
        <w:tc>
          <w:tcPr>
            <w:tcW w:type="dxa" w:w="11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9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reclassified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Net Changes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Balance, end </w:t>
            </w:r>
          </w:p>
        </w:tc>
      </w:tr>
      <w:tr>
        <w:trPr>
          <w:trHeight w:hRule="exact" w:val="180"/>
        </w:trPr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11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beginning of 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11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25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into net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24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during the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9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of the fiscal </w:t>
            </w:r>
          </w:p>
        </w:tc>
      </w:tr>
      <w:tr>
        <w:trPr>
          <w:trHeight w:hRule="exact" w:val="232"/>
        </w:trPr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111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the fiscal year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AOCI</w:t>
            </w:r>
          </w:p>
        </w:tc>
        <w:tc>
          <w:tcPr>
            <w:tcW w:type="dxa" w:w="115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income</w:t>
            </w:r>
          </w:p>
        </w:tc>
        <w:tc>
          <w:tcPr>
            <w:tcW w:type="dxa" w:w="115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period</w:t>
            </w:r>
          </w:p>
        </w:tc>
        <w:tc>
          <w:tcPr>
            <w:tcW w:type="dxa" w:w="115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year</w:t>
            </w:r>
          </w:p>
        </w:tc>
      </w:tr>
      <w:tr>
        <w:trPr>
          <w:trHeight w:hRule="exact" w:val="548"/>
        </w:trPr>
        <w:tc>
          <w:tcPr>
            <w:tcW w:type="dxa" w:w="35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Cumulative Translation Adjustments</w:t>
            </w:r>
          </w:p>
        </w:tc>
        <w:tc>
          <w:tcPr>
            <w:tcW w:type="dxa" w:w="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(295) </w:t>
            </w:r>
          </w:p>
        </w:tc>
        <w:tc>
          <w:tcPr>
            <w:tcW w:type="dxa" w:w="25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(150) </w:t>
            </w:r>
          </w:p>
        </w:tc>
        <w:tc>
          <w:tcPr>
            <w:tcW w:type="dxa" w:w="5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(150) </w:t>
            </w:r>
          </w:p>
        </w:tc>
        <w:tc>
          <w:tcPr>
            <w:tcW w:type="dxa" w:w="4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(445) </w:t>
            </w:r>
          </w:p>
        </w:tc>
      </w:tr>
      <w:tr>
        <w:trPr>
          <w:trHeight w:hRule="exact" w:val="248"/>
        </w:trPr>
        <w:tc>
          <w:tcPr>
            <w:tcW w:type="dxa" w:w="3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DVA on Fair Value Option elected liabilities</w:t>
            </w:r>
          </w:p>
        </w:tc>
        <w:tc>
          <w:tcPr>
            <w:tcW w:type="dxa" w:w="11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351 </w:t>
            </w:r>
          </w:p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321 </w:t>
            </w:r>
          </w:p>
        </w:tc>
        <w:tc>
          <w:tcPr>
            <w:tcW w:type="dxa" w:w="11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322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673 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Unrecognized Net Actuarial Gains (Losses)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218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Benefit Plans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4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3,490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318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(67) ᵃ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251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3,741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Unrecognized Prior Service (Costs) Credits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216"/>
        </w:trPr>
        <w:tc>
          <w:tcPr>
            <w:tcW w:type="dxa" w:w="3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Benefit Plans</w:t>
            </w:r>
          </w:p>
        </w:tc>
        <w:tc>
          <w:tcPr>
            <w:tcW w:type="dxa" w:w="3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(23) </w:t>
            </w:r>
          </w:p>
        </w:tc>
        <w:tc>
          <w:tcPr>
            <w:tcW w:type="dxa" w:w="4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4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 ᵃ </w:t>
            </w:r>
          </w:p>
        </w:tc>
        <w:tc>
          <w:tcPr>
            <w:tcW w:type="dxa" w:w="6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(15) </w:t>
            </w:r>
          </w:p>
        </w:tc>
      </w:tr>
      <w:tr>
        <w:trPr>
          <w:trHeight w:hRule="exact" w:val="220"/>
        </w:trPr>
        <w:tc>
          <w:tcPr>
            <w:tcW w:type="dxa" w:w="3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AOCI</w:t>
            </w:r>
          </w:p>
        </w:tc>
        <w:tc>
          <w:tcPr>
            <w:tcW w:type="dxa" w:w="3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3,523 </w:t>
            </w:r>
          </w:p>
        </w:tc>
        <w:tc>
          <w:tcPr>
            <w:tcW w:type="dxa" w:w="4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489 </w:t>
            </w:r>
          </w:p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(58)   $ </w:t>
            </w:r>
          </w:p>
        </w:tc>
        <w:tc>
          <w:tcPr>
            <w:tcW w:type="dxa" w:w="6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431 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3,954 </w:t>
            </w:r>
          </w:p>
        </w:tc>
      </w:tr>
    </w:tbl>
    <w:p>
      <w:pPr>
        <w:autoSpaceDN w:val="0"/>
        <w:autoSpaceDE w:val="0"/>
        <w:widowControl/>
        <w:spacing w:line="222" w:lineRule="exact" w:before="438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I1.1:</w:t>
      </w:r>
    </w:p>
    <w:p>
      <w:pPr>
        <w:autoSpaceDN w:val="0"/>
        <w:autoSpaceDE w:val="0"/>
        <w:widowControl/>
        <w:spacing w:line="180" w:lineRule="exact" w:before="15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0"/>
        <w:ind w:left="0" w:right="279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2023</w:t>
      </w:r>
    </w:p>
    <w:p>
      <w:pPr>
        <w:autoSpaceDN w:val="0"/>
        <w:autoSpaceDE w:val="0"/>
        <w:widowControl/>
        <w:spacing w:line="178" w:lineRule="exact" w:before="70" w:after="6"/>
        <w:ind w:left="0" w:right="2612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Amounts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178"/>
        </w:trPr>
        <w:tc>
          <w:tcPr>
            <w:tcW w:type="dxa" w:w="35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Balance, </w:t>
            </w:r>
          </w:p>
        </w:tc>
        <w:tc>
          <w:tcPr>
            <w:tcW w:type="dxa" w:w="2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0" w:after="0"/>
              <w:ind w:left="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Changes </w:t>
            </w:r>
          </w:p>
        </w:tc>
        <w:tc>
          <w:tcPr>
            <w:tcW w:type="dxa" w:w="11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9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reclassified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Net Changes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Balance, end </w:t>
            </w:r>
          </w:p>
        </w:tc>
      </w:tr>
      <w:tr>
        <w:trPr>
          <w:trHeight w:hRule="exact" w:val="200"/>
        </w:trPr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11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beginning of 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11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5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into net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4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during the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9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of the fiscal </w:t>
            </w:r>
          </w:p>
        </w:tc>
      </w:tr>
      <w:tr>
        <w:trPr>
          <w:trHeight w:hRule="exact" w:val="222"/>
        </w:trPr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111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the fiscal year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4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AOCL</w:t>
            </w:r>
          </w:p>
        </w:tc>
        <w:tc>
          <w:tcPr>
            <w:tcW w:type="dxa" w:w="115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income</w:t>
            </w:r>
          </w:p>
        </w:tc>
        <w:tc>
          <w:tcPr>
            <w:tcW w:type="dxa" w:w="115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period</w:t>
            </w:r>
          </w:p>
        </w:tc>
        <w:tc>
          <w:tcPr>
            <w:tcW w:type="dxa" w:w="115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year</w:t>
            </w:r>
          </w:p>
        </w:tc>
      </w:tr>
      <w:tr>
        <w:trPr>
          <w:trHeight w:hRule="exact" w:val="538"/>
        </w:trPr>
        <w:tc>
          <w:tcPr>
            <w:tcW w:type="dxa" w:w="35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Cumulative Translation Adjustments</w:t>
            </w:r>
          </w:p>
        </w:tc>
        <w:tc>
          <w:tcPr>
            <w:tcW w:type="dxa" w:w="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(790) </w:t>
            </w:r>
          </w:p>
        </w:tc>
        <w:tc>
          <w:tcPr>
            <w:tcW w:type="dxa" w:w="25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495 </w:t>
            </w:r>
          </w:p>
        </w:tc>
        <w:tc>
          <w:tcPr>
            <w:tcW w:type="dxa" w:w="5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495 </w:t>
            </w:r>
          </w:p>
        </w:tc>
        <w:tc>
          <w:tcPr>
            <w:tcW w:type="dxa" w:w="4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(295) </w:t>
            </w:r>
          </w:p>
        </w:tc>
      </w:tr>
      <w:tr>
        <w:trPr>
          <w:trHeight w:hRule="exact" w:val="258"/>
        </w:trPr>
        <w:tc>
          <w:tcPr>
            <w:tcW w:type="dxa" w:w="3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DVA on Fair Value Option elected liabilities</w:t>
            </w:r>
          </w:p>
        </w:tc>
        <w:tc>
          <w:tcPr>
            <w:tcW w:type="dxa" w:w="11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364 </w:t>
            </w:r>
          </w:p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(60) </w:t>
            </w:r>
          </w:p>
        </w:tc>
        <w:tc>
          <w:tcPr>
            <w:tcW w:type="dxa" w:w="11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(13)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351 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Unrecognized Net Actuarial Gains (Losses)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218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Benefit Plans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1,387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4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2,131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(28) ᵃ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2,103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3,490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Unrecognized Prior Service (Costs) Credits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216"/>
        </w:trPr>
        <w:tc>
          <w:tcPr>
            <w:tcW w:type="dxa" w:w="401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Benefit Plans</w:t>
            </w:r>
          </w:p>
        </w:tc>
        <w:tc>
          <w:tcPr>
            <w:tcW w:type="dxa" w:w="11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(43) </w:t>
            </w:r>
          </w:p>
        </w:tc>
        <w:tc>
          <w:tcPr>
            <w:tcW w:type="dxa" w:w="7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 ᵃ </w:t>
            </w:r>
          </w:p>
        </w:tc>
        <w:tc>
          <w:tcPr>
            <w:tcW w:type="dxa" w:w="4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  <w:tc>
          <w:tcPr>
            <w:tcW w:type="dxa" w:w="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(23) </w:t>
            </w:r>
          </w:p>
        </w:tc>
      </w:tr>
      <w:tr>
        <w:trPr>
          <w:trHeight w:hRule="exact" w:val="220"/>
        </w:trPr>
        <w:tc>
          <w:tcPr>
            <w:tcW w:type="dxa" w:w="8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AOCI</w:t>
            </w:r>
          </w:p>
        </w:tc>
        <w:tc>
          <w:tcPr>
            <w:tcW w:type="dxa" w:w="31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918 </w:t>
            </w:r>
          </w:p>
        </w:tc>
        <w:tc>
          <w:tcPr>
            <w:tcW w:type="dxa" w:w="4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2,566 </w:t>
            </w:r>
          </w:p>
        </w:tc>
        <w:tc>
          <w:tcPr>
            <w:tcW w:type="dxa" w:w="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 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2,605 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3,523 </w:t>
            </w:r>
          </w:p>
        </w:tc>
      </w:tr>
      <w:tr>
        <w:trPr>
          <w:trHeight w:hRule="exact" w:val="4204"/>
        </w:trPr>
        <w:tc>
          <w:tcPr>
            <w:tcW w:type="dxa" w:w="8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99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120</w:t>
            </w:r>
          </w:p>
        </w:tc>
        <w:tc>
          <w:tcPr>
            <w:tcW w:type="dxa" w:w="436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99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2024</w:t>
            </w:r>
          </w:p>
        </w:tc>
        <w:tc>
          <w:tcPr>
            <w:tcW w:type="dxa" w:w="7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0" w:right="137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I1.2:</w:t>
      </w:r>
    </w:p>
    <w:p>
      <w:pPr>
        <w:autoSpaceDN w:val="0"/>
        <w:autoSpaceDE w:val="0"/>
        <w:widowControl/>
        <w:spacing w:line="178" w:lineRule="exact" w:before="15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0"/>
        <w:ind w:left="0" w:right="279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2022</w:t>
      </w:r>
    </w:p>
    <w:p>
      <w:pPr>
        <w:autoSpaceDN w:val="0"/>
        <w:autoSpaceDE w:val="0"/>
        <w:widowControl/>
        <w:spacing w:line="180" w:lineRule="exact" w:before="70" w:after="6"/>
        <w:ind w:left="0" w:right="2612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Amounts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174"/>
        </w:trPr>
        <w:tc>
          <w:tcPr>
            <w:tcW w:type="dxa" w:w="35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Balance, </w:t>
            </w:r>
          </w:p>
        </w:tc>
        <w:tc>
          <w:tcPr>
            <w:tcW w:type="dxa" w:w="2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4" w:after="0"/>
              <w:ind w:left="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Changes </w:t>
            </w:r>
          </w:p>
        </w:tc>
        <w:tc>
          <w:tcPr>
            <w:tcW w:type="dxa" w:w="11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9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reclassified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Net Changes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Balance, end </w:t>
            </w:r>
          </w:p>
        </w:tc>
      </w:tr>
      <w:tr>
        <w:trPr>
          <w:trHeight w:hRule="exact" w:val="200"/>
        </w:trPr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11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beginning of 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11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5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into net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4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during the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9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of the fiscal </w:t>
            </w:r>
          </w:p>
        </w:tc>
      </w:tr>
      <w:tr>
        <w:trPr>
          <w:trHeight w:hRule="exact" w:val="226"/>
        </w:trPr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111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the fiscal year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4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AOCL</w:t>
            </w:r>
          </w:p>
        </w:tc>
        <w:tc>
          <w:tcPr>
            <w:tcW w:type="dxa" w:w="115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income</w:t>
            </w:r>
          </w:p>
        </w:tc>
        <w:tc>
          <w:tcPr>
            <w:tcW w:type="dxa" w:w="115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period</w:t>
            </w:r>
          </w:p>
        </w:tc>
        <w:tc>
          <w:tcPr>
            <w:tcW w:type="dxa" w:w="115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year</w:t>
            </w:r>
          </w:p>
        </w:tc>
      </w:tr>
      <w:tr>
        <w:trPr>
          <w:trHeight w:hRule="exact" w:val="554"/>
        </w:trPr>
        <w:tc>
          <w:tcPr>
            <w:tcW w:type="dxa" w:w="35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Cumulative Translation Adjustments</w:t>
            </w:r>
          </w:p>
        </w:tc>
        <w:tc>
          <w:tcPr>
            <w:tcW w:type="dxa" w:w="4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359 </w:t>
            </w:r>
          </w:p>
        </w:tc>
        <w:tc>
          <w:tcPr>
            <w:tcW w:type="dxa" w:w="25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(1,149) </w:t>
            </w:r>
          </w:p>
        </w:tc>
        <w:tc>
          <w:tcPr>
            <w:tcW w:type="dxa" w:w="5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(1,149) </w:t>
            </w:r>
          </w:p>
        </w:tc>
        <w:tc>
          <w:tcPr>
            <w:tcW w:type="dxa" w:w="4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(790) </w:t>
            </w:r>
          </w:p>
        </w:tc>
      </w:tr>
      <w:tr>
        <w:trPr>
          <w:trHeight w:hRule="exact" w:val="242"/>
        </w:trPr>
        <w:tc>
          <w:tcPr>
            <w:tcW w:type="dxa" w:w="3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DVA on Fair Value Option elected liabilities</w:t>
            </w:r>
          </w:p>
        </w:tc>
        <w:tc>
          <w:tcPr>
            <w:tcW w:type="dxa" w:w="11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(218) </w:t>
            </w:r>
          </w:p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564 </w:t>
            </w:r>
          </w:p>
        </w:tc>
        <w:tc>
          <w:tcPr>
            <w:tcW w:type="dxa" w:w="11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582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364 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Unrecognized Net Actuarial Gains (Losses)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218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Benefit Plans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(1,640)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4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2,974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 ᵃ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3,027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1,387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Unrecognized Prior Service (Costs) Credits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214"/>
        </w:trPr>
        <w:tc>
          <w:tcPr>
            <w:tcW w:type="dxa" w:w="3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Benefit Plans</w:t>
            </w:r>
          </w:p>
        </w:tc>
        <w:tc>
          <w:tcPr>
            <w:tcW w:type="dxa" w:w="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(66) </w:t>
            </w:r>
          </w:p>
        </w:tc>
        <w:tc>
          <w:tcPr>
            <w:tcW w:type="dxa" w:w="3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 ᵃ </w:t>
            </w:r>
          </w:p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 </w:t>
            </w:r>
          </w:p>
        </w:tc>
        <w:tc>
          <w:tcPr>
            <w:tcW w:type="dxa" w:w="4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(43) </w:t>
            </w:r>
          </w:p>
        </w:tc>
      </w:tr>
      <w:tr>
        <w:trPr>
          <w:trHeight w:hRule="exact" w:val="220"/>
        </w:trPr>
        <w:tc>
          <w:tcPr>
            <w:tcW w:type="dxa" w:w="3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AOCI</w:t>
            </w:r>
          </w:p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(1,565) 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2,389 </w:t>
            </w:r>
          </w:p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  $ </w:t>
            </w:r>
          </w:p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2,483 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918 </w:t>
            </w:r>
          </w:p>
        </w:tc>
      </w:tr>
    </w:tbl>
    <w:p>
      <w:pPr>
        <w:autoSpaceDN w:val="0"/>
        <w:autoSpaceDE w:val="0"/>
        <w:widowControl/>
        <w:spacing w:line="156" w:lineRule="exact" w:before="30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>a. See Note K—Pension and Other Post Retirement Benefits.</w:t>
      </w:r>
    </w:p>
    <w:p>
      <w:pPr>
        <w:autoSpaceDN w:val="0"/>
        <w:autoSpaceDE w:val="0"/>
        <w:widowControl/>
        <w:spacing w:line="246" w:lineRule="exact" w:before="3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J— FAIR VALUE DISCLOSURES</w:t>
      </w:r>
    </w:p>
    <w:p>
      <w:pPr>
        <w:autoSpaceDN w:val="0"/>
        <w:autoSpaceDE w:val="0"/>
        <w:widowControl/>
        <w:spacing w:line="244" w:lineRule="exact" w:before="11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Valuation Methods and Assumptions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June 30, 2024 and June 30, 2023, IBRD had no assets or liabilities measured at fair value on a non-recurring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basis. 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Due from Banks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carrying amount of unrestricted and restricted cash is considered a reasonable estimate of the fair value of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positions.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Loans and Loan commitments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There were no loans carried at fair value as of June 30, 2024 or June 30, 2023. IBRD’s loans and loan commitments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would be classified as Level 3 within the fair value hierarchy.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Summarized below are the techniques applied in determining the fair values of IBRD’s financial instruments. 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Investment securities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 securities are classified based on management’s intention on the date of purchase, their nature,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policies governing the level and use of such investments. As of June 30, 2024, all of the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instruments in IBRD’s investment portfolio were classified as trading. These securities are carried and reported at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fair value, or at face value or NAV, which approximates fair value. Where available, quoted market prices are used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determine the fair value of trading securities. Examples include most government and agency securities, mutual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funds, exchange-traded equity securities and ABS securities.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instruments for which market quotations are not available, fair values are determined using model-based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valuation techniques, whether internally generated or vendor-supplied, that include the standard discounted cash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flow method using observable market inputs such as yield curves, credit spreads, and conditional prepayment rates.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Where applicable, unobservable inputs such as conditional prepayment rates, probability of default and loss severity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are used. Unless quoted prices are available, time deposits are reported at face value, which approximates fair value,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as they are short term in nature.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Securities purchased under resale agreements, Securities sold under repurchase agreements, and Securities lent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>under securities lending agreements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These securities are of a short-term nature and reported at face value, which approximates fair value.</w:t>
      </w:r>
    </w:p>
    <w:p>
      <w:pPr>
        <w:autoSpaceDN w:val="0"/>
        <w:tabs>
          <w:tab w:pos="8984" w:val="left"/>
        </w:tabs>
        <w:autoSpaceDE w:val="0"/>
        <w:widowControl/>
        <w:spacing w:line="224" w:lineRule="exact" w:before="1298" w:after="0"/>
        <w:ind w:left="42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121</w:t>
      </w:r>
    </w:p>
    <w:p>
      <w:pPr>
        <w:sectPr>
          <w:pgSz w:w="12240" w:h="15840"/>
          <w:pgMar w:top="700" w:right="137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Discount notes and vanilla bonds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Discount notes and vanilla bonds issued by IBRD are valued using the standard discounted cash flow method which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relies on observable market inputs such as yield curves, foreign exchange rates, basis spreads and funding spreads.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Where available, quoted market prices are used to determine the fair value of short-term notes, as well as some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floating rate notes of longer maturity.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Structured bonds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Structured bonds issued by IBRD have coupon or repayment terms linked to the level or the performance of interest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rates, foreign exchange rates, equity indices, catastrophic events, or commodities. The fair value of the structured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bonds is generally derived using the discounted cash flow method based on estimated future pay-offs determined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applicable models and computation of embedded optionality such as caps, floors and calls. A wide range of industry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standard models such as one factor Hull-White, Generalized Forward Market Model and Black-Scholes are used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depending on the specific structure. These models incorporate observable market inputs, such as yield curves,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foreign exchange rates, basis spreads, funding spreads, interest rate volatilities, equity index volatilities and equity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indices. Where applicable, the models also incorporate significant unobservable inputs such as correlations between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relevant market data and long-dated interest rate volatilities. Generally, the movements in correlations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considered to be independent of movements in long-dated interest rate volatilities.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Derivative instruments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Derivative contracts include currency forward contracts, TBA securities, swaptions, options and futures contracts,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currency swaps and interest rate swaps. Currency swaps and interest rate swaps are either plain vanilla or structured.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Currency forward contracts and plain vanilla currency and interest rate swaps are valued using the standard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discounted cash flow methods using observable market inputs such as yield curves, foreign exchange rates, basis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spreads and funding spreads. For structured currency and interest rate swaps, which primarily consist of callable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swaps linked to interest rates, foreign exchange rates, and equity indices, valuation models and inputs similar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ones applicable to the valuation of structured bonds are used. Where applicable, the models also incorporate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significant unobservable inputs such as correlations and long-dated interest rate volatilities.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Valuation adjustments on fair value option elected liabilities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DVA on fair value option elected liabilities is measured by revaluing each liability to determine the changes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fair value of that liability arising from changes in IBRD’s funding spread applicable to the relevant reference rate. </w:t>
      </w:r>
    </w:p>
    <w:p>
      <w:pPr>
        <w:autoSpaceDN w:val="0"/>
        <w:tabs>
          <w:tab w:pos="848" w:val="left"/>
        </w:tabs>
        <w:autoSpaceDE w:val="0"/>
        <w:widowControl/>
        <w:spacing w:line="224" w:lineRule="exact" w:before="6004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2024</w:t>
      </w:r>
    </w:p>
    <w:p>
      <w:pPr>
        <w:sectPr>
          <w:pgSz w:w="12240" w:h="15840"/>
          <w:pgMar w:top="700" w:right="137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table below presents IBRD’s estimates of fair value of its financial assets and liabilities along with their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respective carrying amounts: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J1: Fair value and carrying amount of financial assets and liabilities</w:t>
      </w:r>
    </w:p>
    <w:p>
      <w:pPr>
        <w:autoSpaceDN w:val="0"/>
        <w:autoSpaceDE w:val="0"/>
        <w:widowControl/>
        <w:spacing w:line="180" w:lineRule="exact" w:before="168" w:after="18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0"/>
        <w:gridCol w:w="2360"/>
        <w:gridCol w:w="2360"/>
        <w:gridCol w:w="2360"/>
      </w:tblGrid>
      <w:tr>
        <w:trPr>
          <w:trHeight w:hRule="exact" w:val="256"/>
        </w:trPr>
        <w:tc>
          <w:tcPr>
            <w:tcW w:type="dxa" w:w="639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89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  <w:tc>
          <w:tcPr>
            <w:tcW w:type="dxa" w:w="2912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89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2023</w:t>
            </w:r>
          </w:p>
        </w:tc>
      </w:tr>
      <w:tr>
        <w:trPr>
          <w:trHeight w:hRule="exact" w:val="256"/>
        </w:trPr>
        <w:tc>
          <w:tcPr>
            <w:tcW w:type="dxa" w:w="49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4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Carrying Value</w:t>
            </w:r>
          </w:p>
        </w:tc>
        <w:tc>
          <w:tcPr>
            <w:tcW w:type="dxa" w:w="14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0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Fair Value</w:t>
            </w:r>
          </w:p>
        </w:tc>
        <w:tc>
          <w:tcPr>
            <w:tcW w:type="dxa" w:w="14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5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Carrying Value</w:t>
            </w:r>
          </w:p>
        </w:tc>
        <w:tc>
          <w:tcPr>
            <w:tcW w:type="dxa" w:w="14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0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Fair Value</w:t>
            </w:r>
          </w:p>
        </w:tc>
      </w:tr>
    </w:tbl>
    <w:p>
      <w:pPr>
        <w:autoSpaceDN w:val="0"/>
        <w:autoSpaceDE w:val="0"/>
        <w:widowControl/>
        <w:spacing w:line="178" w:lineRule="exact" w:before="36" w:after="38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5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Due from banks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490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490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547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1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547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Investments-Trading (including Securities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04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purchased under resale agreements)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82,807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4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82,807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79,277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79,277 </w:t>
            </w:r>
          </w:p>
        </w:tc>
      </w:tr>
      <w:tr>
        <w:trPr>
          <w:trHeight w:hRule="exact" w:val="260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loans outstanding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260,236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257,415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241,041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236,521 </w:t>
            </w:r>
          </w:p>
        </w:tc>
      </w:tr>
      <w:tr>
        <w:trPr>
          <w:trHeight w:hRule="exact" w:val="260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assets, net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456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4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456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271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271 </w:t>
            </w:r>
          </w:p>
        </w:tc>
      </w:tr>
      <w:tr>
        <w:trPr>
          <w:trHeight w:hRule="exact" w:val="286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Miscellaneous assets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 </w:t>
            </w:r>
          </w:p>
        </w:tc>
      </w:tr>
    </w:tbl>
    <w:p>
      <w:pPr>
        <w:autoSpaceDN w:val="0"/>
        <w:autoSpaceDE w:val="0"/>
        <w:widowControl/>
        <w:spacing w:line="180" w:lineRule="exact" w:before="270" w:after="38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Liabilities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58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261,790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261,790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2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237,265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237,265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28" w:after="6"/>
        <w:ind w:left="62" w:right="604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Securities sold/lent under repurchase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agreements/securities lending agreements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10"/>
        </w:trPr>
        <w:tc>
          <w:tcPr>
            <w:tcW w:type="dxa" w:w="3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and payable for cash collateral received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4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256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256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</w:tr>
      <w:tr>
        <w:trPr>
          <w:trHeight w:hRule="exact" w:val="514"/>
        </w:trPr>
        <w:tc>
          <w:tcPr>
            <w:tcW w:type="dxa" w:w="36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liabilities, net</w:t>
            </w:r>
          </w:p>
        </w:tc>
        <w:tc>
          <w:tcPr>
            <w:tcW w:type="dxa" w:w="16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4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22,728 </w:t>
            </w:r>
          </w:p>
        </w:tc>
        <w:tc>
          <w:tcPr>
            <w:tcW w:type="dxa" w:w="1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22,728 </w:t>
            </w:r>
          </w:p>
        </w:tc>
        <w:tc>
          <w:tcPr>
            <w:tcW w:type="dxa" w:w="1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26,893 </w:t>
            </w:r>
          </w:p>
        </w:tc>
        <w:tc>
          <w:tcPr>
            <w:tcW w:type="dxa" w:w="10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26,893 </w:t>
            </w:r>
          </w:p>
        </w:tc>
      </w:tr>
    </w:tbl>
    <w:p>
      <w:pPr>
        <w:autoSpaceDN w:val="0"/>
        <w:autoSpaceDE w:val="0"/>
        <w:widowControl/>
        <w:spacing w:line="240" w:lineRule="exact" w:before="16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June 30, 2024, IBRD’s signed loan commitments were $67 billion ($59 billion—June 30, 2023) and had a fair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value of $0.3 billion ($0.5 billion—June 30, 2023).</w:t>
      </w:r>
    </w:p>
    <w:p>
      <w:pPr>
        <w:autoSpaceDN w:val="0"/>
        <w:tabs>
          <w:tab w:pos="8984" w:val="left"/>
        </w:tabs>
        <w:autoSpaceDE w:val="0"/>
        <w:widowControl/>
        <w:spacing w:line="224" w:lineRule="exact" w:before="7570" w:after="0"/>
        <w:ind w:left="42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123</w:t>
      </w:r>
    </w:p>
    <w:p>
      <w:pPr>
        <w:sectPr>
          <w:pgSz w:w="12240" w:h="15840"/>
          <w:pgMar w:top="700" w:right="137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tables present IBRD’s fair value hierarchy for assets and liabilities measured at fair value on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recurring basis. The fair value of Other fund investments measured using the NAV as a practical expedient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included in the table below but excluded from the fair value hierarchy.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J2: Fair value hierarchy of IBRD’s assets and liabilities</w:t>
      </w:r>
    </w:p>
    <w:p>
      <w:pPr>
        <w:autoSpaceDN w:val="0"/>
        <w:autoSpaceDE w:val="0"/>
        <w:widowControl/>
        <w:spacing w:line="178" w:lineRule="exact" w:before="15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0"/>
        <w:ind w:left="0" w:right="38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Fair Value Measurements on a Recurring Basis</w:t>
      </w:r>
    </w:p>
    <w:p>
      <w:pPr>
        <w:autoSpaceDN w:val="0"/>
        <w:autoSpaceDE w:val="0"/>
        <w:widowControl/>
        <w:spacing w:line="178" w:lineRule="exact" w:before="62" w:after="20"/>
        <w:ind w:left="0" w:right="1556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70.0" w:type="dxa"/>
      </w:tblPr>
      <w:tblGrid>
        <w:gridCol w:w="2359"/>
        <w:gridCol w:w="2359"/>
        <w:gridCol w:w="2359"/>
        <w:gridCol w:w="2359"/>
      </w:tblGrid>
      <w:tr>
        <w:trPr>
          <w:trHeight w:hRule="exact" w:val="240"/>
        </w:trPr>
        <w:tc>
          <w:tcPr>
            <w:tcW w:type="dxa" w:w="9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1</w:t>
            </w:r>
          </w:p>
        </w:tc>
        <w:tc>
          <w:tcPr>
            <w:tcW w:type="dxa" w:w="103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2</w:t>
            </w:r>
          </w:p>
        </w:tc>
        <w:tc>
          <w:tcPr>
            <w:tcW w:type="dxa" w:w="8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3</w:t>
            </w:r>
          </w:p>
        </w:tc>
        <w:tc>
          <w:tcPr>
            <w:tcW w:type="dxa" w:w="11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Assets:</w:t>
      </w:r>
    </w:p>
    <w:p>
      <w:pPr>
        <w:autoSpaceDN w:val="0"/>
        <w:autoSpaceDE w:val="0"/>
        <w:widowControl/>
        <w:spacing w:line="178" w:lineRule="exact" w:before="62" w:after="32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Investments–Trading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38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Government and agency obligations</w:t>
            </w:r>
          </w:p>
        </w:tc>
        <w:tc>
          <w:tcPr>
            <w:tcW w:type="dxa" w:w="2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12,940 </w:t>
            </w:r>
          </w:p>
        </w:tc>
        <w:tc>
          <w:tcPr>
            <w:tcW w:type="dxa" w:w="3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19,413 </w:t>
            </w:r>
          </w:p>
        </w:tc>
        <w:tc>
          <w:tcPr>
            <w:tcW w:type="dxa" w:w="3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32,353 </w:t>
            </w:r>
          </w:p>
        </w:tc>
      </w:tr>
      <w:tr>
        <w:trPr>
          <w:trHeight w:hRule="exact" w:val="240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Time deposits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3,517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42,474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45,991 </w:t>
            </w:r>
          </w:p>
        </w:tc>
      </w:tr>
      <w:tr>
        <w:trPr>
          <w:trHeight w:hRule="exact" w:val="220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ABS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1,880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1,880 </w:t>
            </w:r>
          </w:p>
        </w:tc>
      </w:tr>
      <w:tr>
        <w:trPr>
          <w:trHeight w:hRule="exact" w:val="260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fund investments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2,155 </w:t>
            </w:r>
          </w:p>
        </w:tc>
      </w:tr>
      <w:tr>
        <w:trPr>
          <w:trHeight w:hRule="exact" w:val="240"/>
        </w:trPr>
        <w:tc>
          <w:tcPr>
            <w:tcW w:type="dxa" w:w="52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Equity securities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349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349 </w:t>
            </w:r>
          </w:p>
        </w:tc>
      </w:tr>
      <w:tr>
        <w:trPr>
          <w:trHeight w:hRule="exact" w:val="240"/>
        </w:trPr>
        <w:tc>
          <w:tcPr>
            <w:tcW w:type="dxa" w:w="52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Investments–Trading</w:t>
            </w:r>
          </w:p>
        </w:tc>
        <w:tc>
          <w:tcPr>
            <w:tcW w:type="dxa" w:w="2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16,806 </w:t>
            </w:r>
          </w:p>
        </w:tc>
        <w:tc>
          <w:tcPr>
            <w:tcW w:type="dxa" w:w="3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63,767 </w:t>
            </w:r>
          </w:p>
        </w:tc>
        <w:tc>
          <w:tcPr>
            <w:tcW w:type="dxa" w:w="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82,728 </w:t>
            </w:r>
          </w:p>
        </w:tc>
      </w:tr>
      <w:tr>
        <w:trPr>
          <w:trHeight w:hRule="exact" w:val="242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Securities purchased under resale agreements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  <w:tc>
          <w:tcPr>
            <w:tcW w:type="dxa" w:w="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59 </w:t>
            </w:r>
          </w:p>
        </w:tc>
        <w:tc>
          <w:tcPr>
            <w:tcW w:type="dxa" w:w="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 </w:t>
            </w:r>
          </w:p>
        </w:tc>
      </w:tr>
    </w:tbl>
    <w:p>
      <w:pPr>
        <w:autoSpaceDN w:val="0"/>
        <w:autoSpaceDE w:val="0"/>
        <w:widowControl/>
        <w:spacing w:line="178" w:lineRule="exact" w:before="30" w:after="20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50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4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3,935 </w:t>
            </w:r>
          </w:p>
        </w:tc>
        <w:tc>
          <w:tcPr>
            <w:tcW w:type="dxa" w:w="3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122 </w:t>
            </w:r>
          </w:p>
        </w:tc>
        <w:tc>
          <w:tcPr>
            <w:tcW w:type="dxa" w:w="3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4,057 </w:t>
            </w:r>
          </w:p>
        </w:tc>
      </w:tr>
      <w:tr>
        <w:trPr>
          <w:trHeight w:hRule="exact" w:val="240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7,836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141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7,977 </w:t>
            </w:r>
          </w:p>
        </w:tc>
      </w:tr>
      <w:tr>
        <w:trPr>
          <w:trHeight w:hRule="exact" w:val="254"/>
        </w:trPr>
        <w:tc>
          <w:tcPr>
            <w:tcW w:type="dxa" w:w="51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</w:tr>
      <w:tr>
        <w:trPr>
          <w:trHeight w:hRule="exact" w:val="242"/>
        </w:trPr>
        <w:tc>
          <w:tcPr>
            <w:tcW w:type="dxa" w:w="51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11,771 </w:t>
            </w:r>
          </w:p>
        </w:tc>
        <w:tc>
          <w:tcPr>
            <w:tcW w:type="dxa" w:w="3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263 </w:t>
            </w:r>
          </w:p>
        </w:tc>
        <w:tc>
          <w:tcPr>
            <w:tcW w:type="dxa" w:w="3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12,035 </w:t>
            </w:r>
          </w:p>
        </w:tc>
      </w:tr>
    </w:tbl>
    <w:p>
      <w:pPr>
        <w:autoSpaceDN w:val="0"/>
        <w:autoSpaceDE w:val="0"/>
        <w:widowControl/>
        <w:spacing w:line="180" w:lineRule="exact" w:before="30" w:after="18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36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2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Amounts subject to legally enforceable master netting agreements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5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11,558 </w:t>
            </w:r>
          </w:p>
        </w:tc>
      </w:tr>
      <w:tr>
        <w:trPr>
          <w:trHeight w:hRule="exact" w:val="254"/>
        </w:trPr>
        <w:tc>
          <w:tcPr>
            <w:tcW w:type="dxa" w:w="51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Cash collateral received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</w:tr>
      <w:tr>
        <w:trPr>
          <w:trHeight w:hRule="exact" w:val="226"/>
        </w:trPr>
        <w:tc>
          <w:tcPr>
            <w:tcW w:type="dxa" w:w="51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assets, net</w:t>
            </w:r>
          </w:p>
        </w:tc>
        <w:tc>
          <w:tcPr>
            <w:tcW w:type="dxa" w:w="5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2" w:after="0"/>
              <w:ind w:left="0" w:right="2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2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2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 </w:t>
            </w:r>
          </w:p>
        </w:tc>
        <w:tc>
          <w:tcPr>
            <w:tcW w:type="dxa" w:w="40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456 </w:t>
            </w:r>
          </w:p>
        </w:tc>
      </w:tr>
      <w:tr>
        <w:trPr>
          <w:trHeight w:hRule="exact" w:val="286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Miscellaneous assets</w:t>
            </w:r>
          </w:p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 </w:t>
            </w:r>
          </w:p>
        </w:tc>
      </w:tr>
    </w:tbl>
    <w:p>
      <w:pPr>
        <w:autoSpaceDN w:val="0"/>
        <w:autoSpaceDE w:val="0"/>
        <w:widowControl/>
        <w:spacing w:line="180" w:lineRule="exact" w:before="240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Liabilities: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24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$ 257,735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$ 4,055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261,790 </w:t>
            </w:r>
          </w:p>
        </w:tc>
      </w:tr>
      <w:tr>
        <w:trPr>
          <w:trHeight w:hRule="exact" w:val="224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sold under repurchase agreements and  securities lent under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256 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256 </w:t>
            </w:r>
          </w:p>
        </w:tc>
      </w:tr>
      <w:tr>
        <w:trPr>
          <w:trHeight w:hRule="exact" w:val="228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lending agreements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e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30" w:after="20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liabilities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40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4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9,816 </w:t>
            </w:r>
          </w:p>
        </w:tc>
        <w:tc>
          <w:tcPr>
            <w:tcW w:type="dxa" w:w="2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 </w:t>
            </w:r>
          </w:p>
        </w:tc>
        <w:tc>
          <w:tcPr>
            <w:tcW w:type="dxa" w:w="3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9,907 </w:t>
            </w:r>
          </w:p>
        </w:tc>
      </w:tr>
      <w:tr>
        <w:trPr>
          <w:trHeight w:hRule="exact" w:val="240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24,556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203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24,759 </w:t>
            </w:r>
          </w:p>
        </w:tc>
      </w:tr>
      <w:tr>
        <w:trPr>
          <w:trHeight w:hRule="exact" w:val="250"/>
        </w:trPr>
        <w:tc>
          <w:tcPr>
            <w:tcW w:type="dxa" w:w="51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51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34,372 </w:t>
            </w:r>
          </w:p>
        </w:tc>
        <w:tc>
          <w:tcPr>
            <w:tcW w:type="dxa" w:w="2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294 </w:t>
            </w:r>
          </w:p>
        </w:tc>
        <w:tc>
          <w:tcPr>
            <w:tcW w:type="dxa" w:w="3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34,666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32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Less: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08"/>
        </w:trPr>
        <w:tc>
          <w:tcPr>
            <w:tcW w:type="dxa" w:w="5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Amounts subject to legally enforceable master netting </w:t>
            </w:r>
          </w:p>
        </w:tc>
        <w:tc>
          <w:tcPr>
            <w:tcW w:type="dxa" w:w="4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11,938 </w:t>
            </w:r>
          </w:p>
        </w:tc>
      </w:tr>
      <w:tr>
        <w:trPr>
          <w:trHeight w:hRule="exact" w:val="226"/>
        </w:trPr>
        <w:tc>
          <w:tcPr>
            <w:tcW w:type="dxa" w:w="53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agreements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f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34"/>
        </w:trPr>
        <w:tc>
          <w:tcPr>
            <w:tcW w:type="dxa" w:w="53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liabilities, net</w:t>
            </w:r>
          </w:p>
        </w:tc>
        <w:tc>
          <w:tcPr>
            <w:tcW w:type="dxa" w:w="4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22,728 </w:t>
            </w:r>
          </w:p>
        </w:tc>
      </w:tr>
      <w:tr>
        <w:trPr>
          <w:trHeight w:hRule="exact" w:val="246"/>
        </w:trPr>
        <w:tc>
          <w:tcPr>
            <w:tcW w:type="dxa" w:w="53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Accounts payable and miscellaneous liabilities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180" w:lineRule="exact" w:before="27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Investments at NAV related to PEBP holdings, not included in the fair value hierarchy.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Includes currency forward contracts.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c. Includes swaptions, options, and futures contracts. 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d. Includes $29 million CVA.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e. Excludes payable for cash collateral received.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f. Includes $409 million DVA.</w:t>
      </w:r>
    </w:p>
    <w:p>
      <w:pPr>
        <w:autoSpaceDN w:val="0"/>
        <w:tabs>
          <w:tab w:pos="858" w:val="left"/>
        </w:tabs>
        <w:autoSpaceDE w:val="0"/>
        <w:widowControl/>
        <w:spacing w:line="224" w:lineRule="exact" w:before="1670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2024</w:t>
      </w:r>
    </w:p>
    <w:p>
      <w:pPr>
        <w:sectPr>
          <w:pgSz w:w="12240" w:h="15840"/>
          <w:pgMar w:top="700" w:right="1372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J2.1:</w:t>
      </w:r>
    </w:p>
    <w:p>
      <w:pPr>
        <w:autoSpaceDN w:val="0"/>
        <w:autoSpaceDE w:val="0"/>
        <w:widowControl/>
        <w:spacing w:line="178" w:lineRule="exact" w:before="14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48" w:after="0"/>
        <w:ind w:left="0" w:right="40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Fair Value Measurements on a Recurring Basis</w:t>
      </w:r>
    </w:p>
    <w:p>
      <w:pPr>
        <w:autoSpaceDN w:val="0"/>
        <w:autoSpaceDE w:val="0"/>
        <w:widowControl/>
        <w:spacing w:line="178" w:lineRule="exact" w:before="46" w:after="12"/>
        <w:ind w:left="0" w:right="158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26.0" w:type="dxa"/>
      </w:tblPr>
      <w:tblGrid>
        <w:gridCol w:w="2360"/>
        <w:gridCol w:w="2360"/>
        <w:gridCol w:w="2360"/>
        <w:gridCol w:w="2360"/>
      </w:tblGrid>
      <w:tr>
        <w:trPr>
          <w:trHeight w:hRule="exact" w:val="226"/>
        </w:trPr>
        <w:tc>
          <w:tcPr>
            <w:tcW w:type="dxa" w:w="9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1</w:t>
            </w:r>
          </w:p>
        </w:tc>
        <w:tc>
          <w:tcPr>
            <w:tcW w:type="dxa" w:w="103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2</w:t>
            </w:r>
          </w:p>
        </w:tc>
        <w:tc>
          <w:tcPr>
            <w:tcW w:type="dxa" w:w="9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3</w:t>
            </w:r>
          </w:p>
        </w:tc>
        <w:tc>
          <w:tcPr>
            <w:tcW w:type="dxa" w:w="11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78" w:lineRule="exact" w:before="14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Assets:</w:t>
      </w:r>
    </w:p>
    <w:p>
      <w:pPr>
        <w:autoSpaceDN w:val="0"/>
        <w:autoSpaceDE w:val="0"/>
        <w:widowControl/>
        <w:spacing w:line="178" w:lineRule="exact" w:before="48" w:after="24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Investments–Trading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08"/>
        </w:trPr>
        <w:tc>
          <w:tcPr>
            <w:tcW w:type="dxa" w:w="5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Government and agency obligations</w:t>
            </w:r>
          </w:p>
        </w:tc>
        <w:tc>
          <w:tcPr>
            <w:tcW w:type="dxa" w:w="2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12,651 </w:t>
            </w:r>
          </w:p>
        </w:tc>
        <w:tc>
          <w:tcPr>
            <w:tcW w:type="dxa" w:w="2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26,395 </w:t>
            </w:r>
          </w:p>
        </w:tc>
        <w:tc>
          <w:tcPr>
            <w:tcW w:type="dxa" w:w="3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39,046 </w:t>
            </w:r>
          </w:p>
        </w:tc>
      </w:tr>
      <w:tr>
        <w:trPr>
          <w:trHeight w:hRule="exact" w:val="240"/>
        </w:trPr>
        <w:tc>
          <w:tcPr>
            <w:tcW w:type="dxa" w:w="5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Time deposits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1,992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34,817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36,809 </w:t>
            </w:r>
          </w:p>
        </w:tc>
      </w:tr>
      <w:tr>
        <w:trPr>
          <w:trHeight w:hRule="exact" w:val="200"/>
        </w:trPr>
        <w:tc>
          <w:tcPr>
            <w:tcW w:type="dxa" w:w="5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ABS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1,087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1,087 </w:t>
            </w:r>
          </w:p>
        </w:tc>
      </w:tr>
      <w:tr>
        <w:trPr>
          <w:trHeight w:hRule="exact" w:val="240"/>
        </w:trPr>
        <w:tc>
          <w:tcPr>
            <w:tcW w:type="dxa" w:w="5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fund investments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1,982 </w:t>
            </w:r>
          </w:p>
        </w:tc>
      </w:tr>
      <w:tr>
        <w:trPr>
          <w:trHeight w:hRule="exact" w:val="234"/>
        </w:trPr>
        <w:tc>
          <w:tcPr>
            <w:tcW w:type="dxa" w:w="52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Equity securities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275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275 </w:t>
            </w:r>
          </w:p>
        </w:tc>
      </w:tr>
      <w:tr>
        <w:trPr>
          <w:trHeight w:hRule="exact" w:val="226"/>
        </w:trPr>
        <w:tc>
          <w:tcPr>
            <w:tcW w:type="dxa" w:w="52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Investments–Trading</w:t>
            </w:r>
          </w:p>
        </w:tc>
        <w:tc>
          <w:tcPr>
            <w:tcW w:type="dxa" w:w="2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14,918 </w:t>
            </w:r>
          </w:p>
        </w:tc>
        <w:tc>
          <w:tcPr>
            <w:tcW w:type="dxa" w:w="2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62,299 </w:t>
            </w:r>
          </w:p>
        </w:tc>
        <w:tc>
          <w:tcPr>
            <w:tcW w:type="dxa" w:w="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79,199 </w:t>
            </w:r>
          </w:p>
        </w:tc>
      </w:tr>
      <w:tr>
        <w:trPr>
          <w:trHeight w:hRule="exact" w:val="226"/>
        </w:trPr>
        <w:tc>
          <w:tcPr>
            <w:tcW w:type="dxa" w:w="5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Securities purchased under resale agreements</w:t>
            </w:r>
          </w:p>
        </w:tc>
        <w:tc>
          <w:tcPr>
            <w:tcW w:type="dxa" w:w="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 </w:t>
            </w:r>
          </w:p>
        </w:tc>
        <w:tc>
          <w:tcPr>
            <w:tcW w:type="dxa" w:w="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60 </w:t>
            </w:r>
          </w:p>
        </w:tc>
        <w:tc>
          <w:tcPr>
            <w:tcW w:type="dxa" w:w="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 </w:t>
            </w:r>
          </w:p>
        </w:tc>
      </w:tr>
    </w:tbl>
    <w:p>
      <w:pPr>
        <w:autoSpaceDN w:val="0"/>
        <w:autoSpaceDE w:val="0"/>
        <w:widowControl/>
        <w:spacing w:line="178" w:lineRule="exact" w:before="24" w:after="12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20"/>
        </w:trPr>
        <w:tc>
          <w:tcPr>
            <w:tcW w:type="dxa" w:w="5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4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4,475 </w:t>
            </w:r>
          </w:p>
        </w:tc>
        <w:tc>
          <w:tcPr>
            <w:tcW w:type="dxa" w:w="2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148 </w:t>
            </w:r>
          </w:p>
        </w:tc>
        <w:tc>
          <w:tcPr>
            <w:tcW w:type="dxa" w:w="3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4,623 </w:t>
            </w:r>
          </w:p>
        </w:tc>
      </w:tr>
      <w:tr>
        <w:trPr>
          <w:trHeight w:hRule="exact" w:val="220"/>
        </w:trPr>
        <w:tc>
          <w:tcPr>
            <w:tcW w:type="dxa" w:w="5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8,120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73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8,193 </w:t>
            </w:r>
          </w:p>
        </w:tc>
      </w:tr>
      <w:tr>
        <w:trPr>
          <w:trHeight w:hRule="exact" w:val="246"/>
        </w:trPr>
        <w:tc>
          <w:tcPr>
            <w:tcW w:type="dxa" w:w="51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24"/>
        </w:trPr>
        <w:tc>
          <w:tcPr>
            <w:tcW w:type="dxa" w:w="51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12,595 </w:t>
            </w:r>
          </w:p>
        </w:tc>
        <w:tc>
          <w:tcPr>
            <w:tcW w:type="dxa" w:w="2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221 </w:t>
            </w:r>
          </w:p>
        </w:tc>
        <w:tc>
          <w:tcPr>
            <w:tcW w:type="dxa" w:w="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12,816 </w:t>
            </w:r>
          </w:p>
        </w:tc>
      </w:tr>
    </w:tbl>
    <w:p>
      <w:pPr>
        <w:autoSpaceDN w:val="0"/>
        <w:autoSpaceDE w:val="0"/>
        <w:widowControl/>
        <w:spacing w:line="178" w:lineRule="exact" w:before="24" w:after="1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Less: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32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" w:after="0"/>
              <w:ind w:left="2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Amounts subject to legally enforceable master netting agreements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5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8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12,405 </w:t>
            </w:r>
          </w:p>
        </w:tc>
      </w:tr>
      <w:tr>
        <w:trPr>
          <w:trHeight w:hRule="exact" w:val="240"/>
        </w:trPr>
        <w:tc>
          <w:tcPr>
            <w:tcW w:type="dxa" w:w="51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2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Cash collateral received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140 </w:t>
            </w:r>
          </w:p>
        </w:tc>
      </w:tr>
      <w:tr>
        <w:trPr>
          <w:trHeight w:hRule="exact" w:val="220"/>
        </w:trPr>
        <w:tc>
          <w:tcPr>
            <w:tcW w:type="dxa" w:w="51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assets, net</w:t>
            </w:r>
          </w:p>
        </w:tc>
        <w:tc>
          <w:tcPr>
            <w:tcW w:type="dxa" w:w="50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6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6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6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6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 </w:t>
            </w:r>
          </w:p>
        </w:tc>
        <w:tc>
          <w:tcPr>
            <w:tcW w:type="dxa" w:w="3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4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6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271 </w:t>
            </w:r>
          </w:p>
        </w:tc>
      </w:tr>
      <w:tr>
        <w:trPr>
          <w:trHeight w:hRule="exact" w:val="276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Miscellaneous assets</w:t>
            </w:r>
          </w:p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 </w:t>
            </w:r>
          </w:p>
        </w:tc>
      </w:tr>
    </w:tbl>
    <w:p>
      <w:pPr>
        <w:autoSpaceDN w:val="0"/>
        <w:autoSpaceDE w:val="0"/>
        <w:widowControl/>
        <w:spacing w:line="178" w:lineRule="exact" w:before="218" w:after="24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Liabilities: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24"/>
        </w:trPr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$ 233,658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$ 3,607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237,265 </w:t>
            </w:r>
          </w:p>
        </w:tc>
      </w:tr>
      <w:tr>
        <w:trPr>
          <w:trHeight w:hRule="exact" w:val="208"/>
        </w:trPr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sold under repurchase agreements and securities lent under 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</w:tr>
      <w:tr>
        <w:trPr>
          <w:trHeight w:hRule="exact" w:val="224"/>
        </w:trPr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lending agreements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e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28" w:after="12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liabilities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30"/>
        </w:trPr>
        <w:tc>
          <w:tcPr>
            <w:tcW w:type="dxa" w:w="5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4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11,429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135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11,564 </w:t>
            </w:r>
          </w:p>
        </w:tc>
      </w:tr>
      <w:tr>
        <w:trPr>
          <w:trHeight w:hRule="exact" w:val="235"/>
        </w:trPr>
        <w:tc>
          <w:tcPr>
            <w:tcW w:type="dxa" w:w="5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27,965 </w:t>
            </w:r>
          </w:p>
        </w:tc>
        <w:tc>
          <w:tcPr>
            <w:tcW w:type="dxa" w:w="3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207 </w:t>
            </w:r>
          </w:p>
        </w:tc>
        <w:tc>
          <w:tcPr>
            <w:tcW w:type="dxa" w:w="4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28,172 </w:t>
            </w:r>
          </w:p>
        </w:tc>
      </w:tr>
      <w:tr>
        <w:trPr>
          <w:trHeight w:hRule="exact" w:val="235"/>
        </w:trPr>
        <w:tc>
          <w:tcPr>
            <w:tcW w:type="dxa" w:w="51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  <w:tr>
        <w:trPr>
          <w:trHeight w:hRule="exact" w:val="226"/>
        </w:trPr>
        <w:tc>
          <w:tcPr>
            <w:tcW w:type="dxa" w:w="51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3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39,394 </w:t>
            </w:r>
          </w:p>
        </w:tc>
        <w:tc>
          <w:tcPr>
            <w:tcW w:type="dxa" w:w="3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342 </w:t>
            </w:r>
          </w:p>
        </w:tc>
        <w:tc>
          <w:tcPr>
            <w:tcW w:type="dxa" w:w="4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39,742 </w:t>
            </w:r>
          </w:p>
        </w:tc>
      </w:tr>
    </w:tbl>
    <w:p>
      <w:pPr>
        <w:autoSpaceDN w:val="0"/>
        <w:autoSpaceDE w:val="0"/>
        <w:widowControl/>
        <w:spacing w:line="178" w:lineRule="exact" w:before="24" w:after="212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Less: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90"/>
        </w:trPr>
        <w:tc>
          <w:tcPr>
            <w:tcW w:type="dxa" w:w="82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Amounts subject to legally enforceable master netting agreements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f</w:t>
            </w:r>
          </w:p>
        </w:tc>
        <w:tc>
          <w:tcPr>
            <w:tcW w:type="dxa" w:w="3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12,849 </w:t>
            </w:r>
          </w:p>
        </w:tc>
      </w:tr>
      <w:tr>
        <w:trPr>
          <w:trHeight w:hRule="exact" w:val="450"/>
        </w:trPr>
        <w:tc>
          <w:tcPr>
            <w:tcW w:type="dxa" w:w="82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liabilities, net</w:t>
            </w:r>
          </w:p>
        </w:tc>
        <w:tc>
          <w:tcPr>
            <w:tcW w:type="dxa" w:w="3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26,893 </w:t>
            </w:r>
          </w:p>
        </w:tc>
      </w:tr>
    </w:tbl>
    <w:p>
      <w:pPr>
        <w:autoSpaceDN w:val="0"/>
        <w:autoSpaceDE w:val="0"/>
        <w:widowControl/>
        <w:spacing w:line="178" w:lineRule="exact" w:before="2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Investments at NAV related to PEBP holdings, not included in the fair value hierarchy.</w:t>
      </w:r>
    </w:p>
    <w:p>
      <w:pPr>
        <w:autoSpaceDN w:val="0"/>
        <w:autoSpaceDE w:val="0"/>
        <w:widowControl/>
        <w:spacing w:line="178" w:lineRule="exact" w:before="48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Includes currency forward contracts.</w:t>
      </w:r>
    </w:p>
    <w:p>
      <w:pPr>
        <w:autoSpaceDN w:val="0"/>
        <w:autoSpaceDE w:val="0"/>
        <w:widowControl/>
        <w:spacing w:line="178" w:lineRule="exact" w:before="4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Includes swaptions, options, and futures contracts.</w:t>
      </w:r>
    </w:p>
    <w:p>
      <w:pPr>
        <w:autoSpaceDN w:val="0"/>
        <w:autoSpaceDE w:val="0"/>
        <w:widowControl/>
        <w:spacing w:line="178" w:lineRule="exact" w:before="48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d. Includes $27 million CVA.</w:t>
      </w:r>
    </w:p>
    <w:p>
      <w:pPr>
        <w:autoSpaceDN w:val="0"/>
        <w:autoSpaceDE w:val="0"/>
        <w:widowControl/>
        <w:spacing w:line="178" w:lineRule="exact" w:before="5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e. Excludes payable for cash collateral received.</w:t>
      </w:r>
    </w:p>
    <w:p>
      <w:pPr>
        <w:autoSpaceDN w:val="0"/>
        <w:autoSpaceDE w:val="0"/>
        <w:widowControl/>
        <w:spacing w:line="178" w:lineRule="exact" w:before="5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f. Includes $471 million DVA.</w:t>
      </w:r>
    </w:p>
    <w:p>
      <w:pPr>
        <w:autoSpaceDN w:val="0"/>
        <w:autoSpaceDE w:val="0"/>
        <w:widowControl/>
        <w:spacing w:line="240" w:lineRule="exact" w:before="18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Level 3 borrowings primarily relate to structured bonds. The fair value of these bonds is estimated using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discounted cash flow valuation models that incorporate model parameters, observable market inputs,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unobservable inputs. The significant unobservable inputs used in the fair value measurement of structured bonds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swaps are correlations and long-dated market interest rate volatilities. Generally, the movements in correlations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considered to be independent of the movements in long-dated interest rate volatilities.</w:t>
      </w:r>
    </w:p>
    <w:p>
      <w:pPr>
        <w:autoSpaceDN w:val="0"/>
        <w:tabs>
          <w:tab w:pos="8984" w:val="left"/>
        </w:tabs>
        <w:autoSpaceDE w:val="0"/>
        <w:widowControl/>
        <w:spacing w:line="224" w:lineRule="exact" w:before="1870" w:after="0"/>
        <w:ind w:left="42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125</w:t>
      </w:r>
    </w:p>
    <w:p>
      <w:pPr>
        <w:sectPr>
          <w:pgSz w:w="12240" w:h="15840"/>
          <w:pgMar w:top="700" w:right="137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Correlation is the statistical measurement of the relationship between two variables. For contracts where the holder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benefits from the convergence of the underlying index prices (e.g., market interest rates and foreign exchange rates),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 increase in correlation would generally result in an increase in the fair value of the instrument. The magnitude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and direction of the fair value adjustment would depend on whether the holder is short or long the option.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Interest rate volatility is the extent to which the level of interest rates changes over time. For purchased options, 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in volatility will generally result in an increase in the fair value. In general, the volatility used to price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option depends on the maturity of the underlying instrument and the option strike price. During the fiscal year ended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June 30, 2024, and the fiscal year ended June 30, 2023, the interest rate volatilities for certain currencies were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extrapolated for certain tenors and, thus, are considered an unobservable input.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entered into transactions which have an embedded option associated with an equity index. Valuation inputs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such transactions include, among other valuation inputs, volatilities of the equity indices, that are the extent to which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level of equity index changes over time. These index volatility levels are consistent with the respective index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construction methodologies and historical movements. Similar to the impact of the volatility of the other asset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classes described above, an increase in the equity index volatility will result in an increase in the value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purchase option and vice versa.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certain instances, particularly for instruments with coupon or repayment terms linked to catastrophic events,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management relies on instrument valuations supplied by external pricing vendors.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 provides a summary of the valuation technique applied in determining fair values of these Level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3 instruments and quantitative information regarding the significant unobservable inputs used. Level 3 instruments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represent 2% of IBRD’s borrowings.</w:t>
      </w:r>
    </w:p>
    <w:p>
      <w:pPr>
        <w:autoSpaceDN w:val="0"/>
        <w:autoSpaceDE w:val="0"/>
        <w:widowControl/>
        <w:spacing w:line="240" w:lineRule="exact" w:before="11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J3: Level 3 Borrowings and derivatives valuation technique and quantitative information regarding the </w:t>
      </w:r>
      <w:r>
        <w:rPr>
          <w:rFonts w:ascii="TimesNewRoman" w:hAnsi="TimesNewRoman" w:eastAsia="TimesNewRoman"/>
          <w:b/>
          <w:i w:val="0"/>
          <w:color w:val="000000"/>
          <w:sz w:val="20"/>
        </w:rPr>
        <w:t>significant unobservable inputs:</w:t>
      </w:r>
    </w:p>
    <w:p>
      <w:pPr>
        <w:autoSpaceDN w:val="0"/>
        <w:autoSpaceDE w:val="0"/>
        <w:widowControl/>
        <w:spacing w:line="178" w:lineRule="exact" w:before="15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220"/>
        </w:trPr>
        <w:tc>
          <w:tcPr>
            <w:tcW w:type="dxa" w:w="8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Portfolio</w:t>
            </w:r>
          </w:p>
        </w:tc>
        <w:tc>
          <w:tcPr>
            <w:tcW w:type="dxa" w:w="178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7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Fair Value as </w:t>
            </w:r>
          </w:p>
        </w:tc>
        <w:tc>
          <w:tcPr>
            <w:tcW w:type="dxa" w:w="1164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Fair Value as </w:t>
            </w:r>
          </w:p>
        </w:tc>
        <w:tc>
          <w:tcPr>
            <w:tcW w:type="dxa" w:w="9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Valuation </w:t>
            </w:r>
          </w:p>
        </w:tc>
        <w:tc>
          <w:tcPr>
            <w:tcW w:type="dxa" w:w="12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4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Unobservable </w:t>
            </w:r>
          </w:p>
        </w:tc>
        <w:tc>
          <w:tcPr>
            <w:tcW w:type="dxa" w:w="16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4" w:after="0"/>
              <w:ind w:left="24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Range (average), </w:t>
            </w:r>
          </w:p>
        </w:tc>
        <w:tc>
          <w:tcPr>
            <w:tcW w:type="dxa" w:w="163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Range (average),</w:t>
            </w:r>
          </w:p>
        </w:tc>
      </w:tr>
      <w:tr>
        <w:trPr>
          <w:trHeight w:hRule="exact" w:val="100"/>
        </w:trPr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4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of June 30, </w:t>
            </w:r>
          </w:p>
        </w:tc>
        <w:tc>
          <w:tcPr>
            <w:tcW w:type="dxa" w:w="116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of June 30, </w:t>
            </w:r>
          </w:p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80"/>
        </w:trPr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574"/>
            <w:gridSpan w:val="3"/>
            <w:vMerge/>
            <w:tcBorders/>
          </w:tcPr>
          <w:p/>
        </w:tc>
        <w:tc>
          <w:tcPr>
            <w:tcW w:type="dxa" w:w="2574"/>
            <w:gridSpan w:val="3"/>
            <w:vMerge/>
            <w:tcBorders/>
          </w:tcPr>
          <w:p/>
        </w:tc>
        <w:tc>
          <w:tcPr>
            <w:tcW w:type="dxa" w:w="9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Technique</w:t>
            </w:r>
          </w:p>
        </w:tc>
        <w:tc>
          <w:tcPr>
            <w:tcW w:type="dxa" w:w="12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input</w:t>
            </w:r>
          </w:p>
        </w:tc>
        <w:tc>
          <w:tcPr>
            <w:tcW w:type="dxa" w:w="16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  <w:tc>
          <w:tcPr>
            <w:tcW w:type="dxa" w:w="163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2023</w:t>
            </w:r>
          </w:p>
        </w:tc>
      </w:tr>
      <w:tr>
        <w:trPr>
          <w:trHeight w:hRule="exact" w:val="246"/>
        </w:trPr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8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1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16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6034"/>
            <w:gridSpan w:val="9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Correlations</w:t>
            </w:r>
          </w:p>
        </w:tc>
        <w:tc>
          <w:tcPr>
            <w:tcW w:type="dxa" w:w="1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-11% to 84% (7%)</w:t>
            </w:r>
          </w:p>
        </w:tc>
        <w:tc>
          <w:tcPr>
            <w:tcW w:type="dxa" w:w="16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-16% to 99% (11%)</w:t>
            </w:r>
          </w:p>
        </w:tc>
      </w:tr>
      <w:tr>
        <w:trPr>
          <w:trHeight w:hRule="exact" w:val="214"/>
        </w:trPr>
        <w:tc>
          <w:tcPr>
            <w:tcW w:type="dxa" w:w="85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880"/>
            <w:gridSpan w:val="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2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2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4,055 </w:t>
            </w:r>
          </w:p>
        </w:tc>
        <w:tc>
          <w:tcPr>
            <w:tcW w:type="dxa" w:w="3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3,607 </w:t>
            </w:r>
          </w:p>
        </w:tc>
        <w:tc>
          <w:tcPr>
            <w:tcW w:type="dxa" w:w="1064"/>
            <w:gridSpan w:val="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6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Discounted </w:t>
            </w:r>
          </w:p>
        </w:tc>
        <w:tc>
          <w:tcPr>
            <w:tcW w:type="dxa" w:w="12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2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Interest rate </w:t>
            </w:r>
          </w:p>
        </w:tc>
        <w:tc>
          <w:tcPr>
            <w:tcW w:type="dxa" w:w="16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65% to 77% (73%)</w:t>
            </w:r>
          </w:p>
        </w:tc>
        <w:tc>
          <w:tcPr>
            <w:tcW w:type="dxa" w:w="163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63% to 85% (78%)</w:t>
            </w:r>
          </w:p>
        </w:tc>
      </w:tr>
      <w:tr>
        <w:trPr>
          <w:trHeight w:hRule="exact" w:val="80"/>
        </w:trPr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1716"/>
            <w:gridSpan w:val="2"/>
            <w:vMerge/>
            <w:tcBorders>
              <w:top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1716"/>
            <w:gridSpan w:val="2"/>
            <w:vMerge/>
            <w:tcBorders>
              <w:top w:sz="8.0" w:val="single" w:color="#000000"/>
            </w:tcBorders>
          </w:tcPr>
          <w:p/>
        </w:tc>
        <w:tc>
          <w:tcPr>
            <w:tcW w:type="dxa" w:w="12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volatilities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1716"/>
            <w:gridSpan w:val="2"/>
            <w:vMerge/>
            <w:tcBorders>
              <w:top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106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2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Cash Flow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1716"/>
            <w:gridSpan w:val="2"/>
            <w:vMerge/>
            <w:tcBorders>
              <w:top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1716"/>
            <w:gridSpan w:val="2"/>
            <w:vMerge/>
            <w:tcBorders/>
          </w:tcPr>
          <w:p/>
        </w:tc>
        <w:tc>
          <w:tcPr>
            <w:tcW w:type="dxa" w:w="12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2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Equity index </w:t>
            </w:r>
          </w:p>
        </w:tc>
        <w:tc>
          <w:tcPr>
            <w:tcW w:type="dxa" w:w="16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5% to 15% (9%)</w:t>
            </w:r>
          </w:p>
        </w:tc>
        <w:tc>
          <w:tcPr>
            <w:tcW w:type="dxa" w:w="163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5% to 15% (9%)</w:t>
            </w:r>
          </w:p>
        </w:tc>
      </w:tr>
      <w:tr>
        <w:trPr>
          <w:trHeight w:hRule="exact" w:val="234"/>
        </w:trPr>
        <w:tc>
          <w:tcPr>
            <w:tcW w:type="dxa" w:w="6034"/>
            <w:gridSpan w:val="9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volatilities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6034"/>
            <w:gridSpan w:val="9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Correlations</w:t>
            </w:r>
          </w:p>
        </w:tc>
        <w:tc>
          <w:tcPr>
            <w:tcW w:type="dxa" w:w="1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2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-11% to 84% (7%)</w:t>
            </w:r>
          </w:p>
        </w:tc>
        <w:tc>
          <w:tcPr>
            <w:tcW w:type="dxa" w:w="16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-16% to 99% (11%)</w:t>
            </w:r>
          </w:p>
        </w:tc>
      </w:tr>
      <w:tr>
        <w:trPr>
          <w:trHeight w:hRule="exact" w:val="206"/>
        </w:trPr>
        <w:tc>
          <w:tcPr>
            <w:tcW w:type="dxa" w:w="144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Derivative </w:t>
            </w:r>
          </w:p>
        </w:tc>
        <w:tc>
          <w:tcPr>
            <w:tcW w:type="dxa" w:w="28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4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(31) </w:t>
            </w:r>
          </w:p>
        </w:tc>
        <w:tc>
          <w:tcPr>
            <w:tcW w:type="dxa" w:w="3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(121) </w:t>
            </w:r>
          </w:p>
        </w:tc>
        <w:tc>
          <w:tcPr>
            <w:tcW w:type="dxa" w:w="1064"/>
            <w:gridSpan w:val="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Discounted </w:t>
            </w:r>
          </w:p>
        </w:tc>
        <w:tc>
          <w:tcPr>
            <w:tcW w:type="dxa" w:w="12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Interest rate </w:t>
            </w:r>
          </w:p>
        </w:tc>
        <w:tc>
          <w:tcPr>
            <w:tcW w:type="dxa" w:w="16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65% to 77% (73%)</w:t>
            </w:r>
          </w:p>
        </w:tc>
        <w:tc>
          <w:tcPr>
            <w:tcW w:type="dxa" w:w="163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63% to 85% (78%)</w:t>
            </w:r>
          </w:p>
        </w:tc>
      </w:tr>
      <w:tr>
        <w:trPr>
          <w:trHeight w:hRule="exact" w:val="100"/>
        </w:trPr>
        <w:tc>
          <w:tcPr>
            <w:tcW w:type="dxa" w:w="1444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assets/(liabilities), </w:t>
            </w:r>
          </w:p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1716"/>
            <w:gridSpan w:val="2"/>
            <w:vMerge/>
            <w:tcBorders>
              <w:top w:sz="8.0" w:val="single" w:color="#000000"/>
            </w:tcBorders>
          </w:tcPr>
          <w:p/>
        </w:tc>
        <w:tc>
          <w:tcPr>
            <w:tcW w:type="dxa" w:w="12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volatilities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130"/>
        </w:trPr>
        <w:tc>
          <w:tcPr>
            <w:tcW w:type="dxa" w:w="1716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106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Cash Flow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10"/>
        </w:trPr>
        <w:tc>
          <w:tcPr>
            <w:tcW w:type="dxa" w:w="144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</w:t>
            </w:r>
          </w:p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1716"/>
            <w:gridSpan w:val="2"/>
            <w:vMerge/>
            <w:tcBorders/>
          </w:tcPr>
          <w:p/>
        </w:tc>
        <w:tc>
          <w:tcPr>
            <w:tcW w:type="dxa" w:w="12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2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Equity index </w:t>
            </w:r>
          </w:p>
        </w:tc>
        <w:tc>
          <w:tcPr>
            <w:tcW w:type="dxa" w:w="16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5% to 15% (9%)</w:t>
            </w:r>
          </w:p>
        </w:tc>
        <w:tc>
          <w:tcPr>
            <w:tcW w:type="dxa" w:w="163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5% to 15% (9%)</w:t>
            </w:r>
          </w:p>
        </w:tc>
      </w:tr>
      <w:tr>
        <w:trPr>
          <w:trHeight w:hRule="exact" w:val="226"/>
        </w:trPr>
        <w:tc>
          <w:tcPr>
            <w:tcW w:type="dxa" w:w="6034"/>
            <w:gridSpan w:val="9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2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volatilities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4664"/>
        </w:trPr>
        <w:tc>
          <w:tcPr>
            <w:tcW w:type="dxa" w:w="8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45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126</w:t>
            </w:r>
          </w:p>
        </w:tc>
        <w:tc>
          <w:tcPr>
            <w:tcW w:type="dxa" w:w="5184"/>
            <w:gridSpan w:val="8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45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2024</w:t>
            </w:r>
          </w:p>
        </w:tc>
        <w:tc>
          <w:tcPr>
            <w:tcW w:type="dxa" w:w="1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0" w:right="137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tables below provide the details of transfers between Level 2 and Level 3 that are due to changes in observable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inputs.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J4: Borrowings and derivatives inter level transfers</w:t>
      </w:r>
    </w:p>
    <w:p>
      <w:pPr>
        <w:autoSpaceDN w:val="0"/>
        <w:autoSpaceDE w:val="0"/>
        <w:widowControl/>
        <w:spacing w:line="178" w:lineRule="exact" w:before="15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480"/>
        </w:trPr>
        <w:tc>
          <w:tcPr>
            <w:tcW w:type="dxa" w:w="39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21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2</w:t>
            </w:r>
          </w:p>
        </w:tc>
        <w:tc>
          <w:tcPr>
            <w:tcW w:type="dxa" w:w="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2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2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3</w:t>
            </w:r>
          </w:p>
        </w:tc>
        <w:tc>
          <w:tcPr>
            <w:tcW w:type="dxa" w:w="13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19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2</w:t>
            </w:r>
          </w:p>
        </w:tc>
        <w:tc>
          <w:tcPr>
            <w:tcW w:type="dxa" w:w="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1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2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3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Borrowings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38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into (out of)</w:t>
            </w:r>
          </w:p>
        </w:tc>
        <w:tc>
          <w:tcPr>
            <w:tcW w:type="dxa" w:w="5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(90) </w:t>
            </w:r>
          </w:p>
        </w:tc>
        <w:tc>
          <w:tcPr>
            <w:tcW w:type="dxa" w:w="5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144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(144) </w:t>
            </w:r>
          </w:p>
        </w:tc>
      </w:tr>
      <w:tr>
        <w:trPr>
          <w:trHeight w:hRule="exact" w:val="240"/>
        </w:trPr>
        <w:tc>
          <w:tcPr>
            <w:tcW w:type="dxa" w:w="2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(out of) into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(46) </w:t>
            </w:r>
          </w:p>
        </w:tc>
        <w:tc>
          <w:tcPr>
            <w:tcW w:type="dxa" w:w="6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1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(118) </w:t>
            </w:r>
          </w:p>
        </w:tc>
        <w:tc>
          <w:tcPr>
            <w:tcW w:type="dxa" w:w="5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118 </w:t>
            </w:r>
          </w:p>
        </w:tc>
      </w:tr>
      <w:tr>
        <w:trPr>
          <w:trHeight w:hRule="exact" w:val="220"/>
        </w:trPr>
        <w:tc>
          <w:tcPr>
            <w:tcW w:type="dxa" w:w="2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 </w:t>
            </w:r>
          </w:p>
        </w:tc>
        <w:tc>
          <w:tcPr>
            <w:tcW w:type="dxa" w:w="6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(44) </w:t>
            </w:r>
          </w:p>
        </w:tc>
        <w:tc>
          <w:tcPr>
            <w:tcW w:type="dxa" w:w="5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 </w:t>
            </w:r>
          </w:p>
        </w:tc>
        <w:tc>
          <w:tcPr>
            <w:tcW w:type="dxa" w:w="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(26) </w:t>
            </w:r>
          </w:p>
        </w:tc>
      </w:tr>
    </w:tbl>
    <w:p>
      <w:pPr>
        <w:autoSpaceDN w:val="0"/>
        <w:autoSpaceDE w:val="0"/>
        <w:widowControl/>
        <w:spacing w:line="178" w:lineRule="exact" w:before="5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assets,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38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into (out of)</w:t>
            </w:r>
          </w:p>
        </w:tc>
        <w:tc>
          <w:tcPr>
            <w:tcW w:type="dxa" w:w="6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(96) </w:t>
            </w:r>
          </w:p>
        </w:tc>
        <w:tc>
          <w:tcPr>
            <w:tcW w:type="dxa" w:w="5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(10) </w:t>
            </w:r>
          </w:p>
        </w:tc>
      </w:tr>
      <w:tr>
        <w:trPr>
          <w:trHeight w:hRule="exact" w:val="240"/>
        </w:trPr>
        <w:tc>
          <w:tcPr>
            <w:tcW w:type="dxa" w:w="2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(out of) into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(1) </w:t>
            </w:r>
          </w:p>
        </w:tc>
        <w:tc>
          <w:tcPr>
            <w:tcW w:type="dxa" w:w="6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1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(124) </w:t>
            </w:r>
          </w:p>
        </w:tc>
        <w:tc>
          <w:tcPr>
            <w:tcW w:type="dxa" w:w="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124 </w:t>
            </w:r>
          </w:p>
        </w:tc>
      </w:tr>
      <w:tr>
        <w:trPr>
          <w:trHeight w:hRule="exact" w:val="240"/>
        </w:trPr>
        <w:tc>
          <w:tcPr>
            <w:tcW w:type="dxa" w:w="2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95 </w:t>
            </w:r>
          </w:p>
        </w:tc>
        <w:tc>
          <w:tcPr>
            <w:tcW w:type="dxa" w:w="6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(95) </w:t>
            </w:r>
          </w:p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(114) </w:t>
            </w:r>
          </w:p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114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liabilities,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38"/>
        </w:trPr>
        <w:tc>
          <w:tcPr>
            <w:tcW w:type="dxa" w:w="2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(into) out of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(63) </w:t>
            </w:r>
          </w:p>
        </w:tc>
        <w:tc>
          <w:tcPr>
            <w:tcW w:type="dxa" w:w="6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(328) </w:t>
            </w:r>
          </w:p>
        </w:tc>
        <w:tc>
          <w:tcPr>
            <w:tcW w:type="dxa" w:w="5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328 </w:t>
            </w:r>
          </w:p>
        </w:tc>
      </w:tr>
      <w:tr>
        <w:trPr>
          <w:trHeight w:hRule="exact" w:val="240"/>
        </w:trPr>
        <w:tc>
          <w:tcPr>
            <w:tcW w:type="dxa" w:w="26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out of (into)</w:t>
            </w:r>
          </w:p>
        </w:tc>
        <w:tc>
          <w:tcPr>
            <w:tcW w:type="dxa" w:w="5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(7) </w:t>
            </w:r>
          </w:p>
        </w:tc>
        <w:tc>
          <w:tcPr>
            <w:tcW w:type="dxa" w:w="5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325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1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(325) </w:t>
            </w:r>
          </w:p>
        </w:tc>
      </w:tr>
      <w:tr>
        <w:trPr>
          <w:trHeight w:hRule="exact" w:val="240"/>
        </w:trPr>
        <w:tc>
          <w:tcPr>
            <w:tcW w:type="dxa" w:w="2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(56) </w:t>
            </w:r>
          </w:p>
        </w:tc>
        <w:tc>
          <w:tcPr>
            <w:tcW w:type="dxa" w:w="6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 </w:t>
            </w:r>
          </w:p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(3) </w:t>
            </w:r>
          </w:p>
        </w:tc>
        <w:tc>
          <w:tcPr>
            <w:tcW w:type="dxa" w:w="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20"/>
        </w:trPr>
        <w:tc>
          <w:tcPr>
            <w:tcW w:type="dxa" w:w="2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Derivative Transfers, net</w:t>
            </w:r>
          </w:p>
        </w:tc>
        <w:tc>
          <w:tcPr>
            <w:tcW w:type="dxa" w:w="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 </w:t>
            </w:r>
          </w:p>
        </w:tc>
        <w:tc>
          <w:tcPr>
            <w:tcW w:type="dxa" w:w="6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(39) </w:t>
            </w:r>
          </w:p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(117) </w:t>
            </w:r>
          </w:p>
        </w:tc>
        <w:tc>
          <w:tcPr>
            <w:tcW w:type="dxa" w:w="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117 </w:t>
            </w:r>
          </w:p>
        </w:tc>
      </w:tr>
    </w:tbl>
    <w:p>
      <w:pPr>
        <w:autoSpaceDN w:val="0"/>
        <w:autoSpaceDE w:val="0"/>
        <w:widowControl/>
        <w:spacing w:line="222" w:lineRule="exact" w:before="38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tables provide a summary of changes in the fair value of IBRD’s Level 3 borrowings and derivatives: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J5: Borrowings Level 3 changes</w:t>
      </w:r>
    </w:p>
    <w:p>
      <w:pPr>
        <w:autoSpaceDN w:val="0"/>
        <w:autoSpaceDE w:val="0"/>
        <w:widowControl/>
        <w:spacing w:line="178" w:lineRule="exact" w:before="15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40"/>
        </w:trPr>
        <w:tc>
          <w:tcPr>
            <w:tcW w:type="dxa" w:w="4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  <w:tc>
          <w:tcPr>
            <w:tcW w:type="dxa" w:w="4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2023</w:t>
            </w:r>
          </w:p>
        </w:tc>
      </w:tr>
      <w:tr>
        <w:trPr>
          <w:trHeight w:hRule="exact" w:val="240"/>
        </w:trPr>
        <w:tc>
          <w:tcPr>
            <w:tcW w:type="dxa" w:w="45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Beginning of the fiscal year</w:t>
            </w:r>
          </w:p>
        </w:tc>
        <w:tc>
          <w:tcPr>
            <w:tcW w:type="dxa" w:w="43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9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3,607 </w:t>
            </w:r>
          </w:p>
        </w:tc>
        <w:tc>
          <w:tcPr>
            <w:tcW w:type="dxa" w:w="47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9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3,932 </w:t>
            </w:r>
          </w:p>
        </w:tc>
      </w:tr>
      <w:tr>
        <w:trPr>
          <w:trHeight w:hRule="exact" w:val="240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Issuances</w:t>
            </w:r>
          </w:p>
        </w:tc>
        <w:tc>
          <w:tcPr>
            <w:tcW w:type="dxa" w:w="1888"/>
            <w:vMerge/>
            <w:tcBorders>
              <w:top w:sz="8.0" w:val="single" w:color="#000000"/>
            </w:tcBorders>
          </w:tcPr>
          <w:p/>
        </w:tc>
        <w:tc>
          <w:tcPr>
            <w:tcW w:type="dxa" w:w="1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1,054 </w:t>
            </w:r>
          </w:p>
        </w:tc>
        <w:tc>
          <w:tcPr>
            <w:tcW w:type="dxa" w:w="1888"/>
            <w:vMerge/>
            <w:tcBorders>
              <w:top w:sz="8.0" w:val="single" w:color="#000000"/>
            </w:tcBorders>
          </w:tcPr>
          <w:p/>
        </w:tc>
        <w:tc>
          <w:tcPr>
            <w:tcW w:type="dxa" w:w="1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396 </w:t>
            </w:r>
          </w:p>
        </w:tc>
      </w:tr>
      <w:tr>
        <w:trPr>
          <w:trHeight w:hRule="exact" w:val="242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Settlements</w:t>
            </w:r>
          </w:p>
        </w:tc>
        <w:tc>
          <w:tcPr>
            <w:tcW w:type="dxa" w:w="1888"/>
            <w:vMerge/>
            <w:tcBorders>
              <w:top w:sz="8.0" w:val="single" w:color="#000000"/>
            </w:tcBorders>
          </w:tcPr>
          <w:p/>
        </w:tc>
        <w:tc>
          <w:tcPr>
            <w:tcW w:type="dxa" w:w="1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(831) </w:t>
            </w:r>
          </w:p>
        </w:tc>
        <w:tc>
          <w:tcPr>
            <w:tcW w:type="dxa" w:w="1888"/>
            <w:vMerge/>
            <w:tcBorders>
              <w:top w:sz="8.0" w:val="single" w:color="#000000"/>
            </w:tcBorders>
          </w:tcPr>
          <w:p/>
        </w:tc>
        <w:tc>
          <w:tcPr>
            <w:tcW w:type="dxa" w:w="1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(1,014) </w:t>
            </w:r>
          </w:p>
        </w:tc>
      </w:tr>
    </w:tbl>
    <w:p>
      <w:pPr>
        <w:autoSpaceDN w:val="0"/>
        <w:autoSpaceDE w:val="0"/>
        <w:widowControl/>
        <w:spacing w:line="178" w:lineRule="exact" w:before="20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Total realized/unrealized mark-to-market losses (gains) in: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38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income</w:t>
            </w:r>
          </w:p>
        </w:tc>
        <w:tc>
          <w:tcPr>
            <w:tcW w:type="dxa" w:w="7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352 </w:t>
            </w:r>
          </w:p>
        </w:tc>
        <w:tc>
          <w:tcPr>
            <w:tcW w:type="dxa" w:w="7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294 </w:t>
            </w:r>
          </w:p>
        </w:tc>
      </w:tr>
      <w:tr>
        <w:trPr>
          <w:trHeight w:hRule="exact" w:val="240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comprehensive income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(83)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 </w:t>
            </w:r>
          </w:p>
        </w:tc>
      </w:tr>
      <w:tr>
        <w:trPr>
          <w:trHeight w:hRule="exact" w:val="240"/>
        </w:trPr>
        <w:tc>
          <w:tcPr>
            <w:tcW w:type="dxa" w:w="45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Transfers (from) to Level 3, net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6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(44)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6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(26) </w:t>
            </w:r>
          </w:p>
        </w:tc>
      </w:tr>
      <w:tr>
        <w:trPr>
          <w:trHeight w:hRule="exact" w:val="220"/>
        </w:trPr>
        <w:tc>
          <w:tcPr>
            <w:tcW w:type="dxa" w:w="4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End of the fiscal year</w:t>
            </w:r>
          </w:p>
        </w:tc>
        <w:tc>
          <w:tcPr>
            <w:tcW w:type="dxa" w:w="7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4,055 </w:t>
            </w:r>
          </w:p>
        </w:tc>
        <w:tc>
          <w:tcPr>
            <w:tcW w:type="dxa" w:w="7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3,607 </w:t>
            </w:r>
          </w:p>
        </w:tc>
      </w:tr>
    </w:tbl>
    <w:p>
      <w:pPr>
        <w:autoSpaceDN w:val="0"/>
        <w:autoSpaceDE w:val="0"/>
        <w:widowControl/>
        <w:spacing w:line="220" w:lineRule="exact" w:before="438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J6: Derivatives Level 3 changes</w:t>
      </w:r>
    </w:p>
    <w:p>
      <w:pPr>
        <w:autoSpaceDN w:val="0"/>
        <w:autoSpaceDE w:val="0"/>
        <w:widowControl/>
        <w:spacing w:line="178" w:lineRule="exact" w:before="15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>
        <w:trPr>
          <w:trHeight w:hRule="exact" w:val="240"/>
        </w:trPr>
        <w:tc>
          <w:tcPr>
            <w:tcW w:type="dxa" w:w="30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54"/>
            <w:gridSpan w:val="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3180"/>
            <w:gridSpan w:val="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  <w:tr>
        <w:trPr>
          <w:trHeight w:hRule="exact" w:val="240"/>
        </w:trPr>
        <w:tc>
          <w:tcPr>
            <w:tcW w:type="dxa" w:w="30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54"/>
            <w:gridSpan w:val="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Derivatives, Assets/(Liabilities)</w:t>
            </w:r>
          </w:p>
        </w:tc>
        <w:tc>
          <w:tcPr>
            <w:tcW w:type="dxa" w:w="3180"/>
            <w:gridSpan w:val="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Derivatives, Assets/(Liabilities)</w:t>
            </w:r>
          </w:p>
        </w:tc>
      </w:tr>
      <w:tr>
        <w:trPr>
          <w:trHeight w:hRule="exact" w:val="220"/>
        </w:trPr>
        <w:tc>
          <w:tcPr>
            <w:tcW w:type="dxa" w:w="304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Currency </w:t>
            </w:r>
          </w:p>
        </w:tc>
        <w:tc>
          <w:tcPr>
            <w:tcW w:type="dxa" w:w="2130"/>
            <w:gridSpan w:val="4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Interest </w:t>
            </w:r>
          </w:p>
        </w:tc>
        <w:tc>
          <w:tcPr>
            <w:tcW w:type="dxa" w:w="105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2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Currency </w:t>
            </w:r>
          </w:p>
        </w:tc>
        <w:tc>
          <w:tcPr>
            <w:tcW w:type="dxa" w:w="2130"/>
            <w:gridSpan w:val="4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30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Interest </w:t>
            </w:r>
          </w:p>
        </w:tc>
      </w:tr>
      <w:tr>
        <w:trPr>
          <w:trHeight w:hRule="exact" w:val="214"/>
        </w:trPr>
        <w:tc>
          <w:tcPr>
            <w:tcW w:type="dxa" w:w="72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2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Swaps</w:t>
            </w:r>
          </w:p>
        </w:tc>
        <w:tc>
          <w:tcPr>
            <w:tcW w:type="dxa" w:w="136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Rate Swaps</w:t>
            </w:r>
          </w:p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8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  <w:tc>
          <w:tcPr>
            <w:tcW w:type="dxa" w:w="105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Swaps</w:t>
            </w:r>
          </w:p>
        </w:tc>
        <w:tc>
          <w:tcPr>
            <w:tcW w:type="dxa" w:w="138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3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Rate Swaps</w:t>
            </w:r>
          </w:p>
        </w:tc>
        <w:tc>
          <w:tcPr>
            <w:tcW w:type="dxa" w:w="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6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546"/>
        </w:trPr>
        <w:tc>
          <w:tcPr>
            <w:tcW w:type="dxa" w:w="304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Beginning of the fiscal year</w:t>
            </w:r>
          </w:p>
        </w:tc>
        <w:tc>
          <w:tcPr>
            <w:tcW w:type="dxa" w:w="4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39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(134) </w:t>
            </w:r>
          </w:p>
        </w:tc>
        <w:tc>
          <w:tcPr>
            <w:tcW w:type="dxa" w:w="2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(121) </w:t>
            </w:r>
          </w:p>
        </w:tc>
        <w:tc>
          <w:tcPr>
            <w:tcW w:type="dxa" w:w="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(379) </w:t>
            </w:r>
          </w:p>
        </w:tc>
        <w:tc>
          <w:tcPr>
            <w:tcW w:type="dxa" w:w="4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(165) </w:t>
            </w:r>
          </w:p>
        </w:tc>
        <w:tc>
          <w:tcPr>
            <w:tcW w:type="dxa" w:w="3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(544) </w:t>
            </w:r>
          </w:p>
        </w:tc>
      </w:tr>
      <w:tr>
        <w:trPr>
          <w:trHeight w:hRule="exact" w:val="240"/>
        </w:trPr>
        <w:tc>
          <w:tcPr>
            <w:tcW w:type="dxa" w:w="3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Issuances</w:t>
            </w:r>
          </w:p>
        </w:tc>
        <w:tc>
          <w:tcPr>
            <w:tcW w:type="dxa" w:w="10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(78)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(78) 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(33) 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(33) </w:t>
            </w:r>
          </w:p>
        </w:tc>
      </w:tr>
      <w:tr>
        <w:trPr>
          <w:trHeight w:hRule="exact" w:val="252"/>
        </w:trPr>
        <w:tc>
          <w:tcPr>
            <w:tcW w:type="dxa" w:w="3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Settlements</w:t>
            </w:r>
          </w:p>
        </w:tc>
        <w:tc>
          <w:tcPr>
            <w:tcW w:type="dxa" w:w="10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 </w:t>
            </w:r>
          </w:p>
        </w:tc>
        <w:tc>
          <w:tcPr>
            <w:tcW w:type="dxa" w:w="1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65 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179 </w:t>
            </w:r>
          </w:p>
        </w:tc>
        <w:tc>
          <w:tcPr>
            <w:tcW w:type="dxa" w:w="1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203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10" w:after="30"/>
        <w:ind w:left="62" w:right="691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Total realized/unrealized mark-to-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market gains (losses) in: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>
        <w:trPr>
          <w:trHeight w:hRule="exact" w:val="234"/>
        </w:trPr>
        <w:tc>
          <w:tcPr>
            <w:tcW w:type="dxa" w:w="3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income</w:t>
            </w:r>
          </w:p>
        </w:tc>
        <w:tc>
          <w:tcPr>
            <w:tcW w:type="dxa" w:w="3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162 </w:t>
            </w:r>
          </w:p>
        </w:tc>
        <w:tc>
          <w:tcPr>
            <w:tcW w:type="dxa" w:w="1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238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114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 </w:t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160 </w:t>
            </w:r>
          </w:p>
        </w:tc>
      </w:tr>
      <w:tr>
        <w:trPr>
          <w:trHeight w:hRule="exact" w:val="240"/>
        </w:trPr>
        <w:tc>
          <w:tcPr>
            <w:tcW w:type="dxa" w:w="3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comprehensive income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(96) </w:t>
            </w:r>
          </w:p>
        </w:tc>
        <w:tc>
          <w:tcPr>
            <w:tcW w:type="dxa" w:w="1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(96)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(18)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4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(6) </w:t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(24) </w:t>
            </w:r>
          </w:p>
        </w:tc>
      </w:tr>
      <w:tr>
        <w:trPr>
          <w:trHeight w:hRule="exact" w:val="246"/>
        </w:trPr>
        <w:tc>
          <w:tcPr>
            <w:tcW w:type="dxa" w:w="30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Transfers (from) to Level 3, net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(100) </w:t>
            </w:r>
          </w:p>
        </w:tc>
        <w:tc>
          <w:tcPr>
            <w:tcW w:type="dxa" w:w="148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 </w:t>
            </w:r>
          </w:p>
        </w:tc>
        <w:tc>
          <w:tcPr>
            <w:tcW w:type="dxa" w:w="10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(39) </w:t>
            </w:r>
          </w:p>
        </w:tc>
        <w:tc>
          <w:tcPr>
            <w:tcW w:type="dxa" w:w="10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117 </w:t>
            </w:r>
          </w:p>
        </w:tc>
        <w:tc>
          <w:tcPr>
            <w:tcW w:type="dxa" w:w="10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117 </w:t>
            </w:r>
          </w:p>
        </w:tc>
      </w:tr>
      <w:tr>
        <w:trPr>
          <w:trHeight w:hRule="exact" w:val="220"/>
        </w:trPr>
        <w:tc>
          <w:tcPr>
            <w:tcW w:type="dxa" w:w="30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End of the fiscal year</w:t>
            </w:r>
          </w:p>
        </w:tc>
        <w:tc>
          <w:tcPr>
            <w:tcW w:type="dxa" w:w="3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(62) </w:t>
            </w:r>
          </w:p>
        </w:tc>
        <w:tc>
          <w:tcPr>
            <w:tcW w:type="dxa" w:w="4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(31) 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3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(134) </w:t>
            </w:r>
          </w:p>
        </w:tc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(121) </w:t>
            </w:r>
          </w:p>
        </w:tc>
      </w:tr>
      <w:tr>
        <w:trPr>
          <w:trHeight w:hRule="exact" w:val="1184"/>
        </w:trPr>
        <w:tc>
          <w:tcPr>
            <w:tcW w:type="dxa" w:w="304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40"/>
            <w:gridSpan w:val="9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7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2024</w:t>
            </w:r>
          </w:p>
        </w:tc>
        <w:tc>
          <w:tcPr>
            <w:tcW w:type="dxa" w:w="6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7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127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0" w:right="1372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0" w:right="28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Information on the unrealized gains or losses included in the Statements of Income and Statements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Comprehensive Income relating to IBRD’s Level 3 borrowings and derivatives that are still held at the reporting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dates, is presented in the following table: 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J7: Unrealized gains or losses relating to IBRD’s Level 3 borrowings and derivatives</w:t>
      </w:r>
    </w:p>
    <w:p>
      <w:pPr>
        <w:autoSpaceDN w:val="0"/>
        <w:autoSpaceDE w:val="0"/>
        <w:widowControl/>
        <w:spacing w:line="178" w:lineRule="exact" w:before="15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254"/>
        </w:trPr>
        <w:tc>
          <w:tcPr>
            <w:tcW w:type="dxa" w:w="6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43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2022</w:t>
            </w:r>
          </w:p>
        </w:tc>
      </w:tr>
    </w:tbl>
    <w:p>
      <w:pPr>
        <w:autoSpaceDN w:val="0"/>
        <w:autoSpaceDE w:val="0"/>
        <w:widowControl/>
        <w:spacing w:line="178" w:lineRule="exact" w:before="1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Reported as:</w:t>
      </w:r>
    </w:p>
    <w:p>
      <w:pPr>
        <w:autoSpaceDN w:val="0"/>
        <w:autoSpaceDE w:val="0"/>
        <w:widowControl/>
        <w:spacing w:line="178" w:lineRule="exact" w:before="46" w:after="14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Borrowings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24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income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210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 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220 </w:t>
            </w:r>
          </w:p>
        </w:tc>
      </w:tr>
      <w:tr>
        <w:trPr>
          <w:trHeight w:hRule="exact" w:val="236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Comprehensive income (loss)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83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(53)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130 </w:t>
            </w:r>
          </w:p>
        </w:tc>
      </w:tr>
    </w:tbl>
    <w:p>
      <w:pPr>
        <w:autoSpaceDN w:val="0"/>
        <w:autoSpaceDE w:val="0"/>
        <w:widowControl/>
        <w:spacing w:line="178" w:lineRule="exact" w:before="24" w:after="12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10"/>
        </w:trPr>
        <w:tc>
          <w:tcPr>
            <w:tcW w:type="dxa" w:w="4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loss 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5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(107) </w:t>
            </w:r>
          </w:p>
        </w:tc>
        <w:tc>
          <w:tcPr>
            <w:tcW w:type="dxa" w:w="5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(54) </w:t>
            </w:r>
          </w:p>
        </w:tc>
        <w:tc>
          <w:tcPr>
            <w:tcW w:type="dxa" w:w="3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(214) </w:t>
            </w:r>
          </w:p>
        </w:tc>
      </w:tr>
      <w:tr>
        <w:trPr>
          <w:trHeight w:hRule="exact" w:val="474"/>
        </w:trPr>
        <w:tc>
          <w:tcPr>
            <w:tcW w:type="dxa" w:w="44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Comprehensive (loss) income 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(91) 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8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9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(97) 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Amounts are included in Unrealized mark-to-market gains (losses) on non-trading portfolios, net on the Statements of Income.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50" w:after="0"/>
        <w:ind w:left="62" w:right="432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Amounts are included in Currency translation adjustment on functional currency and Net Change in DVA on fair value option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elected liabilities, in the Statements of Comprehensive Income.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Amounts are included in Currency translation adjustment on functional currency, in the Statements of Comprehensive Income.</w:t>
      </w:r>
    </w:p>
    <w:p>
      <w:pPr>
        <w:autoSpaceDN w:val="0"/>
        <w:autoSpaceDE w:val="0"/>
        <w:widowControl/>
        <w:spacing w:line="220" w:lineRule="exact" w:before="208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J8: Borrowings fair value and contractual principal balance</w:t>
      </w:r>
    </w:p>
    <w:p>
      <w:pPr>
        <w:autoSpaceDN w:val="0"/>
        <w:autoSpaceDE w:val="0"/>
        <w:widowControl/>
        <w:spacing w:line="178" w:lineRule="exact" w:before="15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4" w:after="6"/>
        <w:ind w:left="0" w:right="201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Principal Amount Due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16"/>
        </w:trPr>
        <w:tc>
          <w:tcPr>
            <w:tcW w:type="dxa" w:w="3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7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Fair Value</w:t>
            </w:r>
          </w:p>
        </w:tc>
        <w:tc>
          <w:tcPr>
            <w:tcW w:type="dxa" w:w="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Upon Maturity</w:t>
            </w:r>
          </w:p>
        </w:tc>
        <w:tc>
          <w:tcPr>
            <w:tcW w:type="dxa" w:w="4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7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Difference</w:t>
            </w:r>
          </w:p>
        </w:tc>
      </w:tr>
      <w:tr>
        <w:trPr>
          <w:trHeight w:hRule="exact" w:val="234"/>
        </w:trPr>
        <w:tc>
          <w:tcPr>
            <w:tcW w:type="dxa" w:w="3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June 30, 2024</w:t>
            </w:r>
          </w:p>
        </w:tc>
        <w:tc>
          <w:tcPr>
            <w:tcW w:type="dxa" w:w="3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261,790 </w:t>
            </w:r>
          </w:p>
        </w:tc>
        <w:tc>
          <w:tcPr>
            <w:tcW w:type="dxa" w:w="3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285,322 </w:t>
            </w:r>
          </w:p>
        </w:tc>
        <w:tc>
          <w:tcPr>
            <w:tcW w:type="dxa" w:w="4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(23,532) </w:t>
            </w:r>
          </w:p>
        </w:tc>
      </w:tr>
      <w:tr>
        <w:trPr>
          <w:trHeight w:hRule="exact" w:val="486"/>
        </w:trPr>
        <w:tc>
          <w:tcPr>
            <w:tcW w:type="dxa" w:w="3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June 30, 2023</w:t>
            </w:r>
          </w:p>
        </w:tc>
        <w:tc>
          <w:tcPr>
            <w:tcW w:type="dxa" w:w="3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237,265 </w:t>
            </w:r>
          </w:p>
        </w:tc>
        <w:tc>
          <w:tcPr>
            <w:tcW w:type="dxa" w:w="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265,147 </w:t>
            </w:r>
          </w:p>
        </w:tc>
        <w:tc>
          <w:tcPr>
            <w:tcW w:type="dxa" w:w="4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3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(27,882) </w:t>
            </w:r>
          </w:p>
        </w:tc>
      </w:tr>
    </w:tbl>
    <w:p>
      <w:pPr>
        <w:autoSpaceDN w:val="0"/>
        <w:autoSpaceDE w:val="0"/>
        <w:widowControl/>
        <w:spacing w:line="240" w:lineRule="exact" w:before="160" w:after="0"/>
        <w:ind w:left="10" w:right="26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tables provide information on the changes in fair value due to the change in IBRD’s own credit risk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financial liabilities measured under the fair value option, included in the Statements of Other Comprehensive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Income:</w:t>
      </w:r>
    </w:p>
    <w:p>
      <w:pPr>
        <w:autoSpaceDN w:val="0"/>
        <w:autoSpaceDE w:val="0"/>
        <w:widowControl/>
        <w:spacing w:line="222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J9: Changes in fair value due to IBRD’s own credit risk</w:t>
      </w:r>
    </w:p>
    <w:p>
      <w:pPr>
        <w:autoSpaceDN w:val="0"/>
        <w:autoSpaceDE w:val="0"/>
        <w:widowControl/>
        <w:spacing w:line="180" w:lineRule="exact" w:before="15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4" w:after="6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Unrealized mark-to-market gains (losses) due to DVA on fair value option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216"/>
        </w:trPr>
        <w:tc>
          <w:tcPr>
            <w:tcW w:type="dxa" w:w="59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elected liabilities</w:t>
            </w:r>
          </w:p>
        </w:tc>
        <w:tc>
          <w:tcPr>
            <w:tcW w:type="dxa" w:w="4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2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4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2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  <w:tr>
        <w:trPr>
          <w:trHeight w:hRule="exact" w:val="220"/>
        </w:trPr>
        <w:tc>
          <w:tcPr>
            <w:tcW w:type="dxa" w:w="59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DVA on Fair Value Option Elected Liabilities</w:t>
            </w:r>
          </w:p>
        </w:tc>
        <w:tc>
          <w:tcPr>
            <w:tcW w:type="dxa" w:w="42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5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321 </w:t>
            </w:r>
          </w:p>
        </w:tc>
        <w:tc>
          <w:tcPr>
            <w:tcW w:type="dxa" w:w="4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5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(60) </w:t>
            </w:r>
          </w:p>
        </w:tc>
      </w:tr>
      <w:tr>
        <w:trPr>
          <w:trHeight w:hRule="exact" w:val="230"/>
        </w:trPr>
        <w:tc>
          <w:tcPr>
            <w:tcW w:type="dxa" w:w="59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Amounts reclassified to net income upon derecognition of a liability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88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 </w:t>
            </w:r>
          </w:p>
        </w:tc>
      </w:tr>
      <w:tr>
        <w:trPr>
          <w:trHeight w:hRule="exact" w:val="204"/>
        </w:trPr>
        <w:tc>
          <w:tcPr>
            <w:tcW w:type="dxa" w:w="59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change in DVA on Fair Value Option Elected Liabilities</w:t>
            </w:r>
          </w:p>
        </w:tc>
        <w:tc>
          <w:tcPr>
            <w:tcW w:type="dxa" w:w="4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5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322 </w:t>
            </w:r>
          </w:p>
        </w:tc>
        <w:tc>
          <w:tcPr>
            <w:tcW w:type="dxa" w:w="4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5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(13) </w:t>
            </w:r>
          </w:p>
        </w:tc>
      </w:tr>
    </w:tbl>
    <w:p>
      <w:pPr>
        <w:autoSpaceDN w:val="0"/>
        <w:autoSpaceDE w:val="0"/>
        <w:widowControl/>
        <w:spacing w:line="240" w:lineRule="exact" w:before="408" w:after="0"/>
        <w:ind w:left="10" w:right="26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June 30, 2024, IBRD’s Balance Sheets included a DVA of $673 million cumulative gain ($351 million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cumulative gain—June 30, 2023) in Accumulated other comprehensive income, associated with the changes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IBRD’s own credit for financial liabilities measured under the fair value option.</w:t>
      </w:r>
    </w:p>
    <w:p>
      <w:pPr>
        <w:autoSpaceDN w:val="0"/>
        <w:tabs>
          <w:tab w:pos="858" w:val="left"/>
        </w:tabs>
        <w:autoSpaceDE w:val="0"/>
        <w:widowControl/>
        <w:spacing w:line="224" w:lineRule="exact" w:before="3424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2024</w:t>
      </w:r>
    </w:p>
    <w:p>
      <w:pPr>
        <w:sectPr>
          <w:pgSz w:w="12240" w:h="15840"/>
          <w:pgMar w:top="700" w:right="136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J10: Unrealized mark-to-market gains or losses on investments-trading, and non-trading portfolios, net</w:t>
      </w:r>
    </w:p>
    <w:p>
      <w:pPr>
        <w:autoSpaceDN w:val="0"/>
        <w:autoSpaceDE w:val="0"/>
        <w:widowControl/>
        <w:spacing w:line="178" w:lineRule="exact" w:before="15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0"/>
        <w:ind w:left="0" w:right="248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2024</w:t>
      </w:r>
    </w:p>
    <w:p>
      <w:pPr>
        <w:autoSpaceDN w:val="0"/>
        <w:autoSpaceDE w:val="0"/>
        <w:widowControl/>
        <w:spacing w:line="180" w:lineRule="exact" w:before="82" w:after="6"/>
        <w:ind w:left="0" w:right="2022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Unrealized gains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562"/>
        <w:gridCol w:w="1562"/>
        <w:gridCol w:w="1562"/>
        <w:gridCol w:w="1562"/>
        <w:gridCol w:w="1562"/>
        <w:gridCol w:w="1562"/>
      </w:tblGrid>
      <w:tr>
        <w:trPr>
          <w:trHeight w:hRule="exact" w:val="182"/>
        </w:trPr>
        <w:tc>
          <w:tcPr>
            <w:tcW w:type="dxa" w:w="40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gains </w:t>
            </w:r>
          </w:p>
        </w:tc>
        <w:tc>
          <w:tcPr>
            <w:tcW w:type="dxa" w:w="2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(losses) excluding </w:t>
            </w:r>
          </w:p>
        </w:tc>
        <w:tc>
          <w:tcPr>
            <w:tcW w:type="dxa" w:w="1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gains </w:t>
            </w:r>
          </w:p>
        </w:tc>
      </w:tr>
      <w:tr>
        <w:trPr>
          <w:trHeight w:hRule="exact" w:val="226"/>
        </w:trPr>
        <w:tc>
          <w:tcPr>
            <w:tcW w:type="dxa" w:w="1562"/>
            <w:vMerge/>
            <w:tcBorders>
              <w:bottom w:sz="8.0" w:val="single" w:color="#000000"/>
            </w:tcBorders>
          </w:tcPr>
          <w:p/>
        </w:tc>
        <w:tc>
          <w:tcPr>
            <w:tcW w:type="dxa" w:w="1562"/>
            <w:vMerge/>
            <w:tcBorders>
              <w:bottom w:sz="8.0" w:val="single" w:color="#000000"/>
            </w:tcBorders>
          </w:tcPr>
          <w:p/>
        </w:tc>
        <w:tc>
          <w:tcPr>
            <w:tcW w:type="dxa" w:w="14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3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  <w:tc>
          <w:tcPr>
            <w:tcW w:type="dxa" w:w="1562"/>
            <w:vMerge/>
            <w:tcBorders>
              <w:bottom w:sz="8.0" w:val="single" w:color="#000000"/>
            </w:tcBorders>
          </w:tcPr>
          <w:p/>
        </w:tc>
        <w:tc>
          <w:tcPr>
            <w:tcW w:type="dxa" w:w="1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amounts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4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3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</w:tr>
      <w:tr>
        <w:trPr>
          <w:trHeight w:hRule="exact" w:val="240"/>
        </w:trPr>
        <w:tc>
          <w:tcPr>
            <w:tcW w:type="dxa" w:w="40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Investments-Trading, net</w:t>
            </w:r>
          </w:p>
        </w:tc>
        <w:tc>
          <w:tcPr>
            <w:tcW w:type="dxa" w:w="2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113 </w:t>
            </w:r>
          </w:p>
        </w:tc>
        <w:tc>
          <w:tcPr>
            <w:tcW w:type="dxa" w:w="2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(22)  $ </w:t>
            </w:r>
          </w:p>
        </w:tc>
        <w:tc>
          <w:tcPr>
            <w:tcW w:type="dxa" w:w="14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 </w:t>
            </w:r>
          </w:p>
        </w:tc>
      </w:tr>
    </w:tbl>
    <w:p>
      <w:pPr>
        <w:autoSpaceDN w:val="0"/>
        <w:autoSpaceDE w:val="0"/>
        <w:widowControl/>
        <w:spacing w:line="180" w:lineRule="exact" w:before="30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Non trading portfolios,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342"/>
        <w:gridCol w:w="2342"/>
        <w:gridCol w:w="2342"/>
        <w:gridCol w:w="2342"/>
      </w:tblGrid>
      <w:tr>
        <w:trPr>
          <w:trHeight w:hRule="exact" w:val="242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Loan-related derivatives—Note F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7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(458)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(458)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Other assets/liabilities management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2342"/>
        <w:gridCol w:w="2342"/>
        <w:gridCol w:w="2342"/>
        <w:gridCol w:w="2342"/>
      </w:tblGrid>
      <w:tr>
        <w:trPr>
          <w:trHeight w:hRule="exact" w:val="218"/>
        </w:trPr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derivatives, net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7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6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708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708 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Borrowings, including derivatives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2"/>
        <w:gridCol w:w="1562"/>
        <w:gridCol w:w="1562"/>
        <w:gridCol w:w="1562"/>
        <w:gridCol w:w="1562"/>
        <w:gridCol w:w="1562"/>
      </w:tblGrid>
      <w:tr>
        <w:trPr>
          <w:trHeight w:hRule="exact" w:val="200"/>
        </w:trPr>
        <w:tc>
          <w:tcPr>
            <w:tcW w:type="dxa" w:w="4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—Notes E and F</w:t>
            </w:r>
          </w:p>
        </w:tc>
        <w:tc>
          <w:tcPr>
            <w:tcW w:type="dxa" w:w="73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8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8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ᵇ </w:t>
            </w:r>
          </w:p>
        </w:tc>
      </w:tr>
      <w:tr>
        <w:trPr>
          <w:trHeight w:hRule="exact" w:val="254"/>
        </w:trPr>
        <w:tc>
          <w:tcPr>
            <w:tcW w:type="dxa" w:w="40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Client operations and other derivatives, net</w:t>
            </w:r>
          </w:p>
        </w:tc>
        <w:tc>
          <w:tcPr>
            <w:tcW w:type="dxa" w:w="1562"/>
            <w:vMerge/>
            <w:tcBorders>
              <w:bottom w:sz="8.0" w:val="single" w:color="#000000"/>
            </w:tcBorders>
          </w:tcPr>
          <w:p/>
        </w:tc>
        <w:tc>
          <w:tcPr>
            <w:tcW w:type="dxa" w:w="9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562"/>
            <w:vMerge/>
            <w:tcBorders>
              <w:bottom w:sz="8.0" w:val="single" w:color="#000000"/>
            </w:tcBorders>
          </w:tcPr>
          <w:p/>
        </w:tc>
        <w:tc>
          <w:tcPr>
            <w:tcW w:type="dxa" w:w="17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8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</w:t>
            </w:r>
          </w:p>
        </w:tc>
        <w:tc>
          <w:tcPr>
            <w:tcW w:type="dxa" w:w="10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</w:t>
            </w:r>
          </w:p>
        </w:tc>
      </w:tr>
      <w:tr>
        <w:trPr>
          <w:trHeight w:hRule="exact" w:val="220"/>
        </w:trPr>
        <w:tc>
          <w:tcPr>
            <w:tcW w:type="dxa" w:w="40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7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287   $ </w:t>
            </w:r>
          </w:p>
        </w:tc>
        <w:tc>
          <w:tcPr>
            <w:tcW w:type="dxa" w:w="10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289 </w:t>
            </w:r>
          </w:p>
        </w:tc>
      </w:tr>
    </w:tbl>
    <w:p>
      <w:pPr>
        <w:autoSpaceDN w:val="0"/>
        <w:autoSpaceDE w:val="0"/>
        <w:widowControl/>
        <w:spacing w:line="220" w:lineRule="exact" w:before="514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J10.1:</w:t>
      </w:r>
    </w:p>
    <w:p>
      <w:pPr>
        <w:autoSpaceDN w:val="0"/>
        <w:autoSpaceDE w:val="0"/>
        <w:widowControl/>
        <w:spacing w:line="178" w:lineRule="exact" w:before="15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0"/>
        <w:ind w:left="0" w:right="248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2023</w:t>
      </w:r>
    </w:p>
    <w:p>
      <w:pPr>
        <w:autoSpaceDN w:val="0"/>
        <w:autoSpaceDE w:val="0"/>
        <w:widowControl/>
        <w:spacing w:line="180" w:lineRule="exact" w:before="82" w:after="6"/>
        <w:ind w:left="0" w:right="2022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Unrealized gains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172"/>
        </w:trPr>
        <w:tc>
          <w:tcPr>
            <w:tcW w:type="dxa" w:w="40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gains </w:t>
            </w:r>
          </w:p>
        </w:tc>
        <w:tc>
          <w:tcPr>
            <w:tcW w:type="dxa" w:w="2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(losses) excluding </w:t>
            </w:r>
          </w:p>
        </w:tc>
        <w:tc>
          <w:tcPr>
            <w:tcW w:type="dxa" w:w="3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gains </w:t>
            </w:r>
          </w:p>
        </w:tc>
      </w:tr>
      <w:tr>
        <w:trPr>
          <w:trHeight w:hRule="exact" w:val="234"/>
        </w:trPr>
        <w:tc>
          <w:tcPr>
            <w:tcW w:type="dxa" w:w="1339"/>
            <w:vMerge/>
            <w:tcBorders>
              <w:bottom w:sz="8.0" w:val="single" w:color="#000000"/>
            </w:tcBorders>
          </w:tcPr>
          <w:p/>
        </w:tc>
        <w:tc>
          <w:tcPr>
            <w:tcW w:type="dxa" w:w="1339"/>
            <w:vMerge/>
            <w:tcBorders>
              <w:bottom w:sz="8.0" w:val="single" w:color="#000000"/>
            </w:tcBorders>
          </w:tcPr>
          <w:p/>
        </w:tc>
        <w:tc>
          <w:tcPr>
            <w:tcW w:type="dxa" w:w="14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3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  <w:tc>
          <w:tcPr>
            <w:tcW w:type="dxa" w:w="1339"/>
            <w:vMerge/>
            <w:tcBorders>
              <w:bottom w:sz="8.0" w:val="single" w:color="#000000"/>
            </w:tcBorders>
          </w:tcPr>
          <w:p/>
        </w:tc>
        <w:tc>
          <w:tcPr>
            <w:tcW w:type="dxa" w:w="1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amounts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339"/>
            <w:vMerge/>
            <w:tcBorders>
              <w:bottom w:sz="8.0" w:val="single" w:color="#000000"/>
            </w:tcBorders>
          </w:tcPr>
          <w:p/>
        </w:tc>
        <w:tc>
          <w:tcPr>
            <w:tcW w:type="dxa" w:w="14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3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</w:tr>
      <w:tr>
        <w:trPr>
          <w:trHeight w:hRule="exact" w:val="240"/>
        </w:trPr>
        <w:tc>
          <w:tcPr>
            <w:tcW w:type="dxa" w:w="40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Investments-Trading, net</w:t>
            </w:r>
          </w:p>
        </w:tc>
        <w:tc>
          <w:tcPr>
            <w:tcW w:type="dxa" w:w="2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(42) </w:t>
            </w:r>
          </w:p>
        </w:tc>
        <w:tc>
          <w:tcPr>
            <w:tcW w:type="dxa" w:w="2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126 </w:t>
            </w:r>
          </w:p>
        </w:tc>
        <w:tc>
          <w:tcPr>
            <w:tcW w:type="dxa" w:w="3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84 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Non trading portfolios,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342"/>
        <w:gridCol w:w="2342"/>
        <w:gridCol w:w="2342"/>
        <w:gridCol w:w="2342"/>
      </w:tblGrid>
      <w:tr>
        <w:trPr>
          <w:trHeight w:hRule="exact" w:val="242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Loan-related derivatives—Note 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7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1,673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1,677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8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Other assets/liabilities management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2342"/>
        <w:gridCol w:w="2342"/>
        <w:gridCol w:w="2342"/>
        <w:gridCol w:w="2342"/>
      </w:tblGrid>
      <w:tr>
        <w:trPr>
          <w:trHeight w:hRule="exact" w:val="216"/>
        </w:trPr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derivatives, net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6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5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(1,642)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(1,642) 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Borrowings, including derivatives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2"/>
        <w:gridCol w:w="1562"/>
        <w:gridCol w:w="1562"/>
        <w:gridCol w:w="1562"/>
        <w:gridCol w:w="1562"/>
        <w:gridCol w:w="1562"/>
      </w:tblGrid>
      <w:tr>
        <w:trPr>
          <w:trHeight w:hRule="exact" w:val="210"/>
        </w:trPr>
        <w:tc>
          <w:tcPr>
            <w:tcW w:type="dxa" w:w="4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—Notes E and F</w:t>
            </w:r>
          </w:p>
        </w:tc>
        <w:tc>
          <w:tcPr>
            <w:tcW w:type="dxa" w:w="7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7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7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(198) 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(190) ᵇ</w:t>
            </w:r>
          </w:p>
        </w:tc>
      </w:tr>
      <w:tr>
        <w:trPr>
          <w:trHeight w:hRule="exact" w:val="246"/>
        </w:trPr>
        <w:tc>
          <w:tcPr>
            <w:tcW w:type="dxa" w:w="40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Client operations and other derivatives, net</w:t>
            </w:r>
          </w:p>
        </w:tc>
        <w:tc>
          <w:tcPr>
            <w:tcW w:type="dxa" w:w="1562"/>
            <w:vMerge/>
            <w:tcBorders>
              <w:bottom w:sz="8.0" w:val="single" w:color="#000000"/>
            </w:tcBorders>
          </w:tcPr>
          <w:p/>
        </w:tc>
        <w:tc>
          <w:tcPr>
            <w:tcW w:type="dxa" w:w="9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562"/>
            <w:vMerge/>
            <w:tcBorders>
              <w:bottom w:sz="8.0" w:val="single" w:color="#000000"/>
            </w:tcBorders>
          </w:tcPr>
          <w:p/>
        </w:tc>
        <w:tc>
          <w:tcPr>
            <w:tcW w:type="dxa" w:w="1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8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1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</w:tr>
      <w:tr>
        <w:trPr>
          <w:trHeight w:hRule="exact" w:val="220"/>
        </w:trPr>
        <w:tc>
          <w:tcPr>
            <w:tcW w:type="dxa" w:w="40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7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(167)   $ </w:t>
            </w:r>
          </w:p>
        </w:tc>
        <w:tc>
          <w:tcPr>
            <w:tcW w:type="dxa" w:w="11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(155) </w:t>
            </w:r>
          </w:p>
        </w:tc>
      </w:tr>
    </w:tbl>
    <w:p>
      <w:pPr>
        <w:autoSpaceDN w:val="0"/>
        <w:autoSpaceDE w:val="0"/>
        <w:widowControl/>
        <w:spacing w:line="222" w:lineRule="exact" w:before="4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J10.2:</w:t>
      </w:r>
    </w:p>
    <w:p>
      <w:pPr>
        <w:autoSpaceDN w:val="0"/>
        <w:autoSpaceDE w:val="0"/>
        <w:widowControl/>
        <w:spacing w:line="180" w:lineRule="exact" w:before="15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54" w:after="0"/>
        <w:ind w:left="0" w:right="248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2022</w:t>
      </w:r>
    </w:p>
    <w:p>
      <w:pPr>
        <w:autoSpaceDN w:val="0"/>
        <w:autoSpaceDE w:val="0"/>
        <w:widowControl/>
        <w:spacing w:line="178" w:lineRule="exact" w:before="90" w:after="6"/>
        <w:ind w:left="0" w:right="2022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Unrealized gains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178"/>
        </w:trPr>
        <w:tc>
          <w:tcPr>
            <w:tcW w:type="dxa" w:w="40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gains </w:t>
            </w:r>
          </w:p>
        </w:tc>
        <w:tc>
          <w:tcPr>
            <w:tcW w:type="dxa" w:w="2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(losses) excluding </w:t>
            </w:r>
          </w:p>
        </w:tc>
        <w:tc>
          <w:tcPr>
            <w:tcW w:type="dxa" w:w="3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gains </w:t>
            </w:r>
          </w:p>
        </w:tc>
      </w:tr>
      <w:tr>
        <w:trPr>
          <w:trHeight w:hRule="exact" w:val="230"/>
        </w:trPr>
        <w:tc>
          <w:tcPr>
            <w:tcW w:type="dxa" w:w="1339"/>
            <w:vMerge/>
            <w:tcBorders>
              <w:bottom w:sz="8.0" w:val="single" w:color="#000000"/>
            </w:tcBorders>
          </w:tcPr>
          <w:p/>
        </w:tc>
        <w:tc>
          <w:tcPr>
            <w:tcW w:type="dxa" w:w="1339"/>
            <w:vMerge/>
            <w:tcBorders>
              <w:bottom w:sz="8.0" w:val="single" w:color="#000000"/>
            </w:tcBorders>
          </w:tcPr>
          <w:p/>
        </w:tc>
        <w:tc>
          <w:tcPr>
            <w:tcW w:type="dxa" w:w="14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  <w:tc>
          <w:tcPr>
            <w:tcW w:type="dxa" w:w="1339"/>
            <w:vMerge/>
            <w:tcBorders>
              <w:bottom w:sz="8.0" w:val="single" w:color="#000000"/>
            </w:tcBorders>
          </w:tcPr>
          <w:p/>
        </w:tc>
        <w:tc>
          <w:tcPr>
            <w:tcW w:type="dxa" w:w="1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amounts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339"/>
            <w:vMerge/>
            <w:tcBorders>
              <w:bottom w:sz="8.0" w:val="single" w:color="#000000"/>
            </w:tcBorders>
          </w:tcPr>
          <w:p/>
        </w:tc>
        <w:tc>
          <w:tcPr>
            <w:tcW w:type="dxa" w:w="14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</w:tr>
      <w:tr>
        <w:trPr>
          <w:trHeight w:hRule="exact" w:val="240"/>
        </w:trPr>
        <w:tc>
          <w:tcPr>
            <w:tcW w:type="dxa" w:w="40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Investments-Trading, net</w:t>
            </w:r>
          </w:p>
        </w:tc>
        <w:tc>
          <w:tcPr>
            <w:tcW w:type="dxa" w:w="2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1,106 </w:t>
            </w:r>
          </w:p>
        </w:tc>
        <w:tc>
          <w:tcPr>
            <w:tcW w:type="dxa" w:w="2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(1,183) </w:t>
            </w:r>
          </w:p>
        </w:tc>
        <w:tc>
          <w:tcPr>
            <w:tcW w:type="dxa" w:w="3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(77)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Non trading portfolios,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342"/>
        <w:gridCol w:w="2342"/>
        <w:gridCol w:w="2342"/>
        <w:gridCol w:w="2342"/>
      </w:tblGrid>
      <w:tr>
        <w:trPr>
          <w:trHeight w:hRule="exact" w:val="242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Loan-related derivatives—Note F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5,988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5,994 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Other assets/liabilities management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2342"/>
        <w:gridCol w:w="2342"/>
        <w:gridCol w:w="2342"/>
        <w:gridCol w:w="2342"/>
      </w:tblGrid>
      <w:tr>
        <w:trPr>
          <w:trHeight w:hRule="exact" w:val="218"/>
        </w:trPr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derivatives, net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6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(3,392)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(3,392)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Borrowings, including derivatives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2"/>
        <w:gridCol w:w="1562"/>
        <w:gridCol w:w="1562"/>
        <w:gridCol w:w="1562"/>
        <w:gridCol w:w="1562"/>
        <w:gridCol w:w="1562"/>
      </w:tblGrid>
      <w:tr>
        <w:trPr>
          <w:trHeight w:hRule="exact" w:val="216"/>
        </w:trPr>
        <w:tc>
          <w:tcPr>
            <w:tcW w:type="dxa" w:w="4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—Notes E and F</w:t>
            </w:r>
          </w:p>
        </w:tc>
        <w:tc>
          <w:tcPr>
            <w:tcW w:type="dxa" w:w="7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  <w:tc>
          <w:tcPr>
            <w:tcW w:type="dxa" w:w="7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6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747 </w:t>
            </w:r>
          </w:p>
        </w:tc>
        <w:tc>
          <w:tcPr>
            <w:tcW w:type="dxa" w:w="1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759  ᵇ  </w:t>
            </w:r>
          </w:p>
        </w:tc>
      </w:tr>
      <w:tr>
        <w:trPr>
          <w:trHeight w:hRule="exact" w:val="240"/>
        </w:trPr>
        <w:tc>
          <w:tcPr>
            <w:tcW w:type="dxa" w:w="40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Client operations and other derivatives, net</w:t>
            </w:r>
          </w:p>
        </w:tc>
        <w:tc>
          <w:tcPr>
            <w:tcW w:type="dxa" w:w="1562"/>
            <w:vMerge/>
            <w:tcBorders>
              <w:bottom w:sz="8.0" w:val="single" w:color="#000000"/>
            </w:tcBorders>
          </w:tcPr>
          <w:p/>
        </w:tc>
        <w:tc>
          <w:tcPr>
            <w:tcW w:type="dxa" w:w="9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562"/>
            <w:vMerge/>
            <w:tcBorders>
              <w:bottom w:sz="8.0" w:val="single" w:color="#000000"/>
            </w:tcBorders>
          </w:tcPr>
          <w:p/>
        </w:tc>
        <w:tc>
          <w:tcPr>
            <w:tcW w:type="dxa" w:w="1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1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</w:tr>
      <w:tr>
        <w:trPr>
          <w:trHeight w:hRule="exact" w:val="220"/>
        </w:trPr>
        <w:tc>
          <w:tcPr>
            <w:tcW w:type="dxa" w:w="40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7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 </w:t>
            </w:r>
          </w:p>
        </w:tc>
        <w:tc>
          <w:tcPr>
            <w:tcW w:type="dxa" w:w="7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3,356 </w:t>
            </w:r>
          </w:p>
        </w:tc>
        <w:tc>
          <w:tcPr>
            <w:tcW w:type="dxa" w:w="1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3,374 </w:t>
            </w:r>
          </w:p>
        </w:tc>
      </w:tr>
    </w:tbl>
    <w:p>
      <w:pPr>
        <w:autoSpaceDN w:val="0"/>
        <w:autoSpaceDE w:val="0"/>
        <w:widowControl/>
        <w:spacing w:line="180" w:lineRule="exact" w:before="36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Adjusted to exclude amounts reclassified to realized gains (losses).</w:t>
      </w:r>
    </w:p>
    <w:p>
      <w:pPr>
        <w:autoSpaceDN w:val="0"/>
        <w:tabs>
          <w:tab w:pos="196" w:val="left"/>
          <w:tab w:pos="242" w:val="left"/>
        </w:tabs>
        <w:autoSpaceDE w:val="0"/>
        <w:widowControl/>
        <w:spacing w:line="192" w:lineRule="exact" w:before="68" w:after="0"/>
        <w:ind w:left="62" w:right="288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Includes $4,220 million of unrealized mark-to-market gains related to derivatives associated with borrowings for fiscal year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 ended June 30, 2024 (unrealized mark-to-market losses of $5,851 million—fiscal year ended June 30, 2023 and unrealized </w:t>
      </w:r>
      <w:r>
        <w:tab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mark-to-market losses of $20,790 million—fiscal year ended June 30, 2022).</w:t>
      </w:r>
    </w:p>
    <w:p>
      <w:pPr>
        <w:autoSpaceDN w:val="0"/>
        <w:tabs>
          <w:tab w:pos="8984" w:val="left"/>
        </w:tabs>
        <w:autoSpaceDE w:val="0"/>
        <w:widowControl/>
        <w:spacing w:line="224" w:lineRule="exact" w:before="856" w:after="0"/>
        <w:ind w:left="42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129</w:t>
      </w:r>
    </w:p>
    <w:p>
      <w:pPr>
        <w:sectPr>
          <w:pgSz w:w="12240" w:h="15840"/>
          <w:pgMar w:top="700" w:right="144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K—PENSION AND OTHER POSTRETIREMENT BENEFITS</w:t>
      </w:r>
    </w:p>
    <w:p>
      <w:pPr>
        <w:autoSpaceDN w:val="0"/>
        <w:autoSpaceDE w:val="0"/>
        <w:widowControl/>
        <w:spacing w:line="240" w:lineRule="exact" w:before="10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IBRD, IFC and MIGA participate in the defined benefit Staff Retirement Plan (SRP), a Retired Staff Benefits Plan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(RSBP) and PEBP (collectively "the Pension Plans") that cover substantially all of their staff members.</w:t>
      </w:r>
    </w:p>
    <w:p>
      <w:pPr>
        <w:autoSpaceDN w:val="0"/>
        <w:autoSpaceDE w:val="0"/>
        <w:widowControl/>
        <w:spacing w:line="240" w:lineRule="exact" w:before="6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SRP provides pension benefits and includes a cash balance plan. The RSBP provides certain health and life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insurance benefits to eligible retirees. The PEBP provides certain pension benefits administered outside the SRP.</w:t>
      </w:r>
    </w:p>
    <w:p>
      <w:pPr>
        <w:autoSpaceDN w:val="0"/>
        <w:autoSpaceDE w:val="0"/>
        <w:widowControl/>
        <w:spacing w:line="248" w:lineRule="exact" w:before="5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IBRD uses a June 30</w:t>
      </w:r>
      <w:r>
        <w:rPr>
          <w:rFonts w:ascii="TimesNewRoman" w:hAnsi="TimesNewRoman" w:eastAsia="TimesNewRoman"/>
          <w:b w:val="0"/>
          <w:i w:val="0"/>
          <w:color w:val="000000"/>
          <w:sz w:val="13"/>
        </w:rPr>
        <w:t>th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measurement date for its pension and other postretirement benefit plans. </w:t>
      </w:r>
    </w:p>
    <w:p>
      <w:pPr>
        <w:autoSpaceDN w:val="0"/>
        <w:autoSpaceDE w:val="0"/>
        <w:widowControl/>
        <w:spacing w:line="240" w:lineRule="exact" w:before="6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 costs, assets and liabilities associated with these plans are allocated between IBRD, IFC, and MIGA based upon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their employees’ respective participation in the Pension Plans. Costs allocated to IBRD are then shared between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and IDA based on an agreed cost-sharing methodology. IDA, IFC and MIGA reimburse IBRD for their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proportionate share of any contributions made to these plans by IBRD. Contributions to the Pension Plans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calculated as a percentage of salary. </w:t>
      </w:r>
    </w:p>
    <w:p>
      <w:pPr>
        <w:autoSpaceDN w:val="0"/>
        <w:autoSpaceDE w:val="0"/>
        <w:widowControl/>
        <w:spacing w:line="222" w:lineRule="exact" w:before="7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 summarizes the benefit costs associated with the SRP, RSBP, and PEBP for IBRD and IDA:</w:t>
      </w:r>
    </w:p>
    <w:p>
      <w:pPr>
        <w:autoSpaceDN w:val="0"/>
        <w:autoSpaceDE w:val="0"/>
        <w:widowControl/>
        <w:spacing w:line="222" w:lineRule="exact" w:before="7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K1: Pension Plan benefit costs</w:t>
      </w:r>
    </w:p>
    <w:p>
      <w:pPr>
        <w:autoSpaceDN w:val="0"/>
        <w:autoSpaceDE w:val="0"/>
        <w:widowControl/>
        <w:spacing w:line="180" w:lineRule="exact" w:before="152" w:after="18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</w:tblGrid>
      <w:tr>
        <w:trPr>
          <w:trHeight w:hRule="exact" w:val="240"/>
        </w:trPr>
        <w:tc>
          <w:tcPr>
            <w:tcW w:type="dxa" w:w="1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PEBP</w:t>
            </w:r>
          </w:p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1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2022</w:t>
            </w:r>
          </w:p>
        </w:tc>
        <w:tc>
          <w:tcPr>
            <w:tcW w:type="dxa" w:w="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2022</w:t>
            </w:r>
          </w:p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5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2022</w:t>
            </w:r>
          </w:p>
        </w:tc>
      </w:tr>
      <w:tr>
        <w:trPr>
          <w:trHeight w:hRule="exact" w:val="234"/>
        </w:trPr>
        <w:tc>
          <w:tcPr>
            <w:tcW w:type="dxa" w:w="18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Service cost</w:t>
            </w:r>
          </w:p>
        </w:tc>
        <w:tc>
          <w:tcPr>
            <w:tcW w:type="dxa" w:w="21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401 </w:t>
            </w:r>
          </w:p>
        </w:tc>
        <w:tc>
          <w:tcPr>
            <w:tcW w:type="dxa" w:w="2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511 </w:t>
            </w:r>
          </w:p>
        </w:tc>
        <w:tc>
          <w:tcPr>
            <w:tcW w:type="dxa" w:w="2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664 </w:t>
            </w:r>
          </w:p>
        </w:tc>
        <w:tc>
          <w:tcPr>
            <w:tcW w:type="dxa" w:w="2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112 </w:t>
            </w:r>
          </w:p>
        </w:tc>
        <w:tc>
          <w:tcPr>
            <w:tcW w:type="dxa" w:w="20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139 </w:t>
            </w:r>
          </w:p>
        </w:tc>
        <w:tc>
          <w:tcPr>
            <w:tcW w:type="dxa" w:w="2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178 </w:t>
            </w:r>
          </w:p>
        </w:tc>
        <w:tc>
          <w:tcPr>
            <w:tcW w:type="dxa" w:w="25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 </w:t>
            </w:r>
          </w:p>
        </w:tc>
        <w:tc>
          <w:tcPr>
            <w:tcW w:type="dxa" w:w="20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93 </w:t>
            </w:r>
          </w:p>
        </w:tc>
        <w:tc>
          <w:tcPr>
            <w:tcW w:type="dxa" w:w="2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114 </w:t>
            </w:r>
          </w:p>
        </w:tc>
      </w:tr>
      <w:tr>
        <w:trPr>
          <w:trHeight w:hRule="exact" w:val="248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cost</w:t>
            </w:r>
          </w:p>
        </w:tc>
        <w:tc>
          <w:tcPr>
            <w:tcW w:type="dxa" w:w="497"/>
            <w:vMerge/>
            <w:tcBorders>
              <w:top w:sz="8.0" w:val="single" w:color="#000000"/>
            </w:tcBorders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1,011 </w:t>
            </w:r>
          </w:p>
        </w:tc>
        <w:tc>
          <w:tcPr>
            <w:tcW w:type="dxa" w:w="497"/>
            <w:vMerge/>
            <w:tcBorders>
              <w:top w:sz="8.0" w:val="single" w:color="#000000"/>
            </w:tcBorders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944 </w:t>
            </w:r>
          </w:p>
        </w:tc>
        <w:tc>
          <w:tcPr>
            <w:tcW w:type="dxa" w:w="497"/>
            <w:vMerge/>
            <w:tcBorders>
              <w:top w:sz="8.0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659 </w:t>
            </w:r>
          </w:p>
        </w:tc>
        <w:tc>
          <w:tcPr>
            <w:tcW w:type="dxa" w:w="497"/>
            <w:vMerge/>
            <w:tcBorders>
              <w:top w:sz="8.0" w:val="single" w:color="#000000"/>
            </w:tcBorders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162 </w:t>
            </w:r>
          </w:p>
        </w:tc>
        <w:tc>
          <w:tcPr>
            <w:tcW w:type="dxa" w:w="497"/>
            <w:vMerge/>
            <w:tcBorders>
              <w:top w:sz="8.0" w:val="single" w:color="#000000"/>
            </w:tcBorders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162 </w:t>
            </w:r>
          </w:p>
        </w:tc>
        <w:tc>
          <w:tcPr>
            <w:tcW w:type="dxa" w:w="497"/>
            <w:vMerge/>
            <w:tcBorders>
              <w:top w:sz="8.0" w:val="single" w:color="#000000"/>
            </w:tcBorders>
          </w:tcPr>
          <w:p/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119 </w:t>
            </w:r>
          </w:p>
        </w:tc>
        <w:tc>
          <w:tcPr>
            <w:tcW w:type="dxa" w:w="497"/>
            <w:vMerge/>
            <w:tcBorders>
              <w:top w:sz="8.0" w:val="single" w:color="#000000"/>
            </w:tcBorders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 </w:t>
            </w:r>
          </w:p>
        </w:tc>
        <w:tc>
          <w:tcPr>
            <w:tcW w:type="dxa" w:w="497"/>
            <w:vMerge/>
            <w:tcBorders>
              <w:top w:sz="8.0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 </w:t>
            </w:r>
          </w:p>
        </w:tc>
        <w:tc>
          <w:tcPr>
            <w:tcW w:type="dxa" w:w="497"/>
            <w:vMerge/>
            <w:tcBorders>
              <w:top w:sz="8.0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 </w:t>
            </w:r>
          </w:p>
        </w:tc>
      </w:tr>
    </w:tbl>
    <w:p>
      <w:pPr>
        <w:autoSpaceDN w:val="0"/>
        <w:autoSpaceDE w:val="0"/>
        <w:widowControl/>
        <w:spacing w:line="180" w:lineRule="exact" w:before="22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Expected return on plan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226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assets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6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(1,377)    (1,386)    (1,289)   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(243)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(238)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(223)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</w:tbl>
    <w:p>
      <w:pPr>
        <w:autoSpaceDN w:val="0"/>
        <w:autoSpaceDE w:val="0"/>
        <w:widowControl/>
        <w:spacing w:line="178" w:lineRule="exact" w:before="42" w:after="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Amortization of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180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unrecognized prior 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8" w:after="0"/>
              <w:ind w:left="0" w:right="3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8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8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32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service costs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22" w:after="6"/>
        <w:ind w:left="62" w:right="79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Amortization of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unrecognized net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176"/>
        </w:trPr>
        <w:tc>
          <w:tcPr>
            <w:tcW w:type="dxa" w:w="1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actuarial (gains) </w:t>
            </w:r>
          </w:p>
        </w:tc>
        <w:tc>
          <w:tcPr>
            <w:tcW w:type="dxa" w:w="10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(67) </w:t>
            </w:r>
          </w:p>
        </w:tc>
        <w:tc>
          <w:tcPr>
            <w:tcW w:type="dxa" w:w="10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(28)  </w:t>
            </w:r>
          </w:p>
        </w:tc>
        <w:tc>
          <w:tcPr>
            <w:tcW w:type="dxa" w:w="5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 </w:t>
            </w:r>
          </w:p>
        </w:tc>
      </w:tr>
      <w:tr>
        <w:trPr>
          <w:trHeight w:hRule="exact" w:val="232"/>
        </w:trPr>
        <w:tc>
          <w:tcPr>
            <w:tcW w:type="dxa" w:w="1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losses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78" w:lineRule="exact" w:before="34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Net periodic pension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</w:tblGrid>
      <w:tr>
        <w:trPr>
          <w:trHeight w:hRule="exact" w:val="196"/>
        </w:trPr>
        <w:tc>
          <w:tcPr>
            <w:tcW w:type="dxa" w:w="18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cost</w:t>
            </w:r>
          </w:p>
        </w:tc>
        <w:tc>
          <w:tcPr>
            <w:tcW w:type="dxa" w:w="3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 </w:t>
            </w:r>
          </w:p>
        </w:tc>
        <w:tc>
          <w:tcPr>
            <w:tcW w:type="dxa" w:w="3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 </w:t>
            </w:r>
          </w:p>
        </w:tc>
        <w:tc>
          <w:tcPr>
            <w:tcW w:type="dxa" w:w="3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 </w:t>
            </w:r>
          </w:p>
        </w:tc>
        <w:tc>
          <w:tcPr>
            <w:tcW w:type="dxa" w:w="3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(34) </w:t>
            </w:r>
          </w:p>
        </w:tc>
        <w:tc>
          <w:tcPr>
            <w:tcW w:type="dxa" w:w="3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 </w:t>
            </w:r>
          </w:p>
        </w:tc>
        <w:tc>
          <w:tcPr>
            <w:tcW w:type="dxa" w:w="3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 </w:t>
            </w:r>
          </w:p>
        </w:tc>
        <w:tc>
          <w:tcPr>
            <w:tcW w:type="dxa" w:w="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184 </w:t>
            </w:r>
          </w:p>
        </w:tc>
        <w:tc>
          <w:tcPr>
            <w:tcW w:type="dxa" w:w="3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188 </w:t>
            </w:r>
          </w:p>
        </w:tc>
        <w:tc>
          <w:tcPr>
            <w:tcW w:type="dxa" w:w="3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234 </w:t>
            </w:r>
          </w:p>
        </w:tc>
      </w:tr>
    </w:tbl>
    <w:p>
      <w:pPr>
        <w:autoSpaceDN w:val="0"/>
        <w:autoSpaceDE w:val="0"/>
        <w:widowControl/>
        <w:spacing w:line="178" w:lineRule="exact" w:before="52" w:after="32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of which: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</w:tblGrid>
      <w:tr>
        <w:trPr>
          <w:trHeight w:hRule="exact" w:val="232"/>
        </w:trPr>
        <w:tc>
          <w:tcPr>
            <w:tcW w:type="dxa" w:w="1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IBRD’s share </w:t>
            </w:r>
          </w:p>
        </w:tc>
        <w:tc>
          <w:tcPr>
            <w:tcW w:type="dxa" w:w="5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 </w:t>
            </w:r>
          </w:p>
        </w:tc>
        <w:tc>
          <w:tcPr>
            <w:tcW w:type="dxa" w:w="3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 </w:t>
            </w:r>
          </w:p>
        </w:tc>
        <w:tc>
          <w:tcPr>
            <w:tcW w:type="dxa" w:w="3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 </w:t>
            </w:r>
          </w:p>
        </w:tc>
        <w:tc>
          <w:tcPr>
            <w:tcW w:type="dxa" w:w="3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(16) </w:t>
            </w:r>
          </w:p>
        </w:tc>
        <w:tc>
          <w:tcPr>
            <w:tcW w:type="dxa" w:w="3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 </w:t>
            </w:r>
          </w:p>
        </w:tc>
        <w:tc>
          <w:tcPr>
            <w:tcW w:type="dxa" w:w="3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 </w:t>
            </w:r>
          </w:p>
        </w:tc>
        <w:tc>
          <w:tcPr>
            <w:tcW w:type="dxa" w:w="2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 </w:t>
            </w:r>
          </w:p>
        </w:tc>
        <w:tc>
          <w:tcPr>
            <w:tcW w:type="dxa" w:w="2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 </w:t>
            </w:r>
          </w:p>
        </w:tc>
        <w:tc>
          <w:tcPr>
            <w:tcW w:type="dxa" w:w="2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110 </w:t>
            </w:r>
          </w:p>
        </w:tc>
      </w:tr>
      <w:tr>
        <w:trPr>
          <w:trHeight w:hRule="exact" w:val="486"/>
        </w:trPr>
        <w:tc>
          <w:tcPr>
            <w:tcW w:type="dxa" w:w="16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IDA’s share</w:t>
            </w:r>
          </w:p>
        </w:tc>
        <w:tc>
          <w:tcPr>
            <w:tcW w:type="dxa" w:w="497"/>
            <w:vMerge/>
            <w:tcBorders>
              <w:bottom w:sz="8.0" w:val="single" w:color="#000000"/>
            </w:tcBorders>
          </w:tcPr>
          <w:p/>
        </w:tc>
        <w:tc>
          <w:tcPr>
            <w:tcW w:type="dxa" w:w="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  <w:tc>
          <w:tcPr>
            <w:tcW w:type="dxa" w:w="497"/>
            <w:vMerge/>
            <w:tcBorders>
              <w:bottom w:sz="8.0" w:val="single" w:color="#000000"/>
            </w:tcBorders>
          </w:tcPr>
          <w:p/>
        </w:tc>
        <w:tc>
          <w:tcPr>
            <w:tcW w:type="dxa" w:w="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 </w:t>
            </w:r>
          </w:p>
        </w:tc>
        <w:tc>
          <w:tcPr>
            <w:tcW w:type="dxa" w:w="497"/>
            <w:vMerge/>
            <w:tcBorders>
              <w:bottom w:sz="8.0" w:val="single" w:color="#000000"/>
            </w:tcBorders>
          </w:tcPr>
          <w:p/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  <w:tc>
          <w:tcPr>
            <w:tcW w:type="dxa" w:w="497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(18) </w:t>
            </w:r>
          </w:p>
        </w:tc>
        <w:tc>
          <w:tcPr>
            <w:tcW w:type="dxa" w:w="497"/>
            <w:vMerge/>
            <w:tcBorders>
              <w:bottom w:sz="8.0" w:val="single" w:color="#000000"/>
            </w:tcBorders>
          </w:tcPr>
          <w:p/>
        </w:tc>
        <w:tc>
          <w:tcPr>
            <w:tcW w:type="dxa" w:w="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 </w:t>
            </w:r>
          </w:p>
        </w:tc>
        <w:tc>
          <w:tcPr>
            <w:tcW w:type="dxa" w:w="497"/>
            <w:vMerge/>
            <w:tcBorders>
              <w:bottom w:sz="8.0" w:val="single" w:color="#000000"/>
            </w:tcBorders>
          </w:tcPr>
          <w:p/>
        </w:tc>
        <w:tc>
          <w:tcPr>
            <w:tcW w:type="dxa" w:w="5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 </w:t>
            </w:r>
          </w:p>
        </w:tc>
        <w:tc>
          <w:tcPr>
            <w:tcW w:type="dxa" w:w="497"/>
            <w:vMerge/>
            <w:tcBorders>
              <w:bottom w:sz="8.0" w:val="single" w:color="#000000"/>
            </w:tcBorders>
          </w:tcPr>
          <w:p/>
        </w:tc>
        <w:tc>
          <w:tcPr>
            <w:tcW w:type="dxa" w:w="5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 </w:t>
            </w:r>
          </w:p>
        </w:tc>
        <w:tc>
          <w:tcPr>
            <w:tcW w:type="dxa" w:w="497"/>
            <w:vMerge/>
            <w:tcBorders>
              <w:bottom w:sz="8.0" w:val="single" w:color="#000000"/>
            </w:tcBorders>
          </w:tcPr>
          <w:p/>
        </w:tc>
        <w:tc>
          <w:tcPr>
            <w:tcW w:type="dxa" w:w="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 </w:t>
            </w:r>
          </w:p>
        </w:tc>
        <w:tc>
          <w:tcPr>
            <w:tcW w:type="dxa" w:w="497"/>
            <w:vMerge/>
            <w:tcBorders>
              <w:bottom w:sz="8.0" w:val="single" w:color="#000000"/>
            </w:tcBorders>
          </w:tcPr>
          <w:p/>
        </w:tc>
        <w:tc>
          <w:tcPr>
            <w:tcW w:type="dxa" w:w="6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124 </w:t>
            </w:r>
          </w:p>
        </w:tc>
      </w:tr>
      <w:tr>
        <w:trPr>
          <w:trHeight w:hRule="exact" w:val="240"/>
        </w:trPr>
        <w:tc>
          <w:tcPr>
            <w:tcW w:type="dxa" w:w="1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2022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Net periodic pension cost (all three plans combined)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32"/>
        </w:trPr>
        <w:tc>
          <w:tcPr>
            <w:tcW w:type="dxa" w:w="4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IBRD’s share</w:t>
            </w:r>
          </w:p>
        </w:tc>
        <w:tc>
          <w:tcPr>
            <w:tcW w:type="dxa" w:w="30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 </w:t>
            </w:r>
          </w:p>
        </w:tc>
        <w:tc>
          <w:tcPr>
            <w:tcW w:type="dxa" w:w="3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146 </w:t>
            </w:r>
          </w:p>
        </w:tc>
        <w:tc>
          <w:tcPr>
            <w:tcW w:type="dxa" w:w="3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171 </w:t>
            </w:r>
          </w:p>
        </w:tc>
      </w:tr>
      <w:tr>
        <w:trPr>
          <w:trHeight w:hRule="exact" w:val="486"/>
        </w:trPr>
        <w:tc>
          <w:tcPr>
            <w:tcW w:type="dxa" w:w="41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IDA’s share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98 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163 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191 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Included in Amounts reclassified into net income in Note I—Accumulated Other Comprehensive Income.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share of benefit costs is included as a payable to/receivable from IDA in Other liabilities – Accounts payable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and miscellaneous liabilities on the Balance Sheets (see Note H—Transactions with Affiliated Organizations).</w:t>
      </w:r>
    </w:p>
    <w:p>
      <w:pPr>
        <w:autoSpaceDN w:val="0"/>
        <w:autoSpaceDE w:val="0"/>
        <w:widowControl/>
        <w:spacing w:line="240" w:lineRule="exact" w:before="6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components of net periodic pension cost, other than the service cost component, are included in the Non-interest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expenses – Other line item in the Statements of Income. The service cost component is included in the line item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Non-interest expenses – Administrative expenses. </w:t>
      </w:r>
    </w:p>
    <w:p>
      <w:pPr>
        <w:autoSpaceDN w:val="0"/>
        <w:tabs>
          <w:tab w:pos="858" w:val="left"/>
        </w:tabs>
        <w:autoSpaceDE w:val="0"/>
        <w:widowControl/>
        <w:spacing w:line="224" w:lineRule="exact" w:before="259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130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2024</w:t>
      </w:r>
    </w:p>
    <w:p>
      <w:pPr>
        <w:sectPr>
          <w:pgSz w:w="12240" w:h="15840"/>
          <w:pgMar w:top="700" w:right="137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 provides the amounts of IBRD’s pension service cost:</w:t>
      </w:r>
    </w:p>
    <w:p>
      <w:pPr>
        <w:autoSpaceDN w:val="0"/>
        <w:autoSpaceDE w:val="0"/>
        <w:widowControl/>
        <w:spacing w:line="220" w:lineRule="exact" w:before="7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K2: Pension service cost</w:t>
      </w:r>
    </w:p>
    <w:p>
      <w:pPr>
        <w:autoSpaceDN w:val="0"/>
        <w:autoSpaceDE w:val="0"/>
        <w:widowControl/>
        <w:spacing w:line="178" w:lineRule="exact" w:before="15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0"/>
        <w:ind w:left="0" w:right="207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rPr>
          <w:trHeight w:hRule="exact" w:val="240"/>
        </w:trPr>
        <w:tc>
          <w:tcPr>
            <w:tcW w:type="dxa" w:w="48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PEBP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 Total</w:t>
            </w:r>
          </w:p>
        </w:tc>
      </w:tr>
      <w:tr>
        <w:trPr>
          <w:trHeight w:hRule="exact" w:val="242"/>
        </w:trPr>
        <w:tc>
          <w:tcPr>
            <w:tcW w:type="dxa" w:w="48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Service cost</w:t>
            </w:r>
          </w:p>
        </w:tc>
        <w:tc>
          <w:tcPr>
            <w:tcW w:type="dxa" w:w="2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401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112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 </w:t>
            </w:r>
          </w:p>
        </w:tc>
        <w:tc>
          <w:tcPr>
            <w:tcW w:type="dxa" w:w="4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595 </w:t>
            </w:r>
          </w:p>
        </w:tc>
      </w:tr>
    </w:tbl>
    <w:p>
      <w:pPr>
        <w:autoSpaceDN w:val="0"/>
        <w:autoSpaceDE w:val="0"/>
        <w:widowControl/>
        <w:spacing w:line="178" w:lineRule="exact" w:before="20" w:after="32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Of which: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rPr>
          <w:trHeight w:hRule="exact" w:val="238"/>
        </w:trPr>
        <w:tc>
          <w:tcPr>
            <w:tcW w:type="dxa" w:w="3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IBRD’s share </w:t>
            </w:r>
          </w:p>
        </w:tc>
        <w:tc>
          <w:tcPr>
            <w:tcW w:type="dxa" w:w="20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191 </w:t>
            </w:r>
          </w:p>
        </w:tc>
        <w:tc>
          <w:tcPr>
            <w:tcW w:type="dxa" w:w="5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 </w:t>
            </w:r>
          </w:p>
        </w:tc>
        <w:tc>
          <w:tcPr>
            <w:tcW w:type="dxa" w:w="5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 </w:t>
            </w:r>
          </w:p>
        </w:tc>
        <w:tc>
          <w:tcPr>
            <w:tcW w:type="dxa" w:w="4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284 </w:t>
            </w:r>
          </w:p>
        </w:tc>
      </w:tr>
      <w:tr>
        <w:trPr>
          <w:trHeight w:hRule="exact" w:val="434"/>
        </w:trPr>
        <w:tc>
          <w:tcPr>
            <w:tcW w:type="dxa" w:w="31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IDA’s share</w:t>
            </w:r>
          </w:p>
        </w:tc>
        <w:tc>
          <w:tcPr>
            <w:tcW w:type="dxa" w:w="1043"/>
            <w:vMerge/>
            <w:tcBorders>
              <w:bottom w:sz="8.0" w:val="single" w:color="#000000"/>
            </w:tcBorders>
          </w:tcPr>
          <w:p/>
        </w:tc>
        <w:tc>
          <w:tcPr>
            <w:tcW w:type="dxa" w:w="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210 </w:t>
            </w:r>
          </w:p>
        </w:tc>
        <w:tc>
          <w:tcPr>
            <w:tcW w:type="dxa" w:w="1043"/>
            <w:vMerge/>
            <w:tcBorders>
              <w:bottom w:sz="8.0" w:val="single" w:color="#000000"/>
            </w:tcBorders>
          </w:tcPr>
          <w:p/>
        </w:tc>
        <w:tc>
          <w:tcPr>
            <w:tcW w:type="dxa" w:w="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59 </w:t>
            </w:r>
          </w:p>
        </w:tc>
        <w:tc>
          <w:tcPr>
            <w:tcW w:type="dxa" w:w="1043"/>
            <w:vMerge/>
            <w:tcBorders>
              <w:bottom w:sz="8.0" w:val="single" w:color="#000000"/>
            </w:tcBorders>
          </w:tcPr>
          <w:p/>
        </w:tc>
        <w:tc>
          <w:tcPr>
            <w:tcW w:type="dxa" w:w="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 </w:t>
            </w:r>
          </w:p>
        </w:tc>
        <w:tc>
          <w:tcPr>
            <w:tcW w:type="dxa" w:w="1043"/>
            <w:vMerge/>
            <w:tcBorders>
              <w:bottom w:sz="8.0" w:val="single" w:color="#000000"/>
            </w:tcBorders>
          </w:tcPr>
          <w:p/>
        </w:tc>
        <w:tc>
          <w:tcPr>
            <w:tcW w:type="dxa" w:w="7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311 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18"/>
        <w:ind w:left="0" w:right="207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2023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rPr>
          <w:trHeight w:hRule="exact" w:val="240"/>
        </w:trPr>
        <w:tc>
          <w:tcPr>
            <w:tcW w:type="dxa" w:w="48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8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PEBP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1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42"/>
        </w:trPr>
        <w:tc>
          <w:tcPr>
            <w:tcW w:type="dxa" w:w="48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Service cost</w:t>
            </w:r>
          </w:p>
        </w:tc>
        <w:tc>
          <w:tcPr>
            <w:tcW w:type="dxa" w:w="2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511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139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93 </w:t>
            </w:r>
          </w:p>
        </w:tc>
        <w:tc>
          <w:tcPr>
            <w:tcW w:type="dxa" w:w="4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743 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30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Of which: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rPr>
          <w:trHeight w:hRule="exact" w:val="224"/>
        </w:trPr>
        <w:tc>
          <w:tcPr>
            <w:tcW w:type="dxa" w:w="3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IBRD’s share </w:t>
            </w:r>
          </w:p>
        </w:tc>
        <w:tc>
          <w:tcPr>
            <w:tcW w:type="dxa" w:w="20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241 </w:t>
            </w:r>
          </w:p>
        </w:tc>
        <w:tc>
          <w:tcPr>
            <w:tcW w:type="dxa" w:w="5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 </w:t>
            </w:r>
          </w:p>
        </w:tc>
        <w:tc>
          <w:tcPr>
            <w:tcW w:type="dxa" w:w="5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 </w:t>
            </w:r>
          </w:p>
        </w:tc>
        <w:tc>
          <w:tcPr>
            <w:tcW w:type="dxa" w:w="4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351 </w:t>
            </w:r>
          </w:p>
        </w:tc>
      </w:tr>
      <w:tr>
        <w:trPr>
          <w:trHeight w:hRule="exact" w:val="450"/>
        </w:trPr>
        <w:tc>
          <w:tcPr>
            <w:tcW w:type="dxa" w:w="31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IDA’s share</w:t>
            </w:r>
          </w:p>
        </w:tc>
        <w:tc>
          <w:tcPr>
            <w:tcW w:type="dxa" w:w="1043"/>
            <w:vMerge/>
            <w:tcBorders>
              <w:bottom w:sz="8.0" w:val="single" w:color="#000000"/>
            </w:tcBorders>
          </w:tcPr>
          <w:p/>
        </w:tc>
        <w:tc>
          <w:tcPr>
            <w:tcW w:type="dxa" w:w="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270 </w:t>
            </w:r>
          </w:p>
        </w:tc>
        <w:tc>
          <w:tcPr>
            <w:tcW w:type="dxa" w:w="1043"/>
            <w:vMerge/>
            <w:tcBorders>
              <w:bottom w:sz="8.0" w:val="single" w:color="#000000"/>
            </w:tcBorders>
          </w:tcPr>
          <w:p/>
        </w:tc>
        <w:tc>
          <w:tcPr>
            <w:tcW w:type="dxa" w:w="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73 </w:t>
            </w:r>
          </w:p>
        </w:tc>
        <w:tc>
          <w:tcPr>
            <w:tcW w:type="dxa" w:w="1043"/>
            <w:vMerge/>
            <w:tcBorders>
              <w:bottom w:sz="8.0" w:val="single" w:color="#000000"/>
            </w:tcBorders>
          </w:tcPr>
          <w:p/>
        </w:tc>
        <w:tc>
          <w:tcPr>
            <w:tcW w:type="dxa" w:w="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 </w:t>
            </w:r>
          </w:p>
        </w:tc>
        <w:tc>
          <w:tcPr>
            <w:tcW w:type="dxa" w:w="1043"/>
            <w:vMerge/>
            <w:tcBorders>
              <w:bottom w:sz="8.0" w:val="single" w:color="#000000"/>
            </w:tcBorders>
          </w:tcPr>
          <w:p/>
        </w:tc>
        <w:tc>
          <w:tcPr>
            <w:tcW w:type="dxa" w:w="7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392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0"/>
        <w:ind w:left="0" w:right="207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2022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rPr>
          <w:trHeight w:hRule="exact" w:val="240"/>
        </w:trPr>
        <w:tc>
          <w:tcPr>
            <w:tcW w:type="dxa" w:w="48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PEBP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42"/>
        </w:trPr>
        <w:tc>
          <w:tcPr>
            <w:tcW w:type="dxa" w:w="48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Service cost</w:t>
            </w:r>
          </w:p>
        </w:tc>
        <w:tc>
          <w:tcPr>
            <w:tcW w:type="dxa" w:w="2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664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178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114 </w:t>
            </w:r>
          </w:p>
        </w:tc>
        <w:tc>
          <w:tcPr>
            <w:tcW w:type="dxa" w:w="4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956 </w:t>
            </w:r>
          </w:p>
        </w:tc>
      </w:tr>
    </w:tbl>
    <w:p>
      <w:pPr>
        <w:autoSpaceDN w:val="0"/>
        <w:autoSpaceDE w:val="0"/>
        <w:widowControl/>
        <w:spacing w:line="178" w:lineRule="exact" w:before="20" w:after="32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Of which: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rPr>
          <w:trHeight w:hRule="exact" w:val="228"/>
        </w:trPr>
        <w:tc>
          <w:tcPr>
            <w:tcW w:type="dxa" w:w="2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IBRD’s share 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313 </w:t>
            </w:r>
          </w:p>
        </w:tc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84 </w:t>
            </w:r>
          </w:p>
        </w:tc>
        <w:tc>
          <w:tcPr>
            <w:tcW w:type="dxa" w:w="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451 </w:t>
            </w:r>
          </w:p>
        </w:tc>
      </w:tr>
      <w:tr>
        <w:trPr>
          <w:trHeight w:hRule="exact" w:val="446"/>
        </w:trPr>
        <w:tc>
          <w:tcPr>
            <w:tcW w:type="dxa" w:w="27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IDA’s share</w:t>
            </w:r>
          </w:p>
        </w:tc>
        <w:tc>
          <w:tcPr>
            <w:tcW w:type="dxa" w:w="30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351 </w:t>
            </w:r>
          </w:p>
        </w:tc>
        <w:tc>
          <w:tcPr>
            <w:tcW w:type="dxa" w:w="11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 </w:t>
            </w:r>
          </w:p>
        </w:tc>
        <w:tc>
          <w:tcPr>
            <w:tcW w:type="dxa" w:w="162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60 </w:t>
            </w:r>
          </w:p>
        </w:tc>
        <w:tc>
          <w:tcPr>
            <w:tcW w:type="dxa" w:w="7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505 </w:t>
            </w:r>
          </w:p>
        </w:tc>
      </w:tr>
      <w:tr>
        <w:trPr>
          <w:trHeight w:hRule="exact" w:val="7484"/>
        </w:trPr>
        <w:tc>
          <w:tcPr>
            <w:tcW w:type="dxa" w:w="27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20"/>
            <w:gridSpan w:val="7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70" w:after="0"/>
              <w:ind w:left="14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2024</w:t>
            </w:r>
          </w:p>
        </w:tc>
        <w:tc>
          <w:tcPr>
            <w:tcW w:type="dxa" w:w="7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7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131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0" w:right="1424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 summarizes the Projected Benefit Obligations (PBO), fair value of plan assets, and funded status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associated with the SRP, RSBP, and PEBP for IBRD and IDA. The SRP and RSBP assets are held in separate trusts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the PEBP assets are included in IBRD's investment portfolio. The assets of the PEBP are mostly invested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fixed income, equity instruments and other fund investments.</w:t>
      </w:r>
    </w:p>
    <w:p>
      <w:pPr>
        <w:autoSpaceDN w:val="0"/>
        <w:autoSpaceDE w:val="0"/>
        <w:widowControl/>
        <w:spacing w:line="220" w:lineRule="exact" w:before="7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K3: PBO, funded status and accumulated benefit obligations</w:t>
      </w:r>
    </w:p>
    <w:p>
      <w:pPr>
        <w:autoSpaceDN w:val="0"/>
        <w:autoSpaceDE w:val="0"/>
        <w:widowControl/>
        <w:spacing w:line="178" w:lineRule="exact" w:before="15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480"/>
        </w:trPr>
        <w:tc>
          <w:tcPr>
            <w:tcW w:type="dxa" w:w="3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10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8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  <w:tc>
          <w:tcPr>
            <w:tcW w:type="dxa" w:w="8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8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PEBP</w:t>
            </w:r>
          </w:p>
        </w:tc>
        <w:tc>
          <w:tcPr>
            <w:tcW w:type="dxa" w:w="8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Projected Benefit Obligations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>
        <w:trPr>
          <w:trHeight w:hRule="exact" w:val="238"/>
        </w:trPr>
        <w:tc>
          <w:tcPr>
            <w:tcW w:type="dxa" w:w="2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Beginning of year</w:t>
            </w:r>
          </w:p>
        </w:tc>
        <w:tc>
          <w:tcPr>
            <w:tcW w:type="dxa" w:w="2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21,208 </w:t>
            </w:r>
          </w:p>
        </w:tc>
        <w:tc>
          <w:tcPr>
            <w:tcW w:type="dxa" w:w="3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21,831 </w:t>
            </w:r>
          </w:p>
        </w:tc>
        <w:tc>
          <w:tcPr>
            <w:tcW w:type="dxa" w:w="4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3,341 </w:t>
            </w:r>
          </w:p>
        </w:tc>
        <w:tc>
          <w:tcPr>
            <w:tcW w:type="dxa" w:w="4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3,666 </w:t>
            </w:r>
          </w:p>
        </w:tc>
        <w:tc>
          <w:tcPr>
            <w:tcW w:type="dxa" w:w="3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2,057 </w:t>
            </w:r>
          </w:p>
        </w:tc>
        <w:tc>
          <w:tcPr>
            <w:tcW w:type="dxa" w:w="3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2,107 </w:t>
            </w:r>
          </w:p>
        </w:tc>
      </w:tr>
      <w:tr>
        <w:trPr>
          <w:trHeight w:hRule="exact" w:val="240"/>
        </w:trPr>
        <w:tc>
          <w:tcPr>
            <w:tcW w:type="dxa" w:w="2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Service cost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401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511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112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139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93 </w:t>
            </w:r>
          </w:p>
        </w:tc>
      </w:tr>
      <w:tr>
        <w:trPr>
          <w:trHeight w:hRule="exact" w:val="240"/>
        </w:trPr>
        <w:tc>
          <w:tcPr>
            <w:tcW w:type="dxa" w:w="2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cost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1,011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944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162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162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 </w:t>
            </w:r>
          </w:p>
        </w:tc>
      </w:tr>
      <w:tr>
        <w:trPr>
          <w:trHeight w:hRule="exact" w:val="240"/>
        </w:trPr>
        <w:tc>
          <w:tcPr>
            <w:tcW w:type="dxa" w:w="2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Participant contributions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181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172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  <w:tr>
        <w:trPr>
          <w:trHeight w:hRule="exact" w:val="240"/>
        </w:trPr>
        <w:tc>
          <w:tcPr>
            <w:tcW w:type="dxa" w:w="2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Benefits paid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(961)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(921)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(117)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(108)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(57)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(49) </w:t>
            </w:r>
          </w:p>
        </w:tc>
      </w:tr>
      <w:tr>
        <w:trPr>
          <w:trHeight w:hRule="exact" w:val="240"/>
        </w:trPr>
        <w:tc>
          <w:tcPr>
            <w:tcW w:type="dxa" w:w="24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Actuarial loss (gain)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8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326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(1,329)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(123)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(549)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(88)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(190) </w:t>
            </w:r>
          </w:p>
        </w:tc>
      </w:tr>
      <w:tr>
        <w:trPr>
          <w:trHeight w:hRule="exact" w:val="240"/>
        </w:trPr>
        <w:tc>
          <w:tcPr>
            <w:tcW w:type="dxa" w:w="2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End of year</w:t>
            </w:r>
          </w:p>
        </w:tc>
        <w:tc>
          <w:tcPr>
            <w:tcW w:type="dxa" w:w="2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22,166 </w:t>
            </w:r>
          </w:p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21,208 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3,408 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3,341 </w:t>
            </w:r>
          </w:p>
        </w:tc>
        <w:tc>
          <w:tcPr>
            <w:tcW w:type="dxa" w:w="3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2,097 </w:t>
            </w:r>
          </w:p>
        </w:tc>
        <w:tc>
          <w:tcPr>
            <w:tcW w:type="dxa" w:w="3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2,057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Fair value of plan 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</w:tblGrid>
      <w:tr>
        <w:trPr>
          <w:trHeight w:hRule="exact" w:val="238"/>
        </w:trPr>
        <w:tc>
          <w:tcPr>
            <w:tcW w:type="dxa" w:w="2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Beginning of year</w:t>
            </w:r>
          </w:p>
        </w:tc>
        <w:tc>
          <w:tcPr>
            <w:tcW w:type="dxa" w:w="3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24,565 </w:t>
            </w:r>
          </w:p>
        </w:tc>
        <w:tc>
          <w:tcPr>
            <w:tcW w:type="dxa" w:w="3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23,745 </w:t>
            </w:r>
          </w:p>
        </w:tc>
        <w:tc>
          <w:tcPr>
            <w:tcW w:type="dxa" w:w="4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4,281 </w:t>
            </w:r>
          </w:p>
        </w:tc>
        <w:tc>
          <w:tcPr>
            <w:tcW w:type="dxa" w:w="4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4,061 </w:t>
            </w:r>
          </w:p>
        </w:tc>
        <w:tc>
          <w:tcPr>
            <w:tcW w:type="dxa" w:w="3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2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Participant contributions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181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172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2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Actual return on assets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1,749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1,429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303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258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2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Employer contributions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155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140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25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Benefits paid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(961)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(921)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(117)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(108)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2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End of year</w:t>
            </w:r>
          </w:p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25,689 </w:t>
            </w:r>
          </w:p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24,565 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4,540 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4,281 </w:t>
            </w:r>
          </w:p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0"/>
        </w:trPr>
        <w:tc>
          <w:tcPr>
            <w:tcW w:type="dxa" w:w="2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Funded Status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3,523 </w:t>
            </w:r>
          </w:p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3,357 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1,132 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940 </w:t>
            </w:r>
          </w:p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(2,097)  $ </w:t>
            </w:r>
          </w:p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(2,057) </w:t>
            </w:r>
          </w:p>
        </w:tc>
      </w:tr>
    </w:tbl>
    <w:p>
      <w:pPr>
        <w:autoSpaceDN w:val="0"/>
        <w:autoSpaceDE w:val="0"/>
        <w:widowControl/>
        <w:spacing w:line="180" w:lineRule="exact" w:before="54" w:after="6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Accumulated Benefit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>
        <w:trPr>
          <w:trHeight w:hRule="exact" w:val="454"/>
        </w:trPr>
        <w:tc>
          <w:tcPr>
            <w:tcW w:type="dxa" w:w="17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Obligations</w:t>
            </w:r>
          </w:p>
        </w:tc>
        <w:tc>
          <w:tcPr>
            <w:tcW w:type="dxa" w:w="1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20,968 </w:t>
            </w:r>
          </w:p>
        </w:tc>
        <w:tc>
          <w:tcPr>
            <w:tcW w:type="dxa" w:w="3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20,098 </w:t>
            </w:r>
          </w:p>
        </w:tc>
        <w:tc>
          <w:tcPr>
            <w:tcW w:type="dxa" w:w="4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3,408 </w:t>
            </w:r>
          </w:p>
        </w:tc>
        <w:tc>
          <w:tcPr>
            <w:tcW w:type="dxa" w:w="4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3,341 </w:t>
            </w:r>
          </w:p>
        </w:tc>
        <w:tc>
          <w:tcPr>
            <w:tcW w:type="dxa" w:w="4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1,931 </w:t>
            </w:r>
          </w:p>
        </w:tc>
        <w:tc>
          <w:tcPr>
            <w:tcW w:type="dxa" w:w="4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1,908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2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Funded status is included in Other Assets – Assets under retirement benefits plans on the Balance Sheets and Other liabilities –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Liabilities under retirement benefits plans on the Balance Sheets. </w:t>
      </w:r>
    </w:p>
    <w:p>
      <w:pPr>
        <w:autoSpaceDN w:val="0"/>
        <w:autoSpaceDE w:val="0"/>
        <w:widowControl/>
        <w:spacing w:line="224" w:lineRule="exact" w:before="148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June 30, 2024, the SRP and RSBP were overfunded by $3,523 million and $1,132 million, respectively.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PEBP, after reflecting IBRD and IDA’s share of assets which are included in the IBRD’s investment portfolio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($2,135 million), was overfunded by $38 million.</w:t>
      </w:r>
    </w:p>
    <w:p>
      <w:pPr>
        <w:autoSpaceDN w:val="0"/>
        <w:autoSpaceDE w:val="0"/>
        <w:widowControl/>
        <w:spacing w:line="224" w:lineRule="exact" w:before="6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fiscal years ended June 30, 2024 and June 30, 2023, there were no amendments made to the retirement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benefit plans. </w:t>
      </w:r>
    </w:p>
    <w:p>
      <w:pPr>
        <w:autoSpaceDN w:val="0"/>
        <w:autoSpaceDE w:val="0"/>
        <w:widowControl/>
        <w:spacing w:line="240" w:lineRule="exact" w:before="4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tables present the amounts included in Accumulated Other Comprehensive Income/Loss relating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Pension and Other Postretirement Benefits:</w:t>
      </w:r>
    </w:p>
    <w:p>
      <w:pPr>
        <w:autoSpaceDN w:val="0"/>
        <w:autoSpaceDE w:val="0"/>
        <w:widowControl/>
        <w:spacing w:line="220" w:lineRule="exact" w:before="7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K4: Amounts included in Accumulated Other Comprehensive Income as of June 30, 2024</w:t>
      </w:r>
    </w:p>
    <w:p>
      <w:pPr>
        <w:autoSpaceDN w:val="0"/>
        <w:autoSpaceDE w:val="0"/>
        <w:widowControl/>
        <w:spacing w:line="178" w:lineRule="exact" w:before="11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40"/>
        </w:trPr>
        <w:tc>
          <w:tcPr>
            <w:tcW w:type="dxa" w:w="51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  <w:tc>
          <w:tcPr>
            <w:tcW w:type="dxa" w:w="2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PEBP</w:t>
            </w:r>
          </w:p>
        </w:tc>
        <w:tc>
          <w:tcPr>
            <w:tcW w:type="dxa" w:w="3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30"/>
        </w:trPr>
        <w:tc>
          <w:tcPr>
            <w:tcW w:type="dxa" w:w="51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actuarial (gains) losses </w:t>
            </w:r>
          </w:p>
        </w:tc>
        <w:tc>
          <w:tcPr>
            <w:tcW w:type="dxa" w:w="2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(2,222) </w:t>
            </w:r>
          </w:p>
        </w:tc>
        <w:tc>
          <w:tcPr>
            <w:tcW w:type="dxa" w:w="2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(1,434) </w:t>
            </w:r>
          </w:p>
        </w:tc>
        <w:tc>
          <w:tcPr>
            <w:tcW w:type="dxa" w:w="27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(85) </w:t>
            </w:r>
          </w:p>
        </w:tc>
        <w:tc>
          <w:tcPr>
            <w:tcW w:type="dxa" w:w="3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(3,741) </w:t>
            </w:r>
          </w:p>
        </w:tc>
      </w:tr>
      <w:tr>
        <w:trPr>
          <w:trHeight w:hRule="exact" w:val="250"/>
        </w:trPr>
        <w:tc>
          <w:tcPr>
            <w:tcW w:type="dxa" w:w="51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Prior service cost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 </w:t>
            </w:r>
          </w:p>
        </w:tc>
      </w:tr>
    </w:tbl>
    <w:p>
      <w:pPr>
        <w:autoSpaceDN w:val="0"/>
        <w:autoSpaceDE w:val="0"/>
        <w:widowControl/>
        <w:spacing w:line="180" w:lineRule="exact" w:before="24" w:after="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Net amount recognized in Accumulated Other Comprehensive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196"/>
        </w:trPr>
        <w:tc>
          <w:tcPr>
            <w:tcW w:type="dxa" w:w="8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Income</w:t>
            </w:r>
          </w:p>
        </w:tc>
        <w:tc>
          <w:tcPr>
            <w:tcW w:type="dxa" w:w="43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(2,219) </w:t>
            </w:r>
          </w:p>
        </w:tc>
        <w:tc>
          <w:tcPr>
            <w:tcW w:type="dxa" w:w="3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(1,425) </w:t>
            </w:r>
          </w:p>
        </w:tc>
        <w:tc>
          <w:tcPr>
            <w:tcW w:type="dxa" w:w="4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(82) </w:t>
            </w:r>
          </w:p>
        </w:tc>
        <w:tc>
          <w:tcPr>
            <w:tcW w:type="dxa" w:w="3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(3,726) </w:t>
            </w:r>
          </w:p>
        </w:tc>
      </w:tr>
      <w:tr>
        <w:trPr>
          <w:trHeight w:hRule="exact" w:val="3144"/>
        </w:trPr>
        <w:tc>
          <w:tcPr>
            <w:tcW w:type="dxa" w:w="8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9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132</w:t>
            </w:r>
          </w:p>
        </w:tc>
        <w:tc>
          <w:tcPr>
            <w:tcW w:type="dxa" w:w="43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9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2024</w:t>
            </w:r>
          </w:p>
        </w:tc>
        <w:tc>
          <w:tcPr>
            <w:tcW w:type="dxa" w:w="2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0" w:right="137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K4.1: Amounts included in Accumulated Other Comprehensive Income as of June 30, 2023</w:t>
      </w:r>
    </w:p>
    <w:p>
      <w:pPr>
        <w:autoSpaceDN w:val="0"/>
        <w:autoSpaceDE w:val="0"/>
        <w:widowControl/>
        <w:spacing w:line="178" w:lineRule="exact" w:before="15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240"/>
        </w:trPr>
        <w:tc>
          <w:tcPr>
            <w:tcW w:type="dxa" w:w="5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2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  <w:tc>
          <w:tcPr>
            <w:tcW w:type="dxa" w:w="2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PEBP</w:t>
            </w:r>
          </w:p>
        </w:tc>
        <w:tc>
          <w:tcPr>
            <w:tcW w:type="dxa" w:w="3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40"/>
        </w:trPr>
        <w:tc>
          <w:tcPr>
            <w:tcW w:type="dxa" w:w="52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actuarial (gains) losses </w:t>
            </w:r>
          </w:p>
        </w:tc>
        <w:tc>
          <w:tcPr>
            <w:tcW w:type="dxa" w:w="2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(2,175) </w:t>
            </w:r>
          </w:p>
        </w:tc>
        <w:tc>
          <w:tcPr>
            <w:tcW w:type="dxa" w:w="2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(1,318) </w:t>
            </w:r>
          </w:p>
        </w:tc>
        <w:tc>
          <w:tcPr>
            <w:tcW w:type="dxa" w:w="27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2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(3,490) </w:t>
            </w:r>
          </w:p>
        </w:tc>
      </w:tr>
      <w:tr>
        <w:trPr>
          <w:trHeight w:hRule="exact" w:val="240"/>
        </w:trPr>
        <w:tc>
          <w:tcPr>
            <w:tcW w:type="dxa" w:w="52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Prior service cost</w:t>
            </w:r>
          </w:p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 </w:t>
            </w:r>
          </w:p>
        </w:tc>
      </w:tr>
    </w:tbl>
    <w:p>
      <w:pPr>
        <w:autoSpaceDN w:val="0"/>
        <w:autoSpaceDE w:val="0"/>
        <w:widowControl/>
        <w:spacing w:line="180" w:lineRule="exact" w:before="24" w:after="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Net amount recognized in Accumulated Other Comprehensive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194"/>
        </w:trPr>
        <w:tc>
          <w:tcPr>
            <w:tcW w:type="dxa" w:w="52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Income</w:t>
            </w:r>
          </w:p>
        </w:tc>
        <w:tc>
          <w:tcPr>
            <w:tcW w:type="dxa" w:w="2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(2,169) </w:t>
            </w:r>
          </w:p>
        </w:tc>
        <w:tc>
          <w:tcPr>
            <w:tcW w:type="dxa" w:w="3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(1,307) </w:t>
            </w:r>
          </w:p>
        </w:tc>
        <w:tc>
          <w:tcPr>
            <w:tcW w:type="dxa" w:w="5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3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(3,467) </w:t>
            </w:r>
          </w:p>
        </w:tc>
      </w:tr>
    </w:tbl>
    <w:p>
      <w:pPr>
        <w:autoSpaceDN w:val="0"/>
        <w:autoSpaceDE w:val="0"/>
        <w:widowControl/>
        <w:spacing w:line="244" w:lineRule="exact" w:before="374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Assumptions</w:t>
      </w:r>
    </w:p>
    <w:p>
      <w:pPr>
        <w:autoSpaceDN w:val="0"/>
        <w:autoSpaceDE w:val="0"/>
        <w:widowControl/>
        <w:spacing w:line="240" w:lineRule="exact" w:before="128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actuarial assumptions used are based on financial market interest rates, inflation expectations, past experience,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Management’s best estimate of future benefit changes and economic conditions. Changes in these assumptions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will impact future benefit costs and obligations.</w:t>
      </w:r>
    </w:p>
    <w:p>
      <w:pPr>
        <w:autoSpaceDN w:val="0"/>
        <w:autoSpaceDE w:val="0"/>
        <w:widowControl/>
        <w:spacing w:line="240" w:lineRule="exact" w:before="6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expected long-term rate of return for the SRP assets is a weighted average of the expected long-term (10 years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or more) returns for the various asset classes, weighted by the portfolio allocation. Asset class returns are developed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using a forward-looking building block approach and are not strictly based on historical returns. Equity returns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generally developed as the sum of expected inflation, expected real earnings growth and expected long-term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dividend yield. Bond returns are generally developed as the sum of expected inflation, real bond yield, duration-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adjusted change in yields and risk premium/spread (as appropriate). Other asset class returns are derived from their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relationship to equity and bond markets. The expected long-term rate of return for the RSBP is computed using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procedures similar to those used for the SRP. The discount rate used in determining the benefit obligation is selected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by reference to the year-end yield of AA corporate bonds. </w:t>
      </w:r>
    </w:p>
    <w:p>
      <w:pPr>
        <w:autoSpaceDN w:val="0"/>
        <w:autoSpaceDE w:val="0"/>
        <w:widowControl/>
        <w:spacing w:line="240" w:lineRule="exact" w:before="6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Actuarial gains and losses occur when actual results are different from expected results. Amortization of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unrecognized gains and losses will be included in income if, at the beginning of the fiscal year, they exceed 10%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greater of the projected benefit obligation or the market-related value of plan assets. If required,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unrecognized gains and losses are amortized over the expected average remaining service lives of the employee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group. </w:t>
      </w:r>
    </w:p>
    <w:p>
      <w:pPr>
        <w:autoSpaceDN w:val="0"/>
        <w:autoSpaceDE w:val="0"/>
        <w:widowControl/>
        <w:spacing w:line="240" w:lineRule="exact" w:before="6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tables present the weighted-average assumptions used in determining the projected benefit obligations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and the net periodic pension costs:</w:t>
      </w:r>
    </w:p>
    <w:p>
      <w:pPr>
        <w:autoSpaceDN w:val="0"/>
        <w:autoSpaceDE w:val="0"/>
        <w:widowControl/>
        <w:spacing w:line="222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K5: Weighted average assumptions used to determine projected benefit obligations</w:t>
      </w:r>
    </w:p>
    <w:p>
      <w:pPr>
        <w:autoSpaceDN w:val="0"/>
        <w:autoSpaceDE w:val="0"/>
        <w:widowControl/>
        <w:spacing w:line="180" w:lineRule="exact" w:before="152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percent, except years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240"/>
        </w:trPr>
        <w:tc>
          <w:tcPr>
            <w:tcW w:type="dxa" w:w="3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9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PEBP</w:t>
            </w:r>
          </w:p>
        </w:tc>
        <w:tc>
          <w:tcPr>
            <w:tcW w:type="dxa" w:w="6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11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7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1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3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6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  <w:tr>
        <w:trPr>
          <w:trHeight w:hRule="exact" w:val="240"/>
        </w:trPr>
        <w:tc>
          <w:tcPr>
            <w:tcW w:type="dxa" w:w="34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Discount rate</w:t>
            </w:r>
          </w:p>
        </w:tc>
        <w:tc>
          <w:tcPr>
            <w:tcW w:type="dxa" w:w="6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5.30</w:t>
            </w:r>
          </w:p>
        </w:tc>
        <w:tc>
          <w:tcPr>
            <w:tcW w:type="dxa" w:w="3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4.90</w:t>
            </w:r>
          </w:p>
        </w:tc>
        <w:tc>
          <w:tcPr>
            <w:tcW w:type="dxa" w:w="111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5.40</w:t>
            </w:r>
          </w:p>
        </w:tc>
        <w:tc>
          <w:tcPr>
            <w:tcW w:type="dxa" w:w="6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4.90</w:t>
            </w:r>
          </w:p>
        </w:tc>
        <w:tc>
          <w:tcPr>
            <w:tcW w:type="dxa" w:w="15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5.30</w:t>
            </w:r>
          </w:p>
        </w:tc>
        <w:tc>
          <w:tcPr>
            <w:tcW w:type="dxa" w:w="6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4.90</w:t>
            </w:r>
          </w:p>
        </w:tc>
      </w:tr>
      <w:tr>
        <w:trPr>
          <w:trHeight w:hRule="exact" w:val="240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Rate of compensation increase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5.20</w:t>
            </w:r>
          </w:p>
        </w:tc>
        <w:tc>
          <w:tcPr>
            <w:tcW w:type="dxa" w:w="1180"/>
            <w:vMerge/>
            <w:tcBorders>
              <w:top w:sz="8.0" w:val="single" w:color="#000000"/>
            </w:tcBorders>
          </w:tcPr>
          <w:p/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5.10</w:t>
            </w:r>
          </w:p>
        </w:tc>
        <w:tc>
          <w:tcPr>
            <w:tcW w:type="dxa" w:w="1180"/>
            <w:vMerge/>
            <w:tcBorders>
              <w:top w:sz="8.0" w:val="single" w:color="#000000"/>
            </w:tcBorders>
          </w:tcPr>
          <w:p/>
        </w:tc>
        <w:tc>
          <w:tcPr>
            <w:tcW w:type="dxa" w:w="1180"/>
            <w:vMerge/>
            <w:tcBorders>
              <w:top w:sz="8.0" w:val="single" w:color="#000000"/>
            </w:tcBorders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5.20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5.10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Health care growth rates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240"/>
        </w:trPr>
        <w:tc>
          <w:tcPr>
            <w:tcW w:type="dxa" w:w="3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at end of fiscal year</w:t>
            </w:r>
          </w:p>
        </w:tc>
        <w:tc>
          <w:tcPr>
            <w:tcW w:type="dxa" w:w="9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5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5.40</w:t>
            </w:r>
          </w:p>
        </w:tc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5.40</w:t>
            </w:r>
          </w:p>
        </w:tc>
        <w:tc>
          <w:tcPr>
            <w:tcW w:type="dxa" w:w="2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5.40</w:t>
            </w:r>
          </w:p>
        </w:tc>
        <w:tc>
          <w:tcPr>
            <w:tcW w:type="dxa" w:w="6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5.20</w:t>
            </w:r>
          </w:p>
        </w:tc>
      </w:tr>
      <w:tr>
        <w:trPr>
          <w:trHeight w:hRule="exact" w:val="240"/>
        </w:trPr>
        <w:tc>
          <w:tcPr>
            <w:tcW w:type="dxa" w:w="3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Ultimate health care growth rate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4.40</w:t>
            </w:r>
          </w:p>
        </w:tc>
        <w:tc>
          <w:tcPr>
            <w:tcW w:type="dxa" w:w="2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4.20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3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Year in which ultimate rate is reached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2031</w:t>
            </w:r>
          </w:p>
        </w:tc>
        <w:tc>
          <w:tcPr>
            <w:tcW w:type="dxa" w:w="2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2031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32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crediting rate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  <w:tc>
          <w:tcPr>
            <w:tcW w:type="dxa" w:w="12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5.20</w:t>
            </w:r>
          </w:p>
        </w:tc>
        <w:tc>
          <w:tcPr>
            <w:tcW w:type="dxa" w:w="10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n.a</w:t>
            </w:r>
          </w:p>
        </w:tc>
        <w:tc>
          <w:tcPr>
            <w:tcW w:type="dxa" w:w="10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n.a</w:t>
            </w:r>
          </w:p>
        </w:tc>
        <w:tc>
          <w:tcPr>
            <w:tcW w:type="dxa" w:w="12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5.40</w:t>
            </w:r>
          </w:p>
        </w:tc>
        <w:tc>
          <w:tcPr>
            <w:tcW w:type="dxa" w:w="1180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3670"/>
        </w:trPr>
        <w:tc>
          <w:tcPr>
            <w:tcW w:type="dxa" w:w="32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0"/>
            <w:gridSpan w:val="5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56" w:after="0"/>
              <w:ind w:left="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IBRD FINANCIAL STATEMENTS: June 30, 2024</w:t>
            </w:r>
          </w:p>
        </w:tc>
        <w:tc>
          <w:tcPr>
            <w:tcW w:type="dxa" w:w="6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5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133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0" w:right="137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K6: Weighted average assumptions used to determine net periodic pension cost</w:t>
      </w:r>
    </w:p>
    <w:p>
      <w:pPr>
        <w:autoSpaceDN w:val="0"/>
        <w:autoSpaceDE w:val="0"/>
        <w:widowControl/>
        <w:spacing w:line="178" w:lineRule="exact" w:before="15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percent, except years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240"/>
        </w:trPr>
        <w:tc>
          <w:tcPr>
            <w:tcW w:type="dxa" w:w="31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8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PEBP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1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8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2022</w:t>
            </w:r>
          </w:p>
        </w:tc>
        <w:tc>
          <w:tcPr>
            <w:tcW w:type="dxa" w:w="6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2022</w:t>
            </w:r>
          </w:p>
        </w:tc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6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2022</w:t>
            </w:r>
          </w:p>
        </w:tc>
      </w:tr>
      <w:tr>
        <w:trPr>
          <w:trHeight w:hRule="exact" w:val="240"/>
        </w:trPr>
        <w:tc>
          <w:tcPr>
            <w:tcW w:type="dxa" w:w="31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Discount rate</w:t>
            </w:r>
          </w:p>
        </w:tc>
        <w:tc>
          <w:tcPr>
            <w:tcW w:type="dxa" w:w="6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4.90</w:t>
            </w:r>
          </w:p>
        </w:tc>
        <w:tc>
          <w:tcPr>
            <w:tcW w:type="dxa" w:w="6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4.40</w:t>
            </w:r>
          </w:p>
        </w:tc>
        <w:tc>
          <w:tcPr>
            <w:tcW w:type="dxa" w:w="8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2.70</w:t>
            </w:r>
          </w:p>
        </w:tc>
        <w:tc>
          <w:tcPr>
            <w:tcW w:type="dxa" w:w="6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4.90</w:t>
            </w:r>
          </w:p>
        </w:tc>
        <w:tc>
          <w:tcPr>
            <w:tcW w:type="dxa" w:w="6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4.50</w:t>
            </w:r>
          </w:p>
        </w:tc>
        <w:tc>
          <w:tcPr>
            <w:tcW w:type="dxa" w:w="6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2.80</w:t>
            </w:r>
          </w:p>
        </w:tc>
        <w:tc>
          <w:tcPr>
            <w:tcW w:type="dxa" w:w="8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4.90</w:t>
            </w:r>
          </w:p>
        </w:tc>
        <w:tc>
          <w:tcPr>
            <w:tcW w:type="dxa" w:w="6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4.50</w:t>
            </w:r>
          </w:p>
        </w:tc>
        <w:tc>
          <w:tcPr>
            <w:tcW w:type="dxa" w:w="6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2.80</w:t>
            </w:r>
          </w:p>
        </w:tc>
      </w:tr>
      <w:tr>
        <w:trPr>
          <w:trHeight w:hRule="exact" w:val="242"/>
        </w:trPr>
        <w:tc>
          <w:tcPr>
            <w:tcW w:type="dxa" w:w="3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Expected return on plan assets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5.70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5.90</w:t>
            </w:r>
          </w:p>
        </w:tc>
        <w:tc>
          <w:tcPr>
            <w:tcW w:type="dxa" w:w="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5.40</w:t>
            </w:r>
          </w:p>
        </w:tc>
        <w:tc>
          <w:tcPr>
            <w:tcW w:type="dxa" w:w="6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5.70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5.90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5.40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2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5.10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5.30</w:t>
            </w:r>
          </w:p>
        </w:tc>
        <w:tc>
          <w:tcPr>
            <w:tcW w:type="dxa" w:w="6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4.80</w:t>
            </w:r>
          </w:p>
        </w:tc>
      </w:tr>
      <w:tr>
        <w:trPr>
          <w:trHeight w:hRule="exact" w:val="240"/>
        </w:trPr>
        <w:tc>
          <w:tcPr>
            <w:tcW w:type="dxa" w:w="3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Rate of compensation increase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5.10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5.30</w:t>
            </w:r>
          </w:p>
        </w:tc>
        <w:tc>
          <w:tcPr>
            <w:tcW w:type="dxa" w:w="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4.80</w:t>
            </w:r>
          </w:p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20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Health care growth rates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238"/>
        </w:trPr>
        <w:tc>
          <w:tcPr>
            <w:tcW w:type="dxa" w:w="2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at end of fiscal year</w:t>
            </w:r>
          </w:p>
        </w:tc>
        <w:tc>
          <w:tcPr>
            <w:tcW w:type="dxa" w:w="7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5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5.20</w:t>
            </w:r>
          </w:p>
        </w:tc>
        <w:tc>
          <w:tcPr>
            <w:tcW w:type="dxa" w:w="6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5.40</w:t>
            </w:r>
          </w:p>
        </w:tc>
        <w:tc>
          <w:tcPr>
            <w:tcW w:type="dxa" w:w="7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5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4.90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5.40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5.80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5.40</w:t>
            </w:r>
          </w:p>
        </w:tc>
        <w:tc>
          <w:tcPr>
            <w:tcW w:type="dxa" w:w="7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5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5.20</w:t>
            </w:r>
          </w:p>
        </w:tc>
        <w:tc>
          <w:tcPr>
            <w:tcW w:type="dxa" w:w="6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5.40</w:t>
            </w:r>
          </w:p>
        </w:tc>
        <w:tc>
          <w:tcPr>
            <w:tcW w:type="dxa" w:w="6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4.90</w:t>
            </w:r>
          </w:p>
        </w:tc>
      </w:tr>
      <w:tr>
        <w:trPr>
          <w:trHeight w:hRule="exact" w:val="240"/>
        </w:trPr>
        <w:tc>
          <w:tcPr>
            <w:tcW w:type="dxa" w:w="2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Ultimate health care growth rate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4.20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4.40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3.90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2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Year in which ultimate rate is reached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2031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2031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2031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29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crediting rate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7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n.a</w:t>
            </w:r>
          </w:p>
        </w:tc>
        <w:tc>
          <w:tcPr>
            <w:tcW w:type="dxa" w:w="6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n.a</w:t>
            </w:r>
          </w:p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n.a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4" w:lineRule="exact" w:before="17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medical cost trend rate can significantly affect the reported postretirement benefit income or costs and benefit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obligations for the RSBP. For the fiscal year ended June 30, 2024, the net actuarial gains were primarily due to 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in the value of the plan assets in excess of expected asset returns which was partially offset by the actuarial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losses attributable to the increase in inflation assumptions and demographic experience. For the fiscal year ended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June 30, 2023, the actuarial gains were primarily due to an increase in the discount rates</w:t>
      </w:r>
      <w:r>
        <w:rPr>
          <w:rFonts w:ascii="TimesNewRoman" w:hAnsi="TimesNewRoman" w:eastAsia="TimesNewRoman"/>
          <w:b w:val="0"/>
          <w:i w:val="0"/>
          <w:color w:val="EE2724"/>
          <w:sz w:val="20"/>
        </w:rPr>
        <w:t>.</w:t>
      </w:r>
    </w:p>
    <w:p>
      <w:pPr>
        <w:autoSpaceDN w:val="0"/>
        <w:autoSpaceDE w:val="0"/>
        <w:widowControl/>
        <w:spacing w:line="244" w:lineRule="exact" w:before="114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Investment Strategy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investment policies establish the framework for investment of the plan assets based on long-term investment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objectives and the trade-offs inherent in seeking adequate investment returns within acceptable risk parameters.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key component of the investment policy is to establish a Strategic Asset Allocation (SAA) representing the policy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 (i.e., policy mix of assets) around which the SRP and RSBP (the Plans) are invested. The SAA is derived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using a mix of quantitative analysis that incorporates expected returns and volatilities by asset class as well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correlations across the asset classes, and qualitative considerations such as the liquidity needs of the Plans. The SAA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 Plans is reviewed in detail and reset about every three to five years, with more frequent reviews and changes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if and as needed based on market conditions. 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key long-term objective is to generate asset performance that is reasonable in relation to the growth rate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underlying liabilities and the assumed sponsor contribution rates, without taking undue risks. Given the relatively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long investment horizons of the SRP and RSBP, and the relatively modest liquidity needs over the short-term to pay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benefits and meet other cash requirements, the focus of the investment strategy is on generating sustainable long-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term investment returns through a globally diversified set of strategies including fixed income, public and private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equity and real assets. The most recent review of the SAA was completed and approved in April 2024 with 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effective date of July 1, 2024. The new SAA slightly increased the Credit Strategy allocation from 6% to 7%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Real Assets from 13% to 15% while marginally reducing the Public Equities allocation from 31% to 29%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Market Neutral Hedge Funds from 10% to 9%.</w:t>
      </w:r>
    </w:p>
    <w:p>
      <w:pPr>
        <w:autoSpaceDN w:val="0"/>
        <w:tabs>
          <w:tab w:pos="858" w:val="left"/>
        </w:tabs>
        <w:autoSpaceDE w:val="0"/>
        <w:widowControl/>
        <w:spacing w:line="224" w:lineRule="exact" w:before="470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134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2024</w:t>
      </w:r>
    </w:p>
    <w:p>
      <w:pPr>
        <w:sectPr>
          <w:pgSz w:w="12240" w:h="15840"/>
          <w:pgMar w:top="700" w:right="137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0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 presents the policy asset allocation and the actual asset allocations by asset category for the SRP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and RSBP, effective July 1, 2024:</w:t>
      </w:r>
    </w:p>
    <w:p>
      <w:pPr>
        <w:autoSpaceDN w:val="0"/>
        <w:autoSpaceDE w:val="0"/>
        <w:widowControl/>
        <w:spacing w:line="220" w:lineRule="exact" w:before="136" w:after="112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K7: Policy and actual asset allocations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71"/>
        <w:gridCol w:w="1371"/>
        <w:gridCol w:w="1371"/>
        <w:gridCol w:w="1371"/>
        <w:gridCol w:w="1371"/>
        <w:gridCol w:w="1371"/>
        <w:gridCol w:w="1371"/>
      </w:tblGrid>
      <w:tr>
        <w:trPr>
          <w:trHeight w:hRule="exact" w:val="240"/>
        </w:trPr>
        <w:tc>
          <w:tcPr>
            <w:tcW w:type="dxa" w:w="22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17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2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</w:tr>
      <w:tr>
        <w:trPr>
          <w:trHeight w:hRule="exact" w:val="240"/>
        </w:trPr>
        <w:tc>
          <w:tcPr>
            <w:tcW w:type="dxa" w:w="22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Policy allocation </w:t>
            </w:r>
          </w:p>
        </w:tc>
        <w:tc>
          <w:tcPr>
            <w:tcW w:type="dxa" w:w="17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Actual Allocation (%)</w:t>
            </w:r>
          </w:p>
        </w:tc>
        <w:tc>
          <w:tcPr>
            <w:tcW w:type="dxa" w:w="17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Policy allocation </w:t>
            </w:r>
          </w:p>
        </w:tc>
        <w:tc>
          <w:tcPr>
            <w:tcW w:type="dxa" w:w="232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4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Actual Allocation (%)</w:t>
            </w:r>
          </w:p>
        </w:tc>
      </w:tr>
      <w:tr>
        <w:trPr>
          <w:trHeight w:hRule="exact" w:val="240"/>
        </w:trPr>
        <w:tc>
          <w:tcPr>
            <w:tcW w:type="dxa" w:w="22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Asset class</w:t>
            </w:r>
          </w:p>
        </w:tc>
        <w:tc>
          <w:tcPr>
            <w:tcW w:type="dxa" w:w="1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 (%)</w:t>
            </w:r>
          </w:p>
        </w:tc>
        <w:tc>
          <w:tcPr>
            <w:tcW w:type="dxa" w:w="8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9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17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1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 (%)</w:t>
            </w:r>
          </w:p>
        </w:tc>
        <w:tc>
          <w:tcPr>
            <w:tcW w:type="dxa" w:w="10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  <w:tr>
        <w:trPr>
          <w:trHeight w:hRule="exact" w:val="240"/>
        </w:trPr>
        <w:tc>
          <w:tcPr>
            <w:tcW w:type="dxa" w:w="229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Fixed income and Cash</w:t>
            </w:r>
          </w:p>
        </w:tc>
        <w:tc>
          <w:tcPr>
            <w:tcW w:type="dxa" w:w="14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8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9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17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10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12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16</w:t>
            </w:r>
          </w:p>
        </w:tc>
      </w:tr>
      <w:tr>
        <w:trPr>
          <w:trHeight w:hRule="exact" w:val="240"/>
        </w:trPr>
        <w:tc>
          <w:tcPr>
            <w:tcW w:type="dxa" w:w="22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Credit Strategy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     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</w:t>
            </w:r>
          </w:p>
        </w:tc>
        <w:tc>
          <w:tcPr>
            <w:tcW w:type="dxa" w:w="1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</w:t>
            </w:r>
          </w:p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</w:t>
            </w:r>
          </w:p>
        </w:tc>
      </w:tr>
      <w:tr>
        <w:trPr>
          <w:trHeight w:hRule="exact" w:val="240"/>
        </w:trPr>
        <w:tc>
          <w:tcPr>
            <w:tcW w:type="dxa" w:w="22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Public equity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1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22</w:t>
            </w:r>
          </w:p>
        </w:tc>
      </w:tr>
      <w:tr>
        <w:trPr>
          <w:trHeight w:hRule="exact" w:val="240"/>
        </w:trPr>
        <w:tc>
          <w:tcPr>
            <w:tcW w:type="dxa" w:w="22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Private equity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1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27</w:t>
            </w:r>
          </w:p>
        </w:tc>
      </w:tr>
      <w:tr>
        <w:trPr>
          <w:trHeight w:hRule="exact" w:val="220"/>
        </w:trPr>
        <w:tc>
          <w:tcPr>
            <w:tcW w:type="dxa" w:w="22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Market neutral hedge funds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</w:t>
            </w:r>
          </w:p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trHeight w:hRule="exact" w:val="240"/>
        </w:trPr>
        <w:tc>
          <w:tcPr>
            <w:tcW w:type="dxa" w:w="22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Real assets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5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7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260"/>
        </w:trPr>
        <w:tc>
          <w:tcPr>
            <w:tcW w:type="dxa" w:w="22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8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</w:t>
            </w:r>
          </w:p>
        </w:tc>
        <w:tc>
          <w:tcPr>
            <w:tcW w:type="dxa" w:w="9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</w:t>
            </w:r>
          </w:p>
        </w:tc>
        <w:tc>
          <w:tcPr>
            <w:tcW w:type="dxa" w:w="17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5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0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</w:t>
            </w:r>
          </w:p>
        </w:tc>
        <w:tc>
          <w:tcPr>
            <w:tcW w:type="dxa" w:w="12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7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</w:t>
            </w:r>
          </w:p>
        </w:tc>
      </w:tr>
      <w:tr>
        <w:trPr>
          <w:trHeight w:hRule="exact" w:val="220"/>
        </w:trPr>
        <w:tc>
          <w:tcPr>
            <w:tcW w:type="dxa" w:w="22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1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8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9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17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10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1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</w:tr>
    </w:tbl>
    <w:p>
      <w:pPr>
        <w:autoSpaceDN w:val="0"/>
        <w:autoSpaceDE w:val="0"/>
        <w:widowControl/>
        <w:spacing w:line="178" w:lineRule="exact" w:before="28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Includes public and private real estate, infrastructure and timber.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Includes authorized investments that are outside the policy allocations primarily in hedge funds.</w:t>
      </w:r>
    </w:p>
    <w:p>
      <w:pPr>
        <w:autoSpaceDN w:val="0"/>
        <w:autoSpaceDE w:val="0"/>
        <w:widowControl/>
        <w:spacing w:line="244" w:lineRule="exact" w:before="20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Significant Concentrations of Risk in Plan Assets</w:t>
      </w:r>
    </w:p>
    <w:p>
      <w:pPr>
        <w:autoSpaceDN w:val="0"/>
        <w:autoSpaceDE w:val="0"/>
        <w:widowControl/>
        <w:spacing w:line="240" w:lineRule="exact" w:before="130" w:after="0"/>
        <w:ind w:left="10" w:right="174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assets of the SRP and RSBP are diversified across a variety of asset classes. Investments in these asset classes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are further diversified across funds, managers, strategies, geographies and sectors, to limit the impact of any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individual investment. In spite of such level of diversification, equity market risk remains the primary source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overall return volatility of the Plans. As of June 30, 2024, the largest exposure to a single counterparty was 10%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12% of the plan assets in SRP and RSBP, respectively (9% and 11%, respectively—June 30, 2023).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Risk Management Practices </w:t>
      </w:r>
    </w:p>
    <w:p>
      <w:pPr>
        <w:autoSpaceDN w:val="0"/>
        <w:autoSpaceDE w:val="0"/>
        <w:widowControl/>
        <w:spacing w:line="240" w:lineRule="exact" w:before="130" w:after="0"/>
        <w:ind w:left="10" w:right="174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Managing investment risk is an integral part of managing the assets of the Plans. Asset diversification is central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overall investment strategy and risk management approach for the Plans. Absolute risk indicators such as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overall return volatility and drawdown of the Plans are the primary measures used to define the risk tolerance level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establish the overall level of investment risk. In addition, the level of active risk (defined as the annualized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standard deviation of portfolio returns relative to those of the policy portfolio) is closely monitored and managed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 ongoing basis.</w:t>
      </w:r>
    </w:p>
    <w:p>
      <w:pPr>
        <w:autoSpaceDN w:val="0"/>
        <w:autoSpaceDE w:val="0"/>
        <w:widowControl/>
        <w:spacing w:line="240" w:lineRule="exact" w:before="120" w:after="0"/>
        <w:ind w:left="10" w:right="174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Market risk is regularly monitored at the absolute level, as well as at the relative levels with respect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 policy, manager benchmarks, and liabilities of the Plans. Stress tests are performed periodically using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relevant market scenarios to assess the impact of extreme market events.</w:t>
      </w:r>
    </w:p>
    <w:p>
      <w:pPr>
        <w:autoSpaceDN w:val="0"/>
        <w:autoSpaceDE w:val="0"/>
        <w:widowControl/>
        <w:spacing w:line="240" w:lineRule="exact" w:before="120" w:after="0"/>
        <w:ind w:left="10" w:right="174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Monitoring of performance (at both manager and asset class levels) against benchmarks, and compliance with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 guidelines, are carried out on a regular basis which provides helpful information for assessing the impact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 the portfolios caused by market risk factors. Risk management for different asset classes is tailored to their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specific characteristics and is an integral part of the external managers’ due diligence and monitoring processes.</w:t>
      </w:r>
    </w:p>
    <w:p>
      <w:pPr>
        <w:autoSpaceDN w:val="0"/>
        <w:autoSpaceDE w:val="0"/>
        <w:widowControl/>
        <w:spacing w:line="240" w:lineRule="exact" w:before="120" w:after="0"/>
        <w:ind w:left="10" w:right="174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Credit risk is monitored on a regular basis and assessed for possible credit event impacts. The liquidity position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Plans is analyzed at regular intervals and periodically tested using various stress scenarios to ensure that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Plans have sufficient liquidity to meet all cash flow requirements. In addition, the long-term cash flow needs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Plans are considered during the SAA exercise and are one of the main drivers in determining maximum allocation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illiquid investment vehicles. </w:t>
      </w:r>
    </w:p>
    <w:p>
      <w:pPr>
        <w:autoSpaceDN w:val="0"/>
        <w:tabs>
          <w:tab w:pos="8984" w:val="left"/>
        </w:tabs>
        <w:autoSpaceDE w:val="0"/>
        <w:widowControl/>
        <w:spacing w:line="224" w:lineRule="exact" w:before="2316" w:after="0"/>
        <w:ind w:left="42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135</w:t>
      </w:r>
    </w:p>
    <w:p>
      <w:pPr>
        <w:sectPr>
          <w:pgSz w:w="12240" w:h="15840"/>
          <w:pgMar w:top="700" w:right="1216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6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Fair Value Measurements and Disclosures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 plan assets are measured at fair value on a recurring basis. The following tables present the fair value hierarchy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of major categories of plan assets: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K8: Plan assets fair value hierarchy</w:t>
      </w:r>
    </w:p>
    <w:p>
      <w:pPr>
        <w:autoSpaceDN w:val="0"/>
        <w:tabs>
          <w:tab w:pos="5626" w:val="left"/>
        </w:tabs>
        <w:autoSpaceDE w:val="0"/>
        <w:widowControl/>
        <w:spacing w:line="196" w:lineRule="exact" w:before="50" w:after="0"/>
        <w:ind w:left="62" w:right="288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 xml:space="preserve">In millions of U.S. dollars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14"/>
        </w:rPr>
        <w:t>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5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196"/>
        </w:trPr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SRP</w:t>
            </w:r>
          </w:p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RSBP</w:t>
            </w:r>
          </w:p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4"/>
        </w:trPr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Level 1</w:t>
            </w:r>
          </w:p>
        </w:tc>
        <w:tc>
          <w:tcPr>
            <w:tcW w:type="dxa" w:w="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1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Level 2</w:t>
            </w:r>
          </w:p>
        </w:tc>
        <w:tc>
          <w:tcPr>
            <w:tcW w:type="dxa" w:w="3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Level 3</w:t>
            </w:r>
          </w:p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Level 1</w:t>
            </w:r>
          </w:p>
        </w:tc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Level 2</w:t>
            </w:r>
          </w:p>
        </w:tc>
        <w:tc>
          <w:tcPr>
            <w:tcW w:type="dxa" w:w="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Level 3</w:t>
            </w:r>
          </w:p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56" w:lineRule="exact" w:before="18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>Debt securities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</w:tblGrid>
      <w:tr>
        <w:trPr>
          <w:trHeight w:hRule="exact" w:val="194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Short-term investments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11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37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48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5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8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13 </w:t>
            </w:r>
          </w:p>
        </w:tc>
      </w:tr>
    </w:tbl>
    <w:p>
      <w:pPr>
        <w:autoSpaceDN w:val="0"/>
        <w:autoSpaceDE w:val="0"/>
        <w:widowControl/>
        <w:spacing w:line="156" w:lineRule="exact" w:before="20" w:after="2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Securities purchased under resale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160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agreements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218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218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37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37 </w:t>
            </w:r>
          </w:p>
        </w:tc>
      </w:tr>
      <w:tr>
        <w:trPr>
          <w:trHeight w:hRule="exact" w:val="220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Government and agency securities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6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2,515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273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6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2,788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6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540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48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6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588 </w:t>
            </w:r>
          </w:p>
        </w:tc>
      </w:tr>
      <w:tr>
        <w:trPr>
          <w:trHeight w:hRule="exact" w:val="200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Corporate and convertible bonds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2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366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2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2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366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2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71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71 </w:t>
            </w:r>
          </w:p>
        </w:tc>
      </w:tr>
      <w:tr>
        <w:trPr>
          <w:trHeight w:hRule="exact" w:val="200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ABS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165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165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35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35 </w:t>
            </w:r>
          </w:p>
        </w:tc>
      </w:tr>
      <w:tr>
        <w:trPr>
          <w:trHeight w:hRule="exact" w:val="190"/>
        </w:trPr>
        <w:tc>
          <w:tcPr>
            <w:tcW w:type="dxa" w:w="2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MBS</w:t>
            </w:r>
          </w:p>
        </w:tc>
        <w:tc>
          <w:tcPr>
            <w:tcW w:type="dxa" w:w="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410 </w:t>
            </w:r>
          </w:p>
        </w:tc>
        <w:tc>
          <w:tcPr>
            <w:tcW w:type="dxa" w:w="6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410 </w:t>
            </w:r>
          </w:p>
        </w:tc>
        <w:tc>
          <w:tcPr>
            <w:tcW w:type="dxa" w:w="10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78 </w:t>
            </w:r>
          </w:p>
        </w:tc>
        <w:tc>
          <w:tcPr>
            <w:tcW w:type="dxa" w:w="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78 </w:t>
            </w:r>
          </w:p>
        </w:tc>
      </w:tr>
      <w:tr>
        <w:trPr>
          <w:trHeight w:hRule="exact" w:val="194"/>
        </w:trPr>
        <w:tc>
          <w:tcPr>
            <w:tcW w:type="dxa" w:w="2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Total debt securities</w:t>
            </w:r>
          </w:p>
        </w:tc>
        <w:tc>
          <w:tcPr>
            <w:tcW w:type="dxa" w:w="9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2,744 </w:t>
            </w:r>
          </w:p>
        </w:tc>
        <w:tc>
          <w:tcPr>
            <w:tcW w:type="dxa" w:w="9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1,251 </w:t>
            </w:r>
          </w:p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3,995 </w:t>
            </w:r>
          </w:p>
        </w:tc>
        <w:tc>
          <w:tcPr>
            <w:tcW w:type="dxa" w:w="10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582 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240 </w:t>
            </w:r>
          </w:p>
        </w:tc>
        <w:tc>
          <w:tcPr>
            <w:tcW w:type="dxa" w:w="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822 </w:t>
            </w:r>
          </w:p>
        </w:tc>
      </w:tr>
    </w:tbl>
    <w:p>
      <w:pPr>
        <w:autoSpaceDN w:val="0"/>
        <w:autoSpaceDE w:val="0"/>
        <w:widowControl/>
        <w:spacing w:line="156" w:lineRule="exact" w:before="28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>Equity securities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192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Stocks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2,680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2,680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423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423 </w:t>
            </w:r>
          </w:p>
        </w:tc>
      </w:tr>
      <w:tr>
        <w:trPr>
          <w:trHeight w:hRule="exact" w:val="180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Mutual funds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</w:tr>
      <w:tr>
        <w:trPr>
          <w:trHeight w:hRule="exact" w:val="204"/>
        </w:trPr>
        <w:tc>
          <w:tcPr>
            <w:tcW w:type="dxa" w:w="2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Real estate investment trusts (REITs)</w:t>
            </w:r>
          </w:p>
        </w:tc>
        <w:tc>
          <w:tcPr>
            <w:tcW w:type="dxa" w:w="10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176 </w:t>
            </w:r>
          </w:p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176 </w:t>
            </w:r>
          </w:p>
        </w:tc>
        <w:tc>
          <w:tcPr>
            <w:tcW w:type="dxa" w:w="10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26 </w:t>
            </w:r>
          </w:p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26 </w:t>
            </w:r>
          </w:p>
        </w:tc>
      </w:tr>
      <w:tr>
        <w:trPr>
          <w:trHeight w:hRule="exact" w:val="194"/>
        </w:trPr>
        <w:tc>
          <w:tcPr>
            <w:tcW w:type="dxa" w:w="28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Total equity securities</w:t>
            </w:r>
          </w:p>
        </w:tc>
        <w:tc>
          <w:tcPr>
            <w:tcW w:type="dxa" w:w="10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2,856 </w:t>
            </w:r>
          </w:p>
        </w:tc>
        <w:tc>
          <w:tcPr>
            <w:tcW w:type="dxa" w:w="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2,856 </w:t>
            </w:r>
          </w:p>
        </w:tc>
        <w:tc>
          <w:tcPr>
            <w:tcW w:type="dxa" w:w="10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449 </w:t>
            </w:r>
          </w:p>
        </w:tc>
        <w:tc>
          <w:tcPr>
            <w:tcW w:type="dxa" w:w="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449 </w:t>
            </w:r>
          </w:p>
        </w:tc>
      </w:tr>
    </w:tbl>
    <w:p>
      <w:pPr>
        <w:autoSpaceDN w:val="0"/>
        <w:autoSpaceDE w:val="0"/>
        <w:widowControl/>
        <w:spacing w:line="176" w:lineRule="exact" w:before="10" w:after="1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Other funds at NAV </w:t>
      </w:r>
      <w:r>
        <w:rPr>
          <w:w w:val="101.11111534966363"/>
          <w:rFonts w:ascii="ArialMT" w:hAnsi="ArialMT" w:eastAsia="ArialMT"/>
          <w:b w:val="0"/>
          <w:i w:val="0"/>
          <w:color w:val="000000"/>
          <w:sz w:val="9"/>
        </w:rPr>
        <w:t>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178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Commingled funds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3,729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651 </w:t>
            </w:r>
          </w:p>
        </w:tc>
      </w:tr>
      <w:tr>
        <w:trPr>
          <w:trHeight w:hRule="exact" w:val="200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Private equity funds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6,935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1,160 </w:t>
            </w:r>
          </w:p>
        </w:tc>
      </w:tr>
      <w:tr>
        <w:trPr>
          <w:trHeight w:hRule="exact" w:val="208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Private credit funds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2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2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2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2,118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2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2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2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354 </w:t>
            </w:r>
          </w:p>
        </w:tc>
      </w:tr>
    </w:tbl>
    <w:p>
      <w:pPr>
        <w:autoSpaceDN w:val="0"/>
        <w:autoSpaceDE w:val="0"/>
        <w:widowControl/>
        <w:spacing w:line="158" w:lineRule="exact" w:before="18" w:after="2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Real asset funds (including real estate,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</w:tblGrid>
      <w:tr>
        <w:trPr>
          <w:trHeight w:hRule="exact" w:val="154"/>
        </w:trPr>
        <w:tc>
          <w:tcPr>
            <w:tcW w:type="dxa" w:w="2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infrastructure and timber)</w:t>
            </w:r>
          </w:p>
        </w:tc>
        <w:tc>
          <w:tcPr>
            <w:tcW w:type="dxa" w:w="2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2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3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3,423 </w:t>
            </w:r>
          </w:p>
        </w:tc>
        <w:tc>
          <w:tcPr>
            <w:tcW w:type="dxa" w:w="2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3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3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2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653 </w:t>
            </w:r>
          </w:p>
        </w:tc>
      </w:tr>
      <w:tr>
        <w:trPr>
          <w:trHeight w:hRule="exact" w:val="230"/>
        </w:trPr>
        <w:tc>
          <w:tcPr>
            <w:tcW w:type="dxa" w:w="28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Hedge funds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2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4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2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2,539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2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4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5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431 </w:t>
            </w:r>
          </w:p>
        </w:tc>
      </w:tr>
      <w:tr>
        <w:trPr>
          <w:trHeight w:hRule="exact" w:val="194"/>
        </w:trPr>
        <w:tc>
          <w:tcPr>
            <w:tcW w:type="dxa" w:w="2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Total other funds</w:t>
            </w:r>
          </w:p>
        </w:tc>
        <w:tc>
          <w:tcPr>
            <w:tcW w:type="dxa" w:w="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 18,744 </w:t>
            </w:r>
          </w:p>
        </w:tc>
        <w:tc>
          <w:tcPr>
            <w:tcW w:type="dxa" w:w="2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3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3,249 </w:t>
            </w:r>
          </w:p>
        </w:tc>
      </w:tr>
      <w:tr>
        <w:trPr>
          <w:trHeight w:hRule="exact" w:val="176"/>
        </w:trPr>
        <w:tc>
          <w:tcPr>
            <w:tcW w:type="dxa" w:w="28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Derivative assets/liabilities</w:t>
            </w:r>
          </w:p>
        </w:tc>
        <w:tc>
          <w:tcPr>
            <w:tcW w:type="dxa" w:w="2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9 </w:t>
            </w:r>
          </w:p>
        </w:tc>
        <w:tc>
          <w:tcPr>
            <w:tcW w:type="dxa" w:w="2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 </w:t>
            </w:r>
          </w:p>
        </w:tc>
        <w:tc>
          <w:tcPr>
            <w:tcW w:type="dxa" w:w="3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11 </w:t>
            </w:r>
          </w:p>
        </w:tc>
        <w:tc>
          <w:tcPr>
            <w:tcW w:type="dxa" w:w="2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 </w:t>
            </w:r>
          </w:p>
        </w:tc>
        <w:tc>
          <w:tcPr>
            <w:tcW w:type="dxa" w:w="3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3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2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 </w:t>
            </w:r>
          </w:p>
        </w:tc>
      </w:tr>
      <w:tr>
        <w:trPr>
          <w:trHeight w:hRule="exact" w:val="214"/>
        </w:trPr>
        <w:tc>
          <w:tcPr>
            <w:tcW w:type="dxa" w:w="28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Other assets/liabilities, net </w:t>
            </w:r>
            <w:r>
              <w:rPr>
                <w:w w:val="101.11111534966363"/>
                <w:rFonts w:ascii="ArialMT" w:hAnsi="ArialMT" w:eastAsia="ArialMT"/>
                <w:b w:val="0"/>
                <w:i w:val="0"/>
                <w:color w:val="000000"/>
                <w:sz w:val="9"/>
              </w:rPr>
              <w:t>b</w:t>
            </w:r>
          </w:p>
        </w:tc>
        <w:tc>
          <w:tcPr>
            <w:tcW w:type="dxa" w:w="59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59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59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83 </w:t>
            </w:r>
          </w:p>
        </w:tc>
        <w:tc>
          <w:tcPr>
            <w:tcW w:type="dxa" w:w="59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59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59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59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6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19 </w:t>
            </w:r>
          </w:p>
        </w:tc>
      </w:tr>
      <w:tr>
        <w:trPr>
          <w:trHeight w:hRule="exact" w:val="176"/>
        </w:trPr>
        <w:tc>
          <w:tcPr>
            <w:tcW w:type="dxa" w:w="2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Total assets</w:t>
            </w:r>
          </w:p>
        </w:tc>
        <w:tc>
          <w:tcPr>
            <w:tcW w:type="dxa" w:w="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5,609 </w:t>
            </w:r>
          </w:p>
        </w:tc>
        <w:tc>
          <w:tcPr>
            <w:tcW w:type="dxa" w:w="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1,253 </w:t>
            </w:r>
          </w:p>
        </w:tc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$ 25,689 </w:t>
            </w:r>
          </w:p>
        </w:tc>
        <w:tc>
          <w:tcPr>
            <w:tcW w:type="dxa" w:w="2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1,032 </w:t>
            </w:r>
          </w:p>
        </w:tc>
        <w:tc>
          <w:tcPr>
            <w:tcW w:type="dxa" w:w="3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240 </w:t>
            </w:r>
          </w:p>
        </w:tc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5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4,540 </w:t>
            </w:r>
          </w:p>
        </w:tc>
      </w:tr>
    </w:tbl>
    <w:p>
      <w:pPr>
        <w:autoSpaceDN w:val="0"/>
        <w:autoSpaceDE w:val="0"/>
        <w:widowControl/>
        <w:spacing w:line="196" w:lineRule="exact" w:before="202" w:after="0"/>
        <w:ind w:left="62" w:right="144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 xml:space="preserve">a. Investments measured at fair value using NAV as a practical expedient have not been included under the fair value hierarchy. </w:t>
      </w:r>
      <w:r>
        <w:rPr>
          <w:rFonts w:ascii="Arial" w:hAnsi="Arial" w:eastAsia="Arial"/>
          <w:b w:val="0"/>
          <w:i/>
          <w:color w:val="000000"/>
          <w:sz w:val="14"/>
        </w:rPr>
        <w:t>b. Includes receivables and payables carried at amounts that approximate fair value.</w:t>
      </w:r>
    </w:p>
    <w:p>
      <w:pPr>
        <w:autoSpaceDN w:val="0"/>
        <w:tabs>
          <w:tab w:pos="858" w:val="left"/>
        </w:tabs>
        <w:autoSpaceDE w:val="0"/>
        <w:widowControl/>
        <w:spacing w:line="224" w:lineRule="exact" w:before="6082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136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2024</w:t>
      </w:r>
    </w:p>
    <w:p>
      <w:pPr>
        <w:sectPr>
          <w:pgSz w:w="12240" w:h="15840"/>
          <w:pgMar w:top="696" w:right="1372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K8.1</w:t>
      </w:r>
    </w:p>
    <w:p>
      <w:pPr>
        <w:autoSpaceDN w:val="0"/>
        <w:autoSpaceDE w:val="0"/>
        <w:widowControl/>
        <w:spacing w:line="156" w:lineRule="exact" w:before="1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>In millions of U.S. dollars</w:t>
      </w:r>
    </w:p>
    <w:p>
      <w:pPr>
        <w:autoSpaceDN w:val="0"/>
        <w:autoSpaceDE w:val="0"/>
        <w:widowControl/>
        <w:spacing w:line="156" w:lineRule="exact" w:before="68" w:after="20"/>
        <w:ind w:left="0" w:right="2896" w:firstLine="0"/>
        <w:jc w:val="right"/>
      </w:pPr>
      <w:r>
        <w:rPr>
          <w:rFonts w:ascii="Arial" w:hAnsi="Arial" w:eastAsia="Arial"/>
          <w:b w:val="0"/>
          <w:i/>
          <w:color w:val="000000"/>
          <w:sz w:val="14"/>
        </w:rPr>
        <w:t>June 30, 2023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24"/>
        </w:trPr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SRP</w:t>
            </w:r>
          </w:p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RSBP</w:t>
            </w:r>
          </w:p>
        </w:tc>
        <w:tc>
          <w:tcPr>
            <w:tcW w:type="dxa" w:w="7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6"/>
        </w:trPr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Level 1</w:t>
            </w:r>
          </w:p>
        </w:tc>
        <w:tc>
          <w:tcPr>
            <w:tcW w:type="dxa" w:w="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Level 2</w:t>
            </w:r>
          </w:p>
        </w:tc>
        <w:tc>
          <w:tcPr>
            <w:tcW w:type="dxa" w:w="3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Level 3</w:t>
            </w:r>
          </w:p>
        </w:tc>
        <w:tc>
          <w:tcPr>
            <w:tcW w:type="dxa" w:w="7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Level 1</w:t>
            </w:r>
          </w:p>
        </w:tc>
        <w:tc>
          <w:tcPr>
            <w:tcW w:type="dxa" w:w="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Level 2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Level 3</w:t>
            </w:r>
          </w:p>
        </w:tc>
        <w:tc>
          <w:tcPr>
            <w:tcW w:type="dxa" w:w="7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4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56" w:lineRule="exact" w:before="30" w:after="34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>Debt securities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</w:tblGrid>
      <w:tr>
        <w:trPr>
          <w:trHeight w:hRule="exact" w:val="230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Short-term investments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23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27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7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158" w:lineRule="exact" w:before="40" w:after="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Securities purchased under resale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196"/>
        </w:trPr>
        <w:tc>
          <w:tcPr>
            <w:tcW w:type="dxa" w:w="2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agreements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30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30 </w:t>
            </w:r>
          </w:p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15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15 </w:t>
            </w:r>
          </w:p>
        </w:tc>
      </w:tr>
      <w:tr>
        <w:trPr>
          <w:trHeight w:hRule="exact" w:val="220"/>
        </w:trPr>
        <w:tc>
          <w:tcPr>
            <w:tcW w:type="dxa" w:w="2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Government and agency securities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2,387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337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2,724 </w:t>
            </w:r>
          </w:p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500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80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580 </w:t>
            </w:r>
          </w:p>
        </w:tc>
      </w:tr>
      <w:tr>
        <w:trPr>
          <w:trHeight w:hRule="exact" w:val="220"/>
        </w:trPr>
        <w:tc>
          <w:tcPr>
            <w:tcW w:type="dxa" w:w="2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Corporate and convertible bonds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306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306 </w:t>
            </w:r>
          </w:p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60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60 </w:t>
            </w:r>
          </w:p>
        </w:tc>
      </w:tr>
      <w:tr>
        <w:trPr>
          <w:trHeight w:hRule="exact" w:val="220"/>
        </w:trPr>
        <w:tc>
          <w:tcPr>
            <w:tcW w:type="dxa" w:w="2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ABS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188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188 </w:t>
            </w:r>
          </w:p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37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37 </w:t>
            </w:r>
          </w:p>
        </w:tc>
      </w:tr>
      <w:tr>
        <w:trPr>
          <w:trHeight w:hRule="exact" w:val="234"/>
        </w:trPr>
        <w:tc>
          <w:tcPr>
            <w:tcW w:type="dxa" w:w="27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MBS</w:t>
            </w:r>
          </w:p>
        </w:tc>
        <w:tc>
          <w:tcPr>
            <w:tcW w:type="dxa" w:w="9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299 </w:t>
            </w:r>
          </w:p>
        </w:tc>
        <w:tc>
          <w:tcPr>
            <w:tcW w:type="dxa" w:w="7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299 </w:t>
            </w:r>
          </w:p>
        </w:tc>
        <w:tc>
          <w:tcPr>
            <w:tcW w:type="dxa" w:w="10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58 </w:t>
            </w:r>
          </w:p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58 </w:t>
            </w:r>
          </w:p>
        </w:tc>
      </w:tr>
      <w:tr>
        <w:trPr>
          <w:trHeight w:hRule="exact" w:val="226"/>
        </w:trPr>
        <w:tc>
          <w:tcPr>
            <w:tcW w:type="dxa" w:w="27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Total debt securities</w:t>
            </w:r>
          </w:p>
        </w:tc>
        <w:tc>
          <w:tcPr>
            <w:tcW w:type="dxa" w:w="9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2,421 </w:t>
            </w:r>
          </w:p>
        </w:tc>
        <w:tc>
          <w:tcPr>
            <w:tcW w:type="dxa" w:w="9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1,153 </w:t>
            </w:r>
          </w:p>
        </w:tc>
        <w:tc>
          <w:tcPr>
            <w:tcW w:type="dxa" w:w="7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3,574 </w:t>
            </w:r>
          </w:p>
        </w:tc>
        <w:tc>
          <w:tcPr>
            <w:tcW w:type="dxa" w:w="10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518 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242 </w:t>
            </w:r>
          </w:p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760 </w:t>
            </w:r>
          </w:p>
        </w:tc>
      </w:tr>
    </w:tbl>
    <w:p>
      <w:pPr>
        <w:autoSpaceDN w:val="0"/>
        <w:autoSpaceDE w:val="0"/>
        <w:widowControl/>
        <w:spacing w:line="156" w:lineRule="exact" w:before="40" w:after="34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>Equity securities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10"/>
        </w:trPr>
        <w:tc>
          <w:tcPr>
            <w:tcW w:type="dxa" w:w="2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Stocks</w:t>
            </w:r>
          </w:p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1,818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1,818 </w:t>
            </w:r>
          </w:p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321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321 </w:t>
            </w:r>
          </w:p>
        </w:tc>
      </w:tr>
      <w:tr>
        <w:trPr>
          <w:trHeight w:hRule="exact" w:val="240"/>
        </w:trPr>
        <w:tc>
          <w:tcPr>
            <w:tcW w:type="dxa" w:w="2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Mutual funds</w:t>
            </w:r>
          </w:p>
        </w:tc>
        <w:tc>
          <w:tcPr>
            <w:tcW w:type="dxa" w:w="1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27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Real estate investment trusts (REITs)</w:t>
            </w:r>
          </w:p>
        </w:tc>
        <w:tc>
          <w:tcPr>
            <w:tcW w:type="dxa" w:w="10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131 </w:t>
            </w:r>
          </w:p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131 </w:t>
            </w:r>
          </w:p>
        </w:tc>
        <w:tc>
          <w:tcPr>
            <w:tcW w:type="dxa" w:w="10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20 </w:t>
            </w:r>
          </w:p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20 </w:t>
            </w:r>
          </w:p>
        </w:tc>
      </w:tr>
      <w:tr>
        <w:trPr>
          <w:trHeight w:hRule="exact" w:val="226"/>
        </w:trPr>
        <w:tc>
          <w:tcPr>
            <w:tcW w:type="dxa" w:w="27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Total equity securities</w:t>
            </w:r>
          </w:p>
        </w:tc>
        <w:tc>
          <w:tcPr>
            <w:tcW w:type="dxa" w:w="10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1,949 </w:t>
            </w:r>
          </w:p>
        </w:tc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1,949 </w:t>
            </w:r>
          </w:p>
        </w:tc>
        <w:tc>
          <w:tcPr>
            <w:tcW w:type="dxa" w:w="10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341 </w:t>
            </w:r>
          </w:p>
        </w:tc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341 </w:t>
            </w:r>
          </w:p>
        </w:tc>
      </w:tr>
    </w:tbl>
    <w:p>
      <w:pPr>
        <w:autoSpaceDN w:val="0"/>
        <w:autoSpaceDE w:val="0"/>
        <w:widowControl/>
        <w:spacing w:line="176" w:lineRule="exact" w:before="18" w:after="34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Other funds at NAV </w:t>
      </w:r>
      <w:r>
        <w:rPr>
          <w:w w:val="101.11111534966363"/>
          <w:rFonts w:ascii="ArialMT" w:hAnsi="ArialMT" w:eastAsia="ArialMT"/>
          <w:b w:val="0"/>
          <w:i w:val="0"/>
          <w:color w:val="000000"/>
          <w:sz w:val="9"/>
        </w:rPr>
        <w:t>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26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Commingled funds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3,526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553 </w:t>
            </w:r>
          </w:p>
        </w:tc>
      </w:tr>
      <w:tr>
        <w:trPr>
          <w:trHeight w:hRule="exact" w:val="220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Private equity funds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6,848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1,163 </w:t>
            </w:r>
          </w:p>
        </w:tc>
      </w:tr>
      <w:tr>
        <w:trPr>
          <w:trHeight w:hRule="exact" w:val="236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Private credit funds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2,055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340 </w:t>
            </w:r>
          </w:p>
        </w:tc>
      </w:tr>
    </w:tbl>
    <w:p>
      <w:pPr>
        <w:autoSpaceDN w:val="0"/>
        <w:autoSpaceDE w:val="0"/>
        <w:widowControl/>
        <w:spacing w:line="156" w:lineRule="exact" w:before="40" w:after="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Real asset funds (including real estate,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</w:tblGrid>
      <w:tr>
        <w:trPr>
          <w:trHeight w:hRule="exact" w:val="182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infrastructure and timber)</w:t>
            </w:r>
          </w:p>
        </w:tc>
        <w:tc>
          <w:tcPr>
            <w:tcW w:type="dxa" w:w="2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3,329 </w:t>
            </w:r>
          </w:p>
        </w:tc>
        <w:tc>
          <w:tcPr>
            <w:tcW w:type="dxa" w:w="3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620 </w:t>
            </w:r>
          </w:p>
        </w:tc>
      </w:tr>
      <w:tr>
        <w:trPr>
          <w:trHeight w:hRule="exact" w:val="234"/>
        </w:trPr>
        <w:tc>
          <w:tcPr>
            <w:tcW w:type="dxa" w:w="2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Hedge funds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2,941 </w:t>
            </w:r>
          </w:p>
        </w:tc>
        <w:tc>
          <w:tcPr>
            <w:tcW w:type="dxa" w:w="590"/>
            <w:vMerge/>
            <w:tcBorders>
              <w:bottom w:sz="8.0" w:val="single" w:color="#000000"/>
            </w:tcBorders>
          </w:tcPr>
          <w:p/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5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475 </w:t>
            </w:r>
          </w:p>
        </w:tc>
      </w:tr>
      <w:tr>
        <w:trPr>
          <w:trHeight w:hRule="exact" w:val="226"/>
        </w:trPr>
        <w:tc>
          <w:tcPr>
            <w:tcW w:type="dxa" w:w="2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Total other funds</w:t>
            </w:r>
          </w:p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2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18,699 </w:t>
            </w:r>
          </w:p>
        </w:tc>
        <w:tc>
          <w:tcPr>
            <w:tcW w:type="dxa" w:w="3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2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5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3,151 </w:t>
            </w:r>
          </w:p>
        </w:tc>
      </w:tr>
      <w:tr>
        <w:trPr>
          <w:trHeight w:hRule="exact" w:val="220"/>
        </w:trPr>
        <w:tc>
          <w:tcPr>
            <w:tcW w:type="dxa" w:w="28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Derivative assets/liabilities</w:t>
            </w:r>
          </w:p>
        </w:tc>
        <w:tc>
          <w:tcPr>
            <w:tcW w:type="dxa" w:w="2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10"/>
            <w:gridSpan w:val="6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2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 (8)             (5)             —              (13)  </w:t>
            </w:r>
          </w:p>
        </w:tc>
        <w:tc>
          <w:tcPr>
            <w:tcW w:type="dxa" w:w="3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950"/>
            <w:gridSpan w:val="7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 —              (1)             —              (1)  </w:t>
            </w:r>
          </w:p>
        </w:tc>
      </w:tr>
      <w:tr>
        <w:trPr>
          <w:trHeight w:hRule="exact" w:val="230"/>
        </w:trPr>
        <w:tc>
          <w:tcPr>
            <w:tcW w:type="dxa" w:w="2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Other assets/liabilities, net </w:t>
            </w:r>
            <w:r>
              <w:rPr>
                <w:w w:val="101.11111534966363"/>
                <w:rFonts w:ascii="ArialMT" w:hAnsi="ArialMT" w:eastAsia="ArialMT"/>
                <w:b w:val="0"/>
                <w:i w:val="0"/>
                <w:color w:val="000000"/>
                <w:sz w:val="9"/>
              </w:rPr>
              <w:t>b</w:t>
            </w:r>
          </w:p>
        </w:tc>
        <w:tc>
          <w:tcPr>
            <w:tcW w:type="dxa" w:w="59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356 </w:t>
            </w:r>
          </w:p>
        </w:tc>
        <w:tc>
          <w:tcPr>
            <w:tcW w:type="dxa" w:w="59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5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30 </w:t>
            </w:r>
          </w:p>
        </w:tc>
      </w:tr>
      <w:tr>
        <w:trPr>
          <w:trHeight w:hRule="exact" w:val="204"/>
        </w:trPr>
        <w:tc>
          <w:tcPr>
            <w:tcW w:type="dxa" w:w="2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Total assets</w:t>
            </w:r>
          </w:p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4,362 </w:t>
            </w:r>
          </w:p>
        </w:tc>
        <w:tc>
          <w:tcPr>
            <w:tcW w:type="dxa" w:w="27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52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1,148 </w:t>
            </w:r>
          </w:p>
        </w:tc>
        <w:tc>
          <w:tcPr>
            <w:tcW w:type="dxa" w:w="39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2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$ 24,565 </w:t>
            </w:r>
          </w:p>
        </w:tc>
        <w:tc>
          <w:tcPr>
            <w:tcW w:type="dxa" w:w="3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859 </w:t>
            </w:r>
          </w:p>
        </w:tc>
        <w:tc>
          <w:tcPr>
            <w:tcW w:type="dxa" w:w="3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241 </w:t>
            </w:r>
          </w:p>
        </w:tc>
        <w:tc>
          <w:tcPr>
            <w:tcW w:type="dxa" w:w="39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42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— </w:t>
            </w:r>
          </w:p>
        </w:tc>
        <w:tc>
          <w:tcPr>
            <w:tcW w:type="dxa" w:w="27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$ </w:t>
            </w:r>
          </w:p>
        </w:tc>
        <w:tc>
          <w:tcPr>
            <w:tcW w:type="dxa" w:w="57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4,281 </w:t>
            </w:r>
          </w:p>
        </w:tc>
      </w:tr>
    </w:tbl>
    <w:p>
      <w:pPr>
        <w:autoSpaceDN w:val="0"/>
        <w:autoSpaceDE w:val="0"/>
        <w:widowControl/>
        <w:spacing w:line="156" w:lineRule="exact" w:before="28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>a. Investments measured at fair value using NAV as a practical expedient have not been included under the fair value hierarchy.</w:t>
      </w:r>
    </w:p>
    <w:p>
      <w:pPr>
        <w:autoSpaceDN w:val="0"/>
        <w:autoSpaceDE w:val="0"/>
        <w:widowControl/>
        <w:spacing w:line="156" w:lineRule="exact" w:before="68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>b. Includes receivables and payables carried at amounts that approximate fair value.</w:t>
      </w:r>
    </w:p>
    <w:p>
      <w:pPr>
        <w:autoSpaceDN w:val="0"/>
        <w:autoSpaceDE w:val="0"/>
        <w:widowControl/>
        <w:spacing w:line="244" w:lineRule="exact" w:before="20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Valuation Methods and Assumptions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are general descriptions of asset categories, as well as the valuation methodologies and inputs used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determine the fair value of each major category of Plan assets. Investment amounts in the asset categories shown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table above may be different from the asset category allocation shown in the Investment Strategy section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note. Asset classes in the table above are grouped by the characteristics of the investments held. The asset class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break-down in the Investment Strategy section is based on Management’s view of the economic exposures after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considering the impact of derivatives and certain trading strategies.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Debt securities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Debt securities include discount notes, securities purchased under resale agreements, U.S. treasuries and agencies,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debt obligations of foreign governments, sub-sovereigns and debt obligations in corporations of domestic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foreign issuers. Debt securities also include investments in ABS such as collateralized mortgage obligations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MBS. These securities are valued by independent pricing vendors at quoted market prices for the same or similar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securities, where available. If quoted market prices are not available, fair values are based on discounted cash flow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models using market-based parameters such as yield curves, interest rates, volatilities, foreign exchange rates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credit curves. Some debt securities are valued using techniques which require significant unobservable inputs.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selection of these inputs may involve some judgment. Management believes its estimates of fair value are reasonable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given its processes for obtaining securities prices from multiple independent third-party vendors, ensuring that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valuation models are reviewed and validated, and applying its approach consistently from period to period. Unless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quoted prices are available, money market instruments and securities purchased under resale agreements are reported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at face value which approximates fair value.</w:t>
      </w:r>
    </w:p>
    <w:p>
      <w:pPr>
        <w:autoSpaceDN w:val="0"/>
        <w:tabs>
          <w:tab w:pos="8984" w:val="left"/>
        </w:tabs>
        <w:autoSpaceDE w:val="0"/>
        <w:widowControl/>
        <w:spacing w:line="224" w:lineRule="exact" w:before="750" w:after="0"/>
        <w:ind w:left="42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137</w:t>
      </w:r>
    </w:p>
    <w:p>
      <w:pPr>
        <w:sectPr>
          <w:pgSz w:w="12240" w:h="15840"/>
          <w:pgMar w:top="700" w:right="137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Equity securities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Equity securities (including REITs) represent investments in entities in various industries and countries. Investments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public equity listed on securities exchanges are valued at the last reported sale price on the last business day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fiscal year.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Commingled funds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Commingled funds are typically collective investment vehicles, such as trusts that are reported at NAV as provided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 the investment manager or sponsor of the fund based on the valuation of underlying investments.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Private equity funds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Private equity funds include investments primarily in leveraged buyouts, growth capital, distressed investments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venture capital funds across North America, Europe and Asia in a variety of sectors. Many of these funds are in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 phase of their life cycle. Private Equity investments do not have a readily determinable fair market value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are reported at NAV provided by the fund managers, taking into consideration the latest audited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statements of the funds. 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Private credit funds 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Private credit funds include investments primarily in direct lending and opportunistic credit funds. Direct lending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funds provide private financing to performing medium-size companies primarily owned by private equity sponsors.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Opportunistic credit strategies (including distressed debt and multi-strategy funds) have flexible mandates to invest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across both public and private markets globally. Private credit investments do not have a readily determinable fair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value and are reported at NAV provided by the fund managers, taking into consideration the latest audited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statements of the funds. 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Real asset funds (including real estate,infrastructure and timber)</w:t>
      </w:r>
    </w:p>
    <w:p>
      <w:pPr>
        <w:autoSpaceDN w:val="0"/>
        <w:autoSpaceDE w:val="0"/>
        <w:widowControl/>
        <w:spacing w:line="240" w:lineRule="exact" w:before="120" w:after="0"/>
        <w:ind w:left="0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Real asset funds include investments in core real estate, non-core real estate investments (such as debt, value add,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opportunistic equity investments) and infrastructure. Real asset investments do not have a readily determinable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fair market value and are reported at NAV provided by the fund managers, taking into consideration the latest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audited financial statements of the funds. 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Hedge funds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Hedge fund investments include those seeking to maximize absolute returns using a broad range of strategies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enhance returns and provide additional diversification. Hedge Funds include investments in equity, event driven,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fixed income, multi strategy and macro relative value strategies. These investments do not have a readily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determinable fair market value and are reported at NAV provided by external managers or fund administrators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(based on the valuations of underlying investments) monthly, taking into consideration the latest audited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statements of the funds.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Investments in hedge funds and commingled funds can typically be redeemed at NAV within the near term while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investments in private equity and most real estate are inherently long term and illiquid in nature with a quarter lag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reporting by the fund managers. Since the reporting of those asset classes is done with a lag, management estimates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are based on the latest available information considering underlying market fundamentals and significant events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through the balance sheet date.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Investment in derivatives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 in derivatives such as equity or bond futures, swaps, options and currency forwards are used to achieve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variety of objectives that include hedging interest rates and currency risks, gaining desired market exposure of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security, an index or currency exposure and rebalancing the portfolio. Over-the-counter derivatives are reported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using valuations based on discounted cash flow methods incorporating observable market inputs.</w:t>
      </w:r>
    </w:p>
    <w:p>
      <w:pPr>
        <w:autoSpaceDN w:val="0"/>
        <w:tabs>
          <w:tab w:pos="848" w:val="left"/>
        </w:tabs>
        <w:autoSpaceDE w:val="0"/>
        <w:widowControl/>
        <w:spacing w:line="224" w:lineRule="exact" w:before="1804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138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2024</w:t>
      </w:r>
    </w:p>
    <w:p>
      <w:pPr>
        <w:sectPr>
          <w:pgSz w:w="12240" w:h="15840"/>
          <w:pgMar w:top="700" w:right="137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Estimated Future Benefit Payments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 shows the benefit payments expected to be paid in each of the next five years and subsequent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five years. The expected benefit payments are based on the same assumptions used to measure the benefit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obligation: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K9: Expected benefit payments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3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  <w:tc>
          <w:tcPr>
            <w:tcW w:type="dxa" w:w="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6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PEBP</w:t>
            </w:r>
          </w:p>
        </w:tc>
      </w:tr>
      <w:tr>
        <w:trPr>
          <w:trHeight w:hRule="exact" w:val="240"/>
        </w:trPr>
        <w:tc>
          <w:tcPr>
            <w:tcW w:type="dxa" w:w="3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July 1, 2024 - June 30, 2025</w:t>
            </w:r>
          </w:p>
        </w:tc>
        <w:tc>
          <w:tcPr>
            <w:tcW w:type="dxa" w:w="4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1,106 </w:t>
            </w:r>
          </w:p>
        </w:tc>
        <w:tc>
          <w:tcPr>
            <w:tcW w:type="dxa" w:w="47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102 </w:t>
            </w:r>
          </w:p>
        </w:tc>
        <w:tc>
          <w:tcPr>
            <w:tcW w:type="dxa" w:w="47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 </w:t>
            </w:r>
          </w:p>
        </w:tc>
      </w:tr>
      <w:tr>
        <w:trPr>
          <w:trHeight w:hRule="exact" w:val="240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July 1, 2025 - June 30, 2026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1,147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110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84 </w:t>
            </w:r>
          </w:p>
        </w:tc>
      </w:tr>
      <w:tr>
        <w:trPr>
          <w:trHeight w:hRule="exact" w:val="240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July 1, 2026 - June 30, 2027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1,194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117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 </w:t>
            </w:r>
          </w:p>
        </w:tc>
      </w:tr>
      <w:tr>
        <w:trPr>
          <w:trHeight w:hRule="exact" w:val="240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July 1, 2027 - June 30, 2028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1,239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125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 </w:t>
            </w:r>
          </w:p>
        </w:tc>
      </w:tr>
      <w:tr>
        <w:trPr>
          <w:trHeight w:hRule="exact" w:val="240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July 1, 2028 - June 30, 2029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1,288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133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104 </w:t>
            </w:r>
          </w:p>
        </w:tc>
      </w:tr>
      <w:tr>
        <w:trPr>
          <w:trHeight w:hRule="exact" w:val="480"/>
        </w:trPr>
        <w:tc>
          <w:tcPr>
            <w:tcW w:type="dxa" w:w="3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July 1, 2029 - June 30, 2034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7,175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798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627 </w:t>
            </w:r>
          </w:p>
        </w:tc>
      </w:tr>
    </w:tbl>
    <w:p>
      <w:pPr>
        <w:autoSpaceDN w:val="0"/>
        <w:autoSpaceDE w:val="0"/>
        <w:widowControl/>
        <w:spacing w:line="244" w:lineRule="exact" w:before="16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Expected Contributions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contribution to the SRP and RSBP varies from year to year, as determined by the PFC, which bases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judgment on the results of annual actuarial valuations of the assets and liabilities of the SRP and RSBP. The best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estimate of the amount of contributions expected to be paid to the SRP and RSBP by IBRD and IDA during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fiscal year beginning July 1, 2024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is $131 million and $33 million, respectively.</w:t>
      </w:r>
    </w:p>
    <w:p>
      <w:pPr>
        <w:autoSpaceDN w:val="0"/>
        <w:autoSpaceDE w:val="0"/>
        <w:widowControl/>
        <w:spacing w:line="246" w:lineRule="exact" w:before="25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L—TRUST FUNDS ADMINISTRATION AND OTHER SERVICES</w:t>
      </w:r>
    </w:p>
    <w:p>
      <w:pPr>
        <w:autoSpaceDN w:val="0"/>
        <w:autoSpaceDE w:val="0"/>
        <w:widowControl/>
        <w:spacing w:line="242" w:lineRule="exact" w:before="114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Trust Funds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IBRD, alone or jointly with one or more of its affiliated organizations, administers on behalf of donors, including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members, their agencies and other entities, funds restricted for specific uses in accordance with administration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agreements with donors. Specified uses could include co-financing of IBRD lending projects, debt reduction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operations, technical assistance including feasibility studies and project preparation, global and regional programs,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research and training programs. These funds are held in trust with IBRD and/or IDA, and are held in a separate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investment portfolio which is not commingled with IBRD and/or IDA funds.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Trust fund execution may be carried out in one of two ways: recipient-executed or Bank-executed activities.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Recipient-executed activities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trust funds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involve activities carried out by a recipient third-party executing agency.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enters into agreements with and disburses funds to those recipients, who then exercise spending authority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meet the objectives and comply with terms stipulated in the agreements.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Bank-executed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activities for trust funds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involve IBRD execution of activities as described in relevant administration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agreements with donors, which define the terms and conditions for use of the funds. Spending authority is exercised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by IBRD, under the terms of the administration agreements. The executing agency services provided by IBRD vary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include for example, activity preparation, analytical and advisory activities and project-related activities,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including procurement of goods and services.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 summarizes the expenses pertaining to Bank-executed activities for trust funds:</w:t>
      </w:r>
    </w:p>
    <w:p>
      <w:pPr>
        <w:autoSpaceDN w:val="0"/>
        <w:autoSpaceDE w:val="0"/>
        <w:widowControl/>
        <w:spacing w:line="222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L1: Expenses for Bank-executed activities for trust funds</w:t>
      </w:r>
    </w:p>
    <w:p>
      <w:pPr>
        <w:autoSpaceDN w:val="0"/>
        <w:autoSpaceDE w:val="0"/>
        <w:widowControl/>
        <w:spacing w:line="180" w:lineRule="exact" w:before="152" w:after="18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50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7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3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8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2022</w:t>
            </w:r>
          </w:p>
        </w:tc>
      </w:tr>
      <w:tr>
        <w:trPr>
          <w:trHeight w:hRule="exact" w:val="480"/>
        </w:trPr>
        <w:tc>
          <w:tcPr>
            <w:tcW w:type="dxa" w:w="50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Expenses for Bank-executed activities for trust funds</w:t>
            </w:r>
          </w:p>
        </w:tc>
        <w:tc>
          <w:tcPr>
            <w:tcW w:type="dxa" w:w="3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612 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570 </w:t>
            </w:r>
          </w:p>
        </w:tc>
        <w:tc>
          <w:tcPr>
            <w:tcW w:type="dxa" w:w="3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494 </w:t>
            </w:r>
          </w:p>
        </w:tc>
      </w:tr>
    </w:tbl>
    <w:p>
      <w:pPr>
        <w:autoSpaceDN w:val="0"/>
        <w:autoSpaceDE w:val="0"/>
        <w:widowControl/>
        <w:spacing w:line="240" w:lineRule="exact" w:before="15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These amounts are included in Administrative expenses and the corresponding revenue is included in Revenue from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externally funded activities in the Statements of Income. Administrative expenses primarily relate to staff costs,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travel and consultant fees.</w:t>
      </w:r>
    </w:p>
    <w:p>
      <w:pPr>
        <w:autoSpaceDN w:val="0"/>
        <w:tabs>
          <w:tab w:pos="8984" w:val="left"/>
        </w:tabs>
        <w:autoSpaceDE w:val="0"/>
        <w:widowControl/>
        <w:spacing w:line="224" w:lineRule="exact" w:before="770" w:after="0"/>
        <w:ind w:left="420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IBRD FINANCIAL STATEMENTS: June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139</w:t>
      </w:r>
    </w:p>
    <w:p>
      <w:pPr>
        <w:sectPr>
          <w:pgSz w:w="12240" w:h="15840"/>
          <w:pgMar w:top="700" w:right="1370" w:bottom="3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 summarizes all undisbursed contributions made by third party donors to Bank-executed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activities for trust funds, recognized on the Balance Sheets: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L2: Undisbursed contributions by third party donors to Bank-executed activities for trust funds</w:t>
      </w:r>
    </w:p>
    <w:p>
      <w:pPr>
        <w:autoSpaceDN w:val="0"/>
        <w:autoSpaceDE w:val="0"/>
        <w:widowControl/>
        <w:spacing w:line="178" w:lineRule="exact" w:before="15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40"/>
        </w:trPr>
        <w:tc>
          <w:tcPr>
            <w:tcW w:type="dxa" w:w="5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8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8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  <w:tr>
        <w:trPr>
          <w:trHeight w:hRule="exact" w:val="480"/>
        </w:trPr>
        <w:tc>
          <w:tcPr>
            <w:tcW w:type="dxa" w:w="5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Bank-executed activities for trust funds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637 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588 </w:t>
            </w:r>
          </w:p>
        </w:tc>
      </w:tr>
    </w:tbl>
    <w:p>
      <w:pPr>
        <w:autoSpaceDN w:val="0"/>
        <w:autoSpaceDE w:val="0"/>
        <w:widowControl/>
        <w:spacing w:line="240" w:lineRule="exact" w:before="15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These amounts are included in Other assets - Miscellaneous and the corresponding liabilities are included in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liabilities – Accounts payable and miscellaneous liabilities on the Balance Sheets.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Revenues </w:t>
      </w:r>
    </w:p>
    <w:p>
      <w:pPr>
        <w:autoSpaceDN w:val="0"/>
        <w:autoSpaceDE w:val="0"/>
        <w:widowControl/>
        <w:spacing w:line="222" w:lineRule="exact" w:before="14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IBRD’s revenues for the administration of trust fund operations were as follows: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L3: Trust fund administration revenues</w:t>
      </w:r>
    </w:p>
    <w:p>
      <w:pPr>
        <w:autoSpaceDN w:val="0"/>
        <w:autoSpaceDE w:val="0"/>
        <w:widowControl/>
        <w:spacing w:line="178" w:lineRule="exact" w:before="15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50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7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3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8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2022</w:t>
            </w:r>
          </w:p>
        </w:tc>
      </w:tr>
      <w:tr>
        <w:trPr>
          <w:trHeight w:hRule="exact" w:val="480"/>
        </w:trPr>
        <w:tc>
          <w:tcPr>
            <w:tcW w:type="dxa" w:w="50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Revenues</w:t>
            </w:r>
          </w:p>
        </w:tc>
        <w:tc>
          <w:tcPr>
            <w:tcW w:type="dxa" w:w="3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 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 </w:t>
            </w:r>
          </w:p>
        </w:tc>
        <w:tc>
          <w:tcPr>
            <w:tcW w:type="dxa" w:w="3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 </w:t>
            </w:r>
          </w:p>
        </w:tc>
      </w:tr>
    </w:tbl>
    <w:p>
      <w:pPr>
        <w:autoSpaceDN w:val="0"/>
        <w:autoSpaceDE w:val="0"/>
        <w:widowControl/>
        <w:spacing w:line="222" w:lineRule="exact" w:before="17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These amounts are included in Revenue from externally funded activities in the Statements of Income.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Revenue collected from donor contributions for trust fund administration fees, but not yet earned by IBRD totaling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$101 million as of June 30, 2024 ($94 million—June 30, 2023) is included in Other assets - Miscellaneous and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Other liabilities – Accounts payable and miscellaneous liabilities, respectively on the Balance Sheets.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Investment Management Services</w:t>
      </w:r>
    </w:p>
    <w:p>
      <w:pPr>
        <w:autoSpaceDN w:val="0"/>
        <w:autoSpaceDE w:val="0"/>
        <w:widowControl/>
        <w:spacing w:line="222" w:lineRule="exact" w:before="14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offers treasury and investment management services to affiliated and non-affiliated organizations.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addition, IBRD offers asset management and technical advisory services to central banks of member countries,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the Reserves Advisory and Management Program, for capacity building and other development purposes,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receives a fee for these services.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fiscal year ended June 30, 2024, IBRD's fee revenue from investment management activities totaled $17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 ($16 million –June 30, 2023 and $18 million – June 30, 2022) and is included in Revenue from externally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funded activities in the Statements of Income. </w:t>
      </w:r>
    </w:p>
    <w:p>
      <w:pPr>
        <w:autoSpaceDN w:val="0"/>
        <w:autoSpaceDE w:val="0"/>
        <w:widowControl/>
        <w:spacing w:line="246" w:lineRule="exact" w:before="25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M—CONTINGENCIES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From time to time, IBRD may be named as a defendant or co-defendant in legal actions on different grounds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various jurisdictions. The outcome of any existing legal action, in which IBRD has been named as a defendant or co-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defendant, as of and for the fiscal year ended June 30, 2024, is not expected to have a material adverse effect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IBRD's financial position, results of operations or cash flows.</w:t>
      </w:r>
    </w:p>
    <w:p>
      <w:pPr>
        <w:autoSpaceDN w:val="0"/>
        <w:tabs>
          <w:tab w:pos="858" w:val="left"/>
        </w:tabs>
        <w:autoSpaceDE w:val="0"/>
        <w:widowControl/>
        <w:spacing w:line="224" w:lineRule="exact" w:before="3572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June 30, 2024</w:t>
      </w:r>
    </w:p>
    <w:sectPr w:rsidR="00FC693F" w:rsidRPr="0006063C" w:rsidSect="00034616">
      <w:pgSz w:w="12240" w:h="15840"/>
      <w:pgMar w:top="700" w:right="1370" w:bottom="336" w:left="14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