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2"/>
        <w:ind w:left="0" w:right="0"/>
      </w:pPr>
    </w:p>
    <w:p>
      <w:pPr>
        <w:autoSpaceDN w:val="0"/>
        <w:tabs>
          <w:tab w:pos="3388" w:val="left"/>
        </w:tabs>
        <w:autoSpaceDE w:val="0"/>
        <w:widowControl/>
        <w:spacing w:line="554" w:lineRule="exact" w:before="0" w:after="0"/>
        <w:ind w:left="628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International Bank for Reconstruction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Development</w:t>
      </w:r>
    </w:p>
    <w:p>
      <w:pPr>
        <w:autoSpaceDN w:val="0"/>
        <w:autoSpaceDE w:val="0"/>
        <w:widowControl/>
        <w:spacing w:line="240" w:lineRule="auto" w:before="9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96" w:lineRule="exact" w:before="656" w:after="0"/>
        <w:ind w:left="864" w:right="864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Management’s Discussion &amp; Analysis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and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Financial Statements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September 30, 2024</w:t>
      </w:r>
    </w:p>
    <w:p>
      <w:pPr>
        <w:sectPr>
          <w:pgSz w:w="12240" w:h="15840"/>
          <w:pgMar w:top="1020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8"/>
      </w:tblGrid>
      <w:tr>
        <w:trPr>
          <w:trHeight w:hRule="exact" w:val="284"/>
        </w:trPr>
        <w:tc>
          <w:tcPr>
            <w:tcW w:type="dxa" w:w="9368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9368"/>
            </w:tblGrid>
            <w:tr>
              <w:trPr>
                <w:trHeight w:hRule="exact" w:val="264"/>
              </w:trPr>
              <w:tc>
                <w:tcPr>
                  <w:tcW w:type="dxa" w:w="3960"/>
                  <w:tcBorders/>
                  <w:shd w:fill="7f7f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2" w:after="0"/>
                    <w:ind w:left="108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Management’s Discussion and Analysis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246" w:after="328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3129"/>
        <w:gridCol w:w="3129"/>
        <w:gridCol w:w="3129"/>
      </w:tblGrid>
      <w:tr>
        <w:trPr>
          <w:trHeight w:hRule="exact" w:val="308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I: Executive Summary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Summary Financial Results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28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II: Overview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Financial Business Model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96"/>
        </w:trPr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III: Financial Results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Basis of Reporting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84"/>
        </w:trPr>
        <w:tc>
          <w:tcPr>
            <w:tcW w:type="dxa" w:w="3129"/>
            <w:vMerge/>
            <w:tcBorders/>
          </w:tcPr>
          <w:p/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Financial Results and Portfolio Performance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288"/>
        </w:trPr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1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IV: Risk Management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(Loss) Income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272"/>
        </w:trPr>
        <w:tc>
          <w:tcPr>
            <w:tcW w:type="dxa" w:w="3129"/>
            <w:vMerge/>
            <w:tcBorders/>
          </w:tcPr>
          <w:p/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Risk Governance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298"/>
        </w:trPr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Section V: Governance 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Management of IBRD's Risks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314"/>
        </w:trPr>
        <w:tc>
          <w:tcPr>
            <w:tcW w:type="dxa" w:w="3129"/>
            <w:vMerge/>
            <w:tcBorders/>
          </w:tcPr>
          <w:p/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7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Senior Management Changes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312" w:lineRule="exact" w:before="50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Tables</w:t>
      </w:r>
    </w:p>
    <w:p>
      <w:pPr>
        <w:autoSpaceDN w:val="0"/>
        <w:tabs>
          <w:tab w:pos="9088" w:val="left"/>
          <w:tab w:pos="9104" w:val="left"/>
          <w:tab w:pos="9200" w:val="left"/>
        </w:tabs>
        <w:autoSpaceDE w:val="0"/>
        <w:widowControl/>
        <w:spacing w:line="286" w:lineRule="exact" w:before="2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1: Selected Financial Data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2: Condensed Statements of Income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3: Condensed Balance Sheets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4: Gross Disbursements by Region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5: Net Commitments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6: Net Other Revenue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7: Net Non-Interest Expenses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8: Unrealized Mark-to-market Gains / (Losses) on Non-trading Portfolios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9: Equity-to-Loans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10: Usable Paid-In Capital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11: Credit Enhancements Received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12: Commercial Credit Exposure, Net of Collateral Held, by Counterparty Rating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13: Non-Commercial Counterparty Credit Risk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14: Liquidity Levels for FY25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312" w:lineRule="exact" w:before="20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Figures</w:t>
      </w:r>
    </w:p>
    <w:p>
      <w:pPr>
        <w:autoSpaceDN w:val="0"/>
        <w:tabs>
          <w:tab w:pos="9088" w:val="left"/>
          <w:tab w:pos="9104" w:val="left"/>
          <w:tab w:pos="9200" w:val="left"/>
        </w:tabs>
        <w:autoSpaceDE w:val="0"/>
        <w:widowControl/>
        <w:spacing w:line="284" w:lineRule="exact" w:before="30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1: Sources and Uses of Revenue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2: Loans interest revenue and funding cost (including related derivatives)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3: Loan interest revenue, net of funding costs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4: Change in Net Loans Outstanding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5: Net Loans Outstanding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6: Net Investment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7: Investment Revenue,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8: Borrowing Portfolio (original maturities)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9: Net Non-Interest Expenses (GAAP basis)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10: Country Exposures as of September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24" w:lineRule="exact" w:before="309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1</w:t>
      </w:r>
    </w:p>
    <w:p>
      <w:pPr>
        <w:sectPr>
          <w:pgSz w:w="12240" w:h="15840"/>
          <w:pgMar w:top="250" w:right="1416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312" w:lineRule="exact" w:before="1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I: Executive Summary</w:t>
      </w:r>
    </w:p>
    <w:p>
      <w:pPr>
        <w:autoSpaceDN w:val="0"/>
        <w:autoSpaceDE w:val="0"/>
        <w:widowControl/>
        <w:spacing w:line="240" w:lineRule="exact" w:before="1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Management’s Discussion and Analysis (MD&amp;A) reflects the results of the International Bank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Reconstruction and Development’s (IBRD’s) financial performance for the three months ended September 30, 2024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(FY25 YTD). This document should be read in conjunction with IBRD’s Financial Statements and MD&amp;A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fiscal year ended June 30, 2024 (FY24). IBRD undertakes no obligation to update any forward-looking statements.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reclassifications of prior years’ information have been made to conform with the current year’s presentation. </w:t>
      </w:r>
    </w:p>
    <w:p>
      <w:pPr>
        <w:autoSpaceDN w:val="0"/>
        <w:autoSpaceDE w:val="0"/>
        <w:widowControl/>
        <w:spacing w:line="250" w:lineRule="exact" w:before="394" w:after="0"/>
        <w:ind w:left="10" w:right="360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Table 1: Selected Financial Data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In millions of U.S. dollars, except ratios which are in percentages</w:t>
      </w:r>
    </w:p>
    <w:p>
      <w:pPr>
        <w:autoSpaceDN w:val="0"/>
        <w:autoSpaceDE w:val="0"/>
        <w:widowControl/>
        <w:spacing w:line="180" w:lineRule="exact" w:before="344" w:after="6"/>
        <w:ind w:left="0" w:right="136" w:firstLine="0"/>
        <w:jc w:val="right"/>
      </w:pPr>
      <w:r>
        <w:rPr>
          <w:rFonts w:ascii="Arial" w:hAnsi="Arial" w:eastAsia="Arial"/>
          <w:b w:val="0"/>
          <w:i/>
          <w:color w:val="6D6D6D"/>
          <w:sz w:val="16"/>
        </w:rPr>
        <w:t xml:space="preserve">As of and for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47"/>
        <w:gridCol w:w="3147"/>
        <w:gridCol w:w="3147"/>
      </w:tblGrid>
      <w:tr>
        <w:trPr>
          <w:trHeight w:hRule="exact" w:val="408"/>
        </w:trPr>
        <w:tc>
          <w:tcPr>
            <w:tcW w:type="dxa" w:w="7944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5616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 xml:space="preserve">As of and for the three months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ended September 30,</w:t>
            </w:r>
          </w:p>
        </w:tc>
        <w:tc>
          <w:tcPr>
            <w:tcW w:type="dxa" w:w="141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 xml:space="preserve">fiscal year ended </w:t>
            </w: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June 30,</w:t>
            </w:r>
          </w:p>
        </w:tc>
      </w:tr>
      <w:tr>
        <w:trPr>
          <w:trHeight w:hRule="exact" w:val="240"/>
        </w:trPr>
        <w:tc>
          <w:tcPr>
            <w:tcW w:type="dxa" w:w="6784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0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2024</w:t>
            </w:r>
          </w:p>
        </w:tc>
        <w:tc>
          <w:tcPr>
            <w:tcW w:type="dxa" w:w="1160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2023</w:t>
            </w:r>
          </w:p>
        </w:tc>
        <w:tc>
          <w:tcPr>
            <w:tcW w:type="dxa" w:w="1410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6D6D6D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6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Lending Highlights 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commitments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5,567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3,330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37,568 </w:t>
            </w:r>
          </w:p>
        </w:tc>
      </w:tr>
      <w:tr>
        <w:trPr>
          <w:trHeight w:hRule="exact" w:val="24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disbursements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6,469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5,807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33,450 </w:t>
            </w:r>
          </w:p>
        </w:tc>
      </w:tr>
      <w:tr>
        <w:trPr>
          <w:trHeight w:hRule="exact" w:val="28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disbursements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3,672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20,115 </w:t>
            </w:r>
          </w:p>
        </w:tc>
      </w:tr>
    </w:tbl>
    <w:p>
      <w:pPr>
        <w:autoSpaceDN w:val="0"/>
        <w:autoSpaceDE w:val="0"/>
        <w:widowControl/>
        <w:spacing w:line="178" w:lineRule="exact" w:before="226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Income Statement 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4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and other transfers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(815)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(80)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(371) </w:t>
            </w:r>
          </w:p>
        </w:tc>
      </w:tr>
      <w:tr>
        <w:trPr>
          <w:trHeight w:hRule="exact" w:val="284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(loss) income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(518)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683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2,142 </w:t>
            </w:r>
          </w:p>
        </w:tc>
      </w:tr>
    </w:tbl>
    <w:p>
      <w:pPr>
        <w:autoSpaceDN w:val="0"/>
        <w:autoSpaceDE w:val="0"/>
        <w:widowControl/>
        <w:spacing w:line="180" w:lineRule="exact" w:before="22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Balance Sheet (Section III)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2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assets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376,121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$ 336,633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356,612 </w:t>
            </w:r>
          </w:p>
        </w:tc>
      </w:tr>
      <w:tr>
        <w:trPr>
          <w:trHeight w:hRule="exact" w:val="26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investment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92,788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80,581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</w:tr>
      <w:tr>
        <w:trPr>
          <w:trHeight w:hRule="exact" w:val="22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266,328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242,106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</w:tr>
      <w:tr>
        <w:trPr>
          <w:trHeight w:hRule="exact" w:val="26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302,858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270,356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287,117 </w:t>
            </w:r>
          </w:p>
        </w:tc>
      </w:tr>
      <w:tr>
        <w:trPr>
          <w:trHeight w:hRule="exact" w:val="27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64,518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60,973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63,484 </w:t>
            </w:r>
          </w:p>
        </w:tc>
      </w:tr>
    </w:tbl>
    <w:p>
      <w:pPr>
        <w:autoSpaceDN w:val="0"/>
        <w:autoSpaceDE w:val="0"/>
        <w:widowControl/>
        <w:spacing w:line="178" w:lineRule="exact" w:before="22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Non-GAAP 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6"/>
        </w:trPr>
        <w:tc>
          <w:tcPr>
            <w:tcW w:type="dxa" w:w="4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Allocable Income (Section III)</w:t>
            </w:r>
          </w:p>
        </w:tc>
        <w:tc>
          <w:tcPr>
            <w:tcW w:type="dxa" w:w="178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743 </w:t>
            </w:r>
          </w:p>
        </w:tc>
        <w:tc>
          <w:tcPr>
            <w:tcW w:type="dxa" w:w="30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222 </w:t>
            </w:r>
          </w:p>
        </w:tc>
        <w:tc>
          <w:tcPr>
            <w:tcW w:type="dxa" w:w="42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1,849 </w:t>
            </w:r>
          </w:p>
        </w:tc>
      </w:tr>
      <w:tr>
        <w:trPr>
          <w:trHeight w:hRule="exact" w:val="240"/>
        </w:trPr>
        <w:tc>
          <w:tcPr>
            <w:tcW w:type="dxa" w:w="4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Usable Equity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(Section IV)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55,473 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53,163 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54,655 </w:t>
            </w:r>
          </w:p>
        </w:tc>
      </w:tr>
      <w:tr>
        <w:trPr>
          <w:trHeight w:hRule="exact" w:val="488"/>
        </w:trPr>
        <w:tc>
          <w:tcPr>
            <w:tcW w:type="dxa" w:w="41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Equity-to-Loans Ratio (Section IV)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21.3 %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22.0 %</w:t>
            </w:r>
          </w:p>
        </w:tc>
        <w:tc>
          <w:tcPr>
            <w:tcW w:type="dxa" w:w="1349"/>
            <w:vMerge/>
            <w:tcBorders>
              <w:bottom w:sz="4.0" w:val="single" w:color="#929292"/>
            </w:tcBorders>
          </w:tcPr>
          <w:p/>
        </w:tc>
        <w:tc>
          <w:tcPr>
            <w:tcW w:type="dxa" w:w="97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21.5 %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include guarantee commitments that have been approved by the Executive Directors (referred to as “the Board” in this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document), and are net of full terminations and cancellations relating to commitments approved in the same fiscal year. 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For the composition of the net investment portfolio, see Notes to the Condensed Quarterly Financial Statements, Note C -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Investments - Table C3.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associated derivatives.</w:t>
      </w:r>
    </w:p>
    <w:p>
      <w:pPr>
        <w:autoSpaceDN w:val="0"/>
        <w:autoSpaceDE w:val="0"/>
        <w:widowControl/>
        <w:spacing w:line="224" w:lineRule="exact" w:before="440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     IBRD Management's Discussion and Analysis: September 30, 2024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40" w:lineRule="exact" w:before="10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mission is to end extreme poverty and boost shared prosperity on a livable planet by providing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with loans, guarantees, advisory services, analytical support and other products.</w:t>
      </w:r>
    </w:p>
    <w:p>
      <w:pPr>
        <w:autoSpaceDN w:val="0"/>
        <w:autoSpaceDE w:val="0"/>
        <w:widowControl/>
        <w:spacing w:line="23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and its affiliated institutions seek to help countries in reducing poverty and inequality, achieve improvements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economic growth, job creation, governance, the environment, climate adaptation, mitigation and resilience,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human capital, infrastructure and debt transparency, among others. To meet its development goals, the World Bank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Group (WBG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) supports client countries' efforts to implement programs to improve growth and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outcomes with a vision to create a world free of poverty on a livable planet. Further, new and ongoing challenges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continue to influence the global outlook, including: climate change adaptation and mitigation; fragility and conflict;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pandemic prevention and preparedness; energy access; food and nutrition security; water security and access;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enabling digitalization; and protecting biodiversity and nature. IBRD continues to work with partners at global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country levels to support its borrowing countries in addressing the impact of these multiple challenges, to enhance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resilience, and lay the groundwork for rebuilding better. To further support these efforts, the Board and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have been evolving the WBG to better address the scale of development challenges. This process includes initiatives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increase impact, expand financing capacity, support projects that address global challenges with cross border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externalities, and modernize the approach to delivery.</w:t>
      </w:r>
    </w:p>
    <w:p>
      <w:pPr>
        <w:autoSpaceDN w:val="0"/>
        <w:autoSpaceDE w:val="0"/>
        <w:widowControl/>
        <w:spacing w:line="192" w:lineRule="exact" w:before="9520" w:after="0"/>
        <w:ind w:left="100" w:right="22" w:hanging="90"/>
        <w:jc w:val="both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1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The other WBG institutions are the International Development Association (IDA), the International Finance Corporation (IFC), the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Multilateral Investment Guarantee Agency (MIGA), and the International Centre for Settlement of Investment Disputes (ICSID). The </w:t>
      </w:r>
      <w:r>
        <w:rPr>
          <w:rFonts w:ascii="Arial" w:hAnsi="Arial" w:eastAsia="Arial"/>
          <w:b w:val="0"/>
          <w:i/>
          <w:color w:val="000000"/>
          <w:sz w:val="16"/>
        </w:rPr>
        <w:t>World Bank consists of IBRD and IDA.</w:t>
      </w:r>
    </w:p>
    <w:p>
      <w:pPr>
        <w:autoSpaceDN w:val="0"/>
        <w:autoSpaceDE w:val="0"/>
        <w:widowControl/>
        <w:spacing w:line="224" w:lineRule="exact" w:before="628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3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68" w:lineRule="exact" w:before="122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Summary Financial Results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Net (Loss) Income </w:t>
      </w:r>
    </w:p>
    <w:p>
      <w:pPr>
        <w:autoSpaceDN w:val="0"/>
        <w:autoSpaceDE w:val="0"/>
        <w:widowControl/>
        <w:spacing w:line="240" w:lineRule="exact" w:before="7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recorded a net loss of $518 million for the first three months of FY25, compared with net income of $683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during the same period in FY24. The $1,201 million decrease was primarily due to unrealized mark-to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losses of $423 million on IBRD’s non-trading portfolios in FY25 YTD, compared to unrealized mark-to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gains of $500 million for the three months ended September 30, 2023 (FY24 YTD), and higher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Governors-approved and other transfers, partially offset by a release of provision for losses on loans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exposures in FY25 YTD, compared to a provision expense in FY24 YTD.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Allocable Income </w:t>
      </w:r>
    </w:p>
    <w:p>
      <w:pPr>
        <w:autoSpaceDN w:val="0"/>
        <w:autoSpaceDE w:val="0"/>
        <w:widowControl/>
        <w:spacing w:line="240" w:lineRule="exact" w:before="7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Allocable income is the measure IBRD uses for making net income allocation decisions. Given IBRD’s intention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maintain its non-trading portfolio positions to maturity, unrealized mark-to-market gains and losses for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portfolios are not included in IBRD’s allocable income. In addition, Board of Governors-approved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are also excluded from IBRD's allocable income since these amounts relate to allocations out of prior 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allocable income, surplus, or restricted retained earnings.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first three months of FY25, allocable income was $743 million, an increase of $521 million from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same period in FY24. The increase was primarily due to the release of provision for losses on loans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exposures in FY25 YTD, compared to the provision expense in FY24 YTD, and higher loan interest revenue, net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funding costs (Section III and Section IV).</w:t>
      </w:r>
    </w:p>
    <w:p>
      <w:pPr>
        <w:autoSpaceDN w:val="0"/>
        <w:autoSpaceDE w:val="0"/>
        <w:widowControl/>
        <w:spacing w:line="178" w:lineRule="exact" w:before="150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 - YTD</w:t>
      </w:r>
    </w:p>
    <w:p>
      <w:pPr>
        <w:autoSpaceDN w:val="0"/>
        <w:autoSpaceDE w:val="0"/>
        <w:widowControl/>
        <w:spacing w:line="164" w:lineRule="exact" w:before="232" w:after="34"/>
        <w:ind w:left="904" w:right="5328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4"/>
        </w:rPr>
        <w:t xml:space="preserve">Allocable Income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4"/>
        </w:rPr>
        <w:t xml:space="preserve">Net (Loss) Income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4"/>
        </w:rPr>
        <w:t>Unrealized (Losses) Gains on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17"/>
        <w:gridCol w:w="4717"/>
      </w:tblGrid>
      <w:tr>
        <w:trPr>
          <w:trHeight w:hRule="exact" w:val="1532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800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400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-400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36800" cy="889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88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78" w:lineRule="exact" w:before="150" w:after="16"/>
        <w:ind w:left="210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-800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4.00000000000006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5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4" w:lineRule="exact" w:before="2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Lending Operations</w:t>
      </w:r>
    </w:p>
    <w:p>
      <w:pPr>
        <w:autoSpaceDN w:val="0"/>
        <w:autoSpaceDE w:val="0"/>
        <w:widowControl/>
        <w:spacing w:line="240" w:lineRule="exact" w:before="13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lending operations during the first three months of FY25 provided $5.6 billion of net commitments, $6.5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of gross loan disbursements, and $3.7 billion of net loan disbursements. Net loans outstanding were $266.3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billion as of September 30, 2024.</w:t>
      </w:r>
    </w:p>
    <w:p>
      <w:pPr>
        <w:autoSpaceDN w:val="0"/>
        <w:autoSpaceDE w:val="0"/>
        <w:widowControl/>
        <w:spacing w:line="178" w:lineRule="exact" w:before="150" w:after="162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78"/>
        </w:trPr>
        <w:tc>
          <w:tcPr>
            <w:tcW w:type="dxa" w:w="52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Net Commitments YTD</w:t>
            </w:r>
          </w:p>
        </w:tc>
        <w:tc>
          <w:tcPr>
            <w:tcW w:type="dxa" w:w="926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74"/>
            <w:gridSpan w:val="2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94949"/>
                <w:sz w:val="16"/>
              </w:rPr>
              <w:t>Disbursements YTD</w:t>
            </w:r>
          </w:p>
        </w:tc>
        <w:tc>
          <w:tcPr>
            <w:tcW w:type="dxa" w:w="89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36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Net Loans outstanding</w:t>
            </w:r>
          </w:p>
        </w:tc>
      </w:tr>
      <w:tr>
        <w:trPr>
          <w:trHeight w:hRule="exact" w:val="98"/>
        </w:trPr>
        <w:tc>
          <w:tcPr>
            <w:tcW w:type="dxa" w:w="52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</w:t>
            </w:r>
          </w:p>
        </w:tc>
        <w:tc>
          <w:tcPr>
            <w:tcW w:type="dxa" w:w="2174"/>
            <w:vMerge w:val="restart"/>
            <w:tcBorders>
              <w:top w:sz="6.0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4300" cy="368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36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6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</w:t>
            </w:r>
          </w:p>
        </w:tc>
        <w:tc>
          <w:tcPr>
            <w:tcW w:type="dxa" w:w="2174"/>
            <w:gridSpan w:val="2"/>
            <w:vMerge w:val="restart"/>
            <w:tcBorders>
              <w:top w:sz="6.0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84300" cy="622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622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300</w:t>
            </w:r>
          </w:p>
        </w:tc>
        <w:tc>
          <w:tcPr>
            <w:tcW w:type="dxa" w:w="2236"/>
            <w:vMerge w:val="restart"/>
            <w:tcBorders>
              <w:top w:sz="6.0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09700" cy="190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</w:t>
            </w:r>
          </w:p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</w:t>
            </w:r>
          </w:p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240</w:t>
            </w:r>
          </w:p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300"/>
        </w:trPr>
        <w:tc>
          <w:tcPr>
            <w:tcW w:type="dxa" w:w="5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</w:t>
            </w:r>
          </w:p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</w:t>
            </w:r>
          </w:p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180</w:t>
            </w:r>
          </w:p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84"/>
        </w:trPr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</w:t>
            </w:r>
          </w:p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296"/>
        </w:trPr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</w:t>
            </w:r>
          </w:p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348"/>
            <w:vMerge/>
            <w:tcBorders/>
          </w:tcPr>
          <w:p/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120</w:t>
            </w:r>
          </w:p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162"/>
        </w:trPr>
        <w:tc>
          <w:tcPr>
            <w:tcW w:type="dxa" w:w="52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926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96"/>
            <w:gridSpan w:val="2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89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vMerge/>
            <w:tcBorders>
              <w:top w:sz="6.0" w:val="single" w:color="#E5E6E5"/>
              <w:bottom w:sz="6.0" w:val="single" w:color="#E5E6E5"/>
            </w:tcBorders>
          </w:tcPr>
          <w:p/>
        </w:tc>
      </w:tr>
      <w:tr>
        <w:trPr>
          <w:trHeight w:hRule="exact" w:val="158"/>
        </w:trPr>
        <w:tc>
          <w:tcPr>
            <w:tcW w:type="dxa" w:w="52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</w:t>
            </w:r>
          </w:p>
        </w:tc>
        <w:tc>
          <w:tcPr>
            <w:tcW w:type="dxa" w:w="2174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FY21 FY22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FY23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FY24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FY25</w:t>
            </w:r>
          </w:p>
        </w:tc>
        <w:tc>
          <w:tcPr>
            <w:tcW w:type="dxa" w:w="926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</w:t>
            </w:r>
          </w:p>
        </w:tc>
        <w:tc>
          <w:tcPr>
            <w:tcW w:type="dxa" w:w="2174"/>
            <w:gridSpan w:val="2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FY21 FY22 FY23 FY24 FY25 </w:t>
            </w:r>
          </w:p>
        </w:tc>
        <w:tc>
          <w:tcPr>
            <w:tcW w:type="dxa" w:w="89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60</w:t>
            </w:r>
          </w:p>
        </w:tc>
        <w:tc>
          <w:tcPr>
            <w:tcW w:type="dxa" w:w="2236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 Jun 22 Jun 23 Jun 24 Sep 24</w:t>
            </w:r>
          </w:p>
        </w:tc>
      </w:tr>
      <w:tr>
        <w:trPr>
          <w:trHeight w:hRule="exact" w:val="520"/>
        </w:trPr>
        <w:tc>
          <w:tcPr>
            <w:tcW w:type="dxa" w:w="5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  <w:tc>
          <w:tcPr>
            <w:tcW w:type="dxa" w:w="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2696"/>
            <w:gridSpan w:val="2"/>
            <w:vMerge/>
            <w:tcBorders>
              <w:top w:sz="6.0" w:val="single" w:color="#E5E6E5"/>
            </w:tcBorders>
          </w:tcPr>
          <w:p/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296"/>
        </w:trPr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  <w:tc>
          <w:tcPr>
            <w:tcW w:type="dxa" w:w="1348"/>
            <w:vMerge/>
            <w:tcBorders/>
          </w:tcPr>
          <w:p/>
        </w:tc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2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Gross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2" w:after="0"/>
              <w:ind w:left="2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Net</w:t>
            </w:r>
          </w:p>
        </w:tc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>
              <w:top w:sz="6.0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532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commitments were higher by $2.2 billion compared with the same period in FY24 (Table 5). The regions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largest share of commitments in the first three months of FY25 were Europe and Central Asia with 41%,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Latin America and the Caribbean with 29%.</w:t>
      </w:r>
    </w:p>
    <w:p>
      <w:pPr>
        <w:autoSpaceDN w:val="0"/>
        <w:autoSpaceDE w:val="0"/>
        <w:widowControl/>
        <w:spacing w:line="224" w:lineRule="exact" w:before="658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     IBRD Management's Discussion and Analysis: September 30, 2024</w:t>
      </w:r>
    </w:p>
    <w:p>
      <w:pPr>
        <w:sectPr>
          <w:pgSz w:w="12240" w:h="15840"/>
          <w:pgMar w:top="31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86"/>
        </w:trPr>
        <w:tc>
          <w:tcPr>
            <w:tcW w:type="dxa" w:w="3960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  <w:tr>
        <w:trPr>
          <w:trHeight w:hRule="exact" w:val="486"/>
        </w:trPr>
        <w:tc>
          <w:tcPr>
            <w:tcW w:type="dxa" w:w="3960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12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Net Investment Portfolio</w:t>
            </w:r>
          </w:p>
        </w:tc>
        <w:tc>
          <w:tcPr>
            <w:tcW w:type="dxa" w:w="5408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4" w:after="0"/>
              <w:ind w:left="12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pgSz w:w="12240" w:h="15840"/>
          <w:pgMar w:top="316" w:right="1416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net investment portfolio increased by $10.1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billion, from $82.7 billion as of June 30, 2024 to </w:t>
      </w:r>
    </w:p>
    <w:p>
      <w:pPr>
        <w:sectPr>
          <w:type w:val="continuous"/>
          <w:pgSz w:w="12240" w:h="15840"/>
          <w:pgMar w:top="316" w:right="1416" w:bottom="136" w:left="1436" w:header="720" w:footer="720" w:gutter="0"/>
          <w:cols w:num="2" w:equalWidth="0">
            <w:col w:w="4800" w:space="0"/>
            <w:col w:w="458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150"/>
        <w:ind w:left="4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Net Investment Portfolio</w:t>
      </w:r>
    </w:p>
    <w:p>
      <w:pPr>
        <w:sectPr>
          <w:type w:val="nextColumn"/>
          <w:pgSz w:w="12240" w:h="15840"/>
          <w:pgMar w:top="316" w:right="1416" w:bottom="136" w:left="1436" w:header="720" w:footer="720" w:gutter="0"/>
          <w:cols w:num="2" w:equalWidth="0">
            <w:col w:w="4800" w:space="0"/>
            <w:col w:w="45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16"/>
        </w:trPr>
        <w:tc>
          <w:tcPr>
            <w:tcW w:type="dxa" w:w="4800"/>
            <w:vMerge w:val="restart"/>
            <w:tcBorders>
              <w:bottom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0" w:right="410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$92.8 billion as of September 30, 2024. The increase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was primarily due to net new debt issuances that were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higher than net loan disbursements during the period,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and is consistent with the higher target liquidity level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 FY25, compared to FY24. 73% of the investments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are rated AA or above (Table 12), reflecting IBRD’s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objective of principal protection and its preference 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4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120</w:t>
            </w:r>
          </w:p>
        </w:tc>
      </w:tr>
      <w:tr>
        <w:trPr>
          <w:trHeight w:hRule="exact" w:val="420"/>
        </w:trPr>
        <w:tc>
          <w:tcPr>
            <w:tcW w:type="dxa" w:w="1341"/>
            <w:vMerge/>
            <w:tcBorders>
              <w:bottom w:sz="6.00001335144043" w:val="single" w:color="#E5E6E5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90</w:t>
            </w:r>
          </w:p>
        </w:tc>
        <w:tc>
          <w:tcPr>
            <w:tcW w:type="dxa" w:w="3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9230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06"/>
        </w:trPr>
        <w:tc>
          <w:tcPr>
            <w:tcW w:type="dxa" w:w="1341"/>
            <w:vMerge/>
            <w:tcBorders>
              <w:bottom w:sz="6.00001335144043" w:val="single" w:color="#E5E6E5"/>
            </w:tcBorders>
          </w:tcPr>
          <w:p/>
        </w:tc>
        <w:tc>
          <w:tcPr>
            <w:tcW w:type="dxa" w:w="42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432" w:right="3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60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30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</w:tr>
      <w:tr>
        <w:trPr>
          <w:trHeight w:hRule="exact" w:val="114"/>
        </w:trPr>
        <w:tc>
          <w:tcPr>
            <w:tcW w:type="dxa" w:w="4800"/>
            <w:vMerge w:val="restart"/>
            <w:tcBorders>
              <w:top w:sz="6.00001335144043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for high-quality investments.</w:t>
            </w:r>
          </w:p>
          <w:p>
            <w:pPr>
              <w:autoSpaceDN w:val="0"/>
              <w:autoSpaceDE w:val="0"/>
              <w:widowControl/>
              <w:spacing w:line="244" w:lineRule="exact" w:before="145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Borrowing Portfolio</w:t>
            </w:r>
          </w:p>
        </w:tc>
        <w:tc>
          <w:tcPr>
            <w:tcW w:type="dxa" w:w="8046"/>
            <w:gridSpan w:val="6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1341"/>
            <w:vMerge/>
            <w:tcBorders>
              <w:top w:sz="6.00001335144043" w:val="single" w:color="#E5E6E5"/>
            </w:tcBorders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Sep 24</w:t>
            </w:r>
          </w:p>
        </w:tc>
      </w:tr>
      <w:tr>
        <w:trPr>
          <w:trHeight w:hRule="exact" w:val="1002"/>
        </w:trPr>
        <w:tc>
          <w:tcPr>
            <w:tcW w:type="dxa" w:w="1341"/>
            <w:vMerge/>
            <w:tcBorders>
              <w:top w:sz="6.00001335144043" w:val="single" w:color="#E5E6E5"/>
            </w:tcBorders>
          </w:tcPr>
          <w:p/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36" w:after="0"/>
              <w:ind w:left="4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676"/>
        </w:trPr>
        <w:tc>
          <w:tcPr>
            <w:tcW w:type="dxa" w:w="48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20" w:right="410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As of September 30, 2024, the borrowing portfolio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was $302.9 billion, $15.7 billion higher than June 30,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2024. The increase was mainly due to net new debt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issuances that financed the growing development and 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458" w:right="2016" w:hanging="1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Borrowing Portfolio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350</w:t>
            </w:r>
          </w:p>
        </w:tc>
      </w:tr>
      <w:tr>
        <w:trPr>
          <w:trHeight w:hRule="exact" w:val="380"/>
        </w:trPr>
        <w:tc>
          <w:tcPr>
            <w:tcW w:type="dxa" w:w="6705"/>
            <w:gridSpan w:val="5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280</w:t>
            </w:r>
          </w:p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92300" cy="165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lending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operations,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satisfied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liquidity </w:t>
            </w:r>
          </w:p>
        </w:tc>
        <w:tc>
          <w:tcPr>
            <w:tcW w:type="dxa" w:w="4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458" w:right="345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210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140</w:t>
            </w:r>
          </w:p>
        </w:tc>
      </w:tr>
      <w:tr>
        <w:trPr>
          <w:trHeight w:hRule="exact" w:val="318"/>
        </w:trPr>
        <w:tc>
          <w:tcPr>
            <w:tcW w:type="dxa" w:w="4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requirements.</w:t>
            </w:r>
          </w:p>
        </w:tc>
        <w:tc>
          <w:tcPr>
            <w:tcW w:type="dxa" w:w="268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60" w:after="0"/>
        <w:ind w:left="0" w:right="3878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6"/>
        </w:rPr>
        <w:t>70</w:t>
      </w:r>
    </w:p>
    <w:p>
      <w:pPr>
        <w:autoSpaceDN w:val="0"/>
        <w:autoSpaceDE w:val="0"/>
        <w:widowControl/>
        <w:spacing w:line="180" w:lineRule="exact" w:before="120" w:after="18"/>
        <w:ind w:left="0" w:right="3878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04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32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Sep 24</w:t>
            </w:r>
          </w:p>
        </w:tc>
      </w:tr>
    </w:tbl>
    <w:p>
      <w:pPr>
        <w:autoSpaceDN w:val="0"/>
        <w:autoSpaceDE w:val="0"/>
        <w:widowControl/>
        <w:spacing w:line="244" w:lineRule="exact" w:before="44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Equity-to-Loans Ratio</w:t>
      </w:r>
    </w:p>
    <w:p>
      <w:pPr>
        <w:autoSpaceDN w:val="0"/>
        <w:tabs>
          <w:tab w:pos="5224" w:val="left"/>
        </w:tabs>
        <w:autoSpaceDE w:val="0"/>
        <w:widowControl/>
        <w:spacing w:line="234" w:lineRule="exact" w:before="124" w:after="18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Equity-to-Loans ratio decreased from 21.5% as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Ratio in percentages</w:t>
      </w:r>
    </w:p>
    <w:p>
      <w:pPr>
        <w:sectPr>
          <w:type w:val="continuous"/>
          <w:pgSz w:w="12240" w:h="15840"/>
          <w:pgMar w:top="316" w:right="1416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June 30, 2024 to 21.3% as of September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primarily due to the increase in loan exposures </w:t>
      </w:r>
    </w:p>
    <w:p>
      <w:pPr>
        <w:sectPr>
          <w:type w:val="continuous"/>
          <w:pgSz w:w="12240" w:h="15840"/>
          <w:pgMar w:top="316" w:right="1416" w:bottom="136" w:left="1436" w:header="720" w:footer="720" w:gutter="0"/>
          <w:cols w:num="2" w:equalWidth="0">
            <w:col w:w="4800" w:space="0"/>
            <w:col w:w="458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216"/>
        <w:ind w:left="4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Equity-to-Loans Ratio</w:t>
      </w:r>
    </w:p>
    <w:p>
      <w:pPr>
        <w:sectPr>
          <w:type w:val="nextColumn"/>
          <w:pgSz w:w="12240" w:h="15840"/>
          <w:pgMar w:top="316" w:right="1416" w:bottom="136" w:left="1436" w:header="720" w:footer="720" w:gutter="0"/>
          <w:cols w:num="2" w:equalWidth="0">
            <w:col w:w="4800" w:space="0"/>
            <w:col w:w="45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694"/>
        <w:gridCol w:w="4694"/>
      </w:tblGrid>
      <w:tr>
        <w:trPr>
          <w:trHeight w:hRule="exact" w:val="23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(Section IV), and remained above the policy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4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30%</w:t>
            </w:r>
          </w:p>
        </w:tc>
      </w:tr>
    </w:tbl>
    <w:p>
      <w:pPr>
        <w:autoSpaceDN w:val="0"/>
        <w:autoSpaceDE w:val="0"/>
        <w:widowControl/>
        <w:spacing w:line="222" w:lineRule="exact" w:before="8" w:after="1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minimum of 19%. In line with IBRD's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129"/>
        <w:gridCol w:w="3129"/>
        <w:gridCol w:w="3129"/>
      </w:tblGrid>
      <w:tr>
        <w:trPr>
          <w:trHeight w:hRule="exact" w:val="222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management approach, exchange rate movements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20%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9600" cy="190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during the period did not have an impact on IBRD's </w:t>
            </w:r>
          </w:p>
        </w:tc>
        <w:tc>
          <w:tcPr>
            <w:tcW w:type="dxa" w:w="3129"/>
            <w:vMerge/>
            <w:tcBorders/>
          </w:tcPr>
          <w:p/>
        </w:tc>
        <w:tc>
          <w:tcPr>
            <w:tcW w:type="dxa" w:w="31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0" w:after="44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Equity-to-Loans ratio.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4694"/>
        <w:gridCol w:w="4694"/>
      </w:tblGrid>
      <w:tr>
        <w:trPr>
          <w:trHeight w:hRule="exact" w:val="324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During the first three months of FY25, IBRD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4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10%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8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received $302 million of paid-in capital subscribed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24"/>
        </w:trPr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under the 2018 General and Selective Capital </w:t>
            </w:r>
          </w:p>
        </w:tc>
        <w:tc>
          <w:tcPr>
            <w:tcW w:type="dxa" w:w="868"/>
            <w:vMerge w:val="restart"/>
            <w:tcBorders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0%</w:t>
            </w:r>
          </w:p>
        </w:tc>
        <w:tc>
          <w:tcPr>
            <w:tcW w:type="dxa" w:w="6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21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22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23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Jun 24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8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Sep 24</w:t>
            </w:r>
          </w:p>
        </w:tc>
      </w:tr>
      <w:tr>
        <w:trPr>
          <w:trHeight w:hRule="exact" w:val="240"/>
        </w:trPr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Increases (GCI and SCI), bringing the cumulative </w:t>
            </w:r>
          </w:p>
        </w:tc>
        <w:tc>
          <w:tcPr>
            <w:tcW w:type="dxa" w:w="1341"/>
            <w:vMerge/>
            <w:tcBorders>
              <w:bottom w:sz="18.0" w:val="single" w:color="#6D6D6D"/>
            </w:tcBorders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4860"/>
            <w:tcBorders>
              <w:bottom w:sz="18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amounts received to $6.3 billion, representing 84% of </w:t>
            </w:r>
          </w:p>
        </w:tc>
        <w:tc>
          <w:tcPr>
            <w:tcW w:type="dxa" w:w="1341"/>
            <w:vMerge/>
            <w:tcBorders>
              <w:bottom w:sz="18.0" w:val="single" w:color="#6D6D6D"/>
            </w:tcBorders>
          </w:tcPr>
          <w:p/>
        </w:tc>
        <w:tc>
          <w:tcPr>
            <w:tcW w:type="dxa" w:w="177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6" w:after="0"/>
              <w:ind w:left="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Equity-to-Loans Ratio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Policy Minimum</w:t>
            </w:r>
          </w:p>
        </w:tc>
      </w:tr>
      <w:tr>
        <w:trPr>
          <w:trHeight w:hRule="exact" w:val="226"/>
        </w:trPr>
        <w:tc>
          <w:tcPr>
            <w:tcW w:type="dxa" w:w="4860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the total amount expected over the subscription </w:t>
            </w:r>
          </w:p>
        </w:tc>
        <w:tc>
          <w:tcPr>
            <w:tcW w:type="dxa" w:w="868"/>
            <w:tcBorders>
              <w:top w:sz="18.0" w:val="single" w:color="#6D6D6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23"/>
            <w:gridSpan w:val="3"/>
            <w:vMerge/>
            <w:tcBorders/>
          </w:tcPr>
          <w:p/>
        </w:tc>
        <w:tc>
          <w:tcPr>
            <w:tcW w:type="dxa" w:w="2682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6" w:lineRule="exact" w:before="0" w:after="0"/>
        <w:ind w:left="4" w:right="48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period. The subscription period for the GCI and SCI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ends on October 1, 2025.</w:t>
      </w:r>
    </w:p>
    <w:p>
      <w:pPr>
        <w:autoSpaceDN w:val="0"/>
        <w:autoSpaceDE w:val="0"/>
        <w:widowControl/>
        <w:spacing w:line="224" w:lineRule="exact" w:before="2638" w:after="0"/>
        <w:ind w:left="0" w:right="2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5</w:t>
      </w:r>
    </w:p>
    <w:p>
      <w:pPr>
        <w:sectPr>
          <w:type w:val="continuous"/>
          <w:pgSz w:w="12240" w:h="15840"/>
          <w:pgMar w:top="316" w:right="1416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312" w:lineRule="exact" w:before="18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II: Overview</w:t>
      </w:r>
    </w:p>
    <w:p>
      <w:pPr>
        <w:autoSpaceDN w:val="0"/>
        <w:autoSpaceDE w:val="0"/>
        <w:widowControl/>
        <w:spacing w:line="240" w:lineRule="exact" w:before="1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an international organization owned by its 189 member countries, is one of the five institutions of the WBG.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institution is legally and financially independent, with separate assets and liabilities. IBRD is not liable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obligations of the other institutions.</w:t>
      </w:r>
    </w:p>
    <w:p>
      <w:pPr>
        <w:autoSpaceDN w:val="0"/>
        <w:autoSpaceDE w:val="0"/>
        <w:widowControl/>
        <w:spacing w:line="240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a Multilateral Development Bank (MDB) that combines knowledge services and financing with a global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reach. IBRD’s value is derived from its ability to help eligible borrowing members address their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challenges and meet their rising demand for innovative products. IBRD provides loans, guarantees,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products for development-focused projects and programs to creditworthy middle-income and low-income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to support sustainable development. By operating across a full range of country clients, IBRD maintains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depth of development knowledge, uses its convening power to promote development, and coordinates responses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regional and global challenges.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 countries use IBRD’s technical advice and analysis and convening power to develop or implement better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policies, programs, and reforms that help sustain development over the long term. The products delivered range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development data, to reports on key social economic and social issues at the local, country, regional and global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levels. The products also include knowledge-sharing workshops focused on local issues, flagship events and fora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address the most pressing global development challenges.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Business Model</w:t>
      </w:r>
    </w:p>
    <w:p>
      <w:pPr>
        <w:autoSpaceDN w:val="0"/>
        <w:autoSpaceDE w:val="0"/>
        <w:widowControl/>
        <w:spacing w:line="240" w:lineRule="exact" w:before="124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objective is not to maximize profits, but to earn adequate income to ensure that it has the long-term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capacity necessary to support its development activities. IBRD seeks to generate sufficient revenue to finance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 as well as to be able to set aside funds in reserves to strengthen its financial position. It also seeks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provide support to IDA and trust funds through income transfers for other developmental purposes.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strength rests on the support it receives from its shareholders, and on its array of financial policies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practices. Shareholder support for IBRD is reflected in the capital backing it continues to receive from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 and in the record of its borrowing member countries in meeting their debt service obligations to IBRD.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Sound financial and risk management policies and practices have enabled IBRD to maintain adequate capital,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diversify its funding sources, hold a portfolio of liquid investments to meet its financial commitments, and limit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risks, including credit and market risks.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offers its borrowers, in middle income and creditworthy low-income countries, long-term loans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maturities up to 35 years. For some projects, the maximum loan maturity can be extended to up to 50 years.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Borrowers may customize their repayment terms to meet their debt management or project needs in multiple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currencies. Borrowers have generally preferred loans denominated in U.S. dollars and euros. IBRD also supports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borrowers by providing access to risk management products such as derivative instruments, including currency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swaps and interest rate caps and collars.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meet its development goals, IBRD intermediates funds for lending from the international capital markets.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 are financed through its equity and from borrowings raised in the capital markets. IBRD is rated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triple-A by the major rating agencies and its bonds are viewed as high-quality securities by investors.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funding strategy is aimed at achieving the best long-term value on a sustainable basis for its borrowing members.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strategy has enabled IBRD to borrow at favorable market terms and pass the savings on to its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members. IBRD’s annual funding volumes vary from year to year, and funds raised are used to finance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projects and programs in member countries. Funds not deployed for lending are maintained in IBRD’s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 to supply liquidity for its operations.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 to manage its exposure to various market risks from the above activities. These are used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align the interest and currency composition of its assets (loan and investment portfolios) with that of its liabilities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(borrowing portfolio), and to stabilize earnings on the portion of the loan portfolio funded by equity. See Section IV: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Management for additional details on how IBRD uses derivatives. </w:t>
      </w:r>
    </w:p>
    <w:p>
      <w:pPr>
        <w:autoSpaceDN w:val="0"/>
        <w:autoSpaceDE w:val="0"/>
        <w:widowControl/>
        <w:spacing w:line="224" w:lineRule="exact" w:before="229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6     IBRD Management's Discussion and Analysis: September 30, 2024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240" w:lineRule="exact" w:before="10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believes that these risk management strategies, taken together, effectively manage market risk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operations from an economic perspective. However, these strategies entail the use of derivatives,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introduces volatility in net income through unrealized mark-to-market gains and losses (particularly given the long-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 nature of some of IBRD’s assets and liabilities). Accordingly, Management makes decisions on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 without reference to unrealized mark-to-market gains and losses on risk management instruments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non-trading portfolios – see Basis of Reporting – Allocable Income.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Financial Performance 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primary sources of revenue are from loans and investments, both net of funding costs (Figure 1).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revenue is used for administrative expenses, provision for losses on loans and other exposures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2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(LLP),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transfers to Reserves, Surplus, and for other development purposes, including transfers to IDA.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other development activities generate non-interest revenue that is classified as Revenue from externally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activities. These external funds include trust fund fees, reimbursable funds, and revenues from fee-based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services to member countries. Non-interest revenue from externally funded activities provides additional capacity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support the development needs of client countries.</w:t>
      </w:r>
    </w:p>
    <w:p>
      <w:pPr>
        <w:autoSpaceDN w:val="0"/>
        <w:autoSpaceDE w:val="0"/>
        <w:widowControl/>
        <w:spacing w:line="202" w:lineRule="exact" w:before="14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1: Sources and Uses of Revenue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090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5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Basis of Reporting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financial statements conform with accounting principles generally accepted in the United States of America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(U.S. GAAP). All financial instruments in the investment and borrowing portfolios and all derivatives are reported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at fair value, with changes in fair value reported in the Statements of Income, except for changes in IBRD’s own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credit, which are reflected in Other Comprehensive Income. IBRD’s loans are reported at amortized cost.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uses net income as the basis for deriving allocable income, as discussed below.</w:t>
      </w:r>
    </w:p>
    <w:p>
      <w:pPr>
        <w:autoSpaceDN w:val="0"/>
        <w:tabs>
          <w:tab w:pos="100" w:val="left"/>
        </w:tabs>
        <w:autoSpaceDE w:val="0"/>
        <w:widowControl/>
        <w:spacing w:line="192" w:lineRule="exact" w:before="1518" w:after="0"/>
        <w:ind w:left="10" w:right="0" w:firstLine="0"/>
        <w:jc w:val="left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2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 Other exposures include deferred drawdown options (DDO), irrevocable commitments, exposures to member countries’ derivatives </w:t>
      </w:r>
      <w:r>
        <w:rPr>
          <w:rFonts w:ascii="Arial" w:hAnsi="Arial" w:eastAsia="Arial"/>
          <w:b w:val="0"/>
          <w:i/>
          <w:color w:val="000000"/>
          <w:sz w:val="16"/>
        </w:rPr>
        <w:t>and guarantees.</w:t>
      </w:r>
    </w:p>
    <w:p>
      <w:pPr>
        <w:autoSpaceDN w:val="0"/>
        <w:autoSpaceDE w:val="0"/>
        <w:widowControl/>
        <w:spacing w:line="224" w:lineRule="exact" w:before="628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7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268" w:lineRule="exact" w:before="40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Allocable Income </w:t>
      </w:r>
    </w:p>
    <w:p>
      <w:pPr>
        <w:autoSpaceDN w:val="0"/>
        <w:autoSpaceDE w:val="0"/>
        <w:widowControl/>
        <w:spacing w:line="240" w:lineRule="exact" w:before="88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Articles of Agreement (the Articles) require that the Governors determine the allocation of income at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end of every fiscal year. Allocable income, which is a non-GAAP financial measure, is an internal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measure that reflects income available for allocation. IBRD defines allocable income as net income after certain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adjustments, that are approved by the Board at the end of every fiscal year. These adjustments primarily relate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unrealized mark-to-market gains and losses associated with the non-trading portfolios, as well as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Governors-approved and other transfers, which primarily relate to the allocation of the prior year’s net income.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See Section III: Financial Results Section and Table 2, for details of the adjustments to reported net income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calculate allocable income.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volatility in IBRD’s net income is often driven by the unrealized mark-to-market gains and losses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instruments in IBRD’s non-trading portfolios. IBRD’s risk management strategy entails the use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 to manage market risk. These derivatives are primarily used to align the interest rate and currency bases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IBRD's assets and liabilities. IBRD has elected not to designate any hedging relationships for accounting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purposes. Rather, all derivative instruments are reported at fair value on the Balance Sheets, with changes in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values reflected in the Statements of Income.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line with its financial risk management policies, for the non-trading portfolios, unrealized mark-to-market gains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losses from instruments carried at fair value (borrowing portfolio, and derivatives in the loans and other Asset/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Liability Management (ALM) portfolios) are excluded from allocable income.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the trading portfolio (investment portfolio), allocable income includes both realized and unrealized mark-to-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gains and losses. In some cases, the unrealized mark-to-market gains and losses on certain trades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excluded from allocable income when the underlying item is an asset held at amortized cost.</w:t>
      </w:r>
    </w:p>
    <w:p>
      <w:pPr>
        <w:autoSpaceDN w:val="0"/>
        <w:autoSpaceDE w:val="0"/>
        <w:widowControl/>
        <w:spacing w:line="224" w:lineRule="exact" w:before="839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8     IBRD Management's Discussion and Analysis: September 30, 2024</w:t>
      </w:r>
    </w:p>
    <w:p>
      <w:pPr>
        <w:sectPr>
          <w:pgSz w:w="12240" w:h="15840"/>
          <w:pgMar w:top="31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312" w:lineRule="exact" w:before="302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III: Financial Results</w:t>
      </w:r>
    </w:p>
    <w:p>
      <w:pPr>
        <w:autoSpaceDN w:val="0"/>
        <w:autoSpaceDE w:val="0"/>
        <w:widowControl/>
        <w:spacing w:line="268" w:lineRule="exact" w:before="32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Results and Portfolio Performance</w:t>
      </w:r>
    </w:p>
    <w:p>
      <w:pPr>
        <w:autoSpaceDN w:val="0"/>
        <w:autoSpaceDE w:val="0"/>
        <w:widowControl/>
        <w:spacing w:line="240" w:lineRule="exact" w:before="12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is a discussion of the key drivers of IBRD’s financial performance, including a reconciliation between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net income and allocable income.</w:t>
      </w:r>
    </w:p>
    <w:p>
      <w:pPr>
        <w:autoSpaceDN w:val="0"/>
        <w:autoSpaceDE w:val="0"/>
        <w:widowControl/>
        <w:spacing w:line="202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2: Condensed Statements of Income</w:t>
      </w:r>
    </w:p>
    <w:p>
      <w:pPr>
        <w:autoSpaceDN w:val="0"/>
        <w:autoSpaceDE w:val="0"/>
        <w:widowControl/>
        <w:spacing w:line="178" w:lineRule="exact" w:before="5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30"/>
        <w:ind w:left="0" w:right="728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Impact on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430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three months ended September 30,</w:t>
            </w:r>
          </w:p>
        </w:tc>
        <w:tc>
          <w:tcPr>
            <w:tcW w:type="dxa" w:w="180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112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Decrease</w:t>
            </w:r>
          </w:p>
        </w:tc>
        <w:tc>
          <w:tcPr>
            <w:tcW w:type="dxa" w:w="128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80" w:lineRule="exact" w:before="136" w:after="1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on interest earning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8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interest revenue, net of funding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$ 1,292 $ 1,149 </w:t>
            </w:r>
          </w:p>
        </w:tc>
        <w:tc>
          <w:tcPr>
            <w:tcW w:type="dxa" w:w="10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(2)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143</w:t>
            </w:r>
          </w:p>
        </w:tc>
      </w:tr>
      <w:tr>
        <w:trPr>
          <w:trHeight w:hRule="exact" w:val="52"/>
        </w:trPr>
        <w:tc>
          <w:tcPr>
            <w:tcW w:type="dxa" w:w="52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ALM derivatives, net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(416) </w:t>
            </w:r>
          </w:p>
        </w:tc>
        <w:tc>
          <w:tcPr>
            <w:tcW w:type="dxa" w:w="4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(422)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</w:t>
            </w:r>
          </w:p>
        </w:tc>
      </w:tr>
      <w:tr>
        <w:trPr>
          <w:trHeight w:hRule="exact" w:val="254"/>
        </w:trPr>
        <w:tc>
          <w:tcPr>
            <w:tcW w:type="dxa" w:w="5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Investment revenue, net of funding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a,b</w:t>
            </w:r>
          </w:p>
        </w:tc>
        <w:tc>
          <w:tcPr>
            <w:tcW w:type="dxa" w:w="10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5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revenue on interest earning assets, net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895 $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748 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147</w:t>
            </w:r>
          </w:p>
        </w:tc>
      </w:tr>
      <w:tr>
        <w:trPr>
          <w:trHeight w:hRule="exact" w:val="218"/>
        </w:trPr>
        <w:tc>
          <w:tcPr>
            <w:tcW w:type="dxa" w:w="5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exposures, release (charge)</w:t>
            </w:r>
          </w:p>
        </w:tc>
        <w:tc>
          <w:tcPr>
            <w:tcW w:type="dxa" w:w="10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194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(205)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399</w:t>
            </w:r>
          </w:p>
        </w:tc>
      </w:tr>
      <w:tr>
        <w:trPr>
          <w:trHeight w:hRule="exact" w:val="228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non-interest expenses (Table 7)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(393)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(366)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(27)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"/>
        </w:trPr>
        <w:tc>
          <w:tcPr>
            <w:tcW w:type="dxa" w:w="52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pension cost, other than service cost (Table 7)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4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4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(4)</w:t>
            </w:r>
          </w:p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52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other revenue (Table 6)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4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(3)</w:t>
            </w:r>
          </w:p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Board of Governors-approved and other transfers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(815)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(80)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(735)</w:t>
            </w:r>
          </w:p>
        </w:tc>
        <w:tc>
          <w:tcPr>
            <w:tcW w:type="dxa" w:w="450"/>
            <w:tcBorders/>
            <w:shd w:fill="b5b6b5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5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Non-functional currency translation adjustment (losses) gains, net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(47)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(55)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8"/>
        </w:trPr>
        <w:tc>
          <w:tcPr>
            <w:tcW w:type="dxa" w:w="5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(losses) gains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(423)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500 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(923)</w:t>
            </w:r>
          </w:p>
        </w:tc>
        <w:tc>
          <w:tcPr>
            <w:tcW w:type="dxa" w:w="450"/>
            <w:tcBorders>
              <w:bottom w:sz="8.0" w:val="single" w:color="#000000"/>
            </w:tcBorders>
            <w:shd w:fill="b5b6b5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5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(loss) income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(518) 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683 </w:t>
            </w:r>
          </w:p>
        </w:tc>
        <w:tc>
          <w:tcPr>
            <w:tcW w:type="dxa" w:w="10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(1,201)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26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Adjustments to reconcile net income to allocable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72"/>
        </w:trPr>
        <w:tc>
          <w:tcPr>
            <w:tcW w:type="dxa" w:w="5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and other adjustments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5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Board of Governors-approved and other transfers 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815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735</w:t>
            </w:r>
          </w:p>
        </w:tc>
      </w:tr>
      <w:tr>
        <w:trPr>
          <w:trHeight w:hRule="exact" w:val="284"/>
        </w:trPr>
        <w:tc>
          <w:tcPr>
            <w:tcW w:type="dxa" w:w="5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Non-functional currency translation adjustment losses (gains), net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  <w:tc>
          <w:tcPr>
            <w:tcW w:type="dxa" w:w="1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55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52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losses (gains)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3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423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(500) </w:t>
            </w:r>
          </w:p>
        </w:tc>
        <w:tc>
          <w:tcPr>
            <w:tcW w:type="dxa" w:w="18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923</w:t>
            </w:r>
          </w:p>
        </w:tc>
      </w:tr>
      <w:tr>
        <w:trPr>
          <w:trHeight w:hRule="exact" w:val="220"/>
        </w:trPr>
        <w:tc>
          <w:tcPr>
            <w:tcW w:type="dxa" w:w="52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Allocable income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743 $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222 </w:t>
            </w:r>
          </w:p>
        </w:tc>
        <w:tc>
          <w:tcPr>
            <w:tcW w:type="dxa" w:w="18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521</w:t>
            </w:r>
          </w:p>
        </w:tc>
      </w:tr>
      <w:tr>
        <w:trPr>
          <w:trHeight w:hRule="exact" w:val="140"/>
        </w:trPr>
        <w:tc>
          <w:tcPr>
            <w:tcW w:type="dxa" w:w="528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6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6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10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related derivatives. 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1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unrealized mark-to-market gains on the Investments-trading portfolio, except forward contracts related to assets held at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amortized cost, and Post Employment Benefit Plan (PEBP) and Post Retirement Contribution Reserve Fund (PCRF) assets.</w:t>
      </w:r>
    </w:p>
    <w:p>
      <w:pPr>
        <w:autoSpaceDN w:val="0"/>
        <w:autoSpaceDE w:val="0"/>
        <w:widowControl/>
        <w:spacing w:line="178" w:lineRule="exact" w:before="4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Adjusted to exclude amounts reclassified to realized gains (losses).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Adjustment to pension accounting expense to arrive at pension plan contributions. Pension plan and PCRF contributions were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$67 million in FY25 YTD and $66 million in FY24 YTD.</w:t>
      </w:r>
    </w:p>
    <w:p>
      <w:pPr>
        <w:autoSpaceDN w:val="0"/>
        <w:autoSpaceDE w:val="0"/>
        <w:widowControl/>
        <w:spacing w:line="200" w:lineRule="exact" w:before="27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3: Condensed Balance Sheets</w:t>
      </w:r>
    </w:p>
    <w:p>
      <w:pPr>
        <w:autoSpaceDN w:val="0"/>
        <w:autoSpaceDE w:val="0"/>
        <w:widowControl/>
        <w:spacing w:line="178" w:lineRule="exact" w:before="62" w:after="3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3188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As of</w:t>
            </w:r>
          </w:p>
        </w:tc>
        <w:tc>
          <w:tcPr>
            <w:tcW w:type="dxa" w:w="1576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September 30, 2024</w:t>
            </w:r>
          </w:p>
        </w:tc>
        <w:tc>
          <w:tcPr>
            <w:tcW w:type="dxa" w:w="1190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June 30, 2024</w:t>
            </w:r>
          </w:p>
        </w:tc>
        <w:tc>
          <w:tcPr>
            <w:tcW w:type="dxa" w:w="341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Decrease</w:t>
            </w: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Increase</w:t>
            </w:r>
          </w:p>
        </w:tc>
      </w:tr>
      <w:tr>
        <w:trPr>
          <w:trHeight w:hRule="exact" w:val="321"/>
        </w:trPr>
        <w:tc>
          <w:tcPr>
            <w:tcW w:type="dxa" w:w="318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and due from banks</w:t>
            </w:r>
          </w:p>
        </w:tc>
        <w:tc>
          <w:tcPr>
            <w:tcW w:type="dxa" w:w="57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gridSpan w:val="2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94,853 $ </w:t>
            </w:r>
          </w:p>
        </w:tc>
        <w:tc>
          <w:tcPr>
            <w:tcW w:type="dxa" w:w="81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83,297 </w:t>
            </w:r>
          </w:p>
        </w:tc>
        <w:tc>
          <w:tcPr>
            <w:tcW w:type="dxa" w:w="341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4" w:after="0"/>
              <w:ind w:left="0" w:right="8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11,556</w:t>
            </w:r>
          </w:p>
        </w:tc>
      </w:tr>
      <w:tr>
        <w:trPr>
          <w:trHeight w:hRule="exact" w:val="240"/>
        </w:trPr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loans outstanding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266,328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3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6,092</w:t>
            </w:r>
          </w:p>
        </w:tc>
      </w:tr>
      <w:tr>
        <w:trPr>
          <w:trHeight w:hRule="exact" w:val="229"/>
        </w:trPr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1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508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3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52</w:t>
            </w:r>
          </w:p>
        </w:tc>
      </w:tr>
      <w:tr>
        <w:trPr>
          <w:trHeight w:hRule="exact" w:val="274"/>
        </w:trPr>
        <w:tc>
          <w:tcPr>
            <w:tcW w:type="dxa" w:w="31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  <w:tc>
          <w:tcPr>
            <w:tcW w:type="dxa" w:w="195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14,432 </w:t>
            </w:r>
          </w:p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12,623 </w:t>
            </w:r>
          </w:p>
        </w:tc>
        <w:tc>
          <w:tcPr>
            <w:tcW w:type="dxa" w:w="3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1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1,809</w:t>
            </w:r>
          </w:p>
        </w:tc>
      </w:tr>
      <w:tr>
        <w:trPr>
          <w:trHeight w:hRule="exact" w:val="220"/>
        </w:trPr>
        <w:tc>
          <w:tcPr>
            <w:tcW w:type="dxa" w:w="31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376,121 $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356,612 </w:t>
            </w:r>
          </w:p>
        </w:tc>
        <w:tc>
          <w:tcPr>
            <w:tcW w:type="dxa" w:w="3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19,509</w:t>
            </w:r>
          </w:p>
        </w:tc>
      </w:tr>
      <w:tr>
        <w:trPr>
          <w:trHeight w:hRule="exact" w:val="240"/>
        </w:trPr>
        <w:tc>
          <w:tcPr>
            <w:tcW w:type="dxa" w:w="31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956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287,131 </w:t>
            </w:r>
          </w:p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34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25,341</w:t>
            </w:r>
          </w:p>
        </w:tc>
      </w:tr>
      <w:tr>
        <w:trPr>
          <w:trHeight w:hRule="exact" w:val="241"/>
        </w:trPr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14,606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3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5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(8,122)</w:t>
            </w:r>
          </w:p>
        </w:tc>
      </w:tr>
      <w:tr>
        <w:trPr>
          <w:trHeight w:hRule="exact" w:val="225"/>
        </w:trPr>
        <w:tc>
          <w:tcPr>
            <w:tcW w:type="dxa" w:w="3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19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9,866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8,610 </w:t>
            </w:r>
          </w:p>
        </w:tc>
        <w:tc>
          <w:tcPr>
            <w:tcW w:type="dxa" w:w="3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1,256</w:t>
            </w:r>
          </w:p>
        </w:tc>
      </w:tr>
      <w:tr>
        <w:trPr>
          <w:trHeight w:hRule="exact" w:val="274"/>
        </w:trPr>
        <w:tc>
          <w:tcPr>
            <w:tcW w:type="dxa" w:w="31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</w:t>
            </w:r>
          </w:p>
        </w:tc>
        <w:tc>
          <w:tcPr>
            <w:tcW w:type="dxa" w:w="195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64,518 </w:t>
            </w:r>
          </w:p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63,484 </w:t>
            </w:r>
          </w:p>
        </w:tc>
        <w:tc>
          <w:tcPr>
            <w:tcW w:type="dxa" w:w="34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1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1,034</w:t>
            </w:r>
          </w:p>
        </w:tc>
      </w:tr>
      <w:tr>
        <w:trPr>
          <w:trHeight w:hRule="exact" w:val="220"/>
        </w:trPr>
        <w:tc>
          <w:tcPr>
            <w:tcW w:type="dxa" w:w="31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Liabilities and Equity</w:t>
            </w:r>
          </w:p>
        </w:tc>
        <w:tc>
          <w:tcPr>
            <w:tcW w:type="dxa" w:w="576"/>
            <w:vMerge w:val="restart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80"/>
            <w:gridSpan w:val="2"/>
            <w:vMerge w:val="restart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376,121 $ </w:t>
            </w:r>
          </w:p>
        </w:tc>
        <w:tc>
          <w:tcPr>
            <w:tcW w:type="dxa" w:w="810"/>
            <w:vMerge w:val="restart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356,612 </w:t>
            </w:r>
          </w:p>
        </w:tc>
        <w:tc>
          <w:tcPr>
            <w:tcW w:type="dxa" w:w="3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19,509</w:t>
            </w:r>
          </w:p>
        </w:tc>
      </w:tr>
      <w:tr>
        <w:trPr>
          <w:trHeight w:hRule="exact" w:val="238"/>
        </w:trPr>
        <w:tc>
          <w:tcPr>
            <w:tcW w:type="dxa" w:w="318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4.0" w:val="single" w:color="#929292"/>
            </w:tcBorders>
          </w:tcPr>
          <w:p/>
        </w:tc>
        <w:tc>
          <w:tcPr>
            <w:tcW w:type="dxa" w:w="3146"/>
            <w:gridSpan w:val="2"/>
            <w:vMerge/>
            <w:tcBorders>
              <w:top w:sz="8.0" w:val="single" w:color="#000000"/>
              <w:bottom w:sz="4.0" w:val="single" w:color="#929292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4.0" w:val="single" w:color="#929292"/>
            </w:tcBorders>
          </w:tcPr>
          <w:p/>
        </w:tc>
        <w:tc>
          <w:tcPr>
            <w:tcW w:type="dxa" w:w="341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fair value of IBRD’s loans was $265,758 million as of September 30, 2024 ($257,415 million – June 30, 2024).</w:t>
      </w:r>
    </w:p>
    <w:p>
      <w:pPr>
        <w:autoSpaceDN w:val="0"/>
        <w:autoSpaceDE w:val="0"/>
        <w:widowControl/>
        <w:spacing w:line="224" w:lineRule="exact" w:before="1562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9</w:t>
      </w:r>
    </w:p>
    <w:p>
      <w:pPr>
        <w:sectPr>
          <w:pgSz w:w="12240" w:h="15840"/>
          <w:pgMar w:top="25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22" w:lineRule="exact" w:before="24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main drivers of the change in the Balance Sheet items are below: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120" w:after="0"/>
        <w:ind w:left="3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investments and due from banks primarily due to net new debt issuances exceeding net loan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disbursements;</w:t>
      </w:r>
    </w:p>
    <w:p>
      <w:pPr>
        <w:autoSpaceDN w:val="0"/>
        <w:tabs>
          <w:tab w:pos="720" w:val="left"/>
        </w:tabs>
        <w:autoSpaceDE w:val="0"/>
        <w:widowControl/>
        <w:spacing w:line="224" w:lineRule="exact" w:before="82" w:after="0"/>
        <w:ind w:left="3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Increase in net loans outstanding primarily from net loan disbursements and translation adjustment gains;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54" w:after="0"/>
        <w:ind w:left="3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other assets mainly due to the purchase of assets at amortized cost associated with forward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contracts;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66" w:after="0"/>
        <w:ind w:left="3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borrowings primarily due to net new issuances and unrealized mark-to-market losses as a result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decrease in relevant interest rates, with offsetting gains on borrowing-related derivatives that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decreased derivative liabilities; and</w:t>
      </w:r>
    </w:p>
    <w:p>
      <w:pPr>
        <w:autoSpaceDN w:val="0"/>
        <w:tabs>
          <w:tab w:pos="720" w:val="left"/>
        </w:tabs>
        <w:autoSpaceDE w:val="0"/>
        <w:widowControl/>
        <w:spacing w:line="240" w:lineRule="exact" w:before="54" w:after="0"/>
        <w:ind w:left="3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equity, primarily due to the increase in accumulated other comprehensive income and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increase in paid-in capital during FY25 YTD.</w:t>
      </w:r>
    </w:p>
    <w:p>
      <w:pPr>
        <w:autoSpaceDN w:val="0"/>
        <w:autoSpaceDE w:val="0"/>
        <w:widowControl/>
        <w:spacing w:line="268" w:lineRule="exact" w:before="3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Net (Loss) Income </w:t>
      </w:r>
    </w:p>
    <w:p>
      <w:pPr>
        <w:autoSpaceDN w:val="0"/>
        <w:autoSpaceDE w:val="0"/>
        <w:widowControl/>
        <w:spacing w:line="240" w:lineRule="exact" w:before="12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net loss was $518 million for the first three months of FY25, compared with net income of $683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same period in FY24. The $1,201 million decrease was due to the unrealized mark-to market losses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non-trading portfolios in FY25 YTD, compared to unrealized mark-to market gains in FY24 YTD,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higher Board of Governors-approved and other transfers, partially offset by a release of provision for losses on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other exposures in FY25 YTD, compared to a provision expense in FY24 YTD (Table 2).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Lending activities</w:t>
      </w:r>
    </w:p>
    <w:p>
      <w:pPr>
        <w:autoSpaceDN w:val="0"/>
        <w:autoSpaceDE w:val="0"/>
        <w:widowControl/>
        <w:spacing w:line="244" w:lineRule="exact" w:before="14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Loan Interest Revenue</w:t>
      </w:r>
    </w:p>
    <w:p>
      <w:pPr>
        <w:autoSpaceDN w:val="0"/>
        <w:autoSpaceDE w:val="0"/>
        <w:widowControl/>
        <w:spacing w:line="240" w:lineRule="exact" w:before="126" w:after="146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pricing policy, the lending rates for loans are based on the underlying cost of the borrowings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loans. After the effect of related derivatives, the loan and borrowing portfolios are based on variable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rates. The portion of the loan portfolio funded by equity is sensitive to changes in short-term interest rates.</w:t>
      </w:r>
    </w:p>
    <w:p>
      <w:pPr>
        <w:sectPr>
          <w:pgSz w:w="12240" w:h="15840"/>
          <w:pgMar w:top="25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2: Loans interest revenue and funding cost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(including related derivatives)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dollars, YTD</w:t>
      </w:r>
    </w:p>
    <w:p>
      <w:pPr>
        <w:sectPr>
          <w:type w:val="continuous"/>
          <w:pgSz w:w="12240" w:h="15840"/>
          <w:pgMar w:top="256" w:right="1370" w:bottom="136" w:left="1440" w:header="720" w:footer="720" w:gutter="0"/>
          <w:cols w:num="2" w:equalWidth="0">
            <w:col w:w="4662" w:space="0"/>
            <w:col w:w="4768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122"/>
        <w:ind w:left="334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3: Loan interest revenue, net of funding </w:t>
      </w:r>
      <w:r>
        <w:rPr>
          <w:rFonts w:ascii="Arial" w:hAnsi="Arial" w:eastAsia="Arial"/>
          <w:b/>
          <w:i w:val="0"/>
          <w:color w:val="000000"/>
          <w:sz w:val="18"/>
        </w:rPr>
        <w:t>costs ᵃ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dollars, YTD</w:t>
      </w:r>
    </w:p>
    <w:p>
      <w:pPr>
        <w:sectPr>
          <w:type w:val="nextColumn"/>
          <w:pgSz w:w="12240" w:h="15840"/>
          <w:pgMar w:top="256" w:right="1370" w:bottom="136" w:left="1440" w:header="720" w:footer="720" w:gutter="0"/>
          <w:cols w:num="2" w:equalWidth="0">
            <w:col w:w="4662" w:space="0"/>
            <w:col w:w="47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rPr>
          <w:trHeight w:hRule="exact" w:val="160"/>
        </w:trPr>
        <w:tc>
          <w:tcPr>
            <w:tcW w:type="dxa" w:w="732"/>
            <w:vMerge w:val="restart"/>
            <w:tcBorders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50"/>
            <w:gridSpan w:val="5"/>
            <w:vMerge w:val="restart"/>
            <w:tcBorders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interest revenue (including related derivatives)</w:t>
            </w:r>
          </w:p>
        </w:tc>
        <w:tc>
          <w:tcPr>
            <w:tcW w:type="dxa" w:w="1198"/>
            <w:vMerge w:val="restart"/>
            <w:tcBorders>
              <w:bottom w:sz="18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interest revenue, net of funding costs ᵃ</w:t>
            </w:r>
          </w:p>
        </w:tc>
      </w:tr>
      <w:tr>
        <w:trPr>
          <w:trHeight w:hRule="exact" w:val="90"/>
        </w:trPr>
        <w:tc>
          <w:tcPr>
            <w:tcW w:type="dxa" w:w="786"/>
            <w:vMerge/>
            <w:tcBorders>
              <w:bottom w:sz="18.0" w:val="single" w:color="#6D6D6D"/>
            </w:tcBorders>
          </w:tcPr>
          <w:p/>
        </w:tc>
        <w:tc>
          <w:tcPr>
            <w:tcW w:type="dxa" w:w="3930"/>
            <w:gridSpan w:val="5"/>
            <w:vMerge/>
            <w:tcBorders>
              <w:bottom w:sz="18.0" w:val="single" w:color="#6D6D6D"/>
            </w:tcBorders>
          </w:tcPr>
          <w:p/>
        </w:tc>
        <w:tc>
          <w:tcPr>
            <w:tcW w:type="dxa" w:w="786"/>
            <w:vMerge/>
            <w:tcBorders>
              <w:bottom w:sz="18.0" w:val="single" w:color="#6D6D6D"/>
            </w:tcBorders>
          </w:tcPr>
          <w:p/>
        </w:tc>
        <w:tc>
          <w:tcPr>
            <w:tcW w:type="dxa" w:w="3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Loan interest revenue, net of funding costs ᵃ and </w:t>
            </w:r>
          </w:p>
        </w:tc>
      </w:tr>
      <w:tr>
        <w:trPr>
          <w:trHeight w:hRule="exact" w:val="70"/>
        </w:trPr>
        <w:tc>
          <w:tcPr>
            <w:tcW w:type="dxa" w:w="732"/>
            <w:vMerge w:val="restart"/>
            <w:tcBorders>
              <w:top w:sz="18.0" w:val="single" w:color="#6D6D6D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50"/>
            <w:gridSpan w:val="5"/>
            <w:vMerge w:val="restart"/>
            <w:tcBorders>
              <w:top w:sz="18.0" w:val="single" w:color="#6D6D6D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funding cost (including related derivatives)</w:t>
            </w:r>
          </w:p>
        </w:tc>
        <w:tc>
          <w:tcPr>
            <w:tcW w:type="dxa" w:w="1198"/>
            <w:vMerge w:val="restart"/>
            <w:tcBorders>
              <w:top w:sz="18.0" w:val="single" w:color="#6D6D6D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786"/>
            <w:vMerge/>
            <w:tcBorders>
              <w:top w:sz="18.0" w:val="single" w:color="#6D6D6D"/>
              <w:bottom w:sz="6.0" w:val="single" w:color="#E5E6E5"/>
            </w:tcBorders>
          </w:tcPr>
          <w:p/>
        </w:tc>
        <w:tc>
          <w:tcPr>
            <w:tcW w:type="dxa" w:w="3930"/>
            <w:gridSpan w:val="5"/>
            <w:vMerge/>
            <w:tcBorders>
              <w:top w:sz="18.0" w:val="single" w:color="#6D6D6D"/>
              <w:bottom w:sz="6.0" w:val="single" w:color="#E5E6E5"/>
            </w:tcBorders>
          </w:tcPr>
          <w:p/>
        </w:tc>
        <w:tc>
          <w:tcPr>
            <w:tcW w:type="dxa" w:w="786"/>
            <w:vMerge/>
            <w:tcBorders>
              <w:top w:sz="18.0" w:val="single" w:color="#6D6D6D"/>
              <w:bottom w:sz="6.0" w:val="single" w:color="#E5E6E5"/>
            </w:tcBorders>
          </w:tcPr>
          <w:p/>
        </w:tc>
        <w:tc>
          <w:tcPr>
            <w:tcW w:type="dxa" w:w="3780"/>
            <w:gridSpan w:val="5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Other ALM derivatives, combined</w:t>
            </w:r>
          </w:p>
        </w:tc>
      </w:tr>
      <w:tr>
        <w:trPr>
          <w:trHeight w:hRule="exact" w:val="220"/>
        </w:trPr>
        <w:tc>
          <w:tcPr>
            <w:tcW w:type="dxa" w:w="73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5,000</w:t>
            </w:r>
          </w:p>
        </w:tc>
        <w:tc>
          <w:tcPr>
            <w:tcW w:type="dxa" w:w="3450"/>
            <w:gridSpan w:val="5"/>
            <w:vMerge w:val="restart"/>
            <w:tcBorders>
              <w:top w:sz="6.0" w:val="single" w:color="#E5E6E5"/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84400" cy="990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99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9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  <w:tc>
          <w:tcPr>
            <w:tcW w:type="dxa" w:w="3780"/>
            <w:gridSpan w:val="5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7100" cy="4953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495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8"/>
        </w:trPr>
        <w:tc>
          <w:tcPr>
            <w:tcW w:type="dxa" w:w="732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19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342"/>
        </w:trPr>
        <w:tc>
          <w:tcPr>
            <w:tcW w:type="dxa" w:w="73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4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19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1,500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280"/>
        </w:trPr>
        <w:tc>
          <w:tcPr>
            <w:tcW w:type="dxa" w:w="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2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280"/>
        </w:trPr>
        <w:tc>
          <w:tcPr>
            <w:tcW w:type="dxa" w:w="786"/>
            <w:vMerge/>
            <w:tcBorders/>
          </w:tcPr>
          <w:p/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342"/>
        </w:trPr>
        <w:tc>
          <w:tcPr>
            <w:tcW w:type="dxa" w:w="732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1,000</w:t>
            </w:r>
          </w:p>
        </w:tc>
        <w:tc>
          <w:tcPr>
            <w:tcW w:type="dxa" w:w="3930"/>
            <w:gridSpan w:val="5"/>
            <w:vMerge/>
            <w:tcBorders>
              <w:top w:sz="6.0" w:val="single" w:color="#E5E6E5"/>
              <w:bottom w:sz="6.0" w:val="single" w:color="#E5E6E5"/>
            </w:tcBorders>
          </w:tcPr>
          <w:p/>
        </w:tc>
        <w:tc>
          <w:tcPr>
            <w:tcW w:type="dxa" w:w="119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2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0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2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  <w:tr>
        <w:trPr>
          <w:trHeight w:hRule="exact" w:val="158"/>
        </w:trPr>
        <w:tc>
          <w:tcPr>
            <w:tcW w:type="dxa" w:w="732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3450"/>
            <w:gridSpan w:val="5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786"/>
            <w:vMerge/>
            <w:tcBorders/>
          </w:tcPr>
          <w:p/>
        </w:tc>
        <w:tc>
          <w:tcPr>
            <w:tcW w:type="dxa" w:w="70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8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0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86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  <w:tc>
          <w:tcPr>
            <w:tcW w:type="dxa" w:w="1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8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a.</w:t>
            </w:r>
          </w:p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786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786"/>
            <w:vMerge/>
            <w:tcBorders>
              <w:top w:sz="6.0" w:val="single" w:color="#E5E6E5"/>
            </w:tcBorders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3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Includes related derivatives.</w:t>
            </w:r>
          </w:p>
        </w:tc>
      </w:tr>
    </w:tbl>
    <w:p>
      <w:pPr>
        <w:autoSpaceDN w:val="0"/>
        <w:autoSpaceDE w:val="0"/>
        <w:widowControl/>
        <w:spacing w:line="240" w:lineRule="exact" w:before="206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first three months of FY25, IBRD’s loan interest revenue, net of funding costs was $1,292 million,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$143 million, compared with the same period in FY24 (Figure 3), consistent with the increase in average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balance and interest rates during the period. Other ALM derivatives moderate the impact of interest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on the portion of the loan portfolio that is sensitive to interest rate movements, thereby partially stabilizing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net interest revenue earned from these loans (as illustrated in Figure 3). Other ALM derivatives comprise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swaps, which are used to convert the variable rate cash flows from these loans to fixed rate cash flows.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2024, as a part of the package of measures to deliver on WBG's new vision and mission, the Board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approved adjustments to IBRD's loan pricing, which include: 1) a grace period, during which no commitment fees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charged for the first four years for Investment Project Financing (IPFs) and Program-for-Results Financing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(PforRs); 2) removal of the prepayment premium; 3) introduction of a 7 year Short Maturity Loan (SML) with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maturity discount applied to the contractual spread; and 4) inclusion of all Climate Resilient Debt Clause (CRDC)-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eligible IBRD borrowers in the lowest pricing group.</w:t>
      </w:r>
    </w:p>
    <w:p>
      <w:pPr>
        <w:autoSpaceDN w:val="0"/>
        <w:autoSpaceDE w:val="0"/>
        <w:widowControl/>
        <w:spacing w:line="224" w:lineRule="exact" w:before="72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10     IBRD Management's Discussion and Analysis: September 30, 2024</w:t>
      </w:r>
    </w:p>
    <w:p>
      <w:pPr>
        <w:sectPr>
          <w:type w:val="continuous"/>
          <w:pgSz w:w="12240" w:h="15840"/>
          <w:pgMar w:top="25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4" w:lineRule="exact" w:before="24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26" w:after="86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recorded income from the release of provision for losses on loans and other exposures of $194 million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FY25 YTD, compared to $205 million expense in FY24 YTD. As the majority of IBRD’s loans carry a variable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rate, changes in forward interest rates impact the expected losses that are recorded through the provision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on loans and other exposures in the statements of income. Accordingly, the decrease was primarily driven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lower loss given default (severity) compared to FY24 YTD, due to the decrease in relevant implied forward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rates in FY25 YTD, compared to the increase in relevant implied forward interest rates in FY24 YTD.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severity reflects the expected losses from delays in receiving interest payments since IBRD does not charge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on overdue interest.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528"/>
        </w:trPr>
        <w:tc>
          <w:tcPr>
            <w:tcW w:type="dxa" w:w="52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6" w:after="0"/>
              <w:ind w:left="20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4: Change in Net Loans Outstanding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4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6" w:after="0"/>
              <w:ind w:left="20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5: Net Loans Outstanding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40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270</w:t>
            </w:r>
          </w:p>
        </w:tc>
        <w:tc>
          <w:tcPr>
            <w:tcW w:type="dxa" w:w="4820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.0000000000001" w:type="dxa"/>
            </w:tblPr>
            <w:tblGrid>
              <w:gridCol w:w="4820"/>
            </w:tblGrid>
            <w:tr>
              <w:trPr>
                <w:trHeight w:hRule="exact" w:val="702"/>
              </w:trPr>
              <w:tc>
                <w:tcPr>
                  <w:tcW w:type="dxa" w:w="4674"/>
                  <w:tcBorders>
                    <w:start w:sz="6.012442588806152" w:val="single" w:color="#898A89"/>
                    <w:bottom w:sz="6.012442588806152" w:val="single" w:color="#898A89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4.00000000000006" w:type="dxa"/>
                  </w:tblPr>
                  <w:tblGrid>
                    <w:gridCol w:w="779"/>
                    <w:gridCol w:w="779"/>
                    <w:gridCol w:w="779"/>
                    <w:gridCol w:w="779"/>
                    <w:gridCol w:w="779"/>
                    <w:gridCol w:w="779"/>
                  </w:tblGrid>
                  <w:tr>
                    <w:trPr>
                      <w:trHeight w:hRule="exact" w:val="686"/>
                    </w:trPr>
                    <w:tc>
                      <w:tcPr>
                        <w:tcW w:type="dxa" w:w="8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48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260.2</w:t>
                        </w:r>
                      </w:p>
                    </w:tc>
                    <w:tc>
                      <w:tcPr>
                        <w:tcW w:type="dxa" w:w="5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6.5</w:t>
                        </w:r>
                      </w:p>
                    </w:tc>
                    <w:tc>
                      <w:tcPr>
                        <w:tcW w:type="dxa" w:w="89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06" w:after="0"/>
                          <w:ind w:left="0" w:right="23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(2.8)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0.2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2.2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6" w:after="0"/>
                          <w:ind w:left="0" w:right="9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266.3</w:t>
                        </w:r>
                      </w:p>
                    </w:tc>
                  </w:tr>
                  <w:tr>
                    <w:trPr>
                      <w:trHeight w:hRule="exact" w:val="56"/>
                    </w:trPr>
                    <w:tc>
                      <w:tcPr>
                        <w:tcW w:type="dxa" w:w="82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89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35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7.99999999999955" w:type="dxa"/>
            </w:tblPr>
            <w:tblGrid>
              <w:gridCol w:w="587"/>
              <w:gridCol w:w="587"/>
              <w:gridCol w:w="587"/>
              <w:gridCol w:w="587"/>
              <w:gridCol w:w="587"/>
              <w:gridCol w:w="587"/>
            </w:tblGrid>
            <w:tr>
              <w:trPr>
                <w:trHeight w:hRule="exact" w:val="522"/>
              </w:trPr>
              <w:tc>
                <w:tcPr>
                  <w:tcW w:type="dxa" w:w="3260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652"/>
                    <w:gridCol w:w="652"/>
                    <w:gridCol w:w="652"/>
                    <w:gridCol w:w="652"/>
                    <w:gridCol w:w="652"/>
                  </w:tblGrid>
                  <w:tr>
                    <w:trPr>
                      <w:trHeight w:hRule="exact" w:val="668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218.8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227.1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241.0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260.2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266.3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7"/>
                  <w:tcBorders>
                    <w:start w:sz="6.012297630310059" w:val="single" w:color="#898A89"/>
                    <w:bottom w:sz="6.012297630310059" w:val="single" w:color="#58595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3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260</w:t>
            </w:r>
          </w:p>
        </w:tc>
        <w:tc>
          <w:tcPr>
            <w:tcW w:type="dxa" w:w="5550"/>
            <w:gridSpan w:val="1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240</w:t>
            </w:r>
          </w:p>
        </w:tc>
        <w:tc>
          <w:tcPr>
            <w:tcW w:type="dxa" w:w="2775"/>
            <w:gridSpan w:val="5"/>
            <w:vMerge/>
            <w:tcBorders/>
          </w:tcPr>
          <w:p/>
        </w:tc>
      </w:tr>
      <w:tr>
        <w:trPr>
          <w:trHeight w:hRule="exact" w:val="20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250</w:t>
            </w:r>
          </w:p>
          <w:p>
            <w:pPr>
              <w:autoSpaceDN w:val="0"/>
              <w:autoSpaceDE w:val="0"/>
              <w:widowControl/>
              <w:spacing w:line="178" w:lineRule="exact" w:before="5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240</w:t>
            </w:r>
          </w:p>
          <w:p>
            <w:pPr>
              <w:autoSpaceDN w:val="0"/>
              <w:autoSpaceDE w:val="0"/>
              <w:widowControl/>
              <w:spacing w:line="178" w:lineRule="exact" w:before="5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230</w:t>
            </w:r>
          </w:p>
        </w:tc>
        <w:tc>
          <w:tcPr>
            <w:tcW w:type="dxa" w:w="5550"/>
            <w:gridSpan w:val="10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180</w:t>
            </w:r>
          </w:p>
          <w:p>
            <w:pPr>
              <w:autoSpaceDN w:val="0"/>
              <w:autoSpaceDE w:val="0"/>
              <w:widowControl/>
              <w:spacing w:line="178" w:lineRule="exact" w:before="34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120</w:t>
            </w:r>
          </w:p>
          <w:p>
            <w:pPr>
              <w:autoSpaceDN w:val="0"/>
              <w:autoSpaceDE w:val="0"/>
              <w:widowControl/>
              <w:spacing w:line="178" w:lineRule="exact" w:before="34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  <w:p>
            <w:pPr>
              <w:autoSpaceDN w:val="0"/>
              <w:autoSpaceDE w:val="0"/>
              <w:widowControl/>
              <w:spacing w:line="180" w:lineRule="exact" w:before="33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775"/>
            <w:gridSpan w:val="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Net Loans </w:t>
            </w:r>
          </w:p>
        </w:tc>
        <w:tc>
          <w:tcPr>
            <w:tcW w:type="dxa" w:w="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Gross loan </w:t>
            </w:r>
          </w:p>
        </w:tc>
        <w:tc>
          <w:tcPr>
            <w:tcW w:type="dxa" w:w="7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Repayments </w:t>
            </w:r>
          </w:p>
        </w:tc>
        <w:tc>
          <w:tcPr>
            <w:tcW w:type="dxa" w:w="8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Accumulated </w:t>
            </w:r>
          </w:p>
        </w:tc>
        <w:tc>
          <w:tcPr>
            <w:tcW w:type="dxa" w:w="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Translation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4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Net Loans </w:t>
            </w:r>
          </w:p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5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 24</w:t>
            </w:r>
          </w:p>
        </w:tc>
      </w:tr>
      <w:tr>
        <w:trPr>
          <w:trHeight w:hRule="exact" w:val="140"/>
        </w:trPr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outstanding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disbursements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and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provision for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adjustments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outstanding </w:t>
            </w:r>
          </w:p>
        </w:tc>
        <w:tc>
          <w:tcPr>
            <w:tcW w:type="dxa" w:w="1110"/>
            <w:gridSpan w:val="2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as of June </w:t>
            </w:r>
          </w:p>
        </w:tc>
        <w:tc>
          <w:tcPr>
            <w:tcW w:type="dxa" w:w="16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prepayments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loan losses</w:t>
            </w:r>
          </w:p>
        </w:tc>
        <w:tc>
          <w:tcPr>
            <w:tcW w:type="dxa" w:w="9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and others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as of </w:t>
            </w:r>
          </w:p>
        </w:tc>
        <w:tc>
          <w:tcPr>
            <w:tcW w:type="dxa" w:w="1110"/>
            <w:gridSpan w:val="2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>30, 2024</w:t>
            </w:r>
          </w:p>
        </w:tc>
        <w:tc>
          <w:tcPr>
            <w:tcW w:type="dxa" w:w="401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2"/>
              </w:rPr>
              <w:t xml:space="preserve">September </w:t>
            </w:r>
          </w:p>
        </w:tc>
        <w:tc>
          <w:tcPr>
            <w:tcW w:type="dxa" w:w="1110"/>
            <w:gridSpan w:val="2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  <w:tc>
          <w:tcPr>
            <w:tcW w:type="dxa" w:w="5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4" w:lineRule="exact" w:before="6" w:after="0"/>
        <w:ind w:left="0" w:right="4410" w:firstLine="0"/>
        <w:jc w:val="right"/>
      </w:pPr>
      <w:r>
        <w:rPr>
          <w:shd w:val="clear" w:color="auto" w:fill="6d6d6d"/>
          <w:rFonts w:ascii="ArialMT" w:hAnsi="ArialMT" w:eastAsia="ArialMT"/>
          <w:b w:val="0"/>
          <w:i w:val="0"/>
          <w:color w:val="595959"/>
          <w:sz w:val="12"/>
        </w:rPr>
        <w:t>30, 2024</w:t>
      </w:r>
    </w:p>
    <w:p>
      <w:pPr>
        <w:autoSpaceDN w:val="0"/>
        <w:autoSpaceDE w:val="0"/>
        <w:widowControl/>
        <w:spacing w:line="240" w:lineRule="exact" w:before="19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S</w:t>
      </w:r>
      <w:r>
        <w:rPr>
          <w:shd w:val="clear" w:color="auto" w:fill="6d6d6d"/>
          <w:rFonts w:ascii="TimesNewRoman" w:hAnsi="TimesNewRoman" w:eastAsia="TimesNewRoman"/>
          <w:b w:val="0"/>
          <w:i w:val="0"/>
          <w:color w:val="000000"/>
          <w:sz w:val="20"/>
        </w:rPr>
        <w:t>eptem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ber 30, 2024, 81% of IBRD’s total loans outstanding after derivatives, were denominated in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dollars, </w:t>
      </w:r>
      <w:r>
        <w:rPr>
          <w:shd w:val="clear" w:color="auto" w:fill="6d6d6d"/>
          <w:rFonts w:ascii="TimesNewRoman" w:hAnsi="TimesNewRoman" w:eastAsia="TimesNewRoman"/>
          <w:b w:val="0"/>
          <w:i w:val="0"/>
          <w:color w:val="000000"/>
          <w:sz w:val="20"/>
        </w:rPr>
        <w:t>and 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9% were denominated in euro. For the regional presentation of loans outstanding, see Notes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</w:t>
      </w:r>
      <w:r>
        <w:rPr>
          <w:shd w:val="clear" w:color="auto" w:fill="6d6d6d"/>
          <w:rFonts w:ascii="TimesNewRoman" w:hAnsi="TimesNewRoman" w:eastAsia="TimesNewRoman"/>
          <w:b w:val="0"/>
          <w:i w:val="0"/>
          <w:color w:val="000000"/>
          <w:sz w:val="20"/>
        </w:rPr>
        <w:t>sed Qu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arterly Financial Statements, Note D: Loans and other exposures, Table D6.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Gross disbursements were $6.5 billion in FY25 YTD, a $0.7 billion increase compared with the same period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FY24 (Table 4). </w:t>
      </w:r>
    </w:p>
    <w:p>
      <w:pPr>
        <w:autoSpaceDN w:val="0"/>
        <w:autoSpaceDE w:val="0"/>
        <w:widowControl/>
        <w:spacing w:line="202" w:lineRule="exact" w:before="200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4: Gross Disbursements by Region</w:t>
      </w:r>
    </w:p>
    <w:p>
      <w:pPr>
        <w:autoSpaceDN w:val="0"/>
        <w:autoSpaceDE w:val="0"/>
        <w:widowControl/>
        <w:spacing w:line="180" w:lineRule="exact" w:before="66" w:after="34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244"/>
        </w:trPr>
        <w:tc>
          <w:tcPr>
            <w:tcW w:type="dxa" w:w="418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354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4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2024 </w:t>
            </w:r>
          </w:p>
        </w:tc>
        <w:tc>
          <w:tcPr>
            <w:tcW w:type="dxa" w:w="846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47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2023 </w:t>
            </w:r>
          </w:p>
        </w:tc>
        <w:tc>
          <w:tcPr>
            <w:tcW w:type="dxa" w:w="846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1110"/>
            <w:gridSpan w:val="2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6"/>
        </w:trPr>
        <w:tc>
          <w:tcPr>
            <w:tcW w:type="dxa" w:w="418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354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4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846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70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784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 </w:t>
            </w:r>
          </w:p>
        </w:tc>
        <w:tc>
          <w:tcPr>
            <w:tcW w:type="dxa" w:w="846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1 %</w:t>
            </w:r>
          </w:p>
        </w:tc>
        <w:tc>
          <w:tcPr>
            <w:tcW w:type="dxa" w:w="55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56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*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1,282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939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525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2,274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39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(1,749)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1,734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1,766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31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1,017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777 </w:t>
            </w:r>
          </w:p>
        </w:tc>
        <w:tc>
          <w:tcPr>
            <w:tcW w:type="dxa" w:w="8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  <w:tc>
          <w:tcPr>
            <w:tcW w:type="dxa" w:w="11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</w:tr>
      <w:tr>
        <w:trPr>
          <w:trHeight w:hRule="exact" w:val="246"/>
        </w:trPr>
        <w:tc>
          <w:tcPr>
            <w:tcW w:type="dxa" w:w="41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1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1,865 </w:t>
            </w:r>
          </w:p>
        </w:tc>
        <w:tc>
          <w:tcPr>
            <w:tcW w:type="dxa" w:w="84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29 </w:t>
            </w:r>
          </w:p>
        </w:tc>
        <w:tc>
          <w:tcPr>
            <w:tcW w:type="dxa" w:w="10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8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550 </w:t>
            </w:r>
          </w:p>
        </w:tc>
        <w:tc>
          <w:tcPr>
            <w:tcW w:type="dxa" w:w="84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  <w:tc>
          <w:tcPr>
            <w:tcW w:type="dxa" w:w="1110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1,315 </w:t>
            </w:r>
          </w:p>
        </w:tc>
      </w:tr>
      <w:tr>
        <w:trPr>
          <w:trHeight w:hRule="exact" w:val="220"/>
        </w:trPr>
        <w:tc>
          <w:tcPr>
            <w:tcW w:type="dxa" w:w="418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6,469 </w:t>
            </w:r>
          </w:p>
        </w:tc>
        <w:tc>
          <w:tcPr>
            <w:tcW w:type="dxa" w:w="84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7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5,807 </w:t>
            </w:r>
          </w:p>
        </w:tc>
        <w:tc>
          <w:tcPr>
            <w:tcW w:type="dxa" w:w="84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662 </w:t>
            </w:r>
          </w:p>
        </w:tc>
      </w:tr>
      <w:tr>
        <w:trPr>
          <w:trHeight w:hRule="exact" w:val="214"/>
        </w:trPr>
        <w:tc>
          <w:tcPr>
            <w:tcW w:type="dxa" w:w="418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4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14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4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48"/>
            <w:vMerge/>
            <w:tcBorders>
              <w:top w:sz="8.0" w:val="single" w:color="#000000"/>
              <w:bottom w:sz="4.0" w:val="single" w:color="#929292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72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0.5%.</w:t>
      </w:r>
    </w:p>
    <w:p>
      <w:pPr>
        <w:autoSpaceDN w:val="0"/>
        <w:autoSpaceDE w:val="0"/>
        <w:widowControl/>
        <w:spacing w:line="224" w:lineRule="exact" w:before="279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11</w:t>
      </w:r>
    </w:p>
    <w:p>
      <w:pPr>
        <w:sectPr>
          <w:pgSz w:w="12240" w:h="15840"/>
          <w:pgMar w:top="256" w:right="1370" w:bottom="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22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commitments were $5.6 billion in FY25 YTD, a $2.2 billion increase compared with the same period in FY24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(Table 5).</w:t>
      </w:r>
    </w:p>
    <w:p>
      <w:pPr>
        <w:autoSpaceDN w:val="0"/>
        <w:autoSpaceDE w:val="0"/>
        <w:widowControl/>
        <w:spacing w:line="202" w:lineRule="exact" w:before="20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5: Net Commitments by Region</w:t>
      </w:r>
    </w:p>
    <w:p>
      <w:pPr>
        <w:autoSpaceDN w:val="0"/>
        <w:autoSpaceDE w:val="0"/>
        <w:widowControl/>
        <w:spacing w:line="180" w:lineRule="exact" w:before="66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6"/>
        </w:trPr>
        <w:tc>
          <w:tcPr>
            <w:tcW w:type="dxa" w:w="418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344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99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44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99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  <w:tc>
          <w:tcPr>
            <w:tcW w:type="dxa" w:w="34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0"/>
        </w:trPr>
        <w:tc>
          <w:tcPr>
            <w:tcW w:type="dxa" w:w="418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344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988 </w:t>
            </w:r>
          </w:p>
        </w:tc>
        <w:tc>
          <w:tcPr>
            <w:tcW w:type="dxa" w:w="99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18 %</w:t>
            </w:r>
          </w:p>
        </w:tc>
        <w:tc>
          <w:tcPr>
            <w:tcW w:type="dxa" w:w="440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 </w:t>
            </w:r>
          </w:p>
        </w:tc>
        <w:tc>
          <w:tcPr>
            <w:tcW w:type="dxa" w:w="99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6 %</w:t>
            </w:r>
          </w:p>
        </w:tc>
        <w:tc>
          <w:tcPr>
            <w:tcW w:type="dxa" w:w="340"/>
            <w:vMerge w:val="restart"/>
            <w:tcBorders>
              <w:top w:sz="4.0" w:val="single" w:color="#929292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804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653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1,130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34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(477)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2,299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41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2,189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1,627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29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1,510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45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</w:tr>
      <w:tr>
        <w:trPr>
          <w:trHeight w:hRule="exact" w:val="240"/>
        </w:trPr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350 </w:t>
            </w:r>
          </w:p>
        </w:tc>
        <w:tc>
          <w:tcPr>
            <w:tcW w:type="dxa" w:w="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(350) </w:t>
            </w:r>
          </w:p>
        </w:tc>
      </w:tr>
      <w:tr>
        <w:trPr>
          <w:trHeight w:hRule="exact" w:val="250"/>
        </w:trPr>
        <w:tc>
          <w:tcPr>
            <w:tcW w:type="dxa" w:w="41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  <w:tc>
          <w:tcPr>
            <w:tcW w:type="dxa" w:w="99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  <w:tc>
          <w:tcPr>
            <w:tcW w:type="dxa" w:w="1049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(46) </w:t>
            </w:r>
          </w:p>
        </w:tc>
      </w:tr>
      <w:tr>
        <w:trPr>
          <w:trHeight w:hRule="exact" w:val="220"/>
        </w:trPr>
        <w:tc>
          <w:tcPr>
            <w:tcW w:type="dxa" w:w="418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5,567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3,330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2,237 </w:t>
            </w:r>
          </w:p>
        </w:tc>
      </w:tr>
      <w:tr>
        <w:trPr>
          <w:trHeight w:hRule="exact" w:val="80"/>
        </w:trPr>
        <w:tc>
          <w:tcPr>
            <w:tcW w:type="dxa" w:w="418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8.0" w:val="single" w:color="#000000"/>
              <w:bottom w:sz="4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23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Climate Resilient Debt Clause (CRDC)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offers CRDCs for eligible new and existing loans (with minimum remaining maturity of five years),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certain borrowers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CRDCs allow eligible borrowing countries to defer payments of principal and/or interest (and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loan charges) for up to two years after an eligible event. After the deferral period, the borrower will restart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of the deferred amounts according to a modified amortization schedule that maintains the original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weighted average maturity of the loan, and does not extend the final maturity date. The eligible events when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clause was first offered were tropical cyclones and earthquakes. In October 2024, the Board approved an extension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covered events to include all natural catastrophes, including droughts, floods, and public health emergencies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caused by a biological event. As of September 30, 2024, out of 24 eligible countries (including Blend countries), 8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elected to include CRDCs in their loans, totaling $912 million of outstanding principal. Total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outstanding for the 24 countries as of September 30, 2024 that are eligible for CRDCs was $5,413 million (inclusive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the $912 million).</w:t>
      </w:r>
    </w:p>
    <w:p>
      <w:pPr>
        <w:autoSpaceDN w:val="0"/>
        <w:autoSpaceDE w:val="0"/>
        <w:widowControl/>
        <w:spacing w:line="244" w:lineRule="exact" w:before="19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Investing Activities</w:t>
      </w:r>
    </w:p>
    <w:p>
      <w:pPr>
        <w:autoSpaceDN w:val="0"/>
        <w:autoSpaceDE w:val="0"/>
        <w:widowControl/>
        <w:spacing w:line="244" w:lineRule="exact" w:before="12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Net Investment Portfolio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net investment portfolio was $92.8 billion as of September 30, 2024 ($82.7 billion as of June 30, 2024).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amount, $88.7 billion related to the liquid asset portfolio ($78.8 billion as of June 30, 2024). See Notes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Quarterly Financial Statements, Note C: Investments. The increase in the liquid asset portfolio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primarily due to the net new debt issuances that were higher than net loan disbursements during the period, and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line with the higher target liquidity level in FY25 (Table 14).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Net Investment Revenue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net investment revenue remained relatively stable at $19 million in FY25 YTD. The higher funding costs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that exceeded the increase in investment interest income mainly due to higher average interest rates, were largely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offset by the unrealized mark-to-market gains on the trading portfolio, compared to unrealized mark-to-market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losses in FY24 YTD.</w:t>
      </w:r>
    </w:p>
    <w:p>
      <w:pPr>
        <w:autoSpaceDN w:val="0"/>
        <w:autoSpaceDE w:val="0"/>
        <w:widowControl/>
        <w:spacing w:line="234" w:lineRule="exact" w:before="3276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13"/>
        </w:rPr>
        <w:t>3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Eligible borrowers are IBRD Small State Economies, members of the Small States Forum, and Small Island Developing States as defined by the </w:t>
      </w:r>
    </w:p>
    <w:p>
      <w:pPr>
        <w:autoSpaceDN w:val="0"/>
        <w:autoSpaceDE w:val="0"/>
        <w:widowControl/>
        <w:spacing w:line="156" w:lineRule="exact" w:before="48" w:after="0"/>
        <w:ind w:left="10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United Nations.</w:t>
      </w:r>
    </w:p>
    <w:p>
      <w:pPr>
        <w:autoSpaceDN w:val="0"/>
        <w:autoSpaceDE w:val="0"/>
        <w:widowControl/>
        <w:spacing w:line="224" w:lineRule="exact" w:before="62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12     IBRD Management's Discussion and Analysis: September 30, 2024</w:t>
      </w:r>
    </w:p>
    <w:p>
      <w:pPr>
        <w:sectPr>
          <w:pgSz w:w="12240" w:h="15840"/>
          <w:pgMar w:top="25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  <w:tr>
        <w:trPr>
          <w:trHeight w:hRule="exact" w:val="710"/>
        </w:trPr>
        <w:tc>
          <w:tcPr>
            <w:tcW w:type="dxa" w:w="3956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54" w:after="0"/>
              <w:ind w:left="18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6: Net Investment Portfolio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5408"/>
            <w:tcBorders>
              <w:top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54" w:after="0"/>
              <w:ind w:left="1264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Figure 7: Investment Revenue, net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dollars, YTD</w:t>
            </w:r>
          </w:p>
        </w:tc>
      </w:tr>
    </w:tbl>
    <w:p>
      <w:pPr>
        <w:autoSpaceDN w:val="0"/>
        <w:autoSpaceDE w:val="0"/>
        <w:widowControl/>
        <w:spacing w:line="180" w:lineRule="exact" w:before="252" w:after="16"/>
        <w:ind w:left="1474" w:right="3888" w:firstLine="3828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 xml:space="preserve">60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6"/>
        </w:rPr>
        <w:t xml:space="preserve">Liquid asset portfolio </w:t>
      </w:r>
      <w:r>
        <w:br/>
      </w:r>
      <w:r>
        <w:rPr>
          <w:rFonts w:ascii="ArialMT" w:hAnsi="ArialMT" w:eastAsia="ArialMT"/>
          <w:b w:val="0"/>
          <w:i w:val="0"/>
          <w:color w:val="595959"/>
          <w:sz w:val="16"/>
        </w:rPr>
        <w:t>Other investment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rPr>
          <w:trHeight w:hRule="exact" w:val="42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4200"/>
            <w:gridSpan w:val="5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.99999999999994" w:type="dxa"/>
            </w:tblPr>
            <w:tblGrid>
              <w:gridCol w:w="700"/>
              <w:gridCol w:w="700"/>
              <w:gridCol w:w="700"/>
              <w:gridCol w:w="700"/>
              <w:gridCol w:w="700"/>
              <w:gridCol w:w="700"/>
            </w:tblGrid>
            <w:tr>
              <w:trPr>
                <w:trHeight w:hRule="exact" w:val="310"/>
              </w:trPr>
              <w:tc>
                <w:tcPr>
                  <w:tcW w:type="dxa" w:w="3586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5.99999999999994" w:type="dxa"/>
                  </w:tblPr>
                  <w:tblGrid>
                    <w:gridCol w:w="717"/>
                    <w:gridCol w:w="717"/>
                    <w:gridCol w:w="717"/>
                    <w:gridCol w:w="717"/>
                    <w:gridCol w:w="717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346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3.1</w:t>
                        </w:r>
                      </w:p>
                    </w:tc>
                    <w:tc>
                      <w:tcPr>
                        <w:tcW w:type="dxa" w:w="714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86" w:after="0"/>
                          <w:ind w:left="0" w:right="7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3.3</w:t>
                        </w:r>
                      </w:p>
                    </w:tc>
                    <w:tc>
                      <w:tcPr>
                        <w:tcW w:type="dxa" w:w="714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88" w:after="0"/>
                          <w:ind w:left="0" w:right="7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3.8</w:t>
                        </w:r>
                      </w:p>
                    </w:tc>
                    <w:tc>
                      <w:tcPr>
                        <w:tcW w:type="dxa" w:w="714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86" w:after="0"/>
                          <w:ind w:left="0" w:right="66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3.9</w:t>
                        </w:r>
                      </w:p>
                    </w:tc>
                    <w:tc>
                      <w:tcPr>
                        <w:tcW w:type="dxa" w:w="714"/>
                        <w:tcBorders>
                          <w:bottom w:sz="18.399999999999864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0" w:after="0"/>
                          <w:ind w:left="0" w:right="7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4.1</w:t>
                        </w:r>
                      </w:p>
                    </w:tc>
                  </w:tr>
                  <w:tr>
                    <w:trPr>
                      <w:trHeight w:hRule="exact" w:val="52"/>
                    </w:trPr>
                    <w:tc>
                      <w:tcPr>
                        <w:tcW w:type="dxa" w:w="346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4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4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4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14"/>
                        <w:tcBorders>
                          <w:top w:sz="18.399999999999864" w:val="single" w:color="#6D6D6D"/>
                          <w:bottom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804"/>
                    </w:trPr>
                    <w:tc>
                      <w:tcPr>
                        <w:tcW w:type="dxa" w:w="346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82.8</w:t>
                        </w:r>
                      </w:p>
                    </w:tc>
                    <w:tc>
                      <w:tcPr>
                        <w:tcW w:type="dxa" w:w="714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40" w:after="0"/>
                          <w:ind w:left="0" w:right="34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78.8</w:t>
                        </w:r>
                      </w:p>
                    </w:tc>
                    <w:tc>
                      <w:tcPr>
                        <w:tcW w:type="dxa" w:w="714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556" w:after="0"/>
                          <w:ind w:left="0" w:right="28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75.4</w:t>
                        </w:r>
                      </w:p>
                    </w:tc>
                    <w:tc>
                      <w:tcPr>
                        <w:tcW w:type="dxa" w:w="714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540" w:after="0"/>
                          <w:ind w:left="0" w:right="22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78.8</w:t>
                        </w:r>
                      </w:p>
                    </w:tc>
                    <w:tc>
                      <w:tcPr>
                        <w:tcW w:type="dxa" w:w="714"/>
                        <w:tcBorders>
                          <w:top w:sz="24.0" w:val="single" w:color="#6D6D6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66" w:after="0"/>
                          <w:ind w:left="0" w:right="30" w:firstLine="0"/>
                          <w:jc w:val="righ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88.7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00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0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0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0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00"/>
                  <w:tcBorders>
                    <w:start w:sz="6.0" w:val="single" w:color="#898A89"/>
                    <w:bottom w:sz="6.0" w:val="single" w:color="#48494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40</w:t>
            </w:r>
          </w:p>
        </w:tc>
        <w:tc>
          <w:tcPr>
            <w:tcW w:type="dxa" w:w="3614"/>
            <w:gridSpan w:val="5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98700" cy="76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5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17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26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9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9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34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786"/>
            <w:vMerge/>
            <w:tcBorders/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28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948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150"/>
        </w:trPr>
        <w:tc>
          <w:tcPr>
            <w:tcW w:type="dxa" w:w="48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  <w:tc>
          <w:tcPr>
            <w:tcW w:type="dxa" w:w="786"/>
            <w:vMerge/>
            <w:tcBorders>
              <w:bottom w:sz="6.0" w:val="single" w:color="#E5E6E5"/>
            </w:tcBorders>
          </w:tcPr>
          <w:p/>
        </w:tc>
        <w:tc>
          <w:tcPr>
            <w:tcW w:type="dxa" w:w="3930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66"/>
        </w:trPr>
        <w:tc>
          <w:tcPr>
            <w:tcW w:type="dxa" w:w="48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0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124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 24</w:t>
            </w:r>
          </w:p>
        </w:tc>
        <w:tc>
          <w:tcPr>
            <w:tcW w:type="dxa" w:w="94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-20</w:t>
            </w:r>
          </w:p>
        </w:tc>
        <w:tc>
          <w:tcPr>
            <w:tcW w:type="dxa" w:w="71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42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4" w:lineRule="exact" w:before="32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Borrowing Activities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the borrowing portfolio was $302.9 billion, a $15.7 billion increase compared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2024 (Notes to Condensed Quarterly Financial Statements, Note E: Borrowings). The increase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primarily due to net new debt issuances during the period. New issuances of medium-and long-term debt of $17.6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during the first three months of FY25 were highly diversified by investor profile and location, with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average maturity of 5.4 years. The funds raised financed development lending operations and satisfied liquidity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requirements.</w:t>
      </w:r>
    </w:p>
    <w:p>
      <w:pPr>
        <w:autoSpaceDN w:val="0"/>
        <w:autoSpaceDE w:val="0"/>
        <w:widowControl/>
        <w:spacing w:line="210" w:lineRule="exact" w:before="138" w:after="382"/>
        <w:ind w:left="184" w:right="4896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8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Borrowing Portfolio (original maturities)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414"/>
        </w:trPr>
        <w:tc>
          <w:tcPr>
            <w:tcW w:type="dxa" w:w="528"/>
            <w:tcBorders>
              <w:bottom w:sz="6.0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94"/>
            <w:gridSpan w:val="3"/>
            <w:tcBorders>
              <w:bottom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Medium-and long-term</w:t>
            </w:r>
          </w:p>
        </w:tc>
        <w:tc>
          <w:tcPr>
            <w:tcW w:type="dxa" w:w="3938"/>
            <w:gridSpan w:val="2"/>
            <w:tcBorders>
              <w:bottom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Short-term</w:t>
            </w:r>
          </w:p>
        </w:tc>
      </w:tr>
      <w:tr>
        <w:trPr>
          <w:trHeight w:hRule="exact" w:val="546"/>
        </w:trPr>
        <w:tc>
          <w:tcPr>
            <w:tcW w:type="dxa" w:w="528"/>
            <w:tcBorders>
              <w:top w:sz="6.0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350 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280</w:t>
            </w:r>
          </w:p>
        </w:tc>
        <w:tc>
          <w:tcPr>
            <w:tcW w:type="dxa" w:w="6232"/>
            <w:gridSpan w:val="5"/>
            <w:vMerge w:val="restart"/>
            <w:tcBorders>
              <w:top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.99999999999983" w:type="dxa"/>
            </w:tblPr>
            <w:tblGrid>
              <w:gridCol w:w="6232"/>
            </w:tblGrid>
            <w:tr>
              <w:trPr>
                <w:trHeight w:hRule="exact" w:val="1376"/>
              </w:trPr>
              <w:tc>
                <w:tcPr>
                  <w:tcW w:type="dxa" w:w="3586"/>
                  <w:tcBorders>
                    <w:start w:sz="6.0" w:val="single" w:color="#898A89"/>
                    <w:bottom w:sz="6.0" w:val="single" w:color="#DADBD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5.99999999999994" w:type="dxa"/>
                  </w:tblPr>
                  <w:tblGrid>
                    <w:gridCol w:w="717"/>
                    <w:gridCol w:w="717"/>
                    <w:gridCol w:w="717"/>
                    <w:gridCol w:w="717"/>
                    <w:gridCol w:w="717"/>
                  </w:tblGrid>
                  <w:tr>
                    <w:trPr>
                      <w:trHeight w:hRule="exact" w:val="318"/>
                    </w:trPr>
                    <w:tc>
                      <w:tcPr>
                        <w:tcW w:type="dxa" w:w="640"/>
                        <w:tcBorders>
                          <w:bottom w:sz="17.59999999999991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720"/>
                        <w:vMerge w:val="restart"/>
                        <w:tcBorders>
                          <w:bottom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280" w:after="0"/>
                          <w:ind w:left="0" w:right="0" w:firstLine="0"/>
                          <w:jc w:val="center"/>
                        </w:pPr>
                        <w:r>
                          <w:rPr>
                            <w:u w:val="single" w:color="484948"/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15.1</w:t>
                        </w:r>
                      </w:p>
                    </w:tc>
                    <w:tc>
                      <w:tcPr>
                        <w:tcW w:type="dxa" w:w="720"/>
                        <w:vMerge w:val="restart"/>
                        <w:tcBorders>
                          <w:bottom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20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10.1</w:t>
                        </w:r>
                      </w:p>
                    </w:tc>
                    <w:tc>
                      <w:tcPr>
                        <w:tcW w:type="dxa" w:w="720"/>
                        <w:vMerge w:val="restart"/>
                        <w:tcBorders>
                          <w:bottom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10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9.0</w:t>
                        </w:r>
                      </w:p>
                    </w:tc>
                    <w:tc>
                      <w:tcPr>
                        <w:tcW w:type="dxa" w:w="640"/>
                        <w:vMerge w:val="restart"/>
                        <w:tcBorders>
                          <w:bottom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2" w:after="0"/>
                          <w:ind w:left="0" w:right="124" w:firstLine="0"/>
                          <w:jc w:val="right"/>
                        </w:pPr>
                        <w:r>
                          <w:rPr>
                            <w:u w:val="single" w:color="484948"/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14.7</w:t>
                        </w:r>
                      </w:p>
                    </w:tc>
                  </w:tr>
                  <w:tr>
                    <w:trPr>
                      <w:trHeight w:hRule="exact" w:val="164"/>
                    </w:trPr>
                    <w:tc>
                      <w:tcPr>
                        <w:tcW w:type="dxa" w:w="640"/>
                        <w:vMerge w:val="restart"/>
                        <w:tcBorders>
                          <w:top w:sz="17.59999999999991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595959"/>
                            <w:sz w:val="16"/>
                          </w:rPr>
                          <w:t>10.2</w:t>
                        </w:r>
                      </w:p>
                    </w:tc>
                    <w:tc>
                      <w:tcPr>
                        <w:tcW w:type="dxa" w:w="717"/>
                        <w:vMerge/>
                        <w:tcBorders>
                          <w:bottom w:sz="18.40000000000009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bottom w:sz="18.40000000000009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bottom w:sz="18.40000000000009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bottom w:sz="18.40000000000009" w:val="single" w:color="#484948"/>
                        </w:tcBorders>
                      </w:tcPr>
                      <w:p/>
                    </w:tc>
                  </w:tr>
                  <w:tr>
                    <w:trPr>
                      <w:trHeight w:hRule="exact" w:val="250"/>
                    </w:trPr>
                    <w:tc>
                      <w:tcPr>
                        <w:tcW w:type="dxa" w:w="717"/>
                        <w:vMerge/>
                        <w:tcBorders>
                          <w:top w:sz="17.59999999999991" w:val="single" w:color="#484948"/>
                        </w:tcBorders>
                      </w:tcPr>
                      <w:p/>
                    </w:tc>
                    <w:tc>
                      <w:tcPr>
                        <w:tcW w:type="dxa" w:w="720"/>
                        <w:vMerge w:val="restart"/>
                        <w:tcBorders>
                          <w:top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54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241.8</w:t>
                        </w:r>
                      </w:p>
                    </w:tc>
                    <w:tc>
                      <w:tcPr>
                        <w:tcW w:type="dxa" w:w="720"/>
                        <w:vMerge w:val="restart"/>
                        <w:tcBorders>
                          <w:top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4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256.7</w:t>
                        </w:r>
                      </w:p>
                    </w:tc>
                    <w:tc>
                      <w:tcPr>
                        <w:tcW w:type="dxa" w:w="720"/>
                        <w:vMerge w:val="restart"/>
                        <w:tcBorders>
                          <w:top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278.1</w:t>
                        </w:r>
                      </w:p>
                    </w:tc>
                    <w:tc>
                      <w:tcPr>
                        <w:tcW w:type="dxa" w:w="640"/>
                        <w:vMerge w:val="restart"/>
                        <w:tcBorders>
                          <w:top w:sz="18.40000000000009" w:val="single" w:color="#484948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8" w:lineRule="exact" w:before="424" w:after="0"/>
                          <w:ind w:left="160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288.2</w:t>
                        </w:r>
                      </w:p>
                    </w:tc>
                  </w:tr>
                  <w:tr>
                    <w:trPr>
                      <w:trHeight w:hRule="exact" w:val="534"/>
                    </w:trPr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243.5</w:t>
                        </w:r>
                      </w:p>
                    </w:tc>
                    <w:tc>
                      <w:tcPr>
                        <w:tcW w:type="dxa" w:w="717"/>
                        <w:vMerge/>
                        <w:tcBorders>
                          <w:top w:sz="18.40000000000009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top w:sz="18.40000000000009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top w:sz="18.40000000000009" w:val="single" w:color="#484948"/>
                        </w:tcBorders>
                      </w:tcPr>
                      <w:p/>
                    </w:tc>
                    <w:tc>
                      <w:tcPr>
                        <w:tcW w:type="dxa" w:w="717"/>
                        <w:vMerge/>
                        <w:tcBorders>
                          <w:top w:sz="18.40000000000009" w:val="single" w:color="#484948"/>
                        </w:tcBorders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00"/>
        </w:trPr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210 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140 </w:t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70</w:t>
            </w:r>
          </w:p>
        </w:tc>
        <w:tc>
          <w:tcPr>
            <w:tcW w:type="dxa" w:w="7860"/>
            <w:gridSpan w:val="5"/>
            <w:vMerge/>
            <w:tcBorders>
              <w:top w:sz="6.0" w:val="single" w:color="#898A89"/>
            </w:tcBorders>
          </w:tcPr>
          <w:p/>
        </w:tc>
      </w:tr>
      <w:tr>
        <w:trPr>
          <w:trHeight w:hRule="exact" w:val="46"/>
        </w:trPr>
        <w:tc>
          <w:tcPr>
            <w:tcW w:type="dxa" w:w="5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623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1572"/>
            <w:vMerge/>
            <w:tcBorders/>
          </w:tcPr>
          <w:p/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22</w:t>
            </w:r>
          </w:p>
        </w:tc>
        <w:tc>
          <w:tcPr>
            <w:tcW w:type="dxa" w:w="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23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24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Sep 24</w:t>
            </w:r>
          </w:p>
        </w:tc>
      </w:tr>
    </w:tbl>
    <w:p>
      <w:pPr>
        <w:autoSpaceDN w:val="0"/>
        <w:autoSpaceDE w:val="0"/>
        <w:widowControl/>
        <w:spacing w:line="244" w:lineRule="exact" w:before="20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Net Other Revenue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other revenue was lower by $3 million in FY25 YTD, compared with the same period in FY24. The decrease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was mainly due to unrealized mark-to-market losses from forward contracts with an asset held at amortized cost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underlying, partially offset by investment earnings from the PEBP and PCRF holdings.</w:t>
      </w:r>
    </w:p>
    <w:p>
      <w:pPr>
        <w:autoSpaceDN w:val="0"/>
        <w:autoSpaceDE w:val="0"/>
        <w:widowControl/>
        <w:spacing w:line="200" w:lineRule="exact" w:before="202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6: Net Other Revenue</w:t>
      </w:r>
    </w:p>
    <w:p>
      <w:pPr>
        <w:autoSpaceDN w:val="0"/>
        <w:autoSpaceDE w:val="0"/>
        <w:widowControl/>
        <w:spacing w:line="180" w:lineRule="exact" w:before="54" w:after="14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02"/>
        </w:trPr>
        <w:tc>
          <w:tcPr>
            <w:tcW w:type="dxa" w:w="599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three months ended September 30,</w:t>
            </w:r>
          </w:p>
        </w:tc>
        <w:tc>
          <w:tcPr>
            <w:tcW w:type="dxa" w:w="43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43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2023</w:t>
            </w:r>
          </w:p>
        </w:tc>
        <w:tc>
          <w:tcPr>
            <w:tcW w:type="dxa" w:w="25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  <w:tr>
        <w:trPr>
          <w:trHeight w:hRule="exact" w:val="236"/>
        </w:trPr>
        <w:tc>
          <w:tcPr>
            <w:tcW w:type="dxa" w:w="599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commitment fees</w:t>
            </w:r>
          </w:p>
        </w:tc>
        <w:tc>
          <w:tcPr>
            <w:tcW w:type="dxa" w:w="43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43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25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 fees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4"/>
        </w:trPr>
        <w:tc>
          <w:tcPr>
            <w:tcW w:type="dxa" w:w="59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Others, including net earnings from the PEBP and PCRF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134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</w:tr>
      <w:tr>
        <w:trPr>
          <w:trHeight w:hRule="exact" w:val="220"/>
        </w:trPr>
        <w:tc>
          <w:tcPr>
            <w:tcW w:type="dxa" w:w="59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other revenue (Table 2)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186"/>
        </w:trPr>
        <w:tc>
          <w:tcPr>
            <w:tcW w:type="dxa" w:w="599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29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Non-Interest Expenses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in Table 7, IBRD’s net non-interest expenses are primarily comprised of administrative expenses, net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from externally funded activities, and include costs related to Bank-executed activities for trust funds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externally funded activities. IBRD and IDA's administrative budget is a single resource envelope that funds the </w:t>
      </w:r>
    </w:p>
    <w:p>
      <w:pPr>
        <w:autoSpaceDN w:val="0"/>
        <w:autoSpaceDE w:val="0"/>
        <w:widowControl/>
        <w:spacing w:line="224" w:lineRule="exact" w:before="75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13</w:t>
      </w:r>
    </w:p>
    <w:p>
      <w:pPr>
        <w:sectPr>
          <w:pgSz w:w="12240" w:h="15840"/>
          <w:pgMar w:top="25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2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combined work programs of both entities. The allocation of net administrative expenses between IBRD and IDA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agreed cost and revenue-sharing methodology, approved by their Boards, which is primarily driven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relative level of lending, knowledge services, and other services between the two entities.</w:t>
      </w:r>
    </w:p>
    <w:p>
      <w:pPr>
        <w:autoSpaceDN w:val="0"/>
        <w:autoSpaceDE w:val="0"/>
        <w:widowControl/>
        <w:spacing w:line="202" w:lineRule="exact" w:before="146" w:after="0"/>
        <w:ind w:left="1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9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8"/>
        </w:rPr>
        <w:t>Net Non-Interest Expenses (GAAP basis)</w:t>
      </w:r>
    </w:p>
    <w:p>
      <w:pPr>
        <w:autoSpaceDN w:val="0"/>
        <w:autoSpaceDE w:val="0"/>
        <w:widowControl/>
        <w:spacing w:line="178" w:lineRule="exact" w:before="138" w:after="0"/>
        <w:ind w:left="18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YTD</w:t>
      </w:r>
    </w:p>
    <w:p>
      <w:pPr>
        <w:autoSpaceDN w:val="0"/>
        <w:autoSpaceDE w:val="0"/>
        <w:widowControl/>
        <w:spacing w:line="178" w:lineRule="exact" w:before="194" w:after="0"/>
        <w:ind w:left="20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400</w:t>
      </w:r>
    </w:p>
    <w:p>
      <w:pPr>
        <w:autoSpaceDN w:val="0"/>
        <w:tabs>
          <w:tab w:pos="704" w:val="left"/>
        </w:tabs>
        <w:autoSpaceDE w:val="0"/>
        <w:widowControl/>
        <w:spacing w:line="240" w:lineRule="auto" w:before="0" w:after="0"/>
        <w:ind w:left="20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300</w:t>
      </w:r>
      <w:r>
        <w:drawing>
          <wp:inline xmlns:a="http://schemas.openxmlformats.org/drawingml/2006/main" xmlns:pic="http://schemas.openxmlformats.org/drawingml/2006/picture">
            <wp:extent cx="2273300" cy="15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8" w:lineRule="exact" w:before="196" w:after="0"/>
        <w:ind w:left="20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200</w:t>
      </w:r>
    </w:p>
    <w:p>
      <w:pPr>
        <w:autoSpaceDN w:val="0"/>
        <w:autoSpaceDE w:val="0"/>
        <w:widowControl/>
        <w:spacing w:line="180" w:lineRule="exact" w:before="196" w:after="0"/>
        <w:ind w:left="20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100</w:t>
      </w:r>
    </w:p>
    <w:p>
      <w:pPr>
        <w:autoSpaceDN w:val="0"/>
        <w:autoSpaceDE w:val="0"/>
        <w:widowControl/>
        <w:spacing w:line="178" w:lineRule="exact" w:before="196" w:after="16"/>
        <w:ind w:left="380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5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0" w:lineRule="exact" w:before="312" w:after="0"/>
        <w:ind w:left="4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in net non-interest expenses from FY24 YTD to FY25 YTD, on a GAAP basis and on an allocable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income basis, was primarily driven by higher staff costs (Table 7).</w:t>
      </w:r>
    </w:p>
    <w:p>
      <w:pPr>
        <w:autoSpaceDN w:val="0"/>
        <w:autoSpaceDE w:val="0"/>
        <w:widowControl/>
        <w:spacing w:line="202" w:lineRule="exact" w:before="200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7: Net Non-Interest Expenses</w:t>
      </w:r>
    </w:p>
    <w:p>
      <w:pPr>
        <w:autoSpaceDN w:val="0"/>
        <w:autoSpaceDE w:val="0"/>
        <w:widowControl/>
        <w:spacing w:line="180" w:lineRule="exact" w:before="62" w:after="3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238"/>
        </w:trPr>
        <w:tc>
          <w:tcPr>
            <w:tcW w:type="dxa" w:w="49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three months ended September 30,</w:t>
            </w:r>
          </w:p>
        </w:tc>
        <w:tc>
          <w:tcPr>
            <w:tcW w:type="dxa" w:w="25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2023</w:t>
            </w:r>
          </w:p>
        </w:tc>
        <w:tc>
          <w:tcPr>
            <w:tcW w:type="dxa" w:w="98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3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Administrative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26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Staff costs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310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286 </w:t>
            </w:r>
          </w:p>
        </w:tc>
        <w:tc>
          <w:tcPr>
            <w:tcW w:type="dxa" w:w="5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Travel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Consultant fees and contractual services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 service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Communications and technology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Premises and equipment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52"/>
        </w:trPr>
        <w:tc>
          <w:tcPr>
            <w:tcW w:type="dxa" w:w="6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expenses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240"/>
        </w:trPr>
        <w:tc>
          <w:tcPr>
            <w:tcW w:type="dxa" w:w="6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administrative expenses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576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529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47 </w:t>
            </w:r>
          </w:p>
        </w:tc>
      </w:tr>
      <w:tr>
        <w:trPr>
          <w:trHeight w:hRule="exact" w:val="242"/>
        </w:trPr>
        <w:tc>
          <w:tcPr>
            <w:tcW w:type="dxa" w:w="61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Contributions to special programs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from externally funded activities: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26"/>
        </w:trPr>
        <w:tc>
          <w:tcPr>
            <w:tcW w:type="dxa" w:w="6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revenue – Bank-executed activities for trust funds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(111)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(98)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</w:tr>
      <w:tr>
        <w:trPr>
          <w:trHeight w:hRule="exact" w:val="252"/>
        </w:trPr>
        <w:tc>
          <w:tcPr>
            <w:tcW w:type="dxa" w:w="6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revenue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(73) </w:t>
            </w:r>
          </w:p>
        </w:tc>
        <w:tc>
          <w:tcPr>
            <w:tcW w:type="dxa" w:w="11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</w:tr>
      <w:tr>
        <w:trPr>
          <w:trHeight w:hRule="exact" w:val="240"/>
        </w:trPr>
        <w:tc>
          <w:tcPr>
            <w:tcW w:type="dxa" w:w="6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revenue from externally funded activities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(184) $ </w:t>
            </w:r>
          </w:p>
        </w:tc>
        <w:tc>
          <w:tcPr>
            <w:tcW w:type="dxa" w:w="11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(164) $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(20) </w:t>
            </w:r>
          </w:p>
        </w:tc>
      </w:tr>
      <w:tr>
        <w:trPr>
          <w:trHeight w:hRule="exact" w:val="228"/>
        </w:trPr>
        <w:tc>
          <w:tcPr>
            <w:tcW w:type="dxa" w:w="61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non-interest expenses (Table 2)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11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366 </w:t>
            </w:r>
          </w:p>
        </w:tc>
        <w:tc>
          <w:tcPr>
            <w:tcW w:type="dxa" w:w="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</w:tr>
      <w:tr>
        <w:trPr>
          <w:trHeight w:hRule="exact" w:val="252"/>
        </w:trPr>
        <w:tc>
          <w:tcPr>
            <w:tcW w:type="dxa" w:w="6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pension cost, other than service cost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(Table 2)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(44) </w:t>
            </w:r>
          </w:p>
        </w:tc>
        <w:tc>
          <w:tcPr>
            <w:tcW w:type="dxa" w:w="11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(48) </w:t>
            </w:r>
          </w:p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32"/>
        </w:trPr>
        <w:tc>
          <w:tcPr>
            <w:tcW w:type="dxa" w:w="6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GAAP basis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349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318 </w:t>
            </w:r>
          </w:p>
        </w:tc>
        <w:tc>
          <w:tcPr>
            <w:tcW w:type="dxa" w:w="4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180" w:lineRule="exact" w:before="40" w:after="32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Adjustments to arrive at net non-interest expenses - allocable income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04"/>
        </w:trPr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Pension, Externally Financed Outputs (EFO) and Reserve Advisory and Management 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28"/>
        </w:trPr>
        <w:tc>
          <w:tcPr>
            <w:tcW w:type="dxa" w:w="6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Partnership (RAMP)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6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allocable income basis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388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360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 </w:t>
            </w:r>
          </w:p>
        </w:tc>
      </w:tr>
      <w:tr>
        <w:trPr>
          <w:trHeight w:hRule="exact" w:val="262"/>
        </w:trPr>
        <w:tc>
          <w:tcPr>
            <w:tcW w:type="dxa" w:w="622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36" w:val="left"/>
        </w:tabs>
        <w:autoSpaceDE w:val="0"/>
        <w:widowControl/>
        <w:spacing w:line="192" w:lineRule="exact" w:before="2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 pension service cost represents the cost of benefits attributable to services performed by employees for the Bank during the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period. See Notes to Condensed Quarterly Financial Statements, Note K: Pension and Other Postretirement Benefits.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Amount is included in Other Non-interest expenses in the Condensed Statements of Income (Table 2).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Adjustments are included in the Pension and other adjustments line in Table 2. </w:t>
      </w:r>
    </w:p>
    <w:p>
      <w:pPr>
        <w:autoSpaceDN w:val="0"/>
        <w:autoSpaceDE w:val="0"/>
        <w:widowControl/>
        <w:spacing w:line="244" w:lineRule="exact" w:before="2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Unrealized mark-to-market gains and losses on non-trading portfolios</w:t>
      </w:r>
    </w:p>
    <w:p>
      <w:pPr>
        <w:autoSpaceDN w:val="0"/>
        <w:autoSpaceDE w:val="0"/>
        <w:widowControl/>
        <w:spacing w:line="240" w:lineRule="exact" w:before="128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Unrealized mark-to-market gains and losses associated with the non-trading portfolios are excluded from reported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income to arrive at allocable income. As a result, from a long-term financial sustainability perspective,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allocations are generally based on amounts that have been realized (except for the Investments-Trading portfolio,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previously discussed). For the first three months of FY25, net unrealized mark-to-market losses were $423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($500 million net unrealized mark-to-market gains for same period in FY24) (Table 2).</w:t>
      </w:r>
    </w:p>
    <w:p>
      <w:pPr>
        <w:autoSpaceDN w:val="0"/>
        <w:autoSpaceDE w:val="0"/>
        <w:widowControl/>
        <w:spacing w:line="224" w:lineRule="exact" w:before="1198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14     IBRD Management's Discussion and Analysis: September 30, 2024</w:t>
      </w:r>
    </w:p>
    <w:p>
      <w:pPr>
        <w:sectPr>
          <w:pgSz w:w="12240" w:h="15840"/>
          <w:pgMar w:top="25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26" w:lineRule="exact" w:before="282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Table 8: Unrealized Mark-to-market Gains / (Losses) on Non-trading Portfolios </w:t>
      </w:r>
      <w:r>
        <w:rPr>
          <w:w w:val="97.49999841054282"/>
          <w:rFonts w:ascii="Arial" w:hAnsi="Arial" w:eastAsia="Arial"/>
          <w:b/>
          <w:i w:val="0"/>
          <w:color w:val="000000"/>
          <w:sz w:val="12"/>
        </w:rPr>
        <w:t>a</w:t>
      </w:r>
    </w:p>
    <w:p>
      <w:pPr>
        <w:autoSpaceDN w:val="0"/>
        <w:autoSpaceDE w:val="0"/>
        <w:widowControl/>
        <w:spacing w:line="180" w:lineRule="exact" w:before="62" w:after="3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40"/>
        </w:trPr>
        <w:tc>
          <w:tcPr>
            <w:tcW w:type="dxa" w:w="599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For the three months ended September 30,</w:t>
            </w:r>
          </w:p>
        </w:tc>
        <w:tc>
          <w:tcPr>
            <w:tcW w:type="dxa" w:w="37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71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2023</w:t>
            </w:r>
          </w:p>
        </w:tc>
        <w:tc>
          <w:tcPr>
            <w:tcW w:type="dxa" w:w="25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  <w:tr>
        <w:trPr>
          <w:trHeight w:hRule="exact" w:val="224"/>
        </w:trPr>
        <w:tc>
          <w:tcPr>
            <w:tcW w:type="dxa" w:w="599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37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(2,062) $ </w:t>
            </w:r>
          </w:p>
        </w:tc>
        <w:tc>
          <w:tcPr>
            <w:tcW w:type="dxa" w:w="71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1,254 </w:t>
            </w:r>
          </w:p>
        </w:tc>
        <w:tc>
          <w:tcPr>
            <w:tcW w:type="dxa" w:w="25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(3,316)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ALM derivatives</w:t>
            </w:r>
          </w:p>
        </w:tc>
        <w:tc>
          <w:tcPr>
            <w:tcW w:type="dxa" w:w="1572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1,842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(707) </w:t>
            </w:r>
          </w:p>
        </w:tc>
        <w:tc>
          <w:tcPr>
            <w:tcW w:type="dxa" w:w="1572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2,549 </w:t>
            </w:r>
          </w:p>
        </w:tc>
      </w:tr>
      <w:tr>
        <w:trPr>
          <w:trHeight w:hRule="exact" w:val="240"/>
        </w:trPr>
        <w:tc>
          <w:tcPr>
            <w:tcW w:type="dxa" w:w="5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Borrowings, including derivatives</w:t>
            </w:r>
          </w:p>
        </w:tc>
        <w:tc>
          <w:tcPr>
            <w:tcW w:type="dxa" w:w="1572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(201)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(47) </w:t>
            </w:r>
          </w:p>
        </w:tc>
        <w:tc>
          <w:tcPr>
            <w:tcW w:type="dxa" w:w="1572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(154) </w:t>
            </w:r>
          </w:p>
        </w:tc>
      </w:tr>
      <w:tr>
        <w:trPr>
          <w:trHeight w:hRule="exact" w:val="254"/>
        </w:trPr>
        <w:tc>
          <w:tcPr>
            <w:tcW w:type="dxa" w:w="59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1572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572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20"/>
        </w:trPr>
        <w:tc>
          <w:tcPr>
            <w:tcW w:type="dxa" w:w="59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(423) 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500 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(923) </w:t>
            </w:r>
          </w:p>
        </w:tc>
      </w:tr>
      <w:tr>
        <w:trPr>
          <w:trHeight w:hRule="exact" w:val="262"/>
        </w:trPr>
        <w:tc>
          <w:tcPr>
            <w:tcW w:type="dxa" w:w="599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mark-to-market gains (losses).</w:t>
      </w:r>
    </w:p>
    <w:p>
      <w:pPr>
        <w:autoSpaceDN w:val="0"/>
        <w:autoSpaceDE w:val="0"/>
        <w:widowControl/>
        <w:spacing w:line="242" w:lineRule="exact" w:before="20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Loan Portfolio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are reported at amortized cost on the balance sheet and therefore the mark-to-market effect on loans is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reflected in reported net income. However, the derivatives used to convert loans from fixed-rate to variable-rate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instruments, for asset / liability management purposes, are reported at fair value. From an economic perspective,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 after the effect of derivatives carry variable interest rates and have a low sensitivity to interest rates.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unrealized mark-to-market losses on loan related derivatives of $2,062 million for the first three months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FY25 were primarily due to the decrease in relevant interest rates during this period, compared to an increase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relevant interest rates for the three months ended as of September 30, 2023. See Section IV: Risk Management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additional details on how IBRD uses derivatives in the loan portfolio. </w:t>
      </w:r>
    </w:p>
    <w:p>
      <w:pPr>
        <w:autoSpaceDN w:val="0"/>
        <w:autoSpaceDE w:val="0"/>
        <w:widowControl/>
        <w:spacing w:line="242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Other ALM Portfolio</w:t>
      </w:r>
    </w:p>
    <w:p>
      <w:pPr>
        <w:autoSpaceDN w:val="0"/>
        <w:autoSpaceDE w:val="0"/>
        <w:widowControl/>
        <w:spacing w:line="240" w:lineRule="exact" w:before="12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uses derivatives to stabilize its interest revenue from the portion of loans that is sensitive to changes in short-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 interest rates. The Other ALM portfolio consists of derivatives which convert a portion of variable rate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cash flows to fixed rate loan cash flows. In the first three months of FY25, IBRD recorded unrealized mark-to-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gains of $1,842 million on this portfolio primarily due to the decrease in relevant interest rates during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period, compared to an increase in relevant interest rates for the three months ended as of September 30, 2023.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duration of this portfolio was 4.6 years, within the Board established limit of 5 years.</w:t>
      </w:r>
    </w:p>
    <w:p>
      <w:pPr>
        <w:autoSpaceDN w:val="0"/>
        <w:autoSpaceDE w:val="0"/>
        <w:widowControl/>
        <w:spacing w:line="242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Borrowing Portfolio</w:t>
      </w:r>
    </w:p>
    <w:p>
      <w:pPr>
        <w:autoSpaceDN w:val="0"/>
        <w:autoSpaceDE w:val="0"/>
        <w:widowControl/>
        <w:spacing w:line="240" w:lineRule="exact" w:before="12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bonds and the related derivatives are reported at fair value. IBRD recorded $201 million of net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losses on IBRD’s bonds and associated derivatives, due to the decrease in relevant interest rates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September 30, 2024, compared to June 30, 2024. The unrealized mark-to-market losses on the bonds due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decrease in relevant interest rates exceeded the gains on the bond-related derivatives. The net unrealized mark-to-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losses on IBRD’s bonds exclude changes in IBRD’s own credit, referred to as the DVA on Fair Value Option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elected liabilities, which is instead recorded in Accumulated Other Comprehensive Income (AOCI). For the first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three months of FY25, the DVA was $514 million of unrealized mark-to-market gains, resulting mainly from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widening of IBRD’s credit spreads relative to the applicable reference rate during the period. As of September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2024, IBRD’s Condensed Balance Sheets included a cumulative DVA of $1,187 million of mark-to-market gains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reflected in AOCI (see Notes to the Condensed Quarterly Financial Statements, Note J – Fair Value Disclosures).</w:t>
      </w:r>
    </w:p>
    <w:p>
      <w:pPr>
        <w:autoSpaceDN w:val="0"/>
        <w:autoSpaceDE w:val="0"/>
        <w:widowControl/>
        <w:spacing w:line="224" w:lineRule="exact" w:before="4538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15</w:t>
      </w:r>
    </w:p>
    <w:p>
      <w:pPr>
        <w:sectPr>
          <w:pgSz w:w="12240" w:h="15840"/>
          <w:pgMar w:top="25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0"/>
        <w:gridCol w:w="4700"/>
      </w:tblGrid>
      <w:tr>
        <w:trPr>
          <w:trHeight w:hRule="exact" w:val="286"/>
        </w:trPr>
        <w:tc>
          <w:tcPr>
            <w:tcW w:type="dxa" w:w="3956"/>
            <w:tcBorders>
              <w:bottom w:sz="4.0" w:val="single" w:color="#6C6C6C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Financial Results</w:t>
            </w:r>
          </w:p>
        </w:tc>
      </w:tr>
    </w:tbl>
    <w:p>
      <w:pPr>
        <w:autoSpaceDN w:val="0"/>
        <w:autoSpaceDE w:val="0"/>
        <w:widowControl/>
        <w:spacing w:line="244" w:lineRule="exact" w:before="2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Board of Governors-approved and Other Transfers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During the first three months of FY25, Board of Governors approved the following transfers as shown below:</w:t>
      </w:r>
    </w:p>
    <w:p>
      <w:pPr>
        <w:autoSpaceDN w:val="0"/>
        <w:autoSpaceDE w:val="0"/>
        <w:widowControl/>
        <w:spacing w:line="180" w:lineRule="exact" w:before="92" w:after="6"/>
        <w:ind w:left="183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Amount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216"/>
        </w:trPr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Date of approval</w:t>
            </w:r>
          </w:p>
        </w:tc>
        <w:tc>
          <w:tcPr>
            <w:tcW w:type="dxa" w:w="12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($ in million)</w:t>
            </w:r>
          </w:p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Source</w:t>
            </w:r>
          </w:p>
        </w:tc>
        <w:tc>
          <w:tcPr>
            <w:tcW w:type="dxa" w:w="1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Beneficiary</w:t>
            </w:r>
          </w:p>
        </w:tc>
        <w:tc>
          <w:tcPr>
            <w:tcW w:type="dxa" w:w="1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Date transferred</w:t>
            </w:r>
          </w:p>
        </w:tc>
        <w:tc>
          <w:tcPr>
            <w:tcW w:type="dxa" w:w="1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Reported as</w:t>
            </w:r>
          </w:p>
        </w:tc>
      </w:tr>
    </w:tbl>
    <w:p>
      <w:pPr>
        <w:autoSpaceDN w:val="0"/>
        <w:autoSpaceDE w:val="0"/>
        <w:widowControl/>
        <w:spacing w:line="180" w:lineRule="exact" w:before="136" w:after="6"/>
        <w:ind w:left="0" w:right="64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Board of Governors-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178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9, 2024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Surplus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Trust Fund for Gaza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16, 2024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approved and other </w:t>
            </w:r>
          </w:p>
        </w:tc>
      </w:tr>
      <w:tr>
        <w:trPr>
          <w:trHeight w:hRule="exact" w:val="206"/>
        </w:trPr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and West Bank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transfers on Condensed </w:t>
            </w:r>
          </w:p>
        </w:tc>
      </w:tr>
    </w:tbl>
    <w:p>
      <w:pPr>
        <w:autoSpaceDN w:val="0"/>
        <w:autoSpaceDE w:val="0"/>
        <w:widowControl/>
        <w:spacing w:line="180" w:lineRule="exact" w:before="6" w:after="0"/>
        <w:ind w:left="0" w:right="61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Statement of Income</w:t>
      </w:r>
    </w:p>
    <w:p>
      <w:pPr>
        <w:autoSpaceDN w:val="0"/>
        <w:autoSpaceDE w:val="0"/>
        <w:widowControl/>
        <w:spacing w:line="178" w:lineRule="exact" w:before="70" w:after="6"/>
        <w:ind w:left="0" w:right="64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Board of Governors-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174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Trust Fund for Gaza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approved and other </w:t>
            </w:r>
          </w:p>
        </w:tc>
      </w:tr>
      <w:tr>
        <w:trPr>
          <w:trHeight w:hRule="exact" w:val="212"/>
        </w:trPr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3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and West Bank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transfers on Condensed </w:t>
            </w:r>
          </w:p>
        </w:tc>
      </w:tr>
    </w:tbl>
    <w:p>
      <w:pPr>
        <w:autoSpaceDN w:val="0"/>
        <w:autoSpaceDE w:val="0"/>
        <w:widowControl/>
        <w:spacing w:line="178" w:lineRule="exact" w:before="6" w:after="0"/>
        <w:ind w:left="0" w:right="61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Statement of Income</w:t>
      </w:r>
    </w:p>
    <w:p>
      <w:pPr>
        <w:autoSpaceDN w:val="0"/>
        <w:autoSpaceDE w:val="0"/>
        <w:widowControl/>
        <w:spacing w:line="180" w:lineRule="exact" w:before="70" w:after="6"/>
        <w:ind w:left="0" w:right="64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Board of Governors-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188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515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FY24 allocable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approved and other </w:t>
            </w:r>
          </w:p>
        </w:tc>
      </w:tr>
      <w:tr>
        <w:trPr>
          <w:trHeight w:hRule="exact" w:val="196"/>
        </w:trPr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income</w:t>
            </w:r>
          </w:p>
        </w:tc>
        <w:tc>
          <w:tcPr>
            <w:tcW w:type="dxa" w:w="1567"/>
            <w:vMerge/>
            <w:tcBorders/>
          </w:tcPr>
          <w:p/>
        </w:tc>
        <w:tc>
          <w:tcPr>
            <w:tcW w:type="dxa" w:w="1567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transfers on Condensed </w:t>
            </w:r>
          </w:p>
        </w:tc>
      </w:tr>
    </w:tbl>
    <w:p>
      <w:pPr>
        <w:autoSpaceDN w:val="0"/>
        <w:autoSpaceDE w:val="0"/>
        <w:widowControl/>
        <w:spacing w:line="180" w:lineRule="exact" w:before="6" w:after="38"/>
        <w:ind w:left="0" w:right="61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Statement of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220"/>
        </w:trPr>
        <w:tc>
          <w:tcPr>
            <w:tcW w:type="dxa" w:w="17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18, 2024</w:t>
            </w:r>
          </w:p>
        </w:tc>
        <w:tc>
          <w:tcPr>
            <w:tcW w:type="dxa" w:w="7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1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Surplus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Surplus-Funded </w:t>
            </w:r>
          </w:p>
        </w:tc>
        <w:tc>
          <w:tcPr>
            <w:tcW w:type="dxa" w:w="16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Reclassification within </w:t>
            </w:r>
          </w:p>
        </w:tc>
      </w:tr>
      <w:tr>
        <w:trPr>
          <w:trHeight w:hRule="exact" w:val="180"/>
        </w:trPr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Livable Planet Fund </w:t>
            </w:r>
          </w:p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Retained Earnings on </w:t>
            </w:r>
          </w:p>
        </w:tc>
      </w:tr>
      <w:tr>
        <w:trPr>
          <w:trHeight w:hRule="exact" w:val="244"/>
        </w:trPr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2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(LPF1)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567"/>
            <w:vMerge/>
            <w:tcBorders>
              <w:bottom w:sz="8.0" w:val="single" w:color="#000000"/>
            </w:tcBorders>
          </w:tcPr>
          <w:p/>
        </w:tc>
        <w:tc>
          <w:tcPr>
            <w:tcW w:type="dxa" w:w="2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Condensed Balance Sheet</w:t>
            </w:r>
          </w:p>
        </w:tc>
      </w:tr>
    </w:tbl>
    <w:p>
      <w:pPr>
        <w:autoSpaceDN w:val="0"/>
        <w:autoSpaceDE w:val="0"/>
        <w:widowControl/>
        <w:spacing w:line="192" w:lineRule="exact" w:before="40" w:after="0"/>
        <w:ind w:left="242" w:right="38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On September 18, 2024, IBRD's Board of Governors approved an allocation of $500 million from FY24 allocable income to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Surplus and $834 million to be retained in the General Reserve. As of September 30, 2024, the balance in Surplus was $100 </w:t>
      </w:r>
      <w:r>
        <w:rPr>
          <w:rFonts w:ascii="Arial" w:hAnsi="Arial" w:eastAsia="Arial"/>
          <w:b w:val="0"/>
          <w:i/>
          <w:color w:val="000000"/>
          <w:sz w:val="16"/>
        </w:rPr>
        <w:t>million ($100 million - June 30, 2024).</w:t>
      </w:r>
    </w:p>
    <w:p>
      <w:pPr>
        <w:autoSpaceDN w:val="0"/>
        <w:autoSpaceDE w:val="0"/>
        <w:widowControl/>
        <w:spacing w:line="192" w:lineRule="exact" w:before="68" w:after="0"/>
        <w:ind w:left="242" w:right="288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Since 1964, IBRD has made transfers to IDA out of its net income, upon approval by the Governors. Under a formula-based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approach for IBRD's income support to IDA, the amount of income transfer recommended for IDA is a function of IBRD's </w:t>
      </w:r>
      <w:r>
        <w:rPr>
          <w:rFonts w:ascii="Arial" w:hAnsi="Arial" w:eastAsia="Arial"/>
          <w:b w:val="0"/>
          <w:i/>
          <w:color w:val="000000"/>
          <w:sz w:val="16"/>
        </w:rPr>
        <w:t>financial results.</w:t>
      </w:r>
    </w:p>
    <w:p>
      <w:pPr>
        <w:autoSpaceDN w:val="0"/>
        <w:autoSpaceDE w:val="0"/>
        <w:widowControl/>
        <w:spacing w:line="192" w:lineRule="exact" w:before="58" w:after="0"/>
        <w:ind w:left="242" w:right="3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Unutilized IBRD Surplus-Funded Livable Planet Fund (LPF1) contributions are included in Retained Earnings on the Condensed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Balance Sheet ($301 million - September 30, 2024 and $101 million - June 30, 2024). For the three months ended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September 30, 2024, no grants were made by the LPF1 Fund and no amounts are recorded in Board of Governors-approved </w:t>
      </w:r>
      <w:r>
        <w:rPr>
          <w:rFonts w:ascii="Arial" w:hAnsi="Arial" w:eastAsia="Arial"/>
          <w:b w:val="0"/>
          <w:i/>
          <w:color w:val="000000"/>
          <w:sz w:val="16"/>
        </w:rPr>
        <w:t>and other transfers on the Condensed Statements of Income.</w:t>
      </w:r>
    </w:p>
    <w:p>
      <w:pPr>
        <w:autoSpaceDN w:val="0"/>
        <w:autoSpaceDE w:val="0"/>
        <w:widowControl/>
        <w:spacing w:line="224" w:lineRule="exact" w:before="789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16     IBRD Management's Discussion and Analysis: September 30, 2024</w:t>
      </w:r>
    </w:p>
    <w:p>
      <w:pPr>
        <w:sectPr>
          <w:pgSz w:w="12240" w:h="15840"/>
          <w:pgMar w:top="256" w:right="141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312" w:lineRule="exact" w:before="18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IV: Risk Management</w:t>
      </w:r>
    </w:p>
    <w:p>
      <w:pPr>
        <w:autoSpaceDN w:val="0"/>
        <w:autoSpaceDE w:val="0"/>
        <w:widowControl/>
        <w:spacing w:line="268" w:lineRule="exact" w:before="20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Risk Governance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risk management processes and practices evolve to reflect changes in activities in response to market, credit,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product, operational, and other developments. The Board, particularly the Audit Committee, periodically reviews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trends in IBRD’s risk profiles and performance, and any major developments in risk management policies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controls. Management believes that effective risk management is critical for its overall operations. Accordingly,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management governance structure is designed to manage the principal risks IBRD assumes in its activities.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Risk Oversight and Coverage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Vice President and WBG Chief Risk Officer (CRO) oversees both financial and operational risks. These risks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 (i) country credit risks in the core sovereign-lending business, (ii) market and counterparty risks,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and model risks, and (iii) operational risks relating to people, processes, and systems, or from external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events.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risk of IBRD’s operations not meeting their development outcomes (development outcome risk) in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 activities is monitored at the corporate level by Operations Policy and Country Services (OPCS). Where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fraud and corruption risks may impact IBRD-financed projects, OPCS, the regions and practice groups,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Integrity Vice Presidency jointly address such issues.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a detailed discussion of the risk governance and risk oversight and coverage, see IBRD’s MD&amp;A for the fiscal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year ended June 30, 2024, Section IX: Risk Management.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Management of IBRD’s Risks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assumes financial risks in order to achieve its development and strategic objectives. IBRD’s financial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framework is designed to enable and support the institution in achieving its goals in a financially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sustainable manner. IBRD manages credit, market, and operational risks in its financial activities, which include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lending, borrowing and investing. The primary financial risk to IBRD is the country credit risk inherent in its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portfolio. IBRD is also exposed to risks in its liquid asset and derivative portfolios, where the major risks are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rate, exchange rate, commercial counterparty credit, and liquidity risks. IBRD’s operational risk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 is based on a structured and uniform approach to identify, assess and monitor key operational risks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across business units.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an effort to maximize IBRD’s capacity to lend to member countries for development purposes, IBRD limits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 to market and counterparty credit risks. In addition, to ensure that the financial risks associated with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and other exposures do not exceed its risk-bearing capacity, IBRD uses a strategic capital adequacy framework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a key medium-term capital planning tool.</w:t>
      </w:r>
    </w:p>
    <w:p>
      <w:pPr>
        <w:autoSpaceDN w:val="0"/>
        <w:autoSpaceDE w:val="0"/>
        <w:widowControl/>
        <w:spacing w:line="224" w:lineRule="exact" w:before="546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17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68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Capital Adequacy </w:t>
      </w:r>
    </w:p>
    <w:p>
      <w:pPr>
        <w:autoSpaceDN w:val="0"/>
        <w:autoSpaceDE w:val="0"/>
        <w:widowControl/>
        <w:spacing w:line="240" w:lineRule="exact" w:before="12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capital to cover the credit, market and operational risks inherent in its operating activities and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assets. Country credit risk is the most substantive risk covered by IBRD’s equity.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capital adequacy is the degree to which its equity is sufficient to withstand unexpected shocks.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Board monitors IBRD’s capital adequacy within a strategic capital adequacy framework and uses the Equity-to-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ratio as a key indicator of capital adequacy. The framework seeks to ensure that IBRD’s equity is aligned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financial risk associated with its loan portfolio and other exposures over a medium-term capital-planning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horizon.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in Table 9, IBRD’s Equity-to-Loans ratio decreased from 21.5% as of June 30, 2024 to 21.3%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2024, primarily due to the increase in total loan exposure exceeding the increase in usable equity.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ratio remained above the 19% minimum ratio under the strategic capital adequacy framework. In October 2024,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part of the WBG evolution process, the Board approved establishing the new Framework of Restoration Measures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(FRM) for capital adequacy, which further strengthens the protection for IBRD’s triple-A rating. The FRM includes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set of capital adequacy-related metrics, along with indicative thresholds, as well as restoration measures.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Following the establishment of the FRM, the Board approved a reduction in the policy minimum Equity-to-Loans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ratio from 19% to 18% based on a review of IBRD's capital adequacy framework, which became effective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immediately after the Board approval. The minimum Equity-to-Loans ratio policy continues to support IBRD's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triple-A rating and long-term financial sustainability.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2024, the Board also approved Enhanced Callable Capital (ECC), another shareholder support instrument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expand IBRD's financing capacity. Shareholders can convert a portion of their existing callable capital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enhanced terms so that it can be called earlier when IBRD faces an imminent threat of a rating downgrade, but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yet at a point where it is at risk of defaulting to its bondholders, which is when a call on the current form of callable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will be made. The ECC conversion is on a voluntary basis and upon bilateral agreement between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shareholder and IBRD.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2024, IBRD signed bilateral agreements related to hybrid capital with 4 member countries for a total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notional value of $420 million, expected to be settled over the next 4 years. Hybrid capital is an instrument that has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characteristics of both debt and equity, and while reported under GAAP as debt on the balance sheet, for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adequacy purposes, it is a component of usable equity in the equity-to-loans ratio.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2024, IBRD signed portfolio guarantee agreements of $1.1 billion notional with 2 member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its new Portfolio Guarantee Platform. Portfolio guarantees are risk management instruments that support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additional financing capacity for IBRD. The effect of portfolio guarantees will be reflected through reductions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exposures in the equity-to-loans ratio that capture their first-loss and portfolio-wide loss-absorption features.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portfolio guarantees will be reported as recoverable assets and included in Other assets on IBRD's Balance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Sheet, when effective.</w:t>
      </w:r>
    </w:p>
    <w:p>
      <w:pPr>
        <w:autoSpaceDN w:val="0"/>
        <w:autoSpaceDE w:val="0"/>
        <w:widowControl/>
        <w:spacing w:line="224" w:lineRule="exact" w:before="53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18     IBRD Management's Discussion and Analysis: September 30, 2024</w:t>
      </w:r>
    </w:p>
    <w:p>
      <w:pPr>
        <w:sectPr>
          <w:pgSz w:w="12240" w:h="15840"/>
          <w:pgMar w:top="31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02" w:lineRule="exact" w:before="18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9: Equity-to-Loans Ratio</w:t>
      </w:r>
    </w:p>
    <w:p>
      <w:pPr>
        <w:autoSpaceDN w:val="0"/>
        <w:autoSpaceDE w:val="0"/>
        <w:widowControl/>
        <w:spacing w:line="178" w:lineRule="exact" w:before="4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8" w:after="0"/>
        <w:ind w:left="0" w:right="1592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Variance</w:t>
      </w:r>
    </w:p>
    <w:p>
      <w:pPr>
        <w:autoSpaceDN w:val="0"/>
        <w:autoSpaceDE w:val="0"/>
        <w:widowControl/>
        <w:spacing w:line="180" w:lineRule="exact" w:before="74" w:after="6"/>
        <w:ind w:left="0" w:right="352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 xml:space="preserve">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92"/>
        </w:trPr>
        <w:tc>
          <w:tcPr>
            <w:tcW w:type="dxa" w:w="3068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As of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September 30, </w:t>
            </w:r>
          </w:p>
        </w:tc>
        <w:tc>
          <w:tcPr>
            <w:tcW w:type="dxa" w:w="1306"/>
            <w:gridSpan w:val="2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June 30, 2024</w:t>
            </w:r>
          </w:p>
        </w:tc>
        <w:tc>
          <w:tcPr>
            <w:tcW w:type="dxa" w:w="364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Total</w:t>
            </w:r>
          </w:p>
        </w:tc>
        <w:tc>
          <w:tcPr>
            <w:tcW w:type="dxa" w:w="26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Due to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Translation </w:t>
            </w:r>
          </w:p>
        </w:tc>
      </w:tr>
      <w:tr>
        <w:trPr>
          <w:trHeight w:hRule="exact" w:val="216"/>
        </w:trPr>
        <w:tc>
          <w:tcPr>
            <w:tcW w:type="dxa" w:w="858"/>
            <w:vMerge/>
            <w:tcBorders>
              <w:bottom w:sz="4.0" w:val="single" w:color="#929292"/>
            </w:tcBorders>
          </w:tcPr>
          <w:p/>
        </w:tc>
        <w:tc>
          <w:tcPr>
            <w:tcW w:type="dxa" w:w="1266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2024</w:t>
            </w:r>
          </w:p>
        </w:tc>
        <w:tc>
          <w:tcPr>
            <w:tcW w:type="dxa" w:w="1716"/>
            <w:gridSpan w:val="2"/>
            <w:vMerge/>
            <w:tcBorders>
              <w:bottom w:sz="4.0" w:val="single" w:color="#929292"/>
            </w:tcBorders>
          </w:tcPr>
          <w:p/>
        </w:tc>
        <w:tc>
          <w:tcPr>
            <w:tcW w:type="dxa" w:w="858"/>
            <w:vMerge/>
            <w:tcBorders>
              <w:bottom w:sz="4.0" w:val="single" w:color="#929292"/>
            </w:tcBorders>
          </w:tcPr>
          <w:p/>
        </w:tc>
        <w:tc>
          <w:tcPr>
            <w:tcW w:type="dxa" w:w="858"/>
            <w:vMerge/>
            <w:tcBorders>
              <w:bottom w:sz="4.0" w:val="single" w:color="#929292"/>
            </w:tcBorders>
          </w:tcPr>
          <w:p/>
        </w:tc>
        <w:tc>
          <w:tcPr>
            <w:tcW w:type="dxa" w:w="858"/>
            <w:vMerge/>
            <w:tcBorders>
              <w:bottom w:sz="4.0" w:val="single" w:color="#929292"/>
            </w:tcBorders>
          </w:tcPr>
          <w:p/>
        </w:tc>
        <w:tc>
          <w:tcPr>
            <w:tcW w:type="dxa" w:w="9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Activities</w:t>
            </w:r>
          </w:p>
        </w:tc>
        <w:tc>
          <w:tcPr>
            <w:tcW w:type="dxa" w:w="1246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3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Adjustments</w:t>
            </w:r>
          </w:p>
        </w:tc>
      </w:tr>
      <w:tr>
        <w:trPr>
          <w:trHeight w:hRule="exact" w:val="444"/>
        </w:trPr>
        <w:tc>
          <w:tcPr>
            <w:tcW w:type="dxa" w:w="306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Usable paid-in capital (Table 10)</w:t>
            </w:r>
          </w:p>
        </w:tc>
        <w:tc>
          <w:tcPr>
            <w:tcW w:type="dxa" w:w="31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21,678 </w:t>
            </w:r>
          </w:p>
        </w:tc>
        <w:tc>
          <w:tcPr>
            <w:tcW w:type="dxa" w:w="37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21,183 </w:t>
            </w:r>
          </w:p>
        </w:tc>
        <w:tc>
          <w:tcPr>
            <w:tcW w:type="dxa" w:w="364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495 </w:t>
            </w:r>
          </w:p>
        </w:tc>
        <w:tc>
          <w:tcPr>
            <w:tcW w:type="dxa" w:w="26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 </w:t>
            </w:r>
          </w:p>
        </w:tc>
        <w:tc>
          <w:tcPr>
            <w:tcW w:type="dxa" w:w="51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193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Special reserve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General reserve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Cumulative translation adjustment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(722)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(1,126)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404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404 </w:t>
            </w:r>
          </w:p>
        </w:tc>
      </w:tr>
      <w:tr>
        <w:trPr>
          <w:trHeight w:hRule="exact" w:val="246"/>
        </w:trPr>
        <w:tc>
          <w:tcPr>
            <w:tcW w:type="dxa" w:w="30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2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13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247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(81) </w:t>
            </w:r>
          </w:p>
        </w:tc>
        <w:tc>
          <w:tcPr>
            <w:tcW w:type="dxa" w:w="858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9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(81) </w:t>
            </w:r>
          </w:p>
        </w:tc>
      </w:tr>
      <w:tr>
        <w:trPr>
          <w:trHeight w:hRule="exact" w:val="204"/>
        </w:trPr>
        <w:tc>
          <w:tcPr>
            <w:tcW w:type="dxa" w:w="306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(usable equity)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55,473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54,655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818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302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516 </w:t>
            </w:r>
          </w:p>
        </w:tc>
      </w:tr>
      <w:tr>
        <w:trPr>
          <w:trHeight w:hRule="exact" w:val="470"/>
        </w:trPr>
        <w:tc>
          <w:tcPr>
            <w:tcW w:type="dxa" w:w="30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 exposures</w:t>
            </w:r>
          </w:p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269,148 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  <w:tc>
          <w:tcPr>
            <w:tcW w:type="dxa" w:w="3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5,958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3,673 </w:t>
            </w:r>
          </w:p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2,285 </w:t>
            </w:r>
          </w:p>
        </w:tc>
      </w:tr>
      <w:tr>
        <w:trPr>
          <w:trHeight w:hRule="exact" w:val="20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Adjustments to reflect third-party </w:t>
            </w:r>
          </w:p>
        </w:tc>
        <w:tc>
          <w:tcPr>
            <w:tcW w:type="dxa" w:w="12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(10,710) </w:t>
            </w:r>
          </w:p>
        </w:tc>
        <w:tc>
          <w:tcPr>
            <w:tcW w:type="dxa" w:w="130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(10,658)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(52)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</w:t>
            </w:r>
          </w:p>
        </w:tc>
        <w:tc>
          <w:tcPr>
            <w:tcW w:type="dxa" w:w="12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(28) </w:t>
            </w:r>
          </w:p>
        </w:tc>
      </w:tr>
      <w:tr>
        <w:trPr>
          <w:trHeight w:hRule="exact" w:val="20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 received</w:t>
            </w:r>
          </w:p>
        </w:tc>
        <w:tc>
          <w:tcPr>
            <w:tcW w:type="dxa" w:w="1716"/>
            <w:gridSpan w:val="2"/>
            <w:vMerge/>
            <w:tcBorders/>
          </w:tcPr>
          <w:p/>
        </w:tc>
        <w:tc>
          <w:tcPr>
            <w:tcW w:type="dxa" w:w="1716"/>
            <w:gridSpan w:val="2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1716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Present value of guarantees provided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3,618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3,488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Effective but undisbursed DDOs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1,281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1,261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</w:tr>
      <w:tr>
        <w:trPr>
          <w:trHeight w:hRule="exact" w:val="24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Relevant accumulated provisions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(2,782)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(2,942)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191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</w:tr>
      <w:tr>
        <w:trPr>
          <w:trHeight w:hRule="exact" w:val="220"/>
        </w:trPr>
        <w:tc>
          <w:tcPr>
            <w:tcW w:type="dxa" w:w="3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Deferred loan income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(616)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(594)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1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30"/>
        </w:trPr>
        <w:tc>
          <w:tcPr>
            <w:tcW w:type="dxa" w:w="30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exposures</w:t>
            </w:r>
          </w:p>
        </w:tc>
        <w:tc>
          <w:tcPr>
            <w:tcW w:type="dxa" w:w="12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388 </w:t>
            </w:r>
          </w:p>
        </w:tc>
        <w:tc>
          <w:tcPr>
            <w:tcW w:type="dxa" w:w="13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377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2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04"/>
        </w:trPr>
        <w:tc>
          <w:tcPr>
            <w:tcW w:type="dxa" w:w="306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Loans (total exposure)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260,327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254,122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6,205 </w:t>
            </w:r>
          </w:p>
        </w:tc>
        <w:tc>
          <w:tcPr>
            <w:tcW w:type="dxa" w:w="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3,874 </w:t>
            </w:r>
          </w:p>
        </w:tc>
        <w:tc>
          <w:tcPr>
            <w:tcW w:type="dxa" w:w="51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2,331 </w:t>
            </w:r>
          </w:p>
        </w:tc>
      </w:tr>
      <w:tr>
        <w:trPr>
          <w:trHeight w:hRule="exact" w:val="576"/>
        </w:trPr>
        <w:tc>
          <w:tcPr>
            <w:tcW w:type="dxa" w:w="3068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Equity-to-Loans Ratio</w:t>
            </w:r>
          </w:p>
        </w:tc>
        <w:tc>
          <w:tcPr>
            <w:tcW w:type="dxa" w:w="1266"/>
            <w:gridSpan w:val="2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21.3 %</w:t>
            </w:r>
          </w:p>
        </w:tc>
        <w:tc>
          <w:tcPr>
            <w:tcW w:type="dxa" w:w="1306"/>
            <w:gridSpan w:val="2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21.5 %</w:t>
            </w:r>
          </w:p>
        </w:tc>
        <w:tc>
          <w:tcPr>
            <w:tcW w:type="dxa" w:w="36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10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June 30, 2024 amount includes the transfer to the General Reserve, which was approved by the Board on August 6, 2024.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4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Excludes cumulative translation amounts associated with the unrealized mark-to-market gains/losses on non-trading portfolios,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net.</w:t>
      </w:r>
    </w:p>
    <w:p>
      <w:pPr>
        <w:autoSpaceDN w:val="0"/>
        <w:autoSpaceDE w:val="0"/>
        <w:widowControl/>
        <w:spacing w:line="178" w:lineRule="exact" w:before="1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cumulative translation gains on non-functional currencies of $214 million ($295 million gains as of June 30, 2024).</w:t>
      </w:r>
    </w:p>
    <w:p>
      <w:pPr>
        <w:autoSpaceDN w:val="0"/>
        <w:autoSpaceDE w:val="0"/>
        <w:widowControl/>
        <w:spacing w:line="202" w:lineRule="exact" w:before="15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10: Usable Paid-In Capital</w:t>
      </w:r>
    </w:p>
    <w:p>
      <w:pPr>
        <w:autoSpaceDN w:val="0"/>
        <w:autoSpaceDE w:val="0"/>
        <w:widowControl/>
        <w:spacing w:line="180" w:lineRule="exact" w:before="60" w:after="26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4"/>
        </w:trPr>
        <w:tc>
          <w:tcPr>
            <w:tcW w:type="dxa" w:w="47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As of</w:t>
            </w:r>
          </w:p>
        </w:tc>
        <w:tc>
          <w:tcPr>
            <w:tcW w:type="dxa" w:w="2220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September 30, 2024</w:t>
            </w:r>
          </w:p>
        </w:tc>
        <w:tc>
          <w:tcPr>
            <w:tcW w:type="dxa" w:w="1240"/>
            <w:gridSpan w:val="2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June 30, 2024</w:t>
            </w:r>
          </w:p>
        </w:tc>
        <w:tc>
          <w:tcPr>
            <w:tcW w:type="dxa" w:w="24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Variance</w:t>
            </w:r>
          </w:p>
        </w:tc>
      </w:tr>
      <w:tr>
        <w:trPr>
          <w:trHeight w:hRule="exact" w:val="204"/>
        </w:trPr>
        <w:tc>
          <w:tcPr>
            <w:tcW w:type="dxa" w:w="47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Paid-in Capital</w:t>
            </w:r>
          </w:p>
        </w:tc>
        <w:tc>
          <w:tcPr>
            <w:tcW w:type="dxa" w:w="11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22,754 </w:t>
            </w:r>
          </w:p>
        </w:tc>
        <w:tc>
          <w:tcPr>
            <w:tcW w:type="dxa" w:w="40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  <w:tc>
          <w:tcPr>
            <w:tcW w:type="dxa" w:w="240"/>
            <w:vMerge w:val="restart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 </w:t>
            </w:r>
          </w:p>
        </w:tc>
      </w:tr>
      <w:tr>
        <w:trPr>
          <w:trHeight w:hRule="exact" w:val="268"/>
        </w:trPr>
        <w:tc>
          <w:tcPr>
            <w:tcW w:type="dxa" w:w="4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Deferred amounts to maintain value of currency holdings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(378)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(558) </w:t>
            </w:r>
          </w:p>
        </w:tc>
        <w:tc>
          <w:tcPr>
            <w:tcW w:type="dxa" w:w="1349"/>
            <w:vMerge/>
            <w:tcBorders>
              <w:top w:sz="4.0" w:val="single" w:color="#929292"/>
            </w:tcBorders>
          </w:tcPr>
          <w:p/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Adjustments for unreleased NCPIC: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32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Restricted cash</w:t>
            </w:r>
          </w:p>
        </w:tc>
        <w:tc>
          <w:tcPr>
            <w:tcW w:type="dxa" w:w="5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(67) </w:t>
            </w:r>
          </w:p>
        </w:tc>
        <w:tc>
          <w:tcPr>
            <w:tcW w:type="dxa" w:w="4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5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Nonnegotiable, noninterest-bearing demand obligations on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(311)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(310)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 of subscribed capital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Receivable amounts to maintain value of currency holdings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(322)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(337)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</w:tr>
      <w:tr>
        <w:trPr>
          <w:trHeight w:hRule="exact" w:val="250"/>
        </w:trPr>
        <w:tc>
          <w:tcPr>
            <w:tcW w:type="dxa" w:w="5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MOV payable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9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Adjustments for unreleased NCPIC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(698)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(711) </w:t>
            </w:r>
          </w:p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</w:tr>
      <w:tr>
        <w:trPr>
          <w:trHeight w:hRule="exact" w:val="220"/>
        </w:trPr>
        <w:tc>
          <w:tcPr>
            <w:tcW w:type="dxa" w:w="5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Usable paid-in capital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21,678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21,183 </w:t>
            </w:r>
          </w:p>
        </w:tc>
        <w:tc>
          <w:tcPr>
            <w:tcW w:type="dxa" w:w="5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2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495 </w:t>
            </w:r>
          </w:p>
        </w:tc>
      </w:tr>
      <w:tr>
        <w:trPr>
          <w:trHeight w:hRule="exact" w:val="246"/>
        </w:trPr>
        <w:tc>
          <w:tcPr>
            <w:tcW w:type="dxa" w:w="532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6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3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 Maintenance-Of-Value (MOV) on released National Currency Paid-In Capital (NCPIC) is considered to be deferred.</w:t>
      </w:r>
    </w:p>
    <w:p>
      <w:pPr>
        <w:autoSpaceDN w:val="0"/>
        <w:autoSpaceDE w:val="0"/>
        <w:widowControl/>
        <w:spacing w:line="240" w:lineRule="exact" w:before="31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first three months of FY25, IBRD received $302 million of paid-in capital subscribed under the 2018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GCI and SCI, bringing the cumulative amounts received to $6.3 billion, 84% of the $7.5 billion expected over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subscription period. In line with IBRD’s currency management policy, exchange rate movements during the period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did not have an impact on IBRD’s Equity-to-Loans ratio. Under the currency management policy, to minimize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exchange rate risk, IBRD matches its borrowing obligations in any one currency (after derivatives) with assets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same currency. In addition, IBRD periodically undertakes currency conversions to align the currency composition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its equity with that of its outstanding loans, across major currencies.</w:t>
      </w:r>
    </w:p>
    <w:p>
      <w:pPr>
        <w:autoSpaceDN w:val="0"/>
        <w:autoSpaceDE w:val="0"/>
        <w:widowControl/>
        <w:spacing w:line="224" w:lineRule="exact" w:before="205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19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68" w:lineRule="exact" w:before="1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Credit Risk</w:t>
      </w:r>
    </w:p>
    <w:p>
      <w:pPr>
        <w:autoSpaceDN w:val="0"/>
        <w:autoSpaceDE w:val="0"/>
        <w:widowControl/>
        <w:spacing w:line="240" w:lineRule="exact" w:before="12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faces two types of credit risk: country credit risk and counterparty credit risk. Country credit risk is the risk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 due to a country not meeting its contractual obligations, and counterparty credit risk is the risk of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attributable to a counterparty not honoring its contractual obligations. IBRD is exposed to commercial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non-commercial counterparty credit risk.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Country Credit Risk 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manages country credit risk by using individual country exposure limits and produces credit risk ratings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its borrowing countries, which reflect country economic, financial, and political circumstances, and also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considers Environmental, Social and Governance (ESG) risk factors. In addition, IBRD conducts stress tests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effects of changes in market variables and of potential geopolitical events on its portfolio to complement its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adequacy framework.</w:t>
      </w:r>
    </w:p>
    <w:p>
      <w:pPr>
        <w:autoSpaceDN w:val="0"/>
        <w:autoSpaceDE w:val="0"/>
        <w:widowControl/>
        <w:spacing w:line="196" w:lineRule="exact" w:before="152" w:after="0"/>
        <w:ind w:left="0" w:right="4608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Figure 10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Country Exposures as of September 30, 2024 </w:t>
      </w: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autoSpaceDN w:val="0"/>
        <w:autoSpaceDE w:val="0"/>
        <w:widowControl/>
        <w:spacing w:line="222" w:lineRule="exact" w:before="232" w:after="210"/>
        <w:ind w:left="233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Top Ten Country Exposures 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288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</w:t>
            </w:r>
          </w:p>
        </w:tc>
        <w:tc>
          <w:tcPr>
            <w:tcW w:type="dxa" w:w="64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070"/>
              <w:gridCol w:w="1070"/>
              <w:gridCol w:w="1070"/>
              <w:gridCol w:w="1070"/>
              <w:gridCol w:w="1070"/>
              <w:gridCol w:w="1070"/>
            </w:tblGrid>
            <w:tr>
              <w:trPr>
                <w:trHeight w:hRule="exact" w:val="116"/>
              </w:trPr>
              <w:tc>
                <w:tcPr>
                  <w:tcW w:type="dxa" w:w="5176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62" w:val="left"/>
                      <w:tab w:pos="2296" w:val="left"/>
                      <w:tab w:pos="2656" w:val="left"/>
                      <w:tab w:pos="2746" w:val="left"/>
                      <w:tab w:pos="2836" w:val="left"/>
                      <w:tab w:pos="2850" w:val="left"/>
                      <w:tab w:pos="3226" w:val="left"/>
                      <w:tab w:pos="4006" w:val="left"/>
                      <w:tab w:pos="4502" w:val="left"/>
                    </w:tabs>
                    <w:autoSpaceDE w:val="0"/>
                    <w:widowControl/>
                    <w:spacing w:line="252" w:lineRule="exact" w:before="0" w:after="0"/>
                    <w:ind w:left="1846" w:right="28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22.8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20.5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16.9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15.1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15.1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14.7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14.3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12.5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11.9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10.5</w:t>
                  </w:r>
                </w:p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5.999998569488525" w:val="single" w:color="#898A89"/>
                    <w:bottom w:sz="5.999998569488525" w:val="single" w:color="#898A89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Indonesia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Colombia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Philippines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Türkiye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Egypt, Arab Republic of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Morocco</w:t>
            </w:r>
          </w:p>
        </w:tc>
        <w:tc>
          <w:tcPr>
            <w:tcW w:type="dxa" w:w="8253"/>
            <w:gridSpan w:val="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17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78" w:lineRule="exact" w:before="222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Exposure includes loans outstanding and guarantees provided and are net of guarantees received. </w:t>
      </w:r>
    </w:p>
    <w:p>
      <w:pPr>
        <w:autoSpaceDN w:val="0"/>
        <w:autoSpaceDE w:val="0"/>
        <w:widowControl/>
        <w:spacing w:line="240" w:lineRule="exact" w:before="104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IBRD's loans outstanding to Ukraine were $14.1 billion and guarantees provided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Ukraine were $0.5 billion. Guarantees and other credit enhancements received from third parties for the benefit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Ukraine were $8.1 billion, bringing IBRD's net exposure to Ukraine to $6.5 billion. </w:t>
      </w:r>
    </w:p>
    <w:p>
      <w:pPr>
        <w:autoSpaceDN w:val="0"/>
        <w:autoSpaceDE w:val="0"/>
        <w:widowControl/>
        <w:spacing w:line="244" w:lineRule="exact" w:before="134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Credit enhancement arrangements </w:t>
      </w:r>
    </w:p>
    <w:p>
      <w:pPr>
        <w:autoSpaceDN w:val="0"/>
        <w:autoSpaceDE w:val="0"/>
        <w:widowControl/>
        <w:spacing w:line="240" w:lineRule="exact" w:before="126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IBRD had $8,907 million of outstanding loans under which guarantees were received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highly rated member countries or other Multilateral Development Banks ($8,850 million as of June 30, 2024).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serve as credit enhancements and reduce IBRD's internal risk capital requirements. The guarantees that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contractually attached to the loan reduce the exposure at risk in computing the loan loss provision. Guarantees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not contractually attached to the loan are recorded as a recoverable asset and included in Other assets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Sheet (see Notes to the Financial Statements, Note D: Loans and Other Exposures).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Further, IBRD also received other forms of credit enhancements for loans outstanding totaling $2,016 million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 ($2,016 million as of June 30, 2024), that protect IBRD against the risk of loss on certain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IBRD's portfolio. These credit enhancements are accounted for as derivatives at fair value and are included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assets on IBRD’s Balance Sheet as they do not meet the accounting definition of guarantees.</w:t>
      </w:r>
    </w:p>
    <w:p>
      <w:pPr>
        <w:autoSpaceDN w:val="0"/>
        <w:autoSpaceDE w:val="0"/>
        <w:widowControl/>
        <w:spacing w:line="224" w:lineRule="exact" w:before="28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20     IBRD Management's Discussion and Analysis: September 30, 2024</w:t>
      </w:r>
    </w:p>
    <w:p>
      <w:pPr>
        <w:sectPr>
          <w:pgSz w:w="12240" w:h="15840"/>
          <w:pgMar w:top="31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02" w:lineRule="exact" w:before="18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11: Credit Enhancements Received</w:t>
      </w:r>
    </w:p>
    <w:p>
      <w:pPr>
        <w:autoSpaceDN w:val="0"/>
        <w:autoSpaceDE w:val="0"/>
        <w:widowControl/>
        <w:spacing w:line="180" w:lineRule="exact" w:before="58" w:after="34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38"/>
        </w:trPr>
        <w:tc>
          <w:tcPr>
            <w:tcW w:type="dxa" w:w="7750"/>
            <w:tcBorders>
              <w:end w:sz="24.0" w:val="single" w:color="#FFFFFF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20" w:val="left"/>
              </w:tabs>
              <w:autoSpaceDE w:val="0"/>
              <w:widowControl/>
              <w:spacing w:line="184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 xml:space="preserve">As of </w:t>
            </w:r>
            <w:r>
              <w:tab/>
            </w: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September 30, 2024</w:t>
            </w:r>
          </w:p>
        </w:tc>
        <w:tc>
          <w:tcPr>
            <w:tcW w:type="dxa" w:w="1630"/>
            <w:tcBorders>
              <w:start w:sz="24.0" w:val="single" w:color="#FFFFFF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494949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>Bi-lateral Guarantees Received</w:t>
      </w:r>
    </w:p>
    <w:p>
      <w:pPr>
        <w:autoSpaceDN w:val="0"/>
        <w:autoSpaceDE w:val="0"/>
        <w:widowControl/>
        <w:spacing w:line="180" w:lineRule="exact" w:before="60" w:after="1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 Country With Loan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2246"/>
        </w:trPr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32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Brazil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Egypt, Arab Republic of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Indonesia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Iraq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Jordan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Morocco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Philippines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Outstanding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96.0" w:type="dxa"/>
            </w:tblPr>
            <w:tblGrid>
              <w:gridCol w:w="2750"/>
              <w:gridCol w:w="2750"/>
            </w:tblGrid>
            <w:tr>
              <w:trPr>
                <w:trHeight w:hRule="exact" w:val="1918"/>
              </w:trPr>
              <w:tc>
                <w:tcPr>
                  <w:tcW w:type="dxa" w:w="1644"/>
                  <w:tcBorders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08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367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220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7,116 </w:t>
                  </w:r>
                </w:p>
              </w:tc>
              <w:tc>
                <w:tcPr>
                  <w:tcW w:type="dxa" w:w="1630"/>
                  <w:tcBorders>
                    <w:start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08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142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359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367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155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220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7,057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644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46" w:val="left"/>
                    </w:tabs>
                    <w:autoSpaceDE w:val="0"/>
                    <w:widowControl/>
                    <w:spacing w:line="180" w:lineRule="exact" w:before="18" w:after="0"/>
                    <w:ind w:left="6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8,907 </w:t>
                  </w:r>
                </w:p>
              </w:tc>
              <w:tc>
                <w:tcPr>
                  <w:tcW w:type="dxa" w:w="1630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22" w:val="left"/>
                    </w:tabs>
                    <w:autoSpaceDE w:val="0"/>
                    <w:widowControl/>
                    <w:spacing w:line="180" w:lineRule="exact" w:before="18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8,850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0" w:lineRule="exact" w:before="198" w:after="0"/>
        <w:ind w:left="62" w:right="0" w:firstLine="0"/>
        <w:jc w:val="left"/>
      </w:pPr>
      <w:r>
        <w:rPr>
          <w:rFonts w:ascii="Arial" w:hAnsi="Arial" w:eastAsia="Arial"/>
          <w:b/>
          <w:i/>
          <w:color w:val="000000"/>
          <w:sz w:val="16"/>
        </w:rPr>
        <w:t>Other Credit Enhancements Received</w:t>
      </w:r>
    </w:p>
    <w:p>
      <w:pPr>
        <w:autoSpaceDN w:val="0"/>
        <w:autoSpaceDE w:val="0"/>
        <w:widowControl/>
        <w:spacing w:line="180" w:lineRule="exact" w:before="60" w:after="1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 Country With Other Credit Enhancements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4720"/>
        <w:gridCol w:w="4720"/>
      </w:tblGrid>
      <w:tr>
        <w:trPr>
          <w:trHeight w:hRule="exact" w:val="804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2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Ukraine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Outstanding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56.0" w:type="dxa"/>
            </w:tblPr>
            <w:tblGrid>
              <w:gridCol w:w="2830"/>
              <w:gridCol w:w="2830"/>
            </w:tblGrid>
            <w:tr>
              <w:trPr>
                <w:trHeight w:hRule="exact" w:val="478"/>
              </w:trPr>
              <w:tc>
                <w:tcPr>
                  <w:tcW w:type="dxa" w:w="1644"/>
                  <w:tcBorders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1008" w:right="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1,016 </w:t>
                  </w:r>
                </w:p>
              </w:tc>
              <w:tc>
                <w:tcPr>
                  <w:tcW w:type="dxa" w:w="1630"/>
                  <w:tcBorders>
                    <w:start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0" w:after="0"/>
                    <w:ind w:left="1008" w:right="3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1,000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1,016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644"/>
                  <w:tcBorders>
                    <w:top w:sz="8.0" w:val="single" w:color="#6C6C6C"/>
                    <w:end w:sz="24.0" w:val="single" w:color="#FFFFFF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46" w:val="left"/>
                    </w:tabs>
                    <w:autoSpaceDE w:val="0"/>
                    <w:widowControl/>
                    <w:spacing w:line="180" w:lineRule="exact" w:before="18" w:after="0"/>
                    <w:ind w:left="6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2,016 </w:t>
                  </w:r>
                </w:p>
              </w:tc>
              <w:tc>
                <w:tcPr>
                  <w:tcW w:type="dxa" w:w="1630"/>
                  <w:tcBorders>
                    <w:start w:sz="24.0" w:val="single" w:color="#FFFFFF"/>
                    <w:top w:sz="8.0" w:val="single" w:color="#6C6C6C"/>
                    <w:bottom w:sz="8.0" w:val="single" w:color="#6C6C6C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22" w:val="left"/>
                    </w:tabs>
                    <w:autoSpaceDE w:val="0"/>
                    <w:widowControl/>
                    <w:spacing w:line="180" w:lineRule="exact" w:before="18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2,016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5"/>
        </w:trPr>
        <w:tc>
          <w:tcPr>
            <w:tcW w:type="dxa" w:w="7750"/>
            <w:vMerge w:val="restart"/>
            <w:tcBorders>
              <w:end w:sz="24.0" w:val="single" w:color="#FFFFFF"/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2583"/>
              <w:gridCol w:w="2583"/>
              <w:gridCol w:w="2583"/>
            </w:tblGrid>
            <w:tr>
              <w:trPr>
                <w:trHeight w:hRule="exact" w:val="234"/>
              </w:trPr>
              <w:tc>
                <w:tcPr>
                  <w:tcW w:type="dxa" w:w="5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Total Guarantees and Credit Enhancements Received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43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$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1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10,923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30"/>
            <w:tcBorders>
              <w:start w:sz="24.0" w:val="single" w:color="#FFFFFF"/>
              <w:top w:sz="8.0" w:val="single" w:color="#6C6C6C"/>
              <w:bottom w:sz="8.0" w:val="single" w:color="#6C6C6C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4" w:val="left"/>
              </w:tabs>
              <w:autoSpaceDE w:val="0"/>
              <w:widowControl/>
              <w:spacing w:line="180" w:lineRule="exact" w:before="1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10,866 </w:t>
            </w:r>
          </w:p>
        </w:tc>
      </w:tr>
      <w:tr>
        <w:trPr>
          <w:trHeight w:hRule="exact" w:val="235"/>
        </w:trPr>
        <w:tc>
          <w:tcPr>
            <w:tcW w:type="dxa" w:w="4720"/>
            <w:vMerge/>
            <w:tcBorders>
              <w:end w:sz="24.0" w:val="single" w:color="#FFFFFF"/>
              <w:bottom w:sz="8.0" w:val="single" w:color="#929292"/>
            </w:tcBorders>
          </w:tcPr>
          <w:p/>
        </w:tc>
        <w:tc>
          <w:tcPr>
            <w:tcW w:type="dxa" w:w="1630"/>
            <w:tcBorders>
              <w:start w:sz="24.0" w:val="single" w:color="#FFFFFF"/>
              <w:top w:sz="8.0" w:val="single" w:color="#6C6C6C"/>
              <w:bottom w:sz="8.0" w:val="single" w:color="#929292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30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Portfolio Concentration Risk</w:t>
      </w:r>
    </w:p>
    <w:p>
      <w:pPr>
        <w:autoSpaceDN w:val="0"/>
        <w:autoSpaceDE w:val="0"/>
        <w:widowControl/>
        <w:spacing w:line="240" w:lineRule="exact" w:before="12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concentration risk, which arises when a small group of borrowers accounts for a large share of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outstanding, is a key risk for IBRD. The ten countries with the highest exposures accounted for 58% of IBRD’s total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exposure as of September 30, 2024.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Concentration risk is carefully managed, in part, by applying an exposure limit to a single borrowing country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aggregate balance of loans outstanding, the present value of guarantees provided, the undisbursed portion of DDOs,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other eligible exposures that have become effective. Under the current guidelines, IBRD’s exposure to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 country is restricted to the lower of an Equitable Access Limit (EAL) or the Single Borrower Limit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(SBL).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SBL framework reflects a dual-SBL system, which differentiates between countries below the Graduation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Discussion Income (GDI) threshold and those above it. Under this system, the FY25 SBL is $30.9 billion for highly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creditworthy countries below the GDI, and $22.2 billion for highly creditworthy countries above the GDI.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2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IBRD’s accumulated provision for losses on loans and other exposures was $2,803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(including $517 million of accumulated provision related to loan commitments, see Notes to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Quarterly Financial Statements - Note D: Loans and Other Exposures), which was less than 1% of the underlying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exposures ($3.0 billion as of June 30, 2024, less than 1% of the underlying exposures).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0.5% of IBRD’s total loans outstanding were in nonaccrual status, all related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Zimbabwe and Belarus. During the first three months of FY25, IBRD received $1 million ($1 million for FY24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YTD) from borrowers in non-accrual status as payment towards amounts overdue, none of which ($1 million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FY24 YTD) relates to interest income recognized in the Statements of Income. See Notes to Condensed Quarterly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Financial Statements, Note D: Loans and Other Exposures.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No loans to any borrowing country were restored to accrual status during the first three months of FY25.</w:t>
      </w:r>
    </w:p>
    <w:p>
      <w:pPr>
        <w:autoSpaceDN w:val="0"/>
        <w:autoSpaceDE w:val="0"/>
        <w:widowControl/>
        <w:spacing w:line="224" w:lineRule="exact" w:before="203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21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44" w:lineRule="exact" w:before="118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Counterparty Credit Risk</w:t>
      </w:r>
    </w:p>
    <w:p>
      <w:pPr>
        <w:autoSpaceDN w:val="0"/>
        <w:autoSpaceDE w:val="0"/>
        <w:widowControl/>
        <w:spacing w:line="222" w:lineRule="exact" w:before="14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exposed to commercial and non-commercial counterparty credit risk. 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Commercial Counterparty Credit Risk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Commercial counterparty credit risk is the risk that counterparties fail to meet their payment obligations under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terms of the contract or other financial instruments. Effective management of counterparty credit risk is vital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success of IBRD’s funding, investment, and asset/liability management activities. The monitoring and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these risks is continuous as the market environment evolves.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a result of IBRD’s use of collateral arrangements for swap transactions, its residual commercial counterparty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 risk is concentrated in the investment portfolio, in instruments issued by sovereign governments and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sovereign holdings (including Agencies and Asset-backed securities, Corporates, and Time Deposits).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shown in Table 12, 73% of IBRD's investment portfolio is rated AA or above, and the remainder predominantly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rated A. The exposures with AAA and AA rated counterparties primarily relate to sovereign debt and time deposits.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 rated counterparties principally consist of financial institutions (limited to short-term deposits and swaps)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sovereign debt. </w:t>
      </w:r>
    </w:p>
    <w:p>
      <w:pPr>
        <w:autoSpaceDN w:val="0"/>
        <w:autoSpaceDE w:val="0"/>
        <w:widowControl/>
        <w:spacing w:line="202" w:lineRule="exact" w:before="202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12: Commercial Credit Exposure, Net of Collateral Held, by Counterparty Rating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704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As of September 30, 2024</w:t>
      </w:r>
    </w:p>
    <w:p>
      <w:pPr>
        <w:autoSpaceDN w:val="0"/>
        <w:autoSpaceDE w:val="0"/>
        <w:widowControl/>
        <w:spacing w:line="180" w:lineRule="exact" w:before="60" w:after="24"/>
        <w:ind w:left="0" w:right="5204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218"/>
        </w:trPr>
        <w:tc>
          <w:tcPr>
            <w:tcW w:type="dxa" w:w="2248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929292"/>
                <w:sz w:val="10"/>
              </w:rPr>
              <w:t>a</w:t>
            </w:r>
          </w:p>
        </w:tc>
        <w:tc>
          <w:tcPr>
            <w:tcW w:type="dxa" w:w="216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Sovereigns</w:t>
            </w:r>
          </w:p>
        </w:tc>
        <w:tc>
          <w:tcPr>
            <w:tcW w:type="dxa" w:w="284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Non-Sovereigns</w:t>
            </w:r>
          </w:p>
        </w:tc>
        <w:tc>
          <w:tcPr>
            <w:tcW w:type="dxa" w:w="27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Net Swap </w:t>
            </w:r>
          </w:p>
        </w:tc>
        <w:tc>
          <w:tcPr>
            <w:tcW w:type="dxa" w:w="1336"/>
            <w:gridSpan w:val="2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Total Exposure</w:t>
            </w:r>
          </w:p>
        </w:tc>
        <w:tc>
          <w:tcPr>
            <w:tcW w:type="dxa" w:w="133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% of Total</w:t>
            </w:r>
          </w:p>
        </w:tc>
      </w:tr>
      <w:tr>
        <w:trPr>
          <w:trHeight w:hRule="exact" w:val="218"/>
        </w:trPr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10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Exposure</w:t>
            </w:r>
          </w:p>
        </w:tc>
        <w:tc>
          <w:tcPr>
            <w:tcW w:type="dxa" w:w="1886"/>
            <w:gridSpan w:val="2"/>
            <w:vMerge/>
            <w:tcBorders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</w:tr>
      <w:tr>
        <w:trPr>
          <w:trHeight w:hRule="exact" w:val="222"/>
        </w:trPr>
        <w:tc>
          <w:tcPr>
            <w:tcW w:type="dxa" w:w="224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216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11,593 </w:t>
            </w:r>
          </w:p>
        </w:tc>
        <w:tc>
          <w:tcPr>
            <w:tcW w:type="dxa" w:w="284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9,551 </w:t>
            </w:r>
          </w:p>
        </w:tc>
        <w:tc>
          <w:tcPr>
            <w:tcW w:type="dxa" w:w="27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9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21,144 </w:t>
            </w:r>
          </w:p>
        </w:tc>
        <w:tc>
          <w:tcPr>
            <w:tcW w:type="dxa" w:w="13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23 %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4,095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41,635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45,812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50 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7,526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17,509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152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25,187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258"/>
        </w:trPr>
        <w:tc>
          <w:tcPr>
            <w:tcW w:type="dxa" w:w="224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 or lower/unrated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220"/>
        </w:trPr>
        <w:tc>
          <w:tcPr>
            <w:tcW w:type="dxa" w:w="22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23,216 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68,732 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234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92,182 </w:t>
            </w:r>
          </w:p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80" w:lineRule="exact" w:before="392" w:after="0"/>
        <w:ind w:left="0" w:right="2900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 xml:space="preserve"> As of June 30, 2024</w:t>
      </w:r>
    </w:p>
    <w:p>
      <w:pPr>
        <w:autoSpaceDN w:val="0"/>
        <w:autoSpaceDE w:val="0"/>
        <w:widowControl/>
        <w:spacing w:line="180" w:lineRule="exact" w:before="60" w:after="24"/>
        <w:ind w:left="0" w:right="5204" w:firstLine="0"/>
        <w:jc w:val="right"/>
      </w:pPr>
      <w:r>
        <w:rPr>
          <w:rFonts w:ascii="Arial" w:hAnsi="Arial" w:eastAsia="Arial"/>
          <w:b w:val="0"/>
          <w:i/>
          <w:color w:val="929292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218"/>
        </w:trPr>
        <w:tc>
          <w:tcPr>
            <w:tcW w:type="dxa" w:w="2248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929292"/>
                <w:sz w:val="10"/>
              </w:rPr>
              <w:t>a</w:t>
            </w:r>
          </w:p>
        </w:tc>
        <w:tc>
          <w:tcPr>
            <w:tcW w:type="dxa" w:w="216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Sovereigns</w:t>
            </w:r>
          </w:p>
        </w:tc>
        <w:tc>
          <w:tcPr>
            <w:tcW w:type="dxa" w:w="284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Non-Sovereigns</w:t>
            </w:r>
          </w:p>
        </w:tc>
        <w:tc>
          <w:tcPr>
            <w:tcW w:type="dxa" w:w="27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Net Swap </w:t>
            </w:r>
          </w:p>
        </w:tc>
        <w:tc>
          <w:tcPr>
            <w:tcW w:type="dxa" w:w="1336"/>
            <w:gridSpan w:val="2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Total Exposure</w:t>
            </w:r>
          </w:p>
        </w:tc>
        <w:tc>
          <w:tcPr>
            <w:tcW w:type="dxa" w:w="133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% of Total</w:t>
            </w:r>
          </w:p>
        </w:tc>
      </w:tr>
      <w:tr>
        <w:trPr>
          <w:trHeight w:hRule="exact" w:val="218"/>
        </w:trPr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106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Exposure</w:t>
            </w:r>
          </w:p>
        </w:tc>
        <w:tc>
          <w:tcPr>
            <w:tcW w:type="dxa" w:w="1886"/>
            <w:gridSpan w:val="2"/>
            <w:vMerge/>
            <w:tcBorders>
              <w:bottom w:sz="4.0" w:val="single" w:color="#929292"/>
            </w:tcBorders>
          </w:tcPr>
          <w:p/>
        </w:tc>
        <w:tc>
          <w:tcPr>
            <w:tcW w:type="dxa" w:w="943"/>
            <w:vMerge/>
            <w:tcBorders>
              <w:top w:sz="4.0" w:val="single" w:color="#929292"/>
              <w:bottom w:sz="4.0" w:val="single" w:color="#929292"/>
            </w:tcBorders>
          </w:tcPr>
          <w:p/>
        </w:tc>
      </w:tr>
      <w:tr>
        <w:trPr>
          <w:trHeight w:hRule="exact" w:val="222"/>
        </w:trPr>
        <w:tc>
          <w:tcPr>
            <w:tcW w:type="dxa" w:w="2248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AAA</w:t>
            </w:r>
          </w:p>
        </w:tc>
        <w:tc>
          <w:tcPr>
            <w:tcW w:type="dxa" w:w="216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9,583 </w:t>
            </w:r>
          </w:p>
        </w:tc>
        <w:tc>
          <w:tcPr>
            <w:tcW w:type="dxa" w:w="284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8,844 </w:t>
            </w:r>
          </w:p>
        </w:tc>
        <w:tc>
          <w:tcPr>
            <w:tcW w:type="dxa" w:w="270"/>
            <w:vMerge w:val="restart"/>
            <w:tcBorders>
              <w:top w:sz="4.0" w:val="single" w:color="#929292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96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18,427 </w:t>
            </w:r>
          </w:p>
        </w:tc>
        <w:tc>
          <w:tcPr>
            <w:tcW w:type="dxa" w:w="133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23 %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AA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6,778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36,481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43,313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7,240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11,505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131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18,876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4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258"/>
        </w:trPr>
        <w:tc>
          <w:tcPr>
            <w:tcW w:type="dxa" w:w="224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 or lower/unrated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943"/>
            <w:vMerge/>
            <w:tcBorders>
              <w:top w:sz="4.0" w:val="single" w:color="#929292"/>
              <w:bottom w:sz="8.0" w:val="single" w:color="#000000"/>
            </w:tcBorders>
          </w:tcPr>
          <w:p/>
        </w:tc>
        <w:tc>
          <w:tcPr>
            <w:tcW w:type="dxa" w:w="10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* </w:t>
            </w:r>
          </w:p>
        </w:tc>
      </w:tr>
      <w:tr>
        <w:trPr>
          <w:trHeight w:hRule="exact" w:val="220"/>
        </w:trPr>
        <w:tc>
          <w:tcPr>
            <w:tcW w:type="dxa" w:w="22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23,605 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56,865 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80,655 </w:t>
            </w:r>
          </w:p>
        </w:tc>
        <w:tc>
          <w:tcPr>
            <w:tcW w:type="dxa" w:w="1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92" w:lineRule="exact" w:before="296" w:after="0"/>
        <w:ind w:left="236" w:right="92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Average rating is calculated using available ratings from the three major rating agencies; however, if ratings are not available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from each of the three rating agencies, IBRD uses the average of the ratings available from any of such rating agencies or a </w:t>
      </w:r>
      <w:r>
        <w:rPr>
          <w:rFonts w:ascii="Arial" w:hAnsi="Arial" w:eastAsia="Arial"/>
          <w:b w:val="0"/>
          <w:i/>
          <w:color w:val="000000"/>
          <w:sz w:val="16"/>
        </w:rPr>
        <w:t>single rating to the extent that an instrument or issuer (as applicable) is rated by only one rating agency.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 Indicates percentage less than 0.5%.</w:t>
      </w:r>
    </w:p>
    <w:p>
      <w:pPr>
        <w:autoSpaceDN w:val="0"/>
        <w:autoSpaceDE w:val="0"/>
        <w:widowControl/>
        <w:spacing w:line="242" w:lineRule="exact" w:before="20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Non-Commercial Counterparty Credit Risk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 to its derivative transactions with commercial counterparties, IBRD offers derivative-intermediation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services to borrowing member countries, as well as to affiliated and non-affiliated organizations, to help meet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their development needs and fulfill their development mandates (Table 13).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a master derivatives agreement with the International Finance Facility for Immunisation (IFFIm),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several transactions have been executed. IBRD has the right to call for collateral above an agreed specified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threshold. As of September 30, 2024, IBRD had not exercised this right, but may do so under the existing terms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agreement. Rather than calling for collateral, IBRD and IFFIm have agreed to manage IBRD’s exposure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applying a risk management buffer to the gearing ratio limit. The gearing ratio limit represents the maximum amount </w:t>
      </w:r>
    </w:p>
    <w:p>
      <w:pPr>
        <w:autoSpaceDN w:val="0"/>
        <w:autoSpaceDE w:val="0"/>
        <w:widowControl/>
        <w:spacing w:line="224" w:lineRule="exact" w:before="878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22     IBRD Management's Discussion and Analysis: September 30, 2024</w:t>
      </w:r>
    </w:p>
    <w:p>
      <w:pPr>
        <w:sectPr>
          <w:pgSz w:w="12240" w:h="15840"/>
          <w:pgMar w:top="31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IFFIm’s net financial obligations less cash and liquid assets, as a percentage of the net present value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financial assets.</w:t>
      </w:r>
    </w:p>
    <w:p>
      <w:pPr>
        <w:autoSpaceDN w:val="0"/>
        <w:autoSpaceDE w:val="0"/>
        <w:widowControl/>
        <w:spacing w:line="202" w:lineRule="exact" w:before="202" w:after="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13: Non-Commercial Counterparty Credit Risk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166" w:after="24"/>
        <w:ind w:left="56" w:right="0" w:firstLine="0"/>
        <w:jc w:val="left"/>
      </w:pPr>
      <w:r>
        <w:rPr>
          <w:rFonts w:ascii="Arial" w:hAnsi="Arial" w:eastAsia="Arial"/>
          <w:b w:val="0"/>
          <w:i/>
          <w:color w:val="929292"/>
          <w:sz w:val="16"/>
        </w:rPr>
        <w:t>Exposures as of September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20"/>
        </w:trPr>
        <w:tc>
          <w:tcPr>
            <w:tcW w:type="dxa" w:w="172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Non-Commercial </w:t>
            </w:r>
          </w:p>
        </w:tc>
        <w:tc>
          <w:tcPr>
            <w:tcW w:type="dxa" w:w="182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 xml:space="preserve">Instrument </w:t>
            </w:r>
          </w:p>
        </w:tc>
        <w:tc>
          <w:tcPr>
            <w:tcW w:type="dxa" w:w="340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6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Purpose of derivative transaction</w:t>
            </w:r>
          </w:p>
        </w:tc>
        <w:tc>
          <w:tcPr>
            <w:tcW w:type="dxa" w:w="1220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Notional</w:t>
            </w:r>
          </w:p>
        </w:tc>
        <w:tc>
          <w:tcPr>
            <w:tcW w:type="dxa" w:w="1204"/>
            <w:vMerge w:val="restart"/>
            <w:tcBorders>
              <w:top w:sz="4.0" w:val="single" w:color="#929292"/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Net Exposure</w:t>
            </w:r>
          </w:p>
        </w:tc>
      </w:tr>
      <w:tr>
        <w:trPr>
          <w:trHeight w:hRule="exact" w:val="216"/>
        </w:trPr>
        <w:tc>
          <w:tcPr>
            <w:tcW w:type="dxa" w:w="17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Counterparty</w:t>
            </w:r>
          </w:p>
        </w:tc>
        <w:tc>
          <w:tcPr>
            <w:tcW w:type="dxa" w:w="182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929292"/>
                <w:sz w:val="16"/>
              </w:rPr>
              <w:t>used</w:t>
            </w:r>
          </w:p>
        </w:tc>
        <w:tc>
          <w:tcPr>
            <w:tcW w:type="dxa" w:w="1887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1887"/>
            <w:vMerge/>
            <w:tcBorders>
              <w:top w:sz="4.0" w:val="single" w:color="#929292"/>
              <w:bottom w:sz="4.0" w:val="single" w:color="#929292"/>
            </w:tcBorders>
          </w:tcPr>
          <w:p/>
        </w:tc>
        <w:tc>
          <w:tcPr>
            <w:tcW w:type="dxa" w:w="1887"/>
            <w:vMerge/>
            <w:tcBorders>
              <w:top w:sz="4.0" w:val="single" w:color="#929292"/>
              <w:bottom w:sz="4.0" w:val="single" w:color="#929292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8" w:after="8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04"/>
        </w:trPr>
        <w:tc>
          <w:tcPr>
            <w:tcW w:type="dxa" w:w="2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Member Countries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borrowing member countries with managing risks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7,230 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50"/>
        </w:trPr>
        <w:tc>
          <w:tcPr>
            <w:tcW w:type="dxa" w:w="20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Non-Affiliated Organization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Derivatives</w:t>
            </w:r>
          </w:p>
        </w:tc>
        <w:tc>
          <w:tcPr>
            <w:tcW w:type="dxa" w:w="4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IFFIm with managing financial risks</w:t>
            </w:r>
          </w:p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2,188 </w:t>
            </w:r>
          </w:p>
        </w:tc>
        <w:tc>
          <w:tcPr>
            <w:tcW w:type="dxa" w:w="1572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0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9,418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44" w:lineRule="exact" w:before="358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Changes in Credit Spreads</w:t>
      </w:r>
    </w:p>
    <w:p>
      <w:pPr>
        <w:autoSpaceDN w:val="0"/>
        <w:autoSpaceDE w:val="0"/>
        <w:widowControl/>
        <w:spacing w:line="240" w:lineRule="exact" w:before="12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sensitivity of IBRD’s portfolios to credit represents the change in fair value corresponding to changes in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spreads.</w:t>
      </w:r>
    </w:p>
    <w:p>
      <w:pPr>
        <w:autoSpaceDN w:val="0"/>
        <w:tabs>
          <w:tab w:pos="724" w:val="left"/>
        </w:tabs>
        <w:autoSpaceDE w:val="0"/>
        <w:widowControl/>
        <w:spacing w:line="238" w:lineRule="exact" w:before="124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Investments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 purchases investment-grade securities for its liquid asset portfolio. Credit risk is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controlled through appropriate eligibility criteria (see investment eligibility criteria in IBRD’s MD&amp;A as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2024) and a consultative loss limit.</w:t>
      </w:r>
    </w:p>
    <w:p>
      <w:pPr>
        <w:autoSpaceDN w:val="0"/>
        <w:tabs>
          <w:tab w:pos="724" w:val="left"/>
        </w:tabs>
        <w:autoSpaceDE w:val="0"/>
        <w:widowControl/>
        <w:spacing w:line="238" w:lineRule="exact" w:before="64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Borrowings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: IBRD’s own credit risk reflects the cost of funding relative to applicable reference rates.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in IBRD’s credit spreads result in unrealized mark-to-market gains/losses, recorded as Net Change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DVA on Fair Value Option elected liabilities in the Condensed Statements of Comprehensive Income.</w:t>
      </w:r>
    </w:p>
    <w:p>
      <w:pPr>
        <w:autoSpaceDN w:val="0"/>
        <w:tabs>
          <w:tab w:pos="724" w:val="left"/>
        </w:tabs>
        <w:autoSpaceDE w:val="0"/>
        <w:widowControl/>
        <w:spacing w:line="240" w:lineRule="exact" w:before="62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Loans: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IBRD’s fair value model represents a hypothetical exit price of the loan portfolio. It incorporates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Default Swaps (CDS) spreads as an indicator of the credit risk for each borrower. IBRD does not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hedge its sovereign credit exposure, but Management assesses its credit risk through a loan-loss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provisioning framework. The loan loss provision represents the expected losses inherent in its accrual and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nonaccrual portfolios. IBRD’s country credit risk is managed by using individual country exposure limits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by monitoring its credit-risk-bearing capacity.</w:t>
      </w:r>
    </w:p>
    <w:p>
      <w:pPr>
        <w:autoSpaceDN w:val="0"/>
        <w:tabs>
          <w:tab w:pos="724" w:val="left"/>
        </w:tabs>
        <w:autoSpaceDE w:val="0"/>
        <w:widowControl/>
        <w:spacing w:line="238" w:lineRule="exact" w:before="64" w:after="0"/>
        <w:ind w:left="3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◦</w:t>
      </w:r>
      <w:r>
        <w:tab/>
      </w:r>
      <w:r>
        <w:rPr>
          <w:rFonts w:ascii="TimesNewRoman" w:hAnsi="TimesNewRoman" w:eastAsia="TimesNewRoman"/>
          <w:b w:val="0"/>
          <w:i/>
          <w:color w:val="000000"/>
          <w:sz w:val="20"/>
        </w:rPr>
        <w:t>Derivatives: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IBRD uses derivatives to manage exposures to currency and interest rate risks in its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investment, loan, other ALM and borrowing portfolios. It is therefore exposed to commercial counterparty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 risk on these instruments.</w:t>
      </w:r>
    </w:p>
    <w:p>
      <w:pPr>
        <w:autoSpaceDN w:val="0"/>
        <w:autoSpaceDE w:val="0"/>
        <w:widowControl/>
        <w:spacing w:line="268" w:lineRule="exact" w:before="19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Market Risk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exposed to changes in interest and exchange rates, and it uses various strategies to minimize its exposure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market risk.</w:t>
      </w:r>
    </w:p>
    <w:p>
      <w:pPr>
        <w:autoSpaceDN w:val="0"/>
        <w:autoSpaceDE w:val="0"/>
        <w:widowControl/>
        <w:spacing w:line="244" w:lineRule="exact" w:before="13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Interest Rate Risk</w:t>
      </w:r>
    </w:p>
    <w:p>
      <w:pPr>
        <w:autoSpaceDN w:val="0"/>
        <w:autoSpaceDE w:val="0"/>
        <w:widowControl/>
        <w:spacing w:line="240" w:lineRule="exact" w:before="12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its current interest rate risk management strategy, IBRD seeks to match the interest rate sensitivity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(loan and investment trading portfolios) with those of its liabilities (borrowing portfolio) by using derivatives,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such as interest rate swaps. These derivatives effectively convert IBRD’s financial assets and liabilities into variable-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instruments. After considering the effects of these derivatives, virtually the entire loan and borrowing portfolios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are carried at variable interest rates.</w:t>
      </w:r>
    </w:p>
    <w:p>
      <w:pPr>
        <w:autoSpaceDN w:val="0"/>
        <w:autoSpaceDE w:val="0"/>
        <w:widowControl/>
        <w:spacing w:line="244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Loans to borrowing countries</w:t>
      </w:r>
    </w:p>
    <w:p>
      <w:pPr>
        <w:autoSpaceDN w:val="0"/>
        <w:autoSpaceDE w:val="0"/>
        <w:widowControl/>
        <w:spacing w:line="220" w:lineRule="exact" w:before="14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 IBRD’s loan agreements, if an interest rate yields a negative rate, the interest rate charged is zero.</w:t>
      </w:r>
    </w:p>
    <w:p>
      <w:pPr>
        <w:autoSpaceDN w:val="0"/>
        <w:autoSpaceDE w:val="0"/>
        <w:widowControl/>
        <w:spacing w:line="244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2"/>
        </w:rPr>
        <w:t>Liquid Asset Portfolio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existing guidelines allow for the investment in a wide variety of credit products in both developed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emerging market economies (see investment eligibility criteria in IBRD’s MD&amp;A as of June 30, 2024).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interest rate risk on IBRD’s liquid asset portfolio, including the risk that the value of assets in the portfolio will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fluctuate in response to changes in market interest rates, is managed within specified duration-mismatch limits.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 asset portfolio has spread exposure because IBRD holds instruments other than short-term bank deposits. </w:t>
      </w:r>
    </w:p>
    <w:p>
      <w:pPr>
        <w:autoSpaceDN w:val="0"/>
        <w:autoSpaceDE w:val="0"/>
        <w:widowControl/>
        <w:spacing w:line="224" w:lineRule="exact" w:before="1046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23</w:t>
      </w:r>
    </w:p>
    <w:p>
      <w:pPr>
        <w:sectPr>
          <w:pgSz w:w="12240" w:h="15840"/>
          <w:pgMar w:top="31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40" w:lineRule="exact" w:before="10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investments generally yield positive returns over the risk-free reference rate (SOFR) but can generate mark-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to-market gains or losses if the credit spread moves.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Fixed Spread Loan Refinancing Risk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 April 1, 2021, IBRD’s offering of loans on fixed spread terms was suspended. Refinancing risk for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fixed-spread loans in the portfolio relates to the potential impact of any future deterioration in IBRD's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spread relative to what was computed in the fixed-spread when the loan was initially disbursed. IBRD does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match the maturity of its funding with that of its fixed spread loans as this would result in significantly higher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financing costs for all loans. Instead, IBRD targets a shorter average funding maturity and manages the refinancing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risk by charging a risk premium.</w:t>
      </w:r>
    </w:p>
    <w:p>
      <w:pPr>
        <w:autoSpaceDN w:val="0"/>
        <w:autoSpaceDE w:val="0"/>
        <w:widowControl/>
        <w:spacing w:line="244" w:lineRule="exact" w:before="13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Other Interest Rate Risks</w:t>
      </w:r>
    </w:p>
    <w:p>
      <w:pPr>
        <w:autoSpaceDN w:val="0"/>
        <w:autoSpaceDE w:val="0"/>
        <w:widowControl/>
        <w:spacing w:line="240" w:lineRule="exact" w:before="12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risk also arises from other variables, including differences in timing between the contractual maturities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 re-pricing of IBRD’s assets, liabilities, and derivative instruments. On variable-rate assets and liabilities, IBRD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exposed to timing mismatches between the reset dates on its variable-rate receivables and payables. IBRD monitors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exposures and may execute overlay interest rate swaps to reduce sizable timing mismatches.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Exchange Rate Risk </w:t>
      </w:r>
    </w:p>
    <w:p>
      <w:pPr>
        <w:autoSpaceDN w:val="0"/>
        <w:autoSpaceDE w:val="0"/>
        <w:widowControl/>
        <w:spacing w:line="240" w:lineRule="exact" w:before="112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the majority of its assets and liabilities in U.S. dollars and euro. However, the reported levels of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assets, liabilities, income, and expenses in the financial statements are affected by exchange rate movements in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currencies in which IBRD transacts, relative to its reporting currency, the U.S. dollar. While IBRD’s equity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could be affected by exchange rate movements, IBRD’s risk management policies work to minimize the exchange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rate risk in its capital adequacy, by immunizing the Equity-to-Loans ratio against exchange rate movements.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minimize exchange rate risk, IBRD matches its borrowing obligations in any one currency (after derivatives)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with assets in the same currency. In addition, IBRD undertakes periodic currency conversions to align the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composition of its equity with that of its outstanding loans across major currencies. Together, these policies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designed to minimize the impact of exchange rate fluctuations on the Equity-to-Loans ratio; thereby preserving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ability to better absorb unexpected losses from arrears on loan repayments, regardless of exchange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movements. As a result, exchange rate movements during the period generally do not have an impact on the overall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Equity-to-Loans ratio.</w:t>
      </w:r>
    </w:p>
    <w:p>
      <w:pPr>
        <w:autoSpaceDN w:val="0"/>
        <w:autoSpaceDE w:val="0"/>
        <w:widowControl/>
        <w:spacing w:line="242" w:lineRule="exact" w:before="13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Liquidity Risk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risk arises in the general funding of IBRD’s activities and in managing its financial position. It includes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risk of IBRD being unable to fund its portfolio of assets at appropriate maturities and rates, and the risk of being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unable to liquidate a position in a timely manner at a reasonable price.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IBRD’s liquidity management guidelines, liquid asset holdings are kept at or above a specified Prudential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Minimum to safeguard against cash flow interruptions.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Target Liquidity Level represents twelve-months’ coverage as calculated at the start of every fiscal year.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Prudential Minimum is defined as 80% of the Target Liquidity Level. The maximum guideline of 150%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Target Liquidity Level continues to function as a guideline rather than a hard ceiling (Table 14).</w:t>
      </w:r>
    </w:p>
    <w:p>
      <w:pPr>
        <w:autoSpaceDN w:val="0"/>
        <w:autoSpaceDE w:val="0"/>
        <w:widowControl/>
        <w:spacing w:line="202" w:lineRule="exact" w:before="202" w:after="30"/>
        <w:ind w:left="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Table 14: Liquidity Levels for FY25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238"/>
        </w:trPr>
        <w:tc>
          <w:tcPr>
            <w:tcW w:type="dxa" w:w="404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In billions of U.S. dollars</w:t>
            </w:r>
          </w:p>
        </w:tc>
        <w:tc>
          <w:tcPr>
            <w:tcW w:type="dxa" w:w="23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2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Target Liquidity Level</w:t>
            </w:r>
          </w:p>
        </w:tc>
      </w:tr>
      <w:tr>
        <w:trPr>
          <w:trHeight w:hRule="exact" w:val="238"/>
        </w:trPr>
        <w:tc>
          <w:tcPr>
            <w:tcW w:type="dxa" w:w="4044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Target Liquidity Level</w:t>
            </w:r>
          </w:p>
        </w:tc>
        <w:tc>
          <w:tcPr>
            <w:tcW w:type="dxa" w:w="860"/>
            <w:vMerge w:val="restart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top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65.0 </w:t>
            </w:r>
          </w:p>
        </w:tc>
        <w:tc>
          <w:tcPr>
            <w:tcW w:type="dxa" w:w="2324"/>
            <w:vMerge w:val="restart"/>
            <w:tcBorders>
              <w:top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0" w:right="8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150%</w:t>
            </w:r>
          </w:p>
        </w:tc>
      </w:tr>
      <w:tr>
        <w:trPr>
          <w:trHeight w:hRule="exact" w:val="210"/>
        </w:trPr>
        <w:tc>
          <w:tcPr>
            <w:tcW w:type="dxa" w:w="4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Guideline Maximum Liquidity Level</w:t>
            </w:r>
          </w:p>
        </w:tc>
        <w:tc>
          <w:tcPr>
            <w:tcW w:type="dxa" w:w="2358"/>
            <w:vMerge/>
            <w:tcBorders>
              <w:top w:sz="4.0" w:val="single" w:color="#929292"/>
            </w:tcBorders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97.5 </w:t>
            </w:r>
          </w:p>
        </w:tc>
        <w:tc>
          <w:tcPr>
            <w:tcW w:type="dxa" w:w="2358"/>
            <w:vMerge/>
            <w:tcBorders>
              <w:top w:sz="4.0" w:val="single" w:color="#929292"/>
            </w:tcBorders>
          </w:tcPr>
          <w:p/>
        </w:tc>
      </w:tr>
      <w:tr>
        <w:trPr>
          <w:trHeight w:hRule="exact" w:val="270"/>
        </w:trPr>
        <w:tc>
          <w:tcPr>
            <w:tcW w:type="dxa" w:w="4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Prudential Minimum Liquidity Level</w:t>
            </w:r>
          </w:p>
        </w:tc>
        <w:tc>
          <w:tcPr>
            <w:tcW w:type="dxa" w:w="860"/>
            <w:vMerge w:val="restart"/>
            <w:tcBorders>
              <w:bottom w:sz="4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52.0 </w:t>
            </w:r>
          </w:p>
        </w:tc>
        <w:tc>
          <w:tcPr>
            <w:tcW w:type="dxa" w:w="2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9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80%</w:t>
            </w:r>
          </w:p>
        </w:tc>
      </w:tr>
      <w:tr>
        <w:trPr>
          <w:trHeight w:hRule="exact" w:val="242"/>
        </w:trPr>
        <w:tc>
          <w:tcPr>
            <w:tcW w:type="dxa" w:w="404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 Portfolio as of September 30, 2024</w:t>
            </w:r>
          </w:p>
        </w:tc>
        <w:tc>
          <w:tcPr>
            <w:tcW w:type="dxa" w:w="2358"/>
            <w:vMerge/>
            <w:tcBorders>
              <w:bottom w:sz="4.0" w:val="single" w:color="#929292"/>
            </w:tcBorders>
          </w:tcPr>
          <w:p/>
        </w:tc>
        <w:tc>
          <w:tcPr>
            <w:tcW w:type="dxa" w:w="2140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88.7 </w:t>
            </w:r>
          </w:p>
        </w:tc>
        <w:tc>
          <w:tcPr>
            <w:tcW w:type="dxa" w:w="2324"/>
            <w:tcBorders>
              <w:bottom w:sz="4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8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136%</w:t>
            </w:r>
          </w:p>
        </w:tc>
      </w:tr>
    </w:tbl>
    <w:p>
      <w:pPr>
        <w:autoSpaceDN w:val="0"/>
        <w:autoSpaceDE w:val="0"/>
        <w:widowControl/>
        <w:spacing w:line="240" w:lineRule="exact" w:before="16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FY25 Target Liquidity Level is $6.0 billion higher than the prior year, due to the higher projected debt service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FY25.</w:t>
      </w:r>
    </w:p>
    <w:p>
      <w:pPr>
        <w:autoSpaceDN w:val="0"/>
        <w:autoSpaceDE w:val="0"/>
        <w:widowControl/>
        <w:spacing w:line="224" w:lineRule="exact" w:before="2010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24     IBRD Management's Discussion and Analysis: September 30, 2024</w:t>
      </w:r>
    </w:p>
    <w:p>
      <w:pPr>
        <w:sectPr>
          <w:pgSz w:w="12240" w:h="15840"/>
          <w:pgMar w:top="316" w:right="1370" w:bottom="13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 xml:space="preserve">Section IV: Risk Management </w:t>
            </w:r>
          </w:p>
        </w:tc>
      </w:tr>
    </w:tbl>
    <w:p>
      <w:pPr>
        <w:autoSpaceDN w:val="0"/>
        <w:autoSpaceDE w:val="0"/>
        <w:widowControl/>
        <w:spacing w:line="244" w:lineRule="exact" w:before="118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Operational Risk 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Operational risk is defined as the risk of financial loss, or damage to IBRD’s reputation resulting from inadequate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failed internal processes, people and systems, or from external events.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recognizes the importance of operational risk management activities, which are embedded in its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operations. As part of its business activities, IBRD is exposed to a range of operational risks including physical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security, staff health and safety, information security and data privacy, business continuity, and third-party risks.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approach to identifying and managing operational risk includes a dedicated program for these risks and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robust process that includes assessing and prioritizing operational risks, monitoring and reporting relevant key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indicators, aggregating and analyzing internal and external events, and identifying emerging risks that may affect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business units and developing risk response and mitigating actions.</w:t>
      </w:r>
    </w:p>
    <w:p>
      <w:pPr>
        <w:autoSpaceDN w:val="0"/>
        <w:autoSpaceDE w:val="0"/>
        <w:widowControl/>
        <w:spacing w:line="224" w:lineRule="exact" w:before="1166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Management's Discussion and Analysis: September 30, 2024     25</w:t>
      </w:r>
    </w:p>
    <w:p>
      <w:pPr>
        <w:sectPr>
          <w:pgSz w:w="12240" w:h="15840"/>
          <w:pgMar w:top="316" w:right="1370" w:bottom="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50"/>
            <w:tcBorders>
              <w:bottom w:sz="8.0" w:val="single" w:color="#DADADA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20"/>
            <w:tcBorders>
              <w:bottom w:sz="8.0" w:val="single" w:color="#DADAD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Governance</w:t>
            </w:r>
          </w:p>
        </w:tc>
      </w:tr>
    </w:tbl>
    <w:p>
      <w:pPr>
        <w:autoSpaceDN w:val="0"/>
        <w:autoSpaceDE w:val="0"/>
        <w:widowControl/>
        <w:spacing w:line="312" w:lineRule="exact" w:before="18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V: Governance</w:t>
      </w:r>
    </w:p>
    <w:p>
      <w:pPr>
        <w:autoSpaceDN w:val="0"/>
        <w:autoSpaceDE w:val="0"/>
        <w:widowControl/>
        <w:spacing w:line="298" w:lineRule="exact" w:before="17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Senior Management Changes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Lakshmi Shyam-Sunder, WBG Chief Risk Officer and Vice President, will be retiring and leaving the Bank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January 2025. Dennis McLaughlin was appointed to this role effective January 2, 2025.</w:t>
      </w:r>
    </w:p>
    <w:p>
      <w:pPr>
        <w:autoSpaceDN w:val="0"/>
        <w:autoSpaceDE w:val="0"/>
        <w:widowControl/>
        <w:spacing w:line="224" w:lineRule="exact" w:before="1286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26     IBRD Management's Discussion and Analysis: September 30, 2024</w:t>
      </w:r>
    </w:p>
    <w:p>
      <w:pPr>
        <w:sectPr>
          <w:pgSz w:w="12240" w:h="15840"/>
          <w:pgMar w:top="316" w:right="1370" w:bottom="13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INTERNATIONAL BANK FOR RECONSTRUCTION AND DEVELOPMENT </w:t>
      </w:r>
      <w:r>
        <w:rPr>
          <w:rFonts w:ascii="ArialMT" w:hAnsi="ArialMT" w:eastAsia="ArialMT"/>
          <w:b w:val="0"/>
          <w:i w:val="0"/>
          <w:color w:val="000000"/>
          <w:sz w:val="28"/>
        </w:rPr>
        <w:t>(IBRD)</w:t>
      </w:r>
    </w:p>
    <w:p>
      <w:pPr>
        <w:autoSpaceDN w:val="0"/>
        <w:autoSpaceDE w:val="0"/>
        <w:widowControl/>
        <w:spacing w:line="280" w:lineRule="exact" w:before="416" w:after="0"/>
        <w:ind w:left="0" w:right="76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CONTENTS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September 30, 2024</w:t>
      </w:r>
    </w:p>
    <w:p>
      <w:pPr>
        <w:autoSpaceDN w:val="0"/>
        <w:autoSpaceDE w:val="0"/>
        <w:widowControl/>
        <w:spacing w:line="314" w:lineRule="exact" w:before="3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QUARTERLY FINANCIAL STATEMENTS (UNAUDITED)</w:t>
      </w:r>
    </w:p>
    <w:p>
      <w:pPr>
        <w:autoSpaceDN w:val="0"/>
        <w:tabs>
          <w:tab w:pos="9190" w:val="left"/>
        </w:tabs>
        <w:autoSpaceDE w:val="0"/>
        <w:widowControl/>
        <w:spacing w:line="404" w:lineRule="exact" w:before="430" w:after="0"/>
        <w:ind w:left="5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CONDENSED BALANCE SHEETS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28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CONDENSED STATEMENTS OF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30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CONDENSED STATEMENTS OF COMPREHENSIVE INCOME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31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CONDENSED STATEMENTS OF CHANGES IN RETAINED EARNINGS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31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CONDENSED STATEMENTS OF CASH FLOWS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32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NOTES TO CONDENSED QUARTERLY FINANCIAL STATEMENTS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33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INDEPENDENT AUDITOR'S REVIEW REPORT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24" w:lineRule="exact" w:before="7942" w:after="0"/>
        <w:ind w:left="166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27</w:t>
      </w:r>
    </w:p>
    <w:p>
      <w:pPr>
        <w:sectPr>
          <w:pgSz w:w="12240" w:h="15840"/>
          <w:pgMar w:top="696" w:right="12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0" w:lineRule="exact" w:before="54" w:after="578"/>
        <w:ind w:left="0" w:right="50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BALANCE SHEETS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80.0" w:type="dxa"/>
      </w:tblPr>
      <w:tblGrid>
        <w:gridCol w:w="4708"/>
        <w:gridCol w:w="4708"/>
      </w:tblGrid>
      <w:tr>
        <w:trPr>
          <w:trHeight w:hRule="exact" w:val="506"/>
        </w:trPr>
        <w:tc>
          <w:tcPr>
            <w:tcW w:type="dxa" w:w="18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September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7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June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Assets</w:t>
      </w:r>
    </w:p>
    <w:p>
      <w:pPr>
        <w:autoSpaceDN w:val="0"/>
        <w:autoSpaceDE w:val="0"/>
        <w:widowControl/>
        <w:spacing w:line="200" w:lineRule="exact" w:before="54" w:after="28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Due from banks—Notes C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4"/>
        </w:trPr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 cash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455 $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410 </w:t>
            </w:r>
          </w:p>
        </w:tc>
      </w:tr>
      <w:tr>
        <w:trPr>
          <w:trHeight w:hRule="exact" w:val="268"/>
        </w:trPr>
        <w:tc>
          <w:tcPr>
            <w:tcW w:type="dxa" w:w="5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 cash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8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83 </w:t>
            </w:r>
          </w:p>
        </w:tc>
        <w:tc>
          <w:tcPr>
            <w:tcW w:type="dxa" w:w="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 </w:t>
            </w:r>
          </w:p>
        </w:tc>
      </w:tr>
      <w:tr>
        <w:trPr>
          <w:trHeight w:hRule="exact" w:val="256"/>
        </w:trPr>
        <w:tc>
          <w:tcPr>
            <w:tcW w:type="dxa" w:w="5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8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538 </w:t>
            </w:r>
          </w:p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</w:t>
            </w:r>
          </w:p>
        </w:tc>
      </w:tr>
    </w:tbl>
    <w:p>
      <w:pPr>
        <w:autoSpaceDN w:val="0"/>
        <w:tabs>
          <w:tab w:pos="232" w:val="left"/>
        </w:tabs>
        <w:autoSpaceDE w:val="0"/>
        <w:widowControl/>
        <w:spacing w:line="216" w:lineRule="exact" w:before="26" w:after="8"/>
        <w:ind w:left="5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Investments-Trading (including securities transferred under repurchase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or securities lending agreements of $105 million—September 30,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90"/>
        </w:trPr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2024 and $255 million—June 30, 2024)—Notes C and J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94,239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82,728 </w:t>
            </w:r>
          </w:p>
        </w:tc>
      </w:tr>
      <w:tr>
        <w:trPr>
          <w:trHeight w:hRule="exact" w:val="560"/>
        </w:trPr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Securities purchased under resale agreements—Notes C and J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79 </w:t>
            </w:r>
          </w:p>
        </w:tc>
      </w:tr>
      <w:tr>
        <w:trPr>
          <w:trHeight w:hRule="exact" w:val="458"/>
        </w:trPr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Derivative assets, net—Notes C, E, F, H and J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508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456 </w:t>
            </w:r>
          </w:p>
        </w:tc>
      </w:tr>
    </w:tbl>
    <w:p>
      <w:pPr>
        <w:autoSpaceDN w:val="0"/>
        <w:autoSpaceDE w:val="0"/>
        <w:widowControl/>
        <w:spacing w:line="200" w:lineRule="exact" w:before="310" w:after="28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Loans outstanding—Notes D, H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64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loans approved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354,261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348,248 </w:t>
            </w:r>
          </w:p>
        </w:tc>
      </w:tr>
    </w:tbl>
    <w:p>
      <w:pPr>
        <w:autoSpaceDN w:val="0"/>
        <w:tabs>
          <w:tab w:pos="502" w:val="left"/>
        </w:tabs>
        <w:autoSpaceDE w:val="0"/>
        <w:widowControl/>
        <w:spacing w:line="216" w:lineRule="exact" w:before="20" w:after="8"/>
        <w:ind w:left="322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Less: Undisbursed balance (including signed loan commitments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$71,060 million—September 30, 2024 and $66,761 million—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139"/>
        <w:gridCol w:w="3139"/>
        <w:gridCol w:w="3139"/>
      </w:tblGrid>
      <w:tr>
        <w:trPr>
          <w:trHeight w:hRule="exact" w:val="238"/>
        </w:trPr>
        <w:tc>
          <w:tcPr>
            <w:tcW w:type="dxa" w:w="5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June 30, 2024)</w:t>
            </w:r>
          </w:p>
        </w:tc>
        <w:tc>
          <w:tcPr>
            <w:tcW w:type="dxa" w:w="1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(85,113) </w:t>
            </w:r>
          </w:p>
        </w:tc>
        <w:tc>
          <w:tcPr>
            <w:tcW w:type="dxa" w:w="17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(85,058) </w:t>
            </w:r>
          </w:p>
        </w:tc>
      </w:tr>
      <w:tr>
        <w:trPr>
          <w:trHeight w:hRule="exact" w:val="252"/>
        </w:trPr>
        <w:tc>
          <w:tcPr>
            <w:tcW w:type="dxa" w:w="5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269,148 </w:t>
            </w:r>
          </w:p>
        </w:tc>
        <w:tc>
          <w:tcPr>
            <w:tcW w:type="dxa" w:w="17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200" w:lineRule="exact" w:before="28" w:after="26"/>
        <w:ind w:left="3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56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Accumulated provision for loan losses</w:t>
            </w:r>
          </w:p>
        </w:tc>
        <w:tc>
          <w:tcPr>
            <w:tcW w:type="dxa" w:w="6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(2,203)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(2,360) </w:t>
            </w:r>
          </w:p>
        </w:tc>
      </w:tr>
      <w:tr>
        <w:trPr>
          <w:trHeight w:hRule="exact" w:val="258"/>
        </w:trPr>
        <w:tc>
          <w:tcPr>
            <w:tcW w:type="dxa" w:w="5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Deferred loan income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(617) </w:t>
            </w:r>
          </w:p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(594) </w:t>
            </w:r>
          </w:p>
        </w:tc>
      </w:tr>
      <w:tr>
        <w:trPr>
          <w:trHeight w:hRule="exact" w:val="402"/>
        </w:trPr>
        <w:tc>
          <w:tcPr>
            <w:tcW w:type="dxa" w:w="5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Net loans outstanding</w:t>
            </w:r>
          </w:p>
        </w:tc>
        <w:tc>
          <w:tcPr>
            <w:tcW w:type="dxa" w:w="6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266,328 </w:t>
            </w:r>
          </w:p>
        </w:tc>
        <w:tc>
          <w:tcPr>
            <w:tcW w:type="dxa" w:w="1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260,236 </w:t>
            </w:r>
          </w:p>
        </w:tc>
      </w:tr>
      <w:tr>
        <w:trPr>
          <w:trHeight w:hRule="exact" w:val="738"/>
        </w:trPr>
        <w:tc>
          <w:tcPr>
            <w:tcW w:type="dxa" w:w="5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assets—Notes C, D, E and H</w:t>
            </w:r>
          </w:p>
        </w:tc>
        <w:tc>
          <w:tcPr>
            <w:tcW w:type="dxa" w:w="23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0" w:right="6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14,432 </w:t>
            </w:r>
          </w:p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12,623 </w:t>
            </w:r>
          </w:p>
        </w:tc>
      </w:tr>
      <w:tr>
        <w:trPr>
          <w:trHeight w:hRule="exact" w:val="234"/>
        </w:trPr>
        <w:tc>
          <w:tcPr>
            <w:tcW w:type="dxa" w:w="5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assets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376,121 $ </w:t>
            </w:r>
          </w:p>
        </w:tc>
        <w:tc>
          <w:tcPr>
            <w:tcW w:type="dxa" w:w="11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356,612 </w:t>
            </w:r>
          </w:p>
        </w:tc>
      </w:tr>
      <w:tr>
        <w:trPr>
          <w:trHeight w:hRule="exact" w:val="52"/>
        </w:trPr>
        <w:tc>
          <w:tcPr>
            <w:tcW w:type="dxa" w:w="5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475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28     IBRD Condensed Quarterly Financial Statements: September 30, 2024 (Unaudited)</w:t>
      </w:r>
    </w:p>
    <w:p>
      <w:pPr>
        <w:sectPr>
          <w:pgSz w:w="12240" w:h="15840"/>
          <w:pgMar w:top="696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36.0" w:type="dxa"/>
      </w:tblPr>
      <w:tblGrid>
        <w:gridCol w:w="4708"/>
        <w:gridCol w:w="4708"/>
      </w:tblGrid>
      <w:tr>
        <w:trPr>
          <w:trHeight w:hRule="exact" w:val="446"/>
        </w:trPr>
        <w:tc>
          <w:tcPr>
            <w:tcW w:type="dxa" w:w="18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September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June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2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64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Borrowings—Notes E and J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287,131 $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261,790 </w:t>
            </w:r>
          </w:p>
        </w:tc>
      </w:tr>
    </w:tbl>
    <w:p>
      <w:pPr>
        <w:autoSpaceDN w:val="0"/>
        <w:autoSpaceDE w:val="0"/>
        <w:widowControl/>
        <w:spacing w:line="216" w:lineRule="exact" w:before="22" w:after="8"/>
        <w:ind w:left="0" w:right="3888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Securities sold under repurchase agreements, securities lent under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securities lending agreements, and payable for cash collateral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46"/>
        </w:trPr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received—Notes C and J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106 </w:t>
            </w:r>
          </w:p>
        </w:tc>
        <w:tc>
          <w:tcPr>
            <w:tcW w:type="dxa" w:w="1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256 </w:t>
            </w:r>
          </w:p>
        </w:tc>
      </w:tr>
      <w:tr>
        <w:trPr>
          <w:trHeight w:hRule="exact" w:val="540"/>
        </w:trPr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Derivative liabilities, net—Notes C, E, F, H and J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14,606 </w:t>
            </w:r>
          </w:p>
        </w:tc>
        <w:tc>
          <w:tcPr>
            <w:tcW w:type="dxa" w:w="1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22,728 </w:t>
            </w:r>
          </w:p>
        </w:tc>
      </w:tr>
      <w:tr>
        <w:trPr>
          <w:trHeight w:hRule="exact" w:val="416"/>
        </w:trPr>
        <w:tc>
          <w:tcPr>
            <w:tcW w:type="dxa" w:w="5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liabilities—Notes C, D and H</w:t>
            </w:r>
          </w:p>
        </w:tc>
        <w:tc>
          <w:tcPr>
            <w:tcW w:type="dxa" w:w="18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9,760 </w:t>
            </w:r>
          </w:p>
        </w:tc>
        <w:tc>
          <w:tcPr>
            <w:tcW w:type="dxa" w:w="1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8,354 </w:t>
            </w:r>
          </w:p>
        </w:tc>
      </w:tr>
      <w:tr>
        <w:trPr>
          <w:trHeight w:hRule="exact" w:val="314"/>
        </w:trPr>
        <w:tc>
          <w:tcPr>
            <w:tcW w:type="dxa" w:w="5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</w:t>
            </w:r>
          </w:p>
        </w:tc>
        <w:tc>
          <w:tcPr>
            <w:tcW w:type="dxa" w:w="1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311,603 </w:t>
            </w:r>
          </w:p>
        </w:tc>
        <w:tc>
          <w:tcPr>
            <w:tcW w:type="dxa" w:w="1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293,128 </w:t>
            </w:r>
          </w:p>
        </w:tc>
      </w:tr>
    </w:tbl>
    <w:p>
      <w:pPr>
        <w:autoSpaceDN w:val="0"/>
        <w:autoSpaceDE w:val="0"/>
        <w:widowControl/>
        <w:spacing w:line="202" w:lineRule="exact" w:before="28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</w:t>
      </w:r>
    </w:p>
    <w:p>
      <w:pPr>
        <w:autoSpaceDN w:val="0"/>
        <w:autoSpaceDE w:val="0"/>
        <w:widowControl/>
        <w:spacing w:line="200" w:lineRule="exact" w:before="144" w:after="0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Capital stock—Note B</w:t>
      </w:r>
    </w:p>
    <w:p>
      <w:pPr>
        <w:autoSpaceDN w:val="0"/>
        <w:tabs>
          <w:tab w:pos="592" w:val="left"/>
        </w:tabs>
        <w:autoSpaceDE w:val="0"/>
        <w:widowControl/>
        <w:spacing w:line="216" w:lineRule="exact" w:before="48" w:after="0"/>
        <w:ind w:left="412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Authorized capital (2,783,873 shares—September 30, 2024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June 30, 2024)</w:t>
      </w:r>
    </w:p>
    <w:p>
      <w:pPr>
        <w:autoSpaceDN w:val="0"/>
        <w:autoSpaceDE w:val="0"/>
        <w:widowControl/>
        <w:spacing w:line="200" w:lineRule="exact" w:before="64" w:after="8"/>
        <w:ind w:left="4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Subscribed capital (2,699,235 shares—September 30, 2024,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39"/>
        <w:gridCol w:w="3139"/>
        <w:gridCol w:w="3139"/>
      </w:tblGrid>
      <w:tr>
        <w:trPr>
          <w:trHeight w:hRule="exact" w:val="232"/>
        </w:trPr>
        <w:tc>
          <w:tcPr>
            <w:tcW w:type="dxa" w:w="5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2,678,098 shares—June 30, 2024)</w:t>
            </w:r>
          </w:p>
        </w:tc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325,622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323,072 </w:t>
            </w:r>
          </w:p>
        </w:tc>
      </w:tr>
      <w:tr>
        <w:trPr>
          <w:trHeight w:hRule="exact" w:val="260"/>
        </w:trPr>
        <w:tc>
          <w:tcPr>
            <w:tcW w:type="dxa" w:w="5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Less: Uncalled portion of subscriptions</w:t>
            </w:r>
          </w:p>
        </w:tc>
        <w:tc>
          <w:tcPr>
            <w:tcW w:type="dxa" w:w="1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(302,868) </w:t>
            </w:r>
          </w:p>
        </w:tc>
        <w:tc>
          <w:tcPr>
            <w:tcW w:type="dxa" w:w="1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(300,620) </w:t>
            </w:r>
          </w:p>
        </w:tc>
      </w:tr>
      <w:tr>
        <w:trPr>
          <w:trHeight w:hRule="exact" w:val="258"/>
        </w:trPr>
        <w:tc>
          <w:tcPr>
            <w:tcW w:type="dxa" w:w="5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Paid-in capital</w:t>
            </w:r>
          </w:p>
        </w:tc>
        <w:tc>
          <w:tcPr>
            <w:tcW w:type="dxa" w:w="1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22,754 </w:t>
            </w:r>
          </w:p>
        </w:tc>
        <w:tc>
          <w:tcPr>
            <w:tcW w:type="dxa" w:w="1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22,452 </w:t>
            </w:r>
          </w:p>
        </w:tc>
      </w:tr>
    </w:tbl>
    <w:p>
      <w:pPr>
        <w:autoSpaceDN w:val="0"/>
        <w:autoSpaceDE w:val="0"/>
        <w:widowControl/>
        <w:spacing w:line="200" w:lineRule="exact" w:before="32" w:after="8"/>
        <w:ind w:left="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Nonnegotiable, non-interest-bearing demand obligations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22"/>
        </w:trPr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account of subscribed capital</w:t>
            </w:r>
          </w:p>
        </w:tc>
        <w:tc>
          <w:tcPr>
            <w:tcW w:type="dxa" w:w="6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(311)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(310) </w:t>
            </w:r>
          </w:p>
        </w:tc>
      </w:tr>
      <w:tr>
        <w:trPr>
          <w:trHeight w:hRule="exact" w:val="260"/>
        </w:trPr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Receivable amounts to maintain value of currency holdings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(322)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(337) </w:t>
            </w:r>
          </w:p>
        </w:tc>
      </w:tr>
      <w:tr>
        <w:trPr>
          <w:trHeight w:hRule="exact" w:val="260"/>
        </w:trPr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Deferred amounts to maintain value of currency holdings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(378)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(558) </w:t>
            </w:r>
          </w:p>
        </w:tc>
      </w:tr>
      <w:tr>
        <w:trPr>
          <w:trHeight w:hRule="exact" w:val="240"/>
        </w:trPr>
        <w:tc>
          <w:tcPr>
            <w:tcW w:type="dxa" w:w="5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Retained earnings (Note G)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37,765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38,283 </w:t>
            </w:r>
          </w:p>
        </w:tc>
      </w:tr>
      <w:tr>
        <w:trPr>
          <w:trHeight w:hRule="exact" w:val="276"/>
        </w:trPr>
        <w:tc>
          <w:tcPr>
            <w:tcW w:type="dxa" w:w="5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Accumulated other comprehensive income—Note I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5,010 </w:t>
            </w:r>
          </w:p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3,954 </w:t>
            </w:r>
          </w:p>
        </w:tc>
      </w:tr>
      <w:tr>
        <w:trPr>
          <w:trHeight w:hRule="exact" w:val="300"/>
        </w:trPr>
        <w:tc>
          <w:tcPr>
            <w:tcW w:type="dxa" w:w="5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equity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64,518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63,484 </w:t>
            </w:r>
          </w:p>
        </w:tc>
      </w:tr>
      <w:tr>
        <w:trPr>
          <w:trHeight w:hRule="exact" w:val="294"/>
        </w:trPr>
        <w:tc>
          <w:tcPr>
            <w:tcW w:type="dxa" w:w="5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 and equity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376,121 $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356,612 </w:t>
            </w:r>
          </w:p>
        </w:tc>
      </w:tr>
      <w:tr>
        <w:trPr>
          <w:trHeight w:hRule="exact" w:val="52"/>
        </w:trPr>
        <w:tc>
          <w:tcPr>
            <w:tcW w:type="dxa" w:w="57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49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the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5000" w:after="0"/>
        <w:ind w:left="1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29</w:t>
      </w:r>
    </w:p>
    <w:p>
      <w:pPr>
        <w:sectPr>
          <w:pgSz w:w="12240" w:h="15840"/>
          <w:pgMar w:top="844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0" w:right="40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INCOME </w:t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16" w:lineRule="exact" w:before="622" w:after="20"/>
        <w:ind w:left="6624" w:right="576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Three Months Ended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September 30, 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96.0" w:type="dxa"/>
      </w:tblPr>
      <w:tblGrid>
        <w:gridCol w:w="4708"/>
        <w:gridCol w:w="4708"/>
      </w:tblGrid>
      <w:tr>
        <w:trPr>
          <w:trHeight w:hRule="exact" w:val="256"/>
        </w:trPr>
        <w:tc>
          <w:tcPr>
            <w:tcW w:type="dxa" w:w="1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5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28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4"/>
        </w:trPr>
        <w:tc>
          <w:tcPr>
            <w:tcW w:type="dxa" w:w="6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Loans, net—Note D</w:t>
            </w:r>
          </w:p>
        </w:tc>
        <w:tc>
          <w:tcPr>
            <w:tcW w:type="dxa" w:w="5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4,225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3,695 </w:t>
            </w:r>
          </w:p>
        </w:tc>
      </w:tr>
      <w:tr>
        <w:trPr>
          <w:trHeight w:hRule="exact" w:val="260"/>
        </w:trPr>
        <w:tc>
          <w:tcPr>
            <w:tcW w:type="dxa" w:w="6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 / liability management derivatives, net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(416)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(422) </w:t>
            </w:r>
          </w:p>
        </w:tc>
      </w:tr>
      <w:tr>
        <w:trPr>
          <w:trHeight w:hRule="exact" w:val="340"/>
        </w:trPr>
        <w:tc>
          <w:tcPr>
            <w:tcW w:type="dxa" w:w="6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Investments-Trading, net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1,145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1,068 </w:t>
            </w:r>
          </w:p>
        </w:tc>
      </w:tr>
      <w:tr>
        <w:trPr>
          <w:trHeight w:hRule="exact" w:val="374"/>
        </w:trPr>
        <w:tc>
          <w:tcPr>
            <w:tcW w:type="dxa" w:w="607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Borrowing expenses, net—Note E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(4,067)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(3,562) </w:t>
            </w:r>
          </w:p>
        </w:tc>
      </w:tr>
      <w:tr>
        <w:trPr>
          <w:trHeight w:hRule="exact" w:val="329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Interest revenue, net of borrowing expenses</w:t>
            </w:r>
          </w:p>
        </w:tc>
        <w:tc>
          <w:tcPr>
            <w:tcW w:type="dxa" w:w="5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887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779 </w:t>
            </w:r>
          </w:p>
        </w:tc>
      </w:tr>
    </w:tbl>
    <w:p>
      <w:pPr>
        <w:autoSpaceDN w:val="0"/>
        <w:autoSpaceDE w:val="0"/>
        <w:widowControl/>
        <w:spacing w:line="202" w:lineRule="exact" w:before="332" w:after="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Provision for losses on loans and other exposures, release (charge)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7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—Note D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6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(207) </w:t>
            </w:r>
          </w:p>
        </w:tc>
      </w:tr>
    </w:tbl>
    <w:p>
      <w:pPr>
        <w:autoSpaceDN w:val="0"/>
        <w:autoSpaceDE w:val="0"/>
        <w:widowControl/>
        <w:spacing w:line="202" w:lineRule="exact" w:before="308" w:after="2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39"/>
        <w:gridCol w:w="3139"/>
        <w:gridCol w:w="3139"/>
      </w:tblGrid>
      <w:tr>
        <w:trPr>
          <w:trHeight w:hRule="exact" w:val="250"/>
        </w:trPr>
        <w:tc>
          <w:tcPr>
            <w:tcW w:type="dxa" w:w="5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Revenue from externally funded activities—Note H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184 </w:t>
            </w:r>
          </w:p>
        </w:tc>
        <w:tc>
          <w:tcPr>
            <w:tcW w:type="dxa" w:w="1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164 </w:t>
            </w:r>
          </w:p>
        </w:tc>
      </w:tr>
      <w:tr>
        <w:trPr>
          <w:trHeight w:hRule="exact" w:val="260"/>
        </w:trPr>
        <w:tc>
          <w:tcPr>
            <w:tcW w:type="dxa" w:w="5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Commitment charges—Note D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 </w:t>
            </w:r>
          </w:p>
        </w:tc>
        <w:tc>
          <w:tcPr>
            <w:tcW w:type="dxa" w:w="1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 </w:t>
            </w:r>
          </w:p>
        </w:tc>
      </w:tr>
      <w:tr>
        <w:trPr>
          <w:trHeight w:hRule="exact" w:val="258"/>
        </w:trPr>
        <w:tc>
          <w:tcPr>
            <w:tcW w:type="dxa" w:w="58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Other, net</w:t>
            </w:r>
          </w:p>
        </w:tc>
        <w:tc>
          <w:tcPr>
            <w:tcW w:type="dxa" w:w="1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  <w:tr>
        <w:trPr>
          <w:trHeight w:hRule="exact" w:val="254"/>
        </w:trPr>
        <w:tc>
          <w:tcPr>
            <w:tcW w:type="dxa" w:w="5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232 </w:t>
            </w:r>
          </w:p>
        </w:tc>
        <w:tc>
          <w:tcPr>
            <w:tcW w:type="dxa" w:w="1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211 </w:t>
            </w:r>
          </w:p>
        </w:tc>
      </w:tr>
    </w:tbl>
    <w:p>
      <w:pPr>
        <w:autoSpaceDN w:val="0"/>
        <w:autoSpaceDE w:val="0"/>
        <w:widowControl/>
        <w:spacing w:line="202" w:lineRule="exact" w:before="340" w:after="2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240"/>
        </w:trPr>
        <w:tc>
          <w:tcPr>
            <w:tcW w:type="dxa" w:w="6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Administrative—Notes H and K</w:t>
            </w:r>
          </w:p>
        </w:tc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(576) 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(529) </w:t>
            </w:r>
          </w:p>
        </w:tc>
      </w:tr>
      <w:tr>
        <w:trPr>
          <w:trHeight w:hRule="exact" w:val="260"/>
        </w:trPr>
        <w:tc>
          <w:tcPr>
            <w:tcW w:type="dxa" w:w="6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Contributions to special programs</w:t>
            </w:r>
          </w:p>
        </w:tc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(1) 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(1) </w:t>
            </w:r>
          </w:p>
        </w:tc>
      </w:tr>
      <w:tr>
        <w:trPr>
          <w:trHeight w:hRule="exact" w:val="268"/>
        </w:trPr>
        <w:tc>
          <w:tcPr>
            <w:tcW w:type="dxa" w:w="6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Other, net—Note  K</w:t>
            </w:r>
          </w:p>
        </w:tc>
        <w:tc>
          <w:tcPr>
            <w:tcW w:type="dxa" w:w="17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 </w:t>
            </w:r>
          </w:p>
        </w:tc>
        <w:tc>
          <w:tcPr>
            <w:tcW w:type="dxa" w:w="1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 </w:t>
            </w:r>
          </w:p>
        </w:tc>
      </w:tr>
      <w:tr>
        <w:trPr>
          <w:trHeight w:hRule="exact" w:val="254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6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(539) </w:t>
            </w:r>
          </w:p>
        </w:tc>
        <w:tc>
          <w:tcPr>
            <w:tcW w:type="dxa" w:w="1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(488) </w:t>
            </w:r>
          </w:p>
        </w:tc>
      </w:tr>
      <w:tr>
        <w:trPr>
          <w:trHeight w:hRule="exact" w:val="718"/>
        </w:trPr>
        <w:tc>
          <w:tcPr>
            <w:tcW w:type="dxa" w:w="6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Board of Governors-approved and other transfers—Note G</w:t>
            </w:r>
          </w:p>
        </w:tc>
        <w:tc>
          <w:tcPr>
            <w:tcW w:type="dxa" w:w="17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(815) </w:t>
            </w:r>
          </w:p>
        </w:tc>
        <w:tc>
          <w:tcPr>
            <w:tcW w:type="dxa" w:w="1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(80) </w:t>
            </w:r>
          </w:p>
        </w:tc>
      </w:tr>
      <w:tr>
        <w:trPr>
          <w:trHeight w:hRule="exact" w:val="454"/>
        </w:trPr>
        <w:tc>
          <w:tcPr>
            <w:tcW w:type="dxa" w:w="6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Non-functional currency translation adjustment (losses) gains, net</w:t>
            </w:r>
          </w:p>
        </w:tc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(47) 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00" w:lineRule="exact" w:before="318" w:after="8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Unrealized mark-to-market (losses) gains on Investments-Trading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68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portfolio, net—Notes F and J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(40) </w:t>
            </w:r>
          </w:p>
        </w:tc>
      </w:tr>
    </w:tbl>
    <w:p>
      <w:pPr>
        <w:autoSpaceDN w:val="0"/>
        <w:autoSpaceDE w:val="0"/>
        <w:widowControl/>
        <w:spacing w:line="202" w:lineRule="exact" w:before="318" w:after="8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Unrealized mark-to-market (losses) gains on non-trading portfolios,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552"/>
        </w:trPr>
        <w:tc>
          <w:tcPr>
            <w:tcW w:type="dxa" w:w="6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net—Notes D, E, F and J</w:t>
            </w:r>
          </w:p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(423) </w:t>
            </w:r>
          </w:p>
        </w:tc>
        <w:tc>
          <w:tcPr>
            <w:tcW w:type="dxa" w:w="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500 </w:t>
            </w:r>
          </w:p>
        </w:tc>
      </w:tr>
      <w:tr>
        <w:trPr>
          <w:trHeight w:hRule="exact" w:val="236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(loss) Income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(518) </w:t>
            </w:r>
          </w:p>
        </w:tc>
        <w:tc>
          <w:tcPr>
            <w:tcW w:type="dxa" w:w="6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683 </w:t>
            </w:r>
          </w:p>
        </w:tc>
      </w:tr>
    </w:tbl>
    <w:p>
      <w:pPr>
        <w:autoSpaceDN w:val="0"/>
        <w:autoSpaceDE w:val="0"/>
        <w:widowControl/>
        <w:spacing w:line="200" w:lineRule="exact" w:before="54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the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18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30     IBRD Condensed Quarterly Financial Statements: September 30, 2024 (Unaudited)</w:t>
      </w:r>
    </w:p>
    <w:p>
      <w:pPr>
        <w:sectPr>
          <w:pgSz w:w="12240" w:h="15840"/>
          <w:pgMar w:top="696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0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COMPREHENSIVE INCOME </w:t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16" w:lineRule="exact" w:before="742" w:after="20"/>
        <w:ind w:left="6192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Three Months Ended September 30,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976"/>
        </w:trPr>
        <w:tc>
          <w:tcPr>
            <w:tcW w:type="dxa" w:w="6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(loss) income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(518) </w:t>
            </w:r>
          </w:p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0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683 </w:t>
            </w:r>
          </w:p>
        </w:tc>
      </w:tr>
    </w:tbl>
    <w:p>
      <w:pPr>
        <w:autoSpaceDN w:val="0"/>
        <w:autoSpaceDE w:val="0"/>
        <w:widowControl/>
        <w:spacing w:line="200" w:lineRule="exact" w:before="104" w:after="2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Other comprehensive income (loss) —Note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39"/>
        <w:gridCol w:w="3139"/>
        <w:gridCol w:w="3139"/>
      </w:tblGrid>
      <w:tr>
        <w:trPr>
          <w:trHeight w:hRule="exact" w:val="256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Amortization of unrecognized net actuarial gains on pension plans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(16) </w:t>
            </w:r>
          </w:p>
        </w:tc>
      </w:tr>
      <w:tr>
        <w:trPr>
          <w:trHeight w:hRule="exact" w:val="26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Amortization of unrecognized prior service costs on pension plans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02" w:lineRule="exact" w:before="38" w:after="8"/>
        <w:ind w:left="2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change in Debit Valuation Adjustment (DVA) on Fair Value Option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24"/>
        </w:trPr>
        <w:tc>
          <w:tcPr>
            <w:tcW w:type="dxa" w:w="6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elected liabilities—Note  J</w:t>
            </w:r>
          </w:p>
        </w:tc>
        <w:tc>
          <w:tcPr>
            <w:tcW w:type="dxa" w:w="6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514 </w:t>
            </w:r>
          </w:p>
        </w:tc>
        <w:tc>
          <w:tcPr>
            <w:tcW w:type="dxa" w:w="8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(55) </w:t>
            </w:r>
          </w:p>
        </w:tc>
      </w:tr>
      <w:tr>
        <w:trPr>
          <w:trHeight w:hRule="exact" w:val="268"/>
        </w:trPr>
        <w:tc>
          <w:tcPr>
            <w:tcW w:type="dxa" w:w="6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Currency translation adjustments on functional currency gains (losses)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556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(258) </w:t>
            </w:r>
          </w:p>
        </w:tc>
      </w:tr>
      <w:tr>
        <w:trPr>
          <w:trHeight w:hRule="exact" w:val="374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other comprehensive income (loss)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1,056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(327) </w:t>
            </w:r>
          </w:p>
        </w:tc>
      </w:tr>
      <w:tr>
        <w:trPr>
          <w:trHeight w:hRule="exact" w:val="356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comprehensive income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538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356 </w:t>
            </w:r>
          </w:p>
        </w:tc>
      </w:tr>
      <w:tr>
        <w:trPr>
          <w:trHeight w:hRule="exact" w:val="50"/>
        </w:trPr>
        <w:tc>
          <w:tcPr>
            <w:tcW w:type="dxa" w:w="6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0" w:lineRule="exact" w:before="866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CHANGES IN RETAINED EARNINGS </w:t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16" w:lineRule="exact" w:before="742" w:after="20"/>
        <w:ind w:left="6192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Three Months Ended September 30,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54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  <w:tr>
        <w:trPr>
          <w:trHeight w:hRule="exact" w:val="308"/>
        </w:trPr>
        <w:tc>
          <w:tcPr>
            <w:tcW w:type="dxa" w:w="6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Retained earnings at the beginning of the fiscal year</w:t>
            </w:r>
          </w:p>
        </w:tc>
        <w:tc>
          <w:tcPr>
            <w:tcW w:type="dxa" w:w="3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38,283 </w:t>
            </w:r>
          </w:p>
        </w:tc>
        <w:tc>
          <w:tcPr>
            <w:tcW w:type="dxa" w:w="6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36,141 </w:t>
            </w:r>
          </w:p>
        </w:tc>
      </w:tr>
      <w:tr>
        <w:trPr>
          <w:trHeight w:hRule="exact" w:val="322"/>
        </w:trPr>
        <w:tc>
          <w:tcPr>
            <w:tcW w:type="dxa" w:w="6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(loss) income for the period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(518) 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683 </w:t>
            </w:r>
          </w:p>
        </w:tc>
      </w:tr>
      <w:tr>
        <w:trPr>
          <w:trHeight w:hRule="exact" w:val="386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Retained earnings at the end of the period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37,765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1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36,824 </w:t>
            </w:r>
          </w:p>
        </w:tc>
      </w:tr>
    </w:tbl>
    <w:p>
      <w:pPr>
        <w:autoSpaceDN w:val="0"/>
        <w:autoSpaceDE w:val="0"/>
        <w:widowControl/>
        <w:spacing w:line="202" w:lineRule="exact" w:before="894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the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3402" w:after="0"/>
        <w:ind w:left="1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31</w:t>
      </w:r>
    </w:p>
    <w:p>
      <w:pPr>
        <w:sectPr>
          <w:pgSz w:w="12240" w:h="15840"/>
          <w:pgMar w:top="696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260" w:lineRule="exact" w:before="54" w:after="0"/>
        <w:ind w:left="0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CASH FLOWS </w:t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16" w:lineRule="exact" w:before="70" w:after="20"/>
        <w:ind w:left="6192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Three Months Ended September 30,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96.0" w:type="dxa"/>
      </w:tblPr>
      <w:tblGrid>
        <w:gridCol w:w="4708"/>
        <w:gridCol w:w="4708"/>
      </w:tblGrid>
      <w:tr>
        <w:trPr>
          <w:trHeight w:hRule="exact" w:val="254"/>
        </w:trPr>
        <w:tc>
          <w:tcPr>
            <w:tcW w:type="dxa" w:w="1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5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investing activities</w:t>
      </w:r>
    </w:p>
    <w:p>
      <w:pPr>
        <w:autoSpaceDN w:val="0"/>
        <w:autoSpaceDE w:val="0"/>
        <w:widowControl/>
        <w:spacing w:line="202" w:lineRule="exact" w:before="54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2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Disbursements</w:t>
            </w:r>
          </w:p>
        </w:tc>
        <w:tc>
          <w:tcPr>
            <w:tcW w:type="dxa" w:w="5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(6,454)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(5,791) </w:t>
            </w:r>
          </w:p>
        </w:tc>
      </w:tr>
      <w:tr>
        <w:trPr>
          <w:trHeight w:hRule="exact" w:val="260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repayments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2,784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3,531 </w:t>
            </w:r>
          </w:p>
        </w:tc>
      </w:tr>
      <w:tr>
        <w:trPr>
          <w:trHeight w:hRule="exact" w:val="260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Principal prepayments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 </w:t>
            </w:r>
          </w:p>
        </w:tc>
      </w:tr>
      <w:tr>
        <w:trPr>
          <w:trHeight w:hRule="exact" w:val="240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 origination fees received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</w:tr>
      <w:tr>
        <w:trPr>
          <w:trHeight w:hRule="exact" w:val="260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derivatives-loans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</w:tr>
      <w:tr>
        <w:trPr>
          <w:trHeight w:hRule="exact" w:val="270"/>
        </w:trPr>
        <w:tc>
          <w:tcPr>
            <w:tcW w:type="dxa" w:w="59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investing activities, net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(60)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(31) </w:t>
            </w:r>
          </w:p>
        </w:tc>
      </w:tr>
      <w:tr>
        <w:trPr>
          <w:trHeight w:hRule="exact" w:val="255"/>
        </w:trPr>
        <w:tc>
          <w:tcPr>
            <w:tcW w:type="dxa" w:w="5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investing activities</w:t>
            </w:r>
          </w:p>
        </w:tc>
        <w:tc>
          <w:tcPr>
            <w:tcW w:type="dxa" w:w="5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(3,708)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(2,262)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financing activities</w:t>
      </w:r>
    </w:p>
    <w:p>
      <w:pPr>
        <w:autoSpaceDN w:val="0"/>
        <w:autoSpaceDE w:val="0"/>
        <w:widowControl/>
        <w:spacing w:line="200" w:lineRule="exact" w:before="54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Medium and long-term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39"/>
        <w:gridCol w:w="3139"/>
        <w:gridCol w:w="3139"/>
      </w:tblGrid>
      <w:tr>
        <w:trPr>
          <w:trHeight w:hRule="exact" w:val="248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17,597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13,285 </w:t>
            </w:r>
          </w:p>
        </w:tc>
      </w:tr>
      <w:tr>
        <w:trPr>
          <w:trHeight w:hRule="exact" w:val="262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(8,529)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(9,672)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Short-term borrowings (original maturities greater than 90 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40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6,044 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3,147 </w:t>
            </w:r>
          </w:p>
        </w:tc>
      </w:tr>
      <w:tr>
        <w:trPr>
          <w:trHeight w:hRule="exact" w:val="260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(3,830) 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(6,368) </w:t>
            </w:r>
          </w:p>
        </w:tc>
      </w:tr>
      <w:tr>
        <w:trPr>
          <w:trHeight w:hRule="exact" w:val="260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short-term borrowings (original maturities less than 90 days)</w:t>
            </w:r>
          </w:p>
        </w:tc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3,412 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3,077 </w:t>
            </w:r>
          </w:p>
        </w:tc>
      </w:tr>
      <w:tr>
        <w:trPr>
          <w:trHeight w:hRule="exact" w:val="240"/>
        </w:trPr>
        <w:tc>
          <w:tcPr>
            <w:tcW w:type="dxa" w:w="5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derivatives-borrowings</w:t>
            </w:r>
          </w:p>
        </w:tc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120 </w:t>
            </w:r>
          </w:p>
        </w:tc>
        <w:tc>
          <w:tcPr>
            <w:tcW w:type="dxa" w:w="1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(133) </w:t>
            </w:r>
          </w:p>
        </w:tc>
      </w:tr>
      <w:tr>
        <w:trPr>
          <w:trHeight w:hRule="exact" w:val="276"/>
        </w:trPr>
        <w:tc>
          <w:tcPr>
            <w:tcW w:type="dxa" w:w="59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 subscriptions</w:t>
            </w:r>
          </w:p>
        </w:tc>
        <w:tc>
          <w:tcPr>
            <w:tcW w:type="dxa" w:w="176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302 </w:t>
            </w:r>
          </w:p>
        </w:tc>
        <w:tc>
          <w:tcPr>
            <w:tcW w:type="dxa" w:w="1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300 </w:t>
            </w:r>
          </w:p>
        </w:tc>
      </w:tr>
      <w:tr>
        <w:trPr>
          <w:trHeight w:hRule="exact" w:val="254"/>
        </w:trPr>
        <w:tc>
          <w:tcPr>
            <w:tcW w:type="dxa" w:w="5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provided by financing activities</w:t>
            </w:r>
          </w:p>
        </w:tc>
        <w:tc>
          <w:tcPr>
            <w:tcW w:type="dxa" w:w="17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15,116 </w:t>
            </w:r>
          </w:p>
        </w:tc>
        <w:tc>
          <w:tcPr>
            <w:tcW w:type="dxa" w:w="1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3,636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60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(loss) income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6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(518)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683 </w:t>
            </w:r>
          </w:p>
        </w:tc>
      </w:tr>
    </w:tbl>
    <w:p>
      <w:pPr>
        <w:autoSpaceDN w:val="0"/>
        <w:tabs>
          <w:tab w:pos="322" w:val="left"/>
        </w:tabs>
        <w:autoSpaceDE w:val="0"/>
        <w:widowControl/>
        <w:spacing w:line="216" w:lineRule="exact" w:before="18" w:after="28"/>
        <w:ind w:left="232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Adjustments to reconcile net income to net cash used in operating </w:t>
      </w:r>
      <w:r>
        <w:rPr>
          <w:rFonts w:ascii="ArialMT" w:hAnsi="ArialMT" w:eastAsia="ArialMT"/>
          <w:b w:val="0"/>
          <w:i w:val="0"/>
          <w:color w:val="000000"/>
          <w:sz w:val="18"/>
        </w:rPr>
        <w:t>activities: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39"/>
        <w:gridCol w:w="3139"/>
        <w:gridCol w:w="3139"/>
      </w:tblGrid>
      <w:tr>
        <w:trPr>
          <w:trHeight w:hRule="exact" w:val="240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Unrealized mark-to-market losses (gains) on non-trading portfolios, net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(500) </w:t>
            </w:r>
          </w:p>
        </w:tc>
      </w:tr>
      <w:tr>
        <w:trPr>
          <w:trHeight w:hRule="exact" w:val="260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Non-functional currency translation adjustment losses (gains), net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(8) </w:t>
            </w:r>
          </w:p>
        </w:tc>
      </w:tr>
      <w:tr>
        <w:trPr>
          <w:trHeight w:hRule="exact" w:val="260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Depreciation and amortization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145 </w:t>
            </w:r>
          </w:p>
        </w:tc>
      </w:tr>
      <w:tr>
        <w:trPr>
          <w:trHeight w:hRule="exact" w:val="260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Provision for losses on loans and other exposures (release) charge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(194)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207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Changes 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48"/>
        </w:trPr>
        <w:tc>
          <w:tcPr>
            <w:tcW w:type="dxa" w:w="6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5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(9,074)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(1,519) </w:t>
            </w:r>
          </w:p>
        </w:tc>
      </w:tr>
      <w:tr>
        <w:trPr>
          <w:trHeight w:hRule="exact" w:val="266"/>
        </w:trPr>
        <w:tc>
          <w:tcPr>
            <w:tcW w:type="dxa" w:w="6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assets and liabilities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1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(2,195) </w:t>
            </w:r>
          </w:p>
        </w:tc>
        <w:tc>
          <w:tcPr>
            <w:tcW w:type="dxa" w:w="188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(403) </w:t>
            </w:r>
          </w:p>
        </w:tc>
      </w:tr>
      <w:tr>
        <w:trPr>
          <w:trHeight w:hRule="exact" w:val="254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operating activities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(11,364)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(1,395) </w:t>
            </w:r>
          </w:p>
        </w:tc>
      </w:tr>
      <w:tr>
        <w:trPr>
          <w:trHeight w:hRule="exact" w:val="256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Effect of exchange rate changes on unrestricted and restricted cash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(7) </w:t>
            </w:r>
          </w:p>
        </w:tc>
      </w:tr>
      <w:tr>
        <w:trPr>
          <w:trHeight w:hRule="exact" w:val="244"/>
        </w:trPr>
        <w:tc>
          <w:tcPr>
            <w:tcW w:type="dxa" w:w="6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increase (decrease) in unrestricted and restricted cash</w:t>
            </w:r>
          </w:p>
        </w:tc>
        <w:tc>
          <w:tcPr>
            <w:tcW w:type="dxa" w:w="5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48 </w:t>
            </w:r>
          </w:p>
        </w:tc>
        <w:tc>
          <w:tcPr>
            <w:tcW w:type="dxa" w:w="5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(28) </w:t>
            </w:r>
          </w:p>
        </w:tc>
      </w:tr>
      <w:tr>
        <w:trPr>
          <w:trHeight w:hRule="exact" w:val="266"/>
        </w:trPr>
        <w:tc>
          <w:tcPr>
            <w:tcW w:type="dxa" w:w="6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the beginning of the fiscal year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490 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547 </w:t>
            </w:r>
          </w:p>
        </w:tc>
      </w:tr>
      <w:tr>
        <w:trPr>
          <w:trHeight w:hRule="exact" w:val="244"/>
        </w:trPr>
        <w:tc>
          <w:tcPr>
            <w:tcW w:type="dxa" w:w="6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the end of the period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538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519 </w:t>
            </w:r>
          </w:p>
        </w:tc>
      </w:tr>
    </w:tbl>
    <w:p>
      <w:pPr>
        <w:autoSpaceDN w:val="0"/>
        <w:autoSpaceDE w:val="0"/>
        <w:widowControl/>
        <w:spacing w:line="200" w:lineRule="exact" w:before="36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Supplemental disclosure</w:t>
      </w:r>
    </w:p>
    <w:p>
      <w:pPr>
        <w:autoSpaceDN w:val="0"/>
        <w:tabs>
          <w:tab w:pos="322" w:val="left"/>
        </w:tabs>
        <w:autoSpaceDE w:val="0"/>
        <w:widowControl/>
        <w:spacing w:line="216" w:lineRule="exact" w:before="36" w:after="10"/>
        <w:ind w:left="14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Increase (decrease) in ending balances resulting from exchange rate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>fluctuations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36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2,285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(1,068) </w:t>
            </w:r>
          </w:p>
        </w:tc>
      </w:tr>
      <w:tr>
        <w:trPr>
          <w:trHeight w:hRule="exact" w:val="24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76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(76) </w:t>
            </w:r>
          </w:p>
        </w:tc>
      </w:tr>
      <w:tr>
        <w:trPr>
          <w:trHeight w:hRule="exact" w:val="26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1,815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(871) </w:t>
            </w:r>
          </w:p>
        </w:tc>
      </w:tr>
      <w:tr>
        <w:trPr>
          <w:trHeight w:hRule="exact" w:val="26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Capitalized loan origination fees included in total loans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 </w:t>
            </w:r>
          </w:p>
        </w:tc>
      </w:tr>
      <w:tr>
        <w:trPr>
          <w:trHeight w:hRule="exact" w:val="28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paid on borrowing portfolio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4,548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3,587 </w:t>
            </w:r>
          </w:p>
        </w:tc>
      </w:tr>
    </w:tbl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>The Notes to the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76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32     IBRD Condensed Quarterly Financial Statements: September 30, 2024 (Unaudited)</w:t>
      </w:r>
    </w:p>
    <w:p>
      <w:pPr>
        <w:sectPr>
          <w:pgSz w:w="12240" w:h="15840"/>
          <w:pgMar w:top="696" w:right="138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NOTES TO CONDENSED QUARTERLY FINANCIAL STATEMENTS</w:t>
      </w:r>
    </w:p>
    <w:p>
      <w:pPr>
        <w:autoSpaceDN w:val="0"/>
        <w:autoSpaceDE w:val="0"/>
        <w:widowControl/>
        <w:spacing w:line="246" w:lineRule="exact" w:before="15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A—SUMMARY OF SIGNIFICANT ACCOUNTING AND RELATED POLICIES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Basis of Preparation</w:t>
      </w:r>
    </w:p>
    <w:p>
      <w:pPr>
        <w:autoSpaceDN w:val="0"/>
        <w:autoSpaceDE w:val="0"/>
        <w:widowControl/>
        <w:spacing w:line="240" w:lineRule="exact" w:before="13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unaudited condensed quarterly financial statements and notes should be read in conjunction with the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 audited financial statements and notes included therein. The condensed comparative information that has been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derived from the June 30, 2024 audited financial statements has not been audited. In the opinion of management,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quarterly financial statements reflect all adjustments necessary for a fair presentation of IBRD’s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 and results of operations in accordance with accounting principles generally accepted in the United States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America (U.S. GAAP).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makes estimates and assumptions that affect the reported amounts of assets and liabilities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disclosure of contingent assets and liabilities at the date of the condensed quarterly financial statements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amounts of income and expenses during the reporting periods. Due to the inherent uncertainty involved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making those estimates, actual results could differ from those estimates. Areas in which significant estimates have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been made include, but are not limited to, the provision for losses on loans and other exposures, the valuation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instruments carried at fair value, and the valuation of pension and other postretirement plan-related liabilities.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results of operations for the first three months of the current fiscal year are not necessarily indicative of results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the full year.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Accounting and Reporting Developments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Evaluated Accounting Standards: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June 2022, the Financial Accounting Standards Board (FASB) issued Accounting Standard Update (ASU)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2022-03, Fair Value Measurement (Topic 820)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Fair Value Measurement of Equity Securities Subject to Contractual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Sale Restrictions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which clarifies that a contractual restriction on the sale of an equity security is not considered part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unit of account of the equity security and should not be factored in when measuring fair value. The ASU also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clarifies that an entity cannot, as a separate unit of account, recognize and measure a contractual sale restriction.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ASU requires certain disclosures for equity securities subject to contractual sale restrictions. For IBRD, the ASU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became effective from the quarter ended September 30, 2024 and the adoption of the ASU did not have a material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impact on IBRD's financial statements.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Accounting Standards Under Evaluation: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November 2023, the FASB issued ASU 2023-07,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Reporting (Topic 280): Improvements to Reportable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Disclosures,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requires additional segment disclosures for public entities, including those with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reportable segment, such as the significant segment expenses that are regularly provided to the chief operating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decision maker (CODM), the title and position of the CODM, as well as an explanation of how the CODM uses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measure of segment profit or loss. All existing annual disclosures about segment profit or loss must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provided on an interim basis in addition to disclosure of significant segment expenses. For IBRD, the ASU will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 for the annual period ending June 30, 2025 (annual statements of fiscal year 2025). IBRD is currently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evaluating the impact of the ASU on its financial statements.</w:t>
      </w:r>
    </w:p>
    <w:p>
      <w:pPr>
        <w:autoSpaceDN w:val="0"/>
        <w:autoSpaceDE w:val="0"/>
        <w:widowControl/>
        <w:spacing w:line="224" w:lineRule="exact" w:before="136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2023, the FASB issued ASU 2023-06,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Disclosure Improvements: Codification Amendments in Response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to the SEC’s Disclosure Update and Simplification Initiative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The new guidance is intended to align U.S. GAAP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requirements with those of the SEC and to facilitate the application of U.S. GAAP for all entities. If by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2027, the SEC has not removed the applicable SEC requirement, the related ASU amendment will not become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effective. IBRD is currently evaluating the impact of the ASU on its financial statements.</w:t>
      </w:r>
    </w:p>
    <w:p>
      <w:pPr>
        <w:autoSpaceDN w:val="0"/>
        <w:autoSpaceDE w:val="0"/>
        <w:widowControl/>
        <w:spacing w:line="224" w:lineRule="exact" w:before="2370" w:after="0"/>
        <w:ind w:left="1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33</w:t>
      </w:r>
    </w:p>
    <w:p>
      <w:pPr>
        <w:sectPr>
          <w:pgSz w:w="12240" w:h="15840"/>
          <w:pgMar w:top="696" w:right="137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320" w:lineRule="exact" w:before="0" w:after="154"/>
        <w:ind w:left="10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NOTE B—CAPITAL STOCK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changes in IBRD’s authorized and subscribed shares: 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Table B1: IBRD's Shares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68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Authorized shares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Subscribed shares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2023</w:t>
            </w:r>
          </w:p>
        </w:tc>
        <w:tc>
          <w:tcPr>
            <w:tcW w:type="dxa" w:w="1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2,634,728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Capital Increase/Selective Capital Increase (GCI/SCI)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43,370 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June 30, 2024</w:t>
            </w:r>
          </w:p>
        </w:tc>
        <w:tc>
          <w:tcPr>
            <w:tcW w:type="dxa" w:w="1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2,678,098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GCI/SCI</w:t>
            </w:r>
          </w:p>
        </w:tc>
        <w:tc>
          <w:tcPr>
            <w:tcW w:type="dxa" w:w="1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21,137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 of September 30, 2024</w:t>
            </w:r>
          </w:p>
        </w:tc>
        <w:tc>
          <w:tcPr>
            <w:tcW w:type="dxa" w:w="1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2,783,873 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2,699,235 </w:t>
            </w:r>
          </w:p>
        </w:tc>
      </w:tr>
    </w:tbl>
    <w:p>
      <w:pPr>
        <w:autoSpaceDN w:val="0"/>
        <w:autoSpaceDE w:val="0"/>
        <w:widowControl/>
        <w:spacing w:line="298" w:lineRule="exact" w:before="36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the changes in subscribed capital, uncalled portion of subscriptions,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paid-in capital: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20"/>
        </w:rPr>
        <w:t>Table B2: IBRD's Capital</w:t>
      </w:r>
    </w:p>
    <w:p>
      <w:pPr>
        <w:autoSpaceDN w:val="0"/>
        <w:tabs>
          <w:tab w:pos="6326" w:val="left"/>
        </w:tabs>
        <w:autoSpaceDE w:val="0"/>
        <w:widowControl/>
        <w:spacing w:line="244" w:lineRule="exact" w:before="148" w:after="6"/>
        <w:ind w:left="62" w:right="172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Uncalled portion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0.0" w:type="dxa"/>
      </w:tblPr>
      <w:tblGrid>
        <w:gridCol w:w="3147"/>
        <w:gridCol w:w="3147"/>
        <w:gridCol w:w="3147"/>
      </w:tblGrid>
      <w:tr>
        <w:trPr>
          <w:trHeight w:hRule="exact" w:val="166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Subscribed capital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subscriptions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Paid-in capital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tabs>
          <w:tab w:pos="242" w:val="left"/>
        </w:tabs>
        <w:autoSpaceDE w:val="0"/>
        <w:widowControl/>
        <w:spacing w:line="228" w:lineRule="exact" w:before="0" w:after="0"/>
        <w:ind w:left="6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 of June 30, 2023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GCI/SCI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 of June 30, 2024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GCI/SCI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As of September 30, 2024</w:t>
      </w:r>
    </w:p>
    <w:p>
      <w:pPr>
        <w:sectPr>
          <w:type w:val="continuous"/>
          <w:pgSz w:w="12240" w:h="15840"/>
          <w:pgMar w:top="700" w:right="1370" w:bottom="360" w:left="1430" w:header="720" w:footer="720" w:gutter="0"/>
          <w:cols w:num="2" w:equalWidth="0">
            <w:col w:w="3264" w:space="0"/>
            <w:col w:w="61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2.0000000000005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38"/>
        </w:trPr>
        <w:tc>
          <w:tcPr>
            <w:tcW w:type="dxa" w:w="424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317,840 </w:t>
            </w:r>
          </w:p>
        </w:tc>
        <w:tc>
          <w:tcPr>
            <w:tcW w:type="dxa" w:w="484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(296,021) </w:t>
            </w:r>
          </w:p>
        </w:tc>
        <w:tc>
          <w:tcPr>
            <w:tcW w:type="dxa" w:w="51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21,819 </w:t>
            </w:r>
          </w:p>
        </w:tc>
      </w:tr>
      <w:tr>
        <w:trPr>
          <w:trHeight w:hRule="exact" w:val="242"/>
        </w:trPr>
        <w:tc>
          <w:tcPr>
            <w:tcW w:type="dxa" w:w="42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5,232 </w:t>
            </w:r>
          </w:p>
        </w:tc>
        <w:tc>
          <w:tcPr>
            <w:tcW w:type="dxa" w:w="48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(4,599) </w:t>
            </w:r>
          </w:p>
        </w:tc>
        <w:tc>
          <w:tcPr>
            <w:tcW w:type="dxa" w:w="5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633 </w:t>
            </w:r>
          </w:p>
        </w:tc>
      </w:tr>
      <w:tr>
        <w:trPr>
          <w:trHeight w:hRule="exact" w:val="238"/>
        </w:trPr>
        <w:tc>
          <w:tcPr>
            <w:tcW w:type="dxa" w:w="42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096"/>
            </w:tblGrid>
            <w:tr>
              <w:trPr>
                <w:trHeight w:hRule="exact" w:val="220"/>
              </w:trPr>
              <w:tc>
                <w:tcPr>
                  <w:tcW w:type="dxa" w:w="8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323,072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(300,620) </w:t>
            </w:r>
          </w:p>
        </w:tc>
        <w:tc>
          <w:tcPr>
            <w:tcW w:type="dxa" w:w="51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22,452 </w:t>
            </w:r>
          </w:p>
        </w:tc>
      </w:tr>
      <w:tr>
        <w:trPr>
          <w:trHeight w:hRule="exact" w:val="242"/>
        </w:trPr>
        <w:tc>
          <w:tcPr>
            <w:tcW w:type="dxa" w:w="42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2,550 </w:t>
            </w:r>
          </w:p>
        </w:tc>
        <w:tc>
          <w:tcPr>
            <w:tcW w:type="dxa" w:w="48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(2,248) </w:t>
            </w:r>
          </w:p>
        </w:tc>
        <w:tc>
          <w:tcPr>
            <w:tcW w:type="dxa" w:w="5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 </w:t>
            </w:r>
          </w:p>
        </w:tc>
      </w:tr>
      <w:tr>
        <w:trPr>
          <w:trHeight w:hRule="exact" w:val="200"/>
        </w:trPr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325,622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(302,868) 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22,754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0"/>
        <w:ind w:left="0" w:right="0"/>
      </w:pPr>
    </w:p>
    <w:p>
      <w:pPr>
        <w:sectPr>
          <w:type w:val="nextColumn"/>
          <w:pgSz w:w="12240" w:h="15840"/>
          <w:pgMar w:top="700" w:right="1370" w:bottom="360" w:left="1430" w:header="720" w:footer="720" w:gutter="0"/>
          <w:cols w:num="2" w:equalWidth="0">
            <w:col w:w="3264" w:space="0"/>
            <w:col w:w="617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17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uncalled portion of subscriptions is subject to call only when required to meet the obligations incurred by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a result of borrowings or guaranteeing loans.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October 1, 2018, IBRD’s Board of Governors approved two resolutions that increased IBRD’s authorized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capital. The total increase in authorized capital was $57.5 billion, of which, $27.8 billion and $29.7 billion relate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GCI and SCI, respectively. Under the terms of the 2018 GCI and SCI, paid-in capital is expected to increase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up to $7.5 billion. On May 23, 2023, the Board approved the extension of the subscription period for GCI and SCI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October 1, 2023 to October 1, 2025. As of September 30, 2024, the cumulative subscription payments received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under the 2018 capital increases were $6.3 billion.</w:t>
      </w:r>
    </w:p>
    <w:p>
      <w:pPr>
        <w:autoSpaceDN w:val="0"/>
        <w:autoSpaceDE w:val="0"/>
        <w:widowControl/>
        <w:spacing w:line="246" w:lineRule="exact" w:before="26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C—INVESTMENTS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investments include the liquid asset portfolio and holdings relating to the Post Employment Benefit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(PEBP) and the Post Retirement Contribution Reserve Fund (PCRF).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held by IBRD are designated as trading and reported at fair value or at face value which approximates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value. As of September 30, 2024, Investments were primarily comprised of time deposits and government,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agency and corporate obligations (53% and 42%, respectively), with all of the instruments classified as Level 1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Level 2 within the fair value hierarchy. </w:t>
      </w:r>
    </w:p>
    <w:p>
      <w:pPr>
        <w:autoSpaceDN w:val="0"/>
        <w:autoSpaceDE w:val="0"/>
        <w:widowControl/>
        <w:spacing w:line="224" w:lineRule="exact" w:before="299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34     IBRD Condensed Quarterly Financial Statements: September 30, 2024 (Unaudited)</w:t>
      </w:r>
    </w:p>
    <w:p>
      <w:pPr>
        <w:sectPr>
          <w:type w:val="continuous"/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 summary of IBRD’s Investments-Trading is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C1: Investments - Trading composition</w:t>
      </w:r>
    </w:p>
    <w:p>
      <w:pPr>
        <w:autoSpaceDN w:val="0"/>
        <w:autoSpaceDE w:val="0"/>
        <w:widowControl/>
        <w:spacing w:line="178" w:lineRule="exact" w:before="21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520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39,650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32,353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6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49,942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45,991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Asset-backed Securities (ABS)</w:t>
            </w:r>
          </w:p>
        </w:tc>
        <w:tc>
          <w:tcPr>
            <w:tcW w:type="dxa" w:w="16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2,057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2,222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2,155 </w:t>
            </w:r>
          </w:p>
        </w:tc>
      </w:tr>
      <w:tr>
        <w:trPr>
          <w:trHeight w:hRule="exact" w:val="26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securities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368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94,239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7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Related to PEBP holdings. Other fund investments are comprised of investments in hedge funds, private equity funds,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commingled funds, credit strategy funds and real asset funds, at net asset value (NAV).</w:t>
      </w:r>
    </w:p>
    <w:p>
      <w:pPr>
        <w:autoSpaceDN w:val="0"/>
        <w:autoSpaceDE w:val="0"/>
        <w:widowControl/>
        <w:spacing w:line="240" w:lineRule="exact" w:before="19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manages its investments on a net portfolio basis. As of September 30, 2024, the largest holdings from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within the net investment portfolio was the Government of Singapore (11%). The following table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summarizes IBRD’s net investment portfolio position: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C2: Net investment portfolio </w:t>
      </w:r>
    </w:p>
    <w:p>
      <w:pPr>
        <w:autoSpaceDN w:val="0"/>
        <w:autoSpaceDE w:val="0"/>
        <w:widowControl/>
        <w:spacing w:line="180" w:lineRule="exact" w:before="212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94,239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  <w:tr>
        <w:trPr>
          <w:trHeight w:hRule="exact" w:val="224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Securities sold under repurchase agreements, securities lent under </w:t>
            </w:r>
          </w:p>
        </w:tc>
        <w:tc>
          <w:tcPr>
            <w:tcW w:type="dxa" w:w="16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(149)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(277) </w:t>
            </w:r>
          </w:p>
        </w:tc>
      </w:tr>
      <w:tr>
        <w:trPr>
          <w:trHeight w:hRule="exact" w:val="22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securities lending agreements, and payable for cash collateral received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776"/>
            <w:gridSpan w:val="2"/>
            <w:vMerge/>
            <w:tcBorders/>
          </w:tcPr>
          <w:p/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8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0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228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812 </w:t>
            </w:r>
          </w:p>
        </w:tc>
      </w:tr>
      <w:tr>
        <w:trPr>
          <w:trHeight w:hRule="exact" w:val="240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  <w:tr>
        <w:trPr>
          <w:trHeight w:hRule="exact" w:val="250"/>
        </w:trPr>
        <w:tc>
          <w:tcPr>
            <w:tcW w:type="dxa" w:w="5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6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5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  <w:tc>
          <w:tcPr>
            <w:tcW w:type="dxa" w:w="16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(710)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(68)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(167)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(450) </w:t>
            </w:r>
          </w:p>
        </w:tc>
      </w:tr>
      <w:tr>
        <w:trPr>
          <w:trHeight w:hRule="exact" w:val="25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b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(883)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(518) </w:t>
            </w:r>
          </w:p>
        </w:tc>
      </w:tr>
      <w:tr>
        <w:trPr>
          <w:trHeight w:hRule="exact" w:val="23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 held in investment portfolio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358 </w:t>
            </w:r>
          </w:p>
        </w:tc>
        <w:tc>
          <w:tcPr>
            <w:tcW w:type="dxa" w:w="5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Receivable from investment securities traded and other assets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1,085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438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Payable for investment securities purchased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(1,636)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(561) </w:t>
            </w:r>
          </w:p>
        </w:tc>
      </w:tr>
      <w:tr>
        <w:trPr>
          <w:trHeight w:hRule="exact" w:val="25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IFC PCRF payable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(388)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investment portfolio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92,788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</w:tr>
    </w:tbl>
    <w:p>
      <w:pPr>
        <w:autoSpaceDN w:val="0"/>
        <w:autoSpaceDE w:val="0"/>
        <w:widowControl/>
        <w:spacing w:line="240" w:lineRule="exact" w:before="23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$43 million of cash collateral received from counterparties under derivative agreements ($21 million—June 30, 2024). </w:t>
      </w:r>
      <w:r>
        <w:rPr>
          <w:rFonts w:ascii="Arial" w:hAnsi="Arial" w:eastAsia="Arial"/>
          <w:b w:val="0"/>
          <w:i/>
          <w:color w:val="000000"/>
          <w:sz w:val="16"/>
        </w:rPr>
        <w:t>b. Includes swaptions, options , and futures contracts.</w:t>
      </w:r>
    </w:p>
    <w:p>
      <w:pPr>
        <w:autoSpaceDN w:val="0"/>
        <w:tabs>
          <w:tab w:pos="62" w:val="left"/>
        </w:tabs>
        <w:autoSpaceDE w:val="0"/>
        <w:widowControl/>
        <w:spacing w:line="240" w:lineRule="exact" w:before="0" w:after="0"/>
        <w:ind w:left="16" w:right="172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 c. This amount is included in Unrestricted cash under Due from banks on the Condensed Balance Sheets. </w:t>
      </w:r>
      <w:r>
        <w:rPr>
          <w:rFonts w:ascii="Arial" w:hAnsi="Arial" w:eastAsia="Arial"/>
          <w:b w:val="0"/>
          <w:i/>
          <w:color w:val="000000"/>
          <w:sz w:val="16"/>
        </w:rPr>
        <w:t>d. Includes $62 million of liabilities related to short sales ($59 million—June 30, 2024).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Liabilities are included in Other liabilities on the Condensed Balance Sheets.</w:t>
      </w:r>
    </w:p>
    <w:p>
      <w:pPr>
        <w:autoSpaceDN w:val="0"/>
        <w:autoSpaceDE w:val="0"/>
        <w:widowControl/>
        <w:spacing w:line="224" w:lineRule="exact" w:before="2316" w:after="0"/>
        <w:ind w:left="14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35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composition of IBRD’s net investment portfolio is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C3: Net investment portfolio composition</w:t>
      </w:r>
    </w:p>
    <w:p>
      <w:pPr>
        <w:autoSpaceDN w:val="0"/>
        <w:autoSpaceDE w:val="0"/>
        <w:widowControl/>
        <w:spacing w:line="178" w:lineRule="exact" w:before="21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7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Net investment portfolio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Liquid assets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88,665 </w:t>
            </w:r>
          </w:p>
        </w:tc>
        <w:tc>
          <w:tcPr>
            <w:tcW w:type="dxa" w:w="5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78,792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 holdings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3,049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2,939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PCRF holdings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1,074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949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92,788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82,680 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 instruments to manage the associated currency and interest rate risks in the portfolio.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details of these instruments, see Note F—Derivative Instruments. After considering the effects of these derivatives,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IBRD’s investment portfolio is predominantly denominated in U.S. dollars.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Commercial Credit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purpose of risk management, IBRD is party to a variety of financial transactions, certain of which involve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elements of credit risk. Credit risk exposure represents the maximum potential loss due to possible non-performance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obligors and counterparties under the terms of the contracts. For all securities, IBRD limits trading to a list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authorized dealers and counterparties. In addition, IBRD may require collateral in connection with resale agreements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swap agreements. The collateral serves to mitigate IBRD’s exposure to credit risk.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Swap Agreements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risk is mitigated through the application of eligibility criteria and volume limits for transactions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individual counterparties and through the use of mark-to-market collateral arrangements for swap transactions.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may require collateral in the form of cash or other approved liquid securities from individual counterparties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order to mitigate its credit exposure.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entered into master derivative agreements that contain legally enforceable close-out netting provisions.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agreements may further reduce the gross credit risk exposure related to the swaps. Credit risk with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subject to a master derivatives arrangement is further reduced under these agreements to the extent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and receipts with the counterparty are netted at settlement. The reduction in exposure as a result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netting provisions can vary due to the impact of changes in market conditions on existing and new transactions.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extent of the reduction in exposure may therefore change substantially within a short period of time following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balance sheet date. For more information on netting and offsetting provisions, see Note F—Derivative Instruments.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is a summary of the collateral received by IBRD for swap transactions: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C4: Collateral received</w:t>
      </w:r>
    </w:p>
    <w:p>
      <w:pPr>
        <w:autoSpaceDN w:val="0"/>
        <w:autoSpaceDE w:val="0"/>
        <w:widowControl/>
        <w:spacing w:line="178" w:lineRule="exact" w:before="21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7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6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</w:t>
            </w:r>
          </w:p>
        </w:tc>
        <w:tc>
          <w:tcPr>
            <w:tcW w:type="dxa" w:w="6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6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4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335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322 </w:t>
            </w:r>
          </w:p>
        </w:tc>
      </w:tr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collateral received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378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</w:tr>
      <w:tr>
        <w:trPr>
          <w:trHeight w:hRule="exact" w:val="23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permitted to be repledged</w:t>
            </w:r>
          </w:p>
        </w:tc>
        <w:tc>
          <w:tcPr>
            <w:tcW w:type="dxa" w:w="6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378 </w:t>
            </w:r>
          </w:p>
        </w:tc>
        <w:tc>
          <w:tcPr>
            <w:tcW w:type="dxa" w:w="6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collateral repledged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48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cash collateral invested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Securities Lending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may engage in securities lending and repurchases, against adequate collateral, as well as secured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reverse repurchases (resales) of government and agency obligations, corporate securities, ABS and Mortgage-</w:t>
      </w:r>
    </w:p>
    <w:p>
      <w:pPr>
        <w:autoSpaceDN w:val="0"/>
        <w:autoSpaceDE w:val="0"/>
        <w:widowControl/>
        <w:spacing w:line="224" w:lineRule="exact" w:before="69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36     IBRD Condensed Quarterly Financial Statements: September 30,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backed securities (MBS). These transactions, if any, are conducted under legally enforceable master netting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arrangements, which allow IBRD to reduce its gross credit exposure related to these transactions. IBRD presents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and repurchases, as well as resales, on a gross basis on the Condensed Balance Sheets.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2024, the amount that could potentially be offset as a result of legally enforceable master netting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arrangements was $62 million ($59 million—June 30, 2024).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and repurchase agreements expose IBRD to several risks, including counterparty risk,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reinvestment risk, and risk of a collateral gap (due to increases or decrease in the fair value of collateral pledged).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procedures in place to ensure that trading activity and balances under these agreements are below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predefined counterparty and maturity limits, and to actively manage net counterparty exposure, after collateral,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daily market values. Whenever the collateral pledged by IBRD related to its borrowings under repurchase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and securities lending agreements declines in value, the transaction is re-priced as appropriate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returning cash or pledging additional collateral.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of securities by IBRD to counterparties are not accounted for as sales as the accounting criteria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treatment as a sale have not been met. Counterparties are permitted to repledge these securities until the repurchase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date.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liabilities relating to securities transferred under repurchase or securities lending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were $106 million ($256 million—June 30, 2024) and there were no unsettled trades relating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repurchase or securities lending agreements (Nil —June 30, 2024). There were no replacement trades entered into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anticipation of maturing trades of a similar amount (Nil—June 30, 2024). As of September 30, 2024 an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the remaining contractual maturity of these agreements was up to 30 days. The securities transferred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mainly comprised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government and agency obligations, equity securities and sovereign debt.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case of resale agreements, IBRD receives collateral in the form of liquid securities and is permitted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repledge these securities. While these transactions are legally considered to be true purchases and sales,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received are not recorded on IBRD’s Condensed Balance Sheets as the accounting criteria for treatment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sale have not been met. As of September 30, 2024 and June 30, 2024, there were no unsettled trades pertaining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purchased under resale agreements. For resale agreements, IBRD received securities with a fair value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$76 million as of September 30, 2024 ($79 million—June 30, 2024). As of September 30, 2024 and June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none of these securities had been transferred under repurchase or security lending agreements.</w:t>
      </w:r>
    </w:p>
    <w:p>
      <w:pPr>
        <w:autoSpaceDN w:val="0"/>
        <w:autoSpaceDE w:val="0"/>
        <w:widowControl/>
        <w:spacing w:line="246" w:lineRule="exact" w:before="2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D—LOANS AND OTHER EXPOSURES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loans and other exposures (collectively, “exposures”) are generally made to, or guaranteed by,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countries of IBRD. In addition, IBRD may also make loans to the International Finance Corporation (I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FC),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affiliated organization, without any guarantee. Other exposures include signed loan commitments including Deferred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Drawdown Options (DDOs) and irrevocable commitments and guarantees. As of September 30, 2024, all of IBRD’s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loans were reported at amortized cost.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 to manage the currency risk and the interest rate risk between its loans and borrowings.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details regarding derivatives used in the loan portfolio, see Note F—Derivative Instruments.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excludes the interest receivable balance from the amortized cost basis and from the related disclosures.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Accrued interest receivable on loans of $4,213 million as of September 30, 2024 ($3,706 million—June 30, 2024)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included in Other assets on the Condensed Balance Sheets.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0.5% of IBRD’s loans were in nonaccrual status and related to two borrowers (Table D2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- Loans in nonaccrual status). The total accumulated provision for losses on loans in accrual status and nonaccrual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 accounted for 0.8% of the total loan portfolio. Based on IBRD’s internal credit quality indicators, the majority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loans outstanding are in the Medium-risk and High-risk classes.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Credit Quality of Sovereign Exposures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evaluation of IBRD’s exposures, management has determined that IBRD has one portfolio segment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Sovereign Exposures. IBRD’s loans constitute the majority of the Sovereign Exposures portfolio segment.</w:t>
      </w:r>
    </w:p>
    <w:p>
      <w:pPr>
        <w:autoSpaceDN w:val="0"/>
        <w:autoSpaceDE w:val="0"/>
        <w:widowControl/>
        <w:spacing w:line="224" w:lineRule="exact" w:before="986" w:after="0"/>
        <w:ind w:left="1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37</w:t>
      </w:r>
    </w:p>
    <w:p>
      <w:pPr>
        <w:sectPr>
          <w:pgSz w:w="12240" w:h="15840"/>
          <w:pgMar w:top="700" w:right="137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country risk ratings are an assessment of its borrowers’ ability and willingness to repay IBRD on time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full. These ratings are internal credit quality indicators. Individual country risk ratings are derived on the basis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both quantitative and qualitative analysis. The components considered in the analysis can be grouped broadly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eight categories: political risk, external debt and liquidity, fiscal policy and public debt burden, balance of payments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risks, economic structure and growth prospects, monetary and exchange rate policy, financial sector risks,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corporate sector debt and vulnerabilities. The analysis also takes into account Environmental, Social,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Governance (ESG) factors. For the purpose of analyzing the risk characteristics of IBRD’s exposures,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exposures are grouped into three classes in accordance with assigned borrower risk ratings, which relate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likelihood of loss: Low, Medium and High-risk classes, as well as exposures in nonaccrual status.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borrowers’ country risk ratings are key determinants in the provision for losses. Country risk ratings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grouped into pools of borrowers with similar credit ratings for the purpose of the calculation of the expected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losses. Exposure for certain countries in accrual status may be individually assessed on the basis that they do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share common risk characteristics with an existing pool of exposures. All exposures for countries in nonaccrual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 are individually assessed. Country risk ratings are determined in review meetings that take place several times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year. All countries are reviewed at least once a year, or more frequently, if circumstances warrant, to determine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appropriate ratings.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assessment was also performed to determine whether a qualitative adjustment of the loan loss provision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needed as of September 30, 2024, including consideration of global and macroeconomic events.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concluded that a qualitative adjustment beyond the regular application of IBRD’s loan loss provision framework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 warranted.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Overdue Amounts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considers loans to be past due when a borrower fails to make payment on any principal, interest or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charges due to IBRD on the dates provided in the contractual loan agreement.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$3 million principal and $2 million interest are overdue by more than three months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loans in accrual status.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an aging analysis of the loans outstanding: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D1: Loan portfolio aging structure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76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p>
      <w:pPr>
        <w:autoSpaceDN w:val="0"/>
        <w:autoSpaceDE w:val="0"/>
        <w:widowControl/>
        <w:spacing w:line="178" w:lineRule="exact" w:before="64" w:after="8"/>
        <w:ind w:left="0" w:right="180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4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3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7,119 $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7,119 </w:t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 127,457  127,457 </w:t>
            </w:r>
          </w:p>
        </w:tc>
      </w:tr>
      <w:tr>
        <w:trPr>
          <w:trHeight w:hRule="exact" w:val="244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14  133,135  133,149 </w:t>
            </w:r>
          </w:p>
        </w:tc>
      </w:tr>
      <w:tr>
        <w:trPr>
          <w:trHeight w:hRule="exact" w:val="236"/>
        </w:trPr>
        <w:tc>
          <w:tcPr>
            <w:tcW w:type="dxa" w:w="2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14  267,711  267,725 </w:t>
            </w:r>
          </w:p>
        </w:tc>
      </w:tr>
      <w:tr>
        <w:trPr>
          <w:trHeight w:hRule="exact" w:val="244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687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750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673 </w:t>
            </w:r>
          </w:p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1,423 </w:t>
            </w:r>
          </w:p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21 $ </w:t>
            </w:r>
          </w:p>
        </w:tc>
        <w:tc>
          <w:tcPr>
            <w:tcW w:type="dxa" w:w="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12 $ 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687 $ </w:t>
            </w:r>
          </w:p>
        </w:tc>
        <w:tc>
          <w:tcPr>
            <w:tcW w:type="dxa" w:w="223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764 $ 268,384 $ 269,148 </w:t>
            </w:r>
          </w:p>
        </w:tc>
      </w:tr>
    </w:tbl>
    <w:p>
      <w:pPr>
        <w:autoSpaceDN w:val="0"/>
        <w:autoSpaceDE w:val="0"/>
        <w:widowControl/>
        <w:spacing w:line="224" w:lineRule="exact" w:before="349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38     IBRD Condensed Quarterly Financial Statements: September 30,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D1.1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29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64" w:after="6"/>
        <w:ind w:left="0" w:right="180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6"/>
        </w:trPr>
        <w:tc>
          <w:tcPr>
            <w:tcW w:type="dxa" w:w="1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6,935 $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 124,106  124,106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16  130,723  130,739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23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16  261,764  261,780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726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684 </w:t>
            </w:r>
          </w:p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42 $ </w:t>
            </w:r>
          </w:p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24 $ 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661 $ </w:t>
            </w:r>
          </w:p>
        </w:tc>
        <w:tc>
          <w:tcPr>
            <w:tcW w:type="dxa" w:w="223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742 $ 262,448 $ 263,190 </w:t>
            </w:r>
          </w:p>
        </w:tc>
      </w:tr>
    </w:tbl>
    <w:p>
      <w:pPr>
        <w:autoSpaceDN w:val="0"/>
        <w:autoSpaceDE w:val="0"/>
        <w:widowControl/>
        <w:spacing w:line="222" w:lineRule="exact" w:before="4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 summary of selected financial information related to loans in nonaccrual status: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D2: Loans in nonaccrual status</w:t>
      </w:r>
    </w:p>
    <w:p>
      <w:pPr>
        <w:autoSpaceDN w:val="0"/>
        <w:autoSpaceDE w:val="0"/>
        <w:widowControl/>
        <w:spacing w:line="178" w:lineRule="exact" w:before="21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56"/>
        </w:trPr>
        <w:tc>
          <w:tcPr>
            <w:tcW w:type="dxa" w:w="12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2" w:after="0"/>
              <w:ind w:left="0" w:right="2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0" w:after="0"/>
              <w:ind w:left="0" w:right="2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13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260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Overdue amounts</w:t>
            </w:r>
          </w:p>
        </w:tc>
      </w:tr>
      <w:tr>
        <w:trPr>
          <w:trHeight w:hRule="exact" w:val="184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6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Nonaccrual since</w:t>
            </w:r>
          </w:p>
        </w:tc>
        <w:tc>
          <w:tcPr>
            <w:tcW w:type="dxa" w:w="134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3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260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and </w:t>
            </w:r>
          </w:p>
        </w:tc>
      </w:tr>
      <w:tr>
        <w:trPr>
          <w:trHeight w:hRule="exact" w:val="220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losses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2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</w:t>
            </w:r>
          </w:p>
        </w:tc>
        <w:tc>
          <w:tcPr>
            <w:tcW w:type="dxa" w:w="137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Charges</w:t>
            </w:r>
          </w:p>
        </w:tc>
      </w:tr>
      <w:tr>
        <w:trPr>
          <w:trHeight w:hRule="exact" w:val="220"/>
        </w:trPr>
        <w:tc>
          <w:tcPr>
            <w:tcW w:type="dxa" w:w="12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Belarus</w:t>
            </w:r>
          </w:p>
        </w:tc>
        <w:tc>
          <w:tcPr>
            <w:tcW w:type="dxa" w:w="1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2022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997 </w:t>
            </w:r>
          </w:p>
        </w:tc>
        <w:tc>
          <w:tcPr>
            <w:tcW w:type="dxa" w:w="7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993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  <w:tc>
          <w:tcPr>
            <w:tcW w:type="dxa" w:w="106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</w:tr>
      <w:tr>
        <w:trPr>
          <w:trHeight w:hRule="exact" w:val="260"/>
        </w:trPr>
        <w:tc>
          <w:tcPr>
            <w:tcW w:type="dxa" w:w="1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1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2000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213 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2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137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697 </w:t>
            </w:r>
          </w:p>
        </w:tc>
      </w:tr>
      <w:tr>
        <w:trPr>
          <w:trHeight w:hRule="exact" w:val="220"/>
        </w:trPr>
        <w:tc>
          <w:tcPr>
            <w:tcW w:type="dxa" w:w="27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September 30, 2024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1,423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 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1,419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750 </w:t>
            </w:r>
          </w:p>
        </w:tc>
        <w:tc>
          <w:tcPr>
            <w:tcW w:type="dxa" w:w="76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789 </w:t>
            </w:r>
          </w:p>
        </w:tc>
      </w:tr>
      <w:tr>
        <w:trPr>
          <w:trHeight w:hRule="exact" w:val="240"/>
        </w:trPr>
        <w:tc>
          <w:tcPr>
            <w:tcW w:type="dxa" w:w="27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324</w:t>
            </w:r>
          </w:p>
        </w:tc>
        <w:tc>
          <w:tcPr>
            <w:tcW w:type="dxa" w:w="6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1,418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726</w:t>
            </w:r>
          </w:p>
        </w:tc>
        <w:tc>
          <w:tcPr>
            <w:tcW w:type="dxa" w:w="70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668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767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no loans were placed in nonaccrual status or restored to 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interest and other revenue not recognized as a result of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being in nonaccrual status was $21 million ($20 million– three months ended September 30, 2023).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during the three months ended September 30, 2024, no interest income was recognized on loans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nonaccrual status upon receipt of payment ($1 million —three months ended September 30, 2023).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considers the signature date of a loan agreement as the best indicator of the decision point in the origination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process, rather than the disbursement date. The tables below disclose the outstanding balances of IBRD’s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portfolio, classified by the year the loan agreement was signed. </w:t>
      </w:r>
    </w:p>
    <w:p>
      <w:pPr>
        <w:autoSpaceDN w:val="0"/>
        <w:autoSpaceDE w:val="0"/>
        <w:widowControl/>
        <w:spacing w:line="224" w:lineRule="exact" w:before="4614" w:after="0"/>
        <w:ind w:left="14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39</w:t>
      </w:r>
    </w:p>
    <w:p>
      <w:pPr>
        <w:sectPr>
          <w:pgSz w:w="12240" w:h="15840"/>
          <w:pgMar w:top="736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D3: Loan portfolio vintage disclosure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304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p>
      <w:pPr>
        <w:autoSpaceDN w:val="0"/>
        <w:autoSpaceDE w:val="0"/>
        <w:widowControl/>
        <w:spacing w:line="180" w:lineRule="exact" w:before="60" w:after="20"/>
        <w:ind w:left="0" w:right="427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of Origination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6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4"/>
        </w:trPr>
        <w:tc>
          <w:tcPr>
            <w:tcW w:type="dxa" w:w="69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7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3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6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18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September </w:t>
            </w:r>
          </w:p>
        </w:tc>
      </w:tr>
      <w:tr>
        <w:trPr>
          <w:trHeight w:hRule="exact" w:val="23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228"/>
        </w:trPr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250 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$ 6,719 </w:t>
            </w:r>
          </w:p>
        </w:tc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7,119 </w:t>
            </w:r>
          </w:p>
        </w:tc>
      </w:tr>
      <w:tr>
        <w:trPr>
          <w:trHeight w:hRule="exact" w:val="240"/>
        </w:trPr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6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3,001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8,071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8,682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7,086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10,197 </w:t>
            </w:r>
          </w:p>
        </w:tc>
        <w:tc>
          <w:tcPr>
            <w:tcW w:type="dxa" w:w="1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87,765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2,353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127,457 </w:t>
            </w:r>
          </w:p>
        </w:tc>
      </w:tr>
      <w:tr>
        <w:trPr>
          <w:trHeight w:hRule="exact" w:val="250"/>
        </w:trPr>
        <w:tc>
          <w:tcPr>
            <w:tcW w:type="dxa" w:w="2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6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1,096 </w:t>
            </w:r>
          </w:p>
        </w:tc>
        <w:tc>
          <w:tcPr>
            <w:tcW w:type="dxa" w:w="76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12,349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7,564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12,155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10,152 </w:t>
            </w:r>
          </w:p>
        </w:tc>
        <w:tc>
          <w:tcPr>
            <w:tcW w:type="dxa" w:w="108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88,915 </w:t>
            </w:r>
          </w:p>
        </w:tc>
        <w:tc>
          <w:tcPr>
            <w:tcW w:type="dxa" w:w="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917 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133,149 </w:t>
            </w:r>
          </w:p>
        </w:tc>
      </w:tr>
      <w:tr>
        <w:trPr>
          <w:trHeight w:hRule="exact" w:val="230"/>
        </w:trPr>
        <w:tc>
          <w:tcPr>
            <w:tcW w:type="dxa" w:w="20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69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4,097 </w:t>
            </w:r>
          </w:p>
        </w:tc>
        <w:tc>
          <w:tcPr>
            <w:tcW w:type="dxa" w:w="76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20,570 </w:t>
            </w:r>
          </w:p>
        </w:tc>
        <w:tc>
          <w:tcPr>
            <w:tcW w:type="dxa" w:w="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16,246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19,491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20,349 </w:t>
            </w:r>
          </w:p>
        </w:tc>
        <w:tc>
          <w:tcPr>
            <w:tcW w:type="dxa" w:w="108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183,399 </w:t>
            </w:r>
          </w:p>
        </w:tc>
        <w:tc>
          <w:tcPr>
            <w:tcW w:type="dxa" w:w="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3,270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267,725 </w:t>
            </w:r>
          </w:p>
        </w:tc>
      </w:tr>
      <w:tr>
        <w:trPr>
          <w:trHeight w:hRule="exact" w:val="250"/>
        </w:trPr>
        <w:tc>
          <w:tcPr>
            <w:tcW w:type="dxa" w:w="2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6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6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8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1,423 </w:t>
            </w:r>
          </w:p>
        </w:tc>
        <w:tc>
          <w:tcPr>
            <w:tcW w:type="dxa" w:w="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1,423 </w:t>
            </w:r>
          </w:p>
        </w:tc>
      </w:tr>
      <w:tr>
        <w:trPr>
          <w:trHeight w:hRule="exact" w:val="220"/>
        </w:trPr>
        <w:tc>
          <w:tcPr>
            <w:tcW w:type="dxa" w:w="20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69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$ 4,097 </w:t>
            </w:r>
          </w:p>
        </w:tc>
        <w:tc>
          <w:tcPr>
            <w:tcW w:type="dxa" w:w="4050"/>
            <w:gridSpan w:val="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$ 20,570 $ 16,246 $ 19,491 $ 20,349 $ 184,822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3,270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$ 269,148 </w:t>
            </w:r>
          </w:p>
        </w:tc>
      </w:tr>
    </w:tbl>
    <w:p>
      <w:pPr>
        <w:autoSpaceDN w:val="0"/>
        <w:autoSpaceDE w:val="0"/>
        <w:widowControl/>
        <w:spacing w:line="222" w:lineRule="exact" w:before="514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D3.1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326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80" w:lineRule="exact" w:before="60" w:after="18"/>
        <w:ind w:left="0" w:right="427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Fiscal Year of Origination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6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6"/>
        </w:trPr>
        <w:tc>
          <w:tcPr>
            <w:tcW w:type="dxa" w:w="69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2020</w:t>
            </w:r>
          </w:p>
        </w:tc>
        <w:tc>
          <w:tcPr>
            <w:tcW w:type="dxa" w:w="69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8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2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30, </w:t>
            </w:r>
          </w:p>
        </w:tc>
      </w:tr>
      <w:tr>
        <w:trPr>
          <w:trHeight w:hRule="exact" w:val="22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238"/>
        </w:trPr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250 </w:t>
            </w:r>
          </w:p>
        </w:tc>
        <w:tc>
          <w:tcPr>
            <w:tcW w:type="dxa" w:w="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$ 6,535 </w:t>
            </w:r>
          </w:p>
        </w:tc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6,935 </w:t>
            </w:r>
          </w:p>
        </w:tc>
      </w:tr>
      <w:tr>
        <w:trPr>
          <w:trHeight w:hRule="exact" w:val="240"/>
        </w:trPr>
        <w:tc>
          <w:tcPr>
            <w:tcW w:type="dxa" w:w="2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7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7,885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8,445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6,893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10,126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8,421 </w:t>
            </w:r>
          </w:p>
        </w:tc>
        <w:tc>
          <w:tcPr>
            <w:tcW w:type="dxa" w:w="1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79,700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2,334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124,106 </w:t>
            </w:r>
          </w:p>
        </w:tc>
      </w:tr>
      <w:tr>
        <w:trPr>
          <w:trHeight w:hRule="exact" w:val="240"/>
        </w:trPr>
        <w:tc>
          <w:tcPr>
            <w:tcW w:type="dxa" w:w="2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72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11,645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7,402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11,897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9,951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8,486 </w:t>
            </w:r>
          </w:p>
        </w:tc>
        <w:tc>
          <w:tcPr>
            <w:tcW w:type="dxa" w:w="108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80,454 </w:t>
            </w:r>
          </w:p>
        </w:tc>
        <w:tc>
          <w:tcPr>
            <w:tcW w:type="dxa" w:w="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24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903 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130,739 </w:t>
            </w:r>
          </w:p>
        </w:tc>
      </w:tr>
      <w:tr>
        <w:trPr>
          <w:trHeight w:hRule="exact" w:val="240"/>
        </w:trPr>
        <w:tc>
          <w:tcPr>
            <w:tcW w:type="dxa" w:w="20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72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19,680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15,847 </w:t>
            </w:r>
          </w:p>
        </w:tc>
        <w:tc>
          <w:tcPr>
            <w:tcW w:type="dxa" w:w="7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19,040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20,077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16,907 </w:t>
            </w:r>
          </w:p>
        </w:tc>
        <w:tc>
          <w:tcPr>
            <w:tcW w:type="dxa" w:w="108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166,689 </w:t>
            </w:r>
          </w:p>
        </w:tc>
        <w:tc>
          <w:tcPr>
            <w:tcW w:type="dxa" w:w="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3,237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261,780 </w:t>
            </w:r>
          </w:p>
        </w:tc>
      </w:tr>
      <w:tr>
        <w:trPr>
          <w:trHeight w:hRule="exact" w:val="240"/>
        </w:trPr>
        <w:tc>
          <w:tcPr>
            <w:tcW w:type="dxa" w:w="20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72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108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1,295 </w:t>
            </w:r>
          </w:p>
        </w:tc>
        <w:tc>
          <w:tcPr>
            <w:tcW w:type="dxa" w:w="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52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20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744"/>
            <w:gridSpan w:val="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$ 19,680 $ 15,847 $ 19,040 $ 20,077 $ 17,022 $ 167,984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303 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3,237 </w:t>
            </w:r>
          </w:p>
        </w:tc>
        <w:tc>
          <w:tcPr>
            <w:tcW w:type="dxa" w:w="100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$ 263,190 </w:t>
            </w:r>
          </w:p>
        </w:tc>
      </w:tr>
    </w:tbl>
    <w:p>
      <w:pPr>
        <w:autoSpaceDN w:val="0"/>
        <w:autoSpaceDE w:val="0"/>
        <w:widowControl/>
        <w:spacing w:line="240" w:lineRule="exact" w:before="42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there were no Catastrophe Deferred Drawdown Options (CAT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DDOs) converted to term loans ($500 million—three months ended September 30, 2023).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determines the appropriate level of accumulated provision for losses, which reflects the expected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losses inherent in IBRD’s exposures.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Delays in receiving loan payments result in economic losses to IBRD since it does not charge additional interest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any overdue interest or loan charges. These economic losses are estimated as the difference between the present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of payments of interest and charges made according to the related loan's contractual terms and the present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of its expected future cash flows. It is IBRD’s practice not to write off its loans. Historically, all contractual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obligations associated with exposures in nonaccrual status were eventually cleared, thereby allowing borrowers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emerge from nonaccrual status. To date, no loans have been written off by IBRD.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reassesses the adequacy of the accumulated provision on a quarterly basis and adjustments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accumulated provision are recorded as a charge to or release of provision in the Condensed Statements of Income.</w:t>
      </w:r>
    </w:p>
    <w:p>
      <w:pPr>
        <w:autoSpaceDN w:val="0"/>
        <w:autoSpaceDE w:val="0"/>
        <w:widowControl/>
        <w:spacing w:line="224" w:lineRule="exact" w:before="159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40     IBRD Condensed Quarterly Financial Statements: September 30, 2024 (Unaudited)</w:t>
      </w:r>
    </w:p>
    <w:p>
      <w:pPr>
        <w:sectPr>
          <w:pgSz w:w="12240" w:h="15840"/>
          <w:pgMar w:top="736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to the accumulated provision for losses on loans and other exposures are summarized below:</w:t>
      </w:r>
    </w:p>
    <w:p>
      <w:pPr>
        <w:autoSpaceDN w:val="0"/>
        <w:tabs>
          <w:tab w:pos="6066" w:val="left"/>
        </w:tabs>
        <w:autoSpaceDE w:val="0"/>
        <w:widowControl/>
        <w:spacing w:line="240" w:lineRule="exact" w:before="134" w:after="20"/>
        <w:ind w:left="62" w:right="2016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D4: Accumulated provision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 outstanding</w:t>
            </w:r>
          </w:p>
        </w:tc>
        <w:tc>
          <w:tcPr>
            <w:tcW w:type="dxa" w:w="15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commitments</w:t>
            </w:r>
          </w:p>
        </w:tc>
        <w:tc>
          <w:tcPr>
            <w:tcW w:type="dxa" w:w="8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34"/>
        </w:trPr>
        <w:tc>
          <w:tcPr>
            <w:tcW w:type="dxa" w:w="4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beginning of the fiscal year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$ 2,966 </w:t>
            </w:r>
          </w:p>
        </w:tc>
      </w:tr>
      <w:tr>
        <w:trPr>
          <w:trHeight w:hRule="exact" w:val="24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(release) charge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(179)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(10) 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(194) </w:t>
            </w:r>
          </w:p>
        </w:tc>
      </w:tr>
      <w:tr>
        <w:trPr>
          <w:trHeight w:hRule="exact" w:val="226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1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8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12240" w:h="15840"/>
          <w:pgMar w:top="700" w:right="118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6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Accumulated provision, end of the period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Composed of accumulated provision for losses on:</w:t>
      </w:r>
    </w:p>
    <w:p>
      <w:pPr>
        <w:sectPr>
          <w:type w:val="continuous"/>
          <w:pgSz w:w="12240" w:h="15840"/>
          <w:pgMar w:top="700" w:right="1184" w:bottom="360" w:left="1430" w:header="720" w:footer="720" w:gutter="0"/>
          <w:cols w:num="2" w:equalWidth="0">
            <w:col w:w="4178" w:space="0"/>
            <w:col w:w="54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.00000000000023" w:type="dxa"/>
      </w:tblPr>
      <w:tblGrid>
        <w:gridCol w:w="1375"/>
        <w:gridCol w:w="1375"/>
        <w:gridCol w:w="1375"/>
        <w:gridCol w:w="1375"/>
        <w:gridCol w:w="1375"/>
        <w:gridCol w:w="1375"/>
        <w:gridCol w:w="1375"/>
      </w:tblGrid>
      <w:tr>
        <w:trPr>
          <w:trHeight w:hRule="exact" w:val="170"/>
        </w:trPr>
        <w:tc>
          <w:tcPr>
            <w:tcW w:type="dxa" w:w="4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2,203 </w:t>
            </w:r>
          </w:p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517 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9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$ 2,803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0"/>
        <w:ind w:left="0" w:right="0"/>
      </w:pPr>
    </w:p>
    <w:p>
      <w:pPr>
        <w:sectPr>
          <w:type w:val="nextColumn"/>
          <w:pgSz w:w="12240" w:h="15840"/>
          <w:pgMar w:top="700" w:right="1184" w:bottom="360" w:left="1430" w:header="720" w:footer="720" w:gutter="0"/>
          <w:cols w:num="2" w:equalWidth="0">
            <w:col w:w="4178" w:space="0"/>
            <w:col w:w="54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209"/>
        <w:gridCol w:w="3209"/>
        <w:gridCol w:w="3209"/>
      </w:tblGrid>
      <w:tr>
        <w:trPr>
          <w:trHeight w:hRule="exact" w:val="204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1,897 </w:t>
            </w:r>
          </w:p>
        </w:tc>
      </w:tr>
      <w:tr>
        <w:trPr>
          <w:trHeight w:hRule="exact" w:val="246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209"/>
            <w:vMerge/>
            <w:tcBorders>
              <w:bottom w:sz="8.0" w:val="single" w:color="#000000"/>
            </w:tcBorders>
          </w:tcPr>
          <w:p/>
        </w:tc>
        <w:tc>
          <w:tcPr>
            <w:tcW w:type="dxa" w:w="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306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2,203 </w:t>
            </w:r>
          </w:p>
        </w:tc>
      </w:tr>
    </w:tbl>
    <w:p>
      <w:pPr>
        <w:autoSpaceDN w:val="0"/>
        <w:autoSpaceDE w:val="0"/>
        <w:widowControl/>
        <w:spacing w:line="180" w:lineRule="exact" w:before="5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Loans, end of the period: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9"/>
        <w:gridCol w:w="3209"/>
        <w:gridCol w:w="3209"/>
      </w:tblGrid>
      <w:tr>
        <w:trPr>
          <w:trHeight w:hRule="exact" w:val="234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267,725 </w:t>
            </w:r>
          </w:p>
        </w:tc>
      </w:tr>
      <w:tr>
        <w:trPr>
          <w:trHeight w:hRule="exact" w:val="246"/>
        </w:trPr>
        <w:tc>
          <w:tcPr>
            <w:tcW w:type="dxa" w:w="4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20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1,423 </w:t>
            </w:r>
          </w:p>
        </w:tc>
      </w:tr>
      <w:tr>
        <w:trPr>
          <w:trHeight w:hRule="exact" w:val="220"/>
        </w:trPr>
        <w:tc>
          <w:tcPr>
            <w:tcW w:type="dxa" w:w="4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269,148 </w:t>
            </w:r>
          </w:p>
        </w:tc>
      </w:tr>
    </w:tbl>
    <w:p>
      <w:pPr>
        <w:autoSpaceDN w:val="0"/>
        <w:autoSpaceDE w:val="0"/>
        <w:widowControl/>
        <w:spacing w:line="222" w:lineRule="exact" w:before="5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D4.1: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33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24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 outstanding</w:t>
            </w:r>
          </w:p>
        </w:tc>
        <w:tc>
          <w:tcPr>
            <w:tcW w:type="dxa" w:w="15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 commitments</w:t>
            </w:r>
          </w:p>
        </w:tc>
        <w:tc>
          <w:tcPr>
            <w:tcW w:type="dxa" w:w="8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30"/>
        </w:trPr>
        <w:tc>
          <w:tcPr>
            <w:tcW w:type="dxa" w:w="4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beginning of the fiscal year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2,336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452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$ 2,878 </w:t>
            </w:r>
          </w:p>
        </w:tc>
      </w:tr>
      <w:tr>
        <w:trPr>
          <w:trHeight w:hRule="exact" w:val="240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charge (release)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 </w:t>
            </w:r>
          </w:p>
        </w:tc>
      </w:tr>
      <w:tr>
        <w:trPr>
          <w:trHeight w:hRule="exact" w:val="25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14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15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$ 2,966 </w:t>
            </w:r>
          </w:p>
        </w:tc>
      </w:tr>
    </w:tbl>
    <w:p>
      <w:pPr>
        <w:autoSpaceDN w:val="0"/>
        <w:autoSpaceDE w:val="0"/>
        <w:widowControl/>
        <w:spacing w:line="178" w:lineRule="exact" w:before="4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Composed of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209"/>
        <w:gridCol w:w="3209"/>
        <w:gridCol w:w="3209"/>
      </w:tblGrid>
      <w:tr>
        <w:trPr>
          <w:trHeight w:hRule="exact" w:val="228"/>
        </w:trPr>
        <w:tc>
          <w:tcPr>
            <w:tcW w:type="dxa" w:w="4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2,036 </w:t>
            </w:r>
          </w:p>
        </w:tc>
      </w:tr>
      <w:tr>
        <w:trPr>
          <w:trHeight w:hRule="exact" w:val="250"/>
        </w:trPr>
        <w:tc>
          <w:tcPr>
            <w:tcW w:type="dxa" w:w="4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209"/>
            <w:vMerge/>
            <w:tcBorders>
              <w:bottom w:sz="8.0" w:val="single" w:color="#000000"/>
            </w:tcBorders>
          </w:tcPr>
          <w:p/>
        </w:tc>
        <w:tc>
          <w:tcPr>
            <w:tcW w:type="dxa" w:w="9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324 </w:t>
            </w:r>
          </w:p>
        </w:tc>
      </w:tr>
      <w:tr>
        <w:trPr>
          <w:trHeight w:hRule="exact" w:val="220"/>
        </w:trPr>
        <w:tc>
          <w:tcPr>
            <w:tcW w:type="dxa" w:w="4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2,360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Loans, end of the fiscal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09"/>
        <w:gridCol w:w="3209"/>
        <w:gridCol w:w="3209"/>
      </w:tblGrid>
      <w:tr>
        <w:trPr>
          <w:trHeight w:hRule="exact" w:val="228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261,780 </w:t>
            </w:r>
          </w:p>
        </w:tc>
      </w:tr>
      <w:tr>
        <w:trPr>
          <w:trHeight w:hRule="exact" w:val="250"/>
        </w:trPr>
        <w:tc>
          <w:tcPr>
            <w:tcW w:type="dxa" w:w="43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209"/>
            <w:vMerge/>
            <w:tcBorders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43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loans outstanding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263,190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576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Primarily relates to guarantees and does not include recoverable assets relating to certain guarantees received (including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guarantees received under the Exposure Exchange Agreements) or the benefit of credit enhancements that are derivatives. </w:t>
      </w:r>
      <w:r>
        <w:rPr>
          <w:rFonts w:ascii="Arial" w:hAnsi="Arial" w:eastAsia="Arial"/>
          <w:b w:val="0"/>
          <w:i/>
          <w:color w:val="000000"/>
          <w:sz w:val="16"/>
        </w:rPr>
        <w:t>For more details, see Guarantees section.</w:t>
      </w:r>
    </w:p>
    <w:p>
      <w:pPr>
        <w:autoSpaceDN w:val="0"/>
        <w:autoSpaceDE w:val="0"/>
        <w:widowControl/>
        <w:spacing w:line="180" w:lineRule="exact" w:before="280" w:after="18"/>
        <w:ind w:left="0" w:right="2842" w:firstLine="0"/>
        <w:jc w:val="right"/>
      </w:pPr>
      <w:r>
        <w:rPr>
          <w:rFonts w:ascii="Arial" w:hAnsi="Arial" w:eastAsia="Arial"/>
          <w:b/>
          <w:i/>
          <w:color w:val="000000"/>
          <w:sz w:val="16"/>
        </w:rPr>
        <w:t>Reported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86.0" w:type="dxa"/>
      </w:tblPr>
      <w:tblGrid>
        <w:gridCol w:w="4813"/>
        <w:gridCol w:w="4813"/>
      </w:tblGrid>
      <w:tr>
        <w:trPr>
          <w:trHeight w:hRule="exact" w:val="240"/>
        </w:trPr>
        <w:tc>
          <w:tcPr>
            <w:tcW w:type="dxa" w:w="29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64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Condensed Balance Sheets</w:t>
            </w:r>
          </w:p>
        </w:tc>
        <w:tc>
          <w:tcPr>
            <w:tcW w:type="dxa" w:w="3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510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Condensed Statements of Income</w:t>
            </w:r>
          </w:p>
        </w:tc>
      </w:tr>
    </w:tbl>
    <w:p>
      <w:pPr>
        <w:autoSpaceDN w:val="0"/>
        <w:autoSpaceDE w:val="0"/>
        <w:widowControl/>
        <w:spacing w:line="178" w:lineRule="exact" w:before="16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3209"/>
        <w:gridCol w:w="3209"/>
        <w:gridCol w:w="3209"/>
      </w:tblGrid>
      <w:tr>
        <w:trPr>
          <w:trHeight w:hRule="exact" w:val="23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</w:tr>
      <w:tr>
        <w:trPr>
          <w:trHeight w:hRule="exact" w:val="22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commitments and other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 for losses on loans and other exposures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18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exposures</w:t>
      </w:r>
    </w:p>
    <w:p>
      <w:pPr>
        <w:autoSpaceDN w:val="0"/>
        <w:autoSpaceDE w:val="0"/>
        <w:widowControl/>
        <w:spacing w:line="240" w:lineRule="exact" w:before="442" w:after="0"/>
        <w:ind w:left="10" w:right="20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accumulated provision for losses on loan and other exposures as of September 30, 2024 was $2,803 million,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$2,966 million as of June 30, 2024. The decrease of $163 million is mostly due to the lower severity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the reduction in relevant forward interest rates, partially offset by the increase in exposure and translation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adjustments. </w:t>
      </w:r>
    </w:p>
    <w:p>
      <w:pPr>
        <w:autoSpaceDN w:val="0"/>
        <w:autoSpaceDE w:val="0"/>
        <w:widowControl/>
        <w:spacing w:line="224" w:lineRule="exact" w:before="1064" w:after="0"/>
        <w:ind w:left="14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41</w:t>
      </w:r>
    </w:p>
    <w:p>
      <w:pPr>
        <w:sectPr>
          <w:type w:val="continuous"/>
          <w:pgSz w:w="12240" w:h="15840"/>
          <w:pgMar w:top="700" w:right="1184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Guarantees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Guarantees provided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of $7,280 million were outstanding as of September 30, 2024 ($7,168 million—June 30, 2024),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including guarantees provided under the EEA. These amounts represent the maximum potential amount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undiscounted future payments that IBRD could be required to make under these guarantees and are not included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Condensed Balance Sheets. These guarantees have original maturities ranging between 10 and 23 years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expire in decreasing amounts through 2047.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liabilities related to IBRD's obligations under guarantees included the obligation to stand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ready of $290 million ($296 million—June 30, 2024), and the accumulated provision for guarantee losses of $64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($71 million—June 30, 2024). These amounts are included in Other liabilities on the Condensed Balance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Sheets.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 and September 30, 2023, no guarantees provided by IBRD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called.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participates in Exposure Exchange Agreements (EEAs) which are recognized as financial guarantees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statements. Information on the location and amounts associated with the EEAs executed with the African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 Bank and Inter-American Development Bank included in the Condensed Balance Sheets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Statements of Income is presented in the following table: 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D5: Amounts associated with EEAs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5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82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4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92" w:lineRule="exact" w:before="4" w:after="8"/>
        <w:ind w:left="8352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Location on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</w:tblGrid>
      <w:tr>
        <w:trPr>
          <w:trHeight w:hRule="exact" w:val="184"/>
        </w:trPr>
        <w:tc>
          <w:tcPr>
            <w:tcW w:type="dxa" w:w="190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Notional 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(Stand ready </w:t>
            </w:r>
          </w:p>
        </w:tc>
        <w:tc>
          <w:tcPr>
            <w:tcW w:type="dxa" w:w="2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(Provision) 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(Stand ready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(Provision) </w:t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Condensed </w:t>
            </w:r>
          </w:p>
        </w:tc>
      </w:tr>
      <w:tr>
        <w:trPr>
          <w:trHeight w:hRule="exact" w:val="180"/>
        </w:trPr>
        <w:tc>
          <w:tcPr>
            <w:tcW w:type="dxa" w:w="472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/>
          </w:tcPr>
          <w:p/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obligation) </w:t>
            </w:r>
          </w:p>
        </w:tc>
        <w:tc>
          <w:tcPr>
            <w:tcW w:type="dxa" w:w="12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Recoverable </w:t>
            </w:r>
          </w:p>
        </w:tc>
        <w:tc>
          <w:tcPr>
            <w:tcW w:type="dxa" w:w="8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Notional </w:t>
            </w:r>
          </w:p>
        </w:tc>
        <w:tc>
          <w:tcPr>
            <w:tcW w:type="dxa" w:w="1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obligation)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Recoverable </w:t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 </w:t>
            </w:r>
          </w:p>
        </w:tc>
      </w:tr>
      <w:tr>
        <w:trPr>
          <w:trHeight w:hRule="exact" w:val="234"/>
        </w:trPr>
        <w:tc>
          <w:tcPr>
            <w:tcW w:type="dxa" w:w="472"/>
            <w:vMerge/>
            <w:tcBorders>
              <w:bottom w:sz="8.0" w:val="single" w:color="#000000"/>
            </w:tcBorders>
          </w:tcPr>
          <w:p/>
        </w:tc>
        <w:tc>
          <w:tcPr>
            <w:tcW w:type="dxa" w:w="8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amount</w:t>
            </w:r>
          </w:p>
        </w:tc>
        <w:tc>
          <w:tcPr>
            <w:tcW w:type="dxa" w:w="1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0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10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9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amount</w:t>
            </w:r>
          </w:p>
        </w:tc>
        <w:tc>
          <w:tcPr>
            <w:tcW w:type="dxa" w:w="10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2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</w:t>
            </w:r>
          </w:p>
        </w:tc>
        <w:tc>
          <w:tcPr>
            <w:tcW w:type="dxa" w:w="1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Sheets</w:t>
            </w:r>
          </w:p>
        </w:tc>
      </w:tr>
      <w:tr>
        <w:trPr>
          <w:trHeight w:hRule="exact" w:val="226"/>
        </w:trPr>
        <w:tc>
          <w:tcPr>
            <w:tcW w:type="dxa" w:w="19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 provided</w:t>
            </w:r>
          </w:p>
        </w:tc>
        <w:tc>
          <w:tcPr>
            <w:tcW w:type="dxa" w:w="2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(124) $ </w:t>
            </w:r>
          </w:p>
        </w:tc>
        <w:tc>
          <w:tcPr>
            <w:tcW w:type="dxa" w:w="938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$ </w:t>
            </w:r>
          </w:p>
        </w:tc>
        <w:tc>
          <w:tcPr>
            <w:tcW w:type="dxa" w:w="60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3,609 </w:t>
            </w:r>
          </w:p>
        </w:tc>
        <w:tc>
          <w:tcPr>
            <w:tcW w:type="dxa" w:w="4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(129) $ </w:t>
            </w:r>
          </w:p>
        </w:tc>
        <w:tc>
          <w:tcPr>
            <w:tcW w:type="dxa" w:w="187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(25) Other liabilities</w:t>
            </w:r>
          </w:p>
        </w:tc>
      </w:tr>
      <w:tr>
        <w:trPr>
          <w:trHeight w:hRule="exact" w:val="254"/>
        </w:trPr>
        <w:tc>
          <w:tcPr>
            <w:tcW w:type="dxa" w:w="19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Guarantees received</w:t>
            </w:r>
          </w:p>
        </w:tc>
        <w:tc>
          <w:tcPr>
            <w:tcW w:type="dxa" w:w="8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(3,609) </w:t>
            </w:r>
          </w:p>
        </w:tc>
        <w:tc>
          <w:tcPr>
            <w:tcW w:type="dxa" w:w="10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1376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76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(3,611) </w:t>
            </w:r>
          </w:p>
        </w:tc>
        <w:tc>
          <w:tcPr>
            <w:tcW w:type="dxa" w:w="100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129 </w:t>
            </w:r>
          </w:p>
        </w:tc>
        <w:tc>
          <w:tcPr>
            <w:tcW w:type="dxa" w:w="12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</w:tr>
      <w:tr>
        <w:trPr>
          <w:trHeight w:hRule="exact" w:val="22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4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gridSpan w:val="5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$ </w:t>
            </w:r>
          </w:p>
        </w:tc>
        <w:tc>
          <w:tcPr>
            <w:tcW w:type="dxa" w:w="1002"/>
            <w:gridSpan w:val="3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$ </w:t>
            </w:r>
          </w:p>
        </w:tc>
        <w:tc>
          <w:tcPr>
            <w:tcW w:type="dxa" w:w="4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4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3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60"/>
        </w:trPr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360"/>
            <w:gridSpan w:val="5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gridSpan w:val="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Guarantees received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IBRD had received third-party financial guarantees, including guarantees received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EEA. The outstanding amount of loans subject to guarantees received was $12,516 million ($12,461 million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). Financial guarantees received protect IBRD against the risk of loss related to loans in IBRD's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 and increase IBRD's lending capacity.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Waivers of Loan Charges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Executive Directors have approved waivers of certain charges on eligible loans. These include a portion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on loans, a portion of the commitment charge on undisbursed balances, and a portion of the front-end fee.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forgone income resulting from waivers of loan charges was $2 million for three months ended September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2024, respectively ($2 million—three months ended September 30, 2023).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Concentration risk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revenue comprises interest, commitment fees, loan origination fees and prepayment premiums, net of waivers.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three months ended September 30, 2024, loan revenue of $396 million from India, contributed more than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10% to the total loan revenue.</w:t>
      </w:r>
    </w:p>
    <w:p>
      <w:pPr>
        <w:autoSpaceDN w:val="0"/>
        <w:autoSpaceDE w:val="0"/>
        <w:widowControl/>
        <w:spacing w:line="224" w:lineRule="exact" w:before="173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42     IBRD Condensed Quarterly Financial Statements: September 30, 2024 (Unaudited)</w:t>
      </w:r>
    </w:p>
    <w:p>
      <w:pPr>
        <w:sectPr>
          <w:pgSz w:w="12240" w:h="15840"/>
          <w:pgMar w:top="696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loan revenue and associated loans outstanding by geographic region is presented in the following table: </w:t>
      </w:r>
    </w:p>
    <w:p>
      <w:pPr>
        <w:autoSpaceDN w:val="0"/>
        <w:autoSpaceDE w:val="0"/>
        <w:widowControl/>
        <w:spacing w:line="222" w:lineRule="exact" w:before="212" w:after="3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D6: Loan revenue and associated outstanding loan balances by geographic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40"/>
        </w:trPr>
        <w:tc>
          <w:tcPr>
            <w:tcW w:type="dxa" w:w="3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5780"/>
            <w:gridSpan w:val="11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For the three months ended and as of</w:t>
            </w:r>
          </w:p>
        </w:tc>
      </w:tr>
      <w:tr>
        <w:trPr>
          <w:trHeight w:hRule="exact" w:val="24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10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97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2023</w:t>
            </w:r>
          </w:p>
        </w:tc>
      </w:tr>
      <w:tr>
        <w:trPr>
          <w:trHeight w:hRule="exact" w:val="194"/>
        </w:trPr>
        <w:tc>
          <w:tcPr>
            <w:tcW w:type="dxa" w:w="3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Region</w:t>
            </w:r>
          </w:p>
        </w:tc>
        <w:tc>
          <w:tcPr>
            <w:tcW w:type="dxa" w:w="281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2970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4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604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</w:tr>
      <w:tr>
        <w:trPr>
          <w:trHeight w:hRule="exact" w:val="240"/>
        </w:trPr>
        <w:tc>
          <w:tcPr>
            <w:tcW w:type="dxa" w:w="36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Latin America and the Caribbean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 Asia and Pacific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Europe and Central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Middle East and North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South Asia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Eastern and Southern Africa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1,227 </w:t>
            </w:r>
          </w:p>
        </w:tc>
        <w:tc>
          <w:tcPr>
            <w:tcW w:type="dxa" w:w="49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82,141 </w:t>
            </w:r>
          </w:p>
        </w:tc>
        <w:tc>
          <w:tcPr>
            <w:tcW w:type="dxa" w:w="5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1,117 </w:t>
            </w:r>
          </w:p>
        </w:tc>
        <w:tc>
          <w:tcPr>
            <w:tcW w:type="dxa" w:w="62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78,808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805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53,543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756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49,826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756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55,841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621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48,607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36,478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446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33,842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27,899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383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24,053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11,110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8,060 </w:t>
            </w:r>
          </w:p>
        </w:tc>
      </w:tr>
      <w:tr>
        <w:trPr>
          <w:trHeight w:hRule="exact" w:val="240"/>
        </w:trPr>
        <w:tc>
          <w:tcPr>
            <w:tcW w:type="dxa" w:w="78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14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2,136 </w:t>
            </w:r>
          </w:p>
        </w:tc>
        <w:tc>
          <w:tcPr>
            <w:tcW w:type="dxa" w:w="208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1,891 </w:t>
            </w:r>
          </w:p>
        </w:tc>
      </w:tr>
      <w:tr>
        <w:trPr>
          <w:trHeight w:hRule="exact" w:val="220"/>
        </w:trPr>
        <w:tc>
          <w:tcPr>
            <w:tcW w:type="dxa" w:w="3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3,926 </w:t>
            </w:r>
          </w:p>
        </w:tc>
        <w:tc>
          <w:tcPr>
            <w:tcW w:type="dxa" w:w="4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269,148 </w:t>
            </w:r>
          </w:p>
        </w:tc>
        <w:tc>
          <w:tcPr>
            <w:tcW w:type="dxa" w:w="57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3,456 </w:t>
            </w:r>
          </w:p>
        </w:tc>
        <w:tc>
          <w:tcPr>
            <w:tcW w:type="dxa" w:w="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245,087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288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$339 million interest income from loan related derivatives for the three months ended September 30, 2024 ($274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million—three months ended September 30, 2023). Includes commitment charges of $40 million for the three months ended </w:t>
      </w:r>
      <w:r>
        <w:rPr>
          <w:rFonts w:ascii="Arial" w:hAnsi="Arial" w:eastAsia="Arial"/>
          <w:b w:val="0"/>
          <w:i/>
          <w:color w:val="000000"/>
          <w:sz w:val="16"/>
        </w:rPr>
        <w:t>September 30, 2024 ($35 million—three months ended September 30, 2023).</w:t>
      </w:r>
    </w:p>
    <w:p>
      <w:pPr>
        <w:autoSpaceDN w:val="0"/>
        <w:autoSpaceDE w:val="0"/>
        <w:widowControl/>
        <w:spacing w:line="240" w:lineRule="exact" w:before="19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three months ended September 30, 2024, Interest revenue—Loans, net in the Condensed Statements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Income was $4,225 million ($3,695 million—three months ended September 30, 2023). This includes $339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interest income, net related to loan related derivatives associated with the Loan portfolio (interest income, net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$274 million—three months ended September 30, 2023).</w:t>
      </w:r>
    </w:p>
    <w:p>
      <w:pPr>
        <w:autoSpaceDN w:val="0"/>
        <w:autoSpaceDE w:val="0"/>
        <w:widowControl/>
        <w:spacing w:line="246" w:lineRule="exact" w:before="26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E—BORROWINGS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issues unsubordinated and unsecured fixed and variable rate debt in a variety of currencies. Variable rates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primarily based on exchange rates or market interest rates.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 issued by IBRD are reported at fair value. As of September 30, 2024, 98% of the instruments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classified as Level 2 within the fair value hierarchy. In addition, most of these instruments were denominated in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dollars and euro (62% and 16%, respectively).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derivatives, reported at fair value, to manage the currency risk and the interest rate risk between its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borrowings. For details regarding the derivatives used, see Note F—Derivative Instruments.</w:t>
      </w:r>
    </w:p>
    <w:p>
      <w:pPr>
        <w:autoSpaceDN w:val="0"/>
        <w:autoSpaceDE w:val="0"/>
        <w:widowControl/>
        <w:spacing w:line="220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IBRD’s borrowing portfolio, including derivatives: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E1: Borrowings and borrowing-related derivatives</w:t>
      </w:r>
    </w:p>
    <w:p>
      <w:pPr>
        <w:autoSpaceDN w:val="0"/>
        <w:autoSpaceDE w:val="0"/>
        <w:widowControl/>
        <w:spacing w:line="178" w:lineRule="exact" w:before="6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Borrowings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287,131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swaps, net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3,508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7,427 </w:t>
            </w:r>
          </w:p>
        </w:tc>
      </w:tr>
      <w:tr>
        <w:trPr>
          <w:trHeight w:hRule="exact" w:val="254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swaps, net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12,219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17,900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302,858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287,117 </w:t>
            </w:r>
          </w:p>
        </w:tc>
      </w:tr>
    </w:tbl>
    <w:p>
      <w:pPr>
        <w:autoSpaceDN w:val="0"/>
        <w:autoSpaceDE w:val="0"/>
        <w:widowControl/>
        <w:spacing w:line="240" w:lineRule="exact" w:before="41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three months ended September 30, 2024, Borrowing expenses, net in the Condensed Statements of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were $4,067 million ($3,562 million—three months ended September 30, 2023). This includes $1,910 million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expense, net related to derivatives associated with the Borrowing portfolio (interest expense, net of $2,100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million—three months ended September 30, 2023).</w:t>
      </w:r>
    </w:p>
    <w:p>
      <w:pPr>
        <w:autoSpaceDN w:val="0"/>
        <w:autoSpaceDE w:val="0"/>
        <w:widowControl/>
        <w:spacing w:line="224" w:lineRule="exact" w:before="1800" w:after="0"/>
        <w:ind w:left="14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43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F—DERIVATIVE INSTRUMENTS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uses derivative instruments in its investment, loan and borrowing portfolios, and for asset/liability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purposes. It also offers derivative intermediation services to clients and, concurrently, enters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offsetting transactions with market counterparties. </w:t>
      </w:r>
    </w:p>
    <w:p>
      <w:pPr>
        <w:autoSpaceDN w:val="0"/>
        <w:autoSpaceDE w:val="0"/>
        <w:widowControl/>
        <w:spacing w:line="222" w:lineRule="exact" w:before="138" w:after="168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IBRD’s use of derivatives in its various financial portfolios: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22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</w:t>
            </w:r>
          </w:p>
        </w:tc>
        <w:tc>
          <w:tcPr>
            <w:tcW w:type="dxa" w:w="33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Derivative instruments used</w:t>
            </w:r>
          </w:p>
        </w:tc>
        <w:tc>
          <w:tcPr>
            <w:tcW w:type="dxa" w:w="3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16"/>
              </w:rPr>
              <w:t>Purpose / Risk being managed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2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management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0"/>
        </w:trPr>
        <w:tc>
          <w:tcPr>
            <w:tcW w:type="dxa" w:w="22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3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currency forward contracts, </w:t>
            </w:r>
          </w:p>
        </w:tc>
        <w:tc>
          <w:tcPr>
            <w:tcW w:type="dxa" w:w="3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</w:t>
            </w:r>
          </w:p>
        </w:tc>
      </w:tr>
    </w:tbl>
    <w:p>
      <w:pPr>
        <w:autoSpaceDN w:val="0"/>
        <w:autoSpaceDE w:val="0"/>
        <w:widowControl/>
        <w:spacing w:line="188" w:lineRule="exact" w:before="0" w:after="38"/>
        <w:ind w:left="2388" w:right="38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interest rate swaps, options, swaptions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futures contracts, to-be-announced (TBA)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08"/>
        </w:trPr>
        <w:tc>
          <w:tcPr>
            <w:tcW w:type="dxa" w:w="1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4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interest rate risk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30"/>
        <w:ind w:left="0" w:right="128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0"/>
        </w:trPr>
        <w:tc>
          <w:tcPr>
            <w:tcW w:type="dxa" w:w="1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interest rate risk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32"/>
        <w:ind w:left="0" w:right="128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between loans and borrowings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00"/>
        </w:trPr>
        <w:tc>
          <w:tcPr>
            <w:tcW w:type="dxa" w:w="2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asset/liability </w:t>
            </w:r>
          </w:p>
        </w:tc>
        <w:tc>
          <w:tcPr>
            <w:tcW w:type="dxa" w:w="3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interest rate swaps</w:t>
            </w:r>
          </w:p>
        </w:tc>
        <w:tc>
          <w:tcPr>
            <w:tcW w:type="dxa" w:w="3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 currency risk and the duration of IBRD’s </w:t>
            </w:r>
          </w:p>
        </w:tc>
      </w:tr>
      <w:tr>
        <w:trPr>
          <w:trHeight w:hRule="exact" w:val="234"/>
        </w:trPr>
        <w:tc>
          <w:tcPr>
            <w:tcW w:type="dxa" w:w="2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management derivatives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4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3147"/>
        <w:gridCol w:w="3147"/>
        <w:gridCol w:w="3147"/>
      </w:tblGrid>
      <w:tr>
        <w:trPr>
          <w:trHeight w:hRule="exact" w:val="214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5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currency forward contracts,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clients in managing risks</w:t>
            </w:r>
          </w:p>
        </w:tc>
      </w:tr>
    </w:tbl>
    <w:p>
      <w:pPr>
        <w:autoSpaceDN w:val="0"/>
        <w:autoSpaceDE w:val="0"/>
        <w:widowControl/>
        <w:spacing w:line="178" w:lineRule="exact" w:before="8" w:after="0"/>
        <w:ind w:left="0" w:right="540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and interest rate swaps</w:t>
      </w:r>
    </w:p>
    <w:p>
      <w:pPr>
        <w:autoSpaceDN w:val="0"/>
        <w:autoSpaceDE w:val="0"/>
        <w:widowControl/>
        <w:spacing w:line="240" w:lineRule="exact" w:before="20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derivatives in the related tables of Note F are presented on a net basis by instrument. A reconciliation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presentation in the Condensed Balance Sheets is shown in table F1.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Offsetting assets and liabilities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enters into International Swaps and Derivatives Association, Inc. (ISDA) master netting agreements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substantially all of its derivative counterparties. These legally enforceable master netting agreements give IBRD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right to liquidate securities held as collateral and to offset receivables and payables with the same counterparty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event of default by the counterparty.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summarize the gross and net derivative positions by instrument type. Instruments that are in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asset position are included in the Derivative Assets columns and instruments that are in a net liability position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included in the Derivative Liabilities columns.  The effects of the ISDA master netting agreements are applied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aggregate basis to the total derivative asset and liability positions and are presented net of any cash collateral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received on the Condensed Balance Sheets. The net derivative asset positions in the tables below have been further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reduced by any securities received as collateral to show IBRD’s net exposure on its derivative asset positions. </w:t>
      </w:r>
    </w:p>
    <w:p>
      <w:pPr>
        <w:autoSpaceDN w:val="0"/>
        <w:autoSpaceDE w:val="0"/>
        <w:widowControl/>
        <w:spacing w:line="224" w:lineRule="exact" w:before="492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44     IBRD Condensed Quarterly Financial Statements: September 30,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30" w:lineRule="exact" w:before="0" w:after="20"/>
        <w:ind w:left="62" w:right="288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F1: Derivative assets and liabilities before and after netting adjustments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rHeight w:hRule="exact" w:val="240"/>
        </w:trPr>
        <w:tc>
          <w:tcPr>
            <w:tcW w:type="dxa" w:w="4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7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14"/>
        </w:trPr>
        <w:tc>
          <w:tcPr>
            <w:tcW w:type="dxa" w:w="42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2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4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22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</w:tr>
      <w:tr>
        <w:trPr>
          <w:trHeight w:hRule="exact" w:val="220"/>
        </w:trPr>
        <w:tc>
          <w:tcPr>
            <w:tcW w:type="dxa" w:w="107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2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  <w:tc>
          <w:tcPr>
            <w:tcW w:type="dxa" w:w="107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2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1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</w:tr>
      <w:tr>
        <w:trPr>
          <w:trHeight w:hRule="exact" w:val="200"/>
        </w:trPr>
        <w:tc>
          <w:tcPr>
            <w:tcW w:type="dxa" w:w="42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7,948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18,934 </w:t>
            </w:r>
          </w:p>
        </w:tc>
        <w:tc>
          <w:tcPr>
            <w:tcW w:type="dxa" w:w="4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  <w:tc>
          <w:tcPr>
            <w:tcW w:type="dxa" w:w="4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24,759 </w:t>
            </w:r>
          </w:p>
        </w:tc>
      </w:tr>
      <w:tr>
        <w:trPr>
          <w:trHeight w:hRule="exact" w:val="240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7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4,184 </w:t>
            </w:r>
          </w:p>
        </w:tc>
        <w:tc>
          <w:tcPr>
            <w:tcW w:type="dxa" w:w="12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7,550 </w:t>
            </w:r>
          </w:p>
        </w:tc>
        <w:tc>
          <w:tcPr>
            <w:tcW w:type="dxa" w:w="107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  <w:tc>
          <w:tcPr>
            <w:tcW w:type="dxa" w:w="1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9,907 </w:t>
            </w:r>
          </w:p>
        </w:tc>
      </w:tr>
      <w:tr>
        <w:trPr>
          <w:trHeight w:hRule="exact" w:val="234"/>
        </w:trPr>
        <w:tc>
          <w:tcPr>
            <w:tcW w:type="dxa" w:w="4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7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2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071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20"/>
        </w:trPr>
        <w:tc>
          <w:tcPr>
            <w:tcW w:type="dxa" w:w="4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12,132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26,490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12,035 </w:t>
            </w:r>
          </w:p>
        </w:tc>
        <w:tc>
          <w:tcPr>
            <w:tcW w:type="dxa" w:w="4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34,666 </w:t>
            </w:r>
          </w:p>
        </w:tc>
      </w:tr>
    </w:tbl>
    <w:p>
      <w:pPr>
        <w:autoSpaceDN w:val="0"/>
        <w:autoSpaceDE w:val="0"/>
        <w:widowControl/>
        <w:spacing w:line="178" w:lineRule="exact" w:before="36" w:after="5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rHeight w:hRule="exact" w:val="232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</w:t>
            </w:r>
          </w:p>
        </w:tc>
        <w:tc>
          <w:tcPr>
            <w:tcW w:type="dxa" w:w="11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11,582 </w:t>
            </w:r>
          </w:p>
        </w:tc>
        <w:tc>
          <w:tcPr>
            <w:tcW w:type="dxa" w:w="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22" w:after="0"/>
              <w:ind w:left="46" w:right="0" w:firstLine="0"/>
              <w:jc w:val="left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0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11,884 </w:t>
            </w:r>
          </w:p>
        </w:tc>
        <w:tc>
          <w:tcPr>
            <w:tcW w:type="dxa" w:w="2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22" w:after="0"/>
              <w:ind w:left="44" w:right="0" w:firstLine="0"/>
              <w:jc w:val="left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11,558 </w:t>
            </w:r>
          </w:p>
        </w:tc>
        <w:tc>
          <w:tcPr>
            <w:tcW w:type="dxa" w:w="3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22" w:after="0"/>
              <w:ind w:left="44" w:right="0" w:firstLine="0"/>
              <w:jc w:val="left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0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11,938 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2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</w:tr>
      <w:tr>
        <w:trPr>
          <w:trHeight w:hRule="exact" w:val="200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agreements</w:t>
            </w:r>
          </w:p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</w:tr>
      <w:tr>
        <w:trPr>
          <w:trHeight w:hRule="exact" w:val="249"/>
        </w:trPr>
        <w:tc>
          <w:tcPr>
            <w:tcW w:type="dxa" w:w="4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  <w:tc>
          <w:tcPr>
            <w:tcW w:type="dxa" w:w="10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Net derivative position on the Condensed Balance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rHeight w:hRule="exact" w:val="196"/>
        </w:trPr>
        <w:tc>
          <w:tcPr>
            <w:tcW w:type="dxa" w:w="4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Sheet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508 </w:t>
            </w:r>
          </w:p>
        </w:tc>
        <w:tc>
          <w:tcPr>
            <w:tcW w:type="dxa" w:w="6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14,606 </w:t>
            </w:r>
          </w:p>
        </w:tc>
        <w:tc>
          <w:tcPr>
            <w:tcW w:type="dxa" w:w="7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6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</w:tr>
    </w:tbl>
    <w:p>
      <w:pPr>
        <w:autoSpaceDN w:val="0"/>
        <w:autoSpaceDE w:val="0"/>
        <w:widowControl/>
        <w:spacing w:line="178" w:lineRule="exact" w:before="44" w:after="14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28"/>
        <w:gridCol w:w="1928"/>
        <w:gridCol w:w="1928"/>
        <w:gridCol w:w="1928"/>
        <w:gridCol w:w="1928"/>
      </w:tblGrid>
      <w:tr>
        <w:trPr>
          <w:trHeight w:hRule="exact" w:val="234"/>
        </w:trPr>
        <w:tc>
          <w:tcPr>
            <w:tcW w:type="dxa" w:w="4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308 </w:t>
            </w:r>
          </w:p>
        </w:tc>
        <w:tc>
          <w:tcPr>
            <w:tcW w:type="dxa" w:w="20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298 </w:t>
            </w:r>
          </w:p>
        </w:tc>
      </w:tr>
      <w:tr>
        <w:trPr>
          <w:trHeight w:hRule="exact" w:val="220"/>
        </w:trPr>
        <w:tc>
          <w:tcPr>
            <w:tcW w:type="dxa" w:w="4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exposure after collateral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 </w:t>
            </w:r>
          </w:p>
        </w:tc>
        <w:tc>
          <w:tcPr>
            <w:tcW w:type="dxa" w:w="20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158 </w:t>
            </w:r>
          </w:p>
        </w:tc>
      </w:tr>
    </w:tbl>
    <w:p>
      <w:pPr>
        <w:autoSpaceDN w:val="0"/>
        <w:autoSpaceDE w:val="0"/>
        <w:widowControl/>
        <w:spacing w:line="178" w:lineRule="exact" w:before="270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currency forward contracts.</w:t>
      </w:r>
    </w:p>
    <w:p>
      <w:pPr>
        <w:autoSpaceDN w:val="0"/>
        <w:autoSpaceDE w:val="0"/>
        <w:widowControl/>
        <w:spacing w:line="178" w:lineRule="exact" w:before="46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Relate to swaptions, options and futures contracts.</w:t>
      </w:r>
    </w:p>
    <w:p>
      <w:pPr>
        <w:autoSpaceDN w:val="0"/>
        <w:autoSpaceDE w:val="0"/>
        <w:widowControl/>
        <w:spacing w:line="180" w:lineRule="exact" w:before="54" w:after="0"/>
        <w:ind w:left="6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Does not include excess collateral received.</w:t>
      </w:r>
    </w:p>
    <w:p>
      <w:pPr>
        <w:autoSpaceDN w:val="0"/>
        <w:autoSpaceDE w:val="0"/>
        <w:widowControl/>
        <w:spacing w:line="224" w:lineRule="exact" w:before="8" w:after="0"/>
        <w:ind w:left="62" w:right="316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Includes $35 million Credit Valuation Adjustment (CVA) ($29 million—June 30, 2024). </w:t>
      </w:r>
      <w:r>
        <w:rPr>
          <w:rFonts w:ascii="Arial" w:hAnsi="Arial" w:eastAsia="Arial"/>
          <w:b w:val="0"/>
          <w:i/>
          <w:color w:val="000000"/>
          <w:sz w:val="16"/>
        </w:rPr>
        <w:t>e. Includes $337 million Debit Valuation Adjustment (DVA) ($409 million—June 30, 2024).</w:t>
      </w:r>
    </w:p>
    <w:p>
      <w:pPr>
        <w:autoSpaceDN w:val="0"/>
        <w:autoSpaceDE w:val="0"/>
        <w:widowControl/>
        <w:spacing w:line="240" w:lineRule="exact" w:before="184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provide information about the credit risk exposures at fair value of IBRD’s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instruments by portfolio, before the effects of master netting arrangements and collateral:</w:t>
      </w:r>
    </w:p>
    <w:p>
      <w:pPr>
        <w:autoSpaceDN w:val="0"/>
        <w:autoSpaceDE w:val="0"/>
        <w:widowControl/>
        <w:spacing w:line="248" w:lineRule="exact" w:before="11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F2: Credit risk exposure of the derivative instruments </w:t>
      </w:r>
      <w:r>
        <w:rPr>
          <w:rFonts w:ascii="TimesNewRoman" w:hAnsi="TimesNewRoman" w:eastAsia="TimesNewRoman"/>
          <w:b/>
          <w:i w:val="0"/>
          <w:color w:val="000000"/>
          <w:sz w:val="13"/>
        </w:rPr>
        <w:t>a</w:t>
      </w:r>
    </w:p>
    <w:p>
      <w:pPr>
        <w:autoSpaceDN w:val="0"/>
        <w:tabs>
          <w:tab w:pos="5698" w:val="left"/>
        </w:tabs>
        <w:autoSpaceDE w:val="0"/>
        <w:widowControl/>
        <w:spacing w:line="240" w:lineRule="exact" w:before="32" w:after="0"/>
        <w:ind w:left="62" w:right="244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p>
      <w:pPr>
        <w:autoSpaceDN w:val="0"/>
        <w:autoSpaceDE w:val="0"/>
        <w:widowControl/>
        <w:spacing w:line="192" w:lineRule="exact" w:before="68" w:after="6"/>
        <w:ind w:left="5328" w:right="2304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swaps (including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forward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hRule="exact" w:val="216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contracts)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8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0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8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4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4,709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1,133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5,842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407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557 </w:t>
            </w:r>
          </w:p>
        </w:tc>
      </w:tr>
      <w:tr>
        <w:trPr>
          <w:trHeight w:hRule="exact" w:val="24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2,414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2,573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4,987 </w:t>
            </w:r>
          </w:p>
        </w:tc>
      </w:tr>
      <w:tr>
        <w:trPr>
          <w:trHeight w:hRule="exact" w:val="226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asset/liability management derivatives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660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660 </w:t>
            </w:r>
          </w:p>
        </w:tc>
      </w:tr>
      <w:tr>
        <w:trPr>
          <w:trHeight w:hRule="exact" w:val="204"/>
        </w:trPr>
        <w:tc>
          <w:tcPr>
            <w:tcW w:type="dxa" w:w="3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7,948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4,184 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12,132 </w:t>
            </w:r>
          </w:p>
        </w:tc>
      </w:tr>
    </w:tbl>
    <w:p>
      <w:pPr>
        <w:autoSpaceDN w:val="0"/>
        <w:tabs>
          <w:tab w:pos="5916" w:val="left"/>
        </w:tabs>
        <w:autoSpaceDE w:val="0"/>
        <w:widowControl/>
        <w:spacing w:line="232" w:lineRule="exact" w:before="434" w:after="0"/>
        <w:ind w:left="62" w:right="2592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F2.1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92" w:lineRule="exact" w:before="70" w:after="6"/>
        <w:ind w:left="5328" w:right="2304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Currency swaps (including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forward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hRule="exact" w:val="214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contracts)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8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6"/>
        </w:trPr>
        <w:tc>
          <w:tcPr>
            <w:tcW w:type="dxa" w:w="34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2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812 </w:t>
            </w:r>
          </w:p>
        </w:tc>
        <w:tc>
          <w:tcPr>
            <w:tcW w:type="dxa" w:w="4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826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5,893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1,314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7,207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274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424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698 </w:t>
            </w:r>
          </w:p>
        </w:tc>
      </w:tr>
      <w:tr>
        <w:trPr>
          <w:trHeight w:hRule="exact" w:val="220"/>
        </w:trPr>
        <w:tc>
          <w:tcPr>
            <w:tcW w:type="dxa" w:w="3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1,555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1,507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3,062 </w:t>
            </w:r>
          </w:p>
        </w:tc>
      </w:tr>
      <w:tr>
        <w:trPr>
          <w:trHeight w:hRule="exact" w:val="240"/>
        </w:trPr>
        <w:tc>
          <w:tcPr>
            <w:tcW w:type="dxa" w:w="34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asset/liability management derivatives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37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</w:tr>
      <w:tr>
        <w:trPr>
          <w:trHeight w:hRule="exact" w:val="206"/>
        </w:trPr>
        <w:tc>
          <w:tcPr>
            <w:tcW w:type="dxa" w:w="34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12,034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0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exchange traded instruments as they are generally subject to daily margin requirements and are deemed to have no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material credit risk.</w:t>
      </w:r>
    </w:p>
    <w:p>
      <w:pPr>
        <w:autoSpaceDN w:val="0"/>
        <w:autoSpaceDE w:val="0"/>
        <w:widowControl/>
        <w:spacing w:line="224" w:lineRule="exact" w:before="666" w:after="0"/>
        <w:ind w:left="14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45</w:t>
      </w:r>
    </w:p>
    <w:p>
      <w:pPr>
        <w:sectPr>
          <w:pgSz w:w="12240" w:h="15840"/>
          <w:pgMar w:top="736" w:right="117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volume of derivative contracts is measured using the U.S. dollar equivalent notional balance. The notional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represents the face value or reference value on which the calculations of payments on the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are determined. As of September 30, 2024, the notional amounts of IBRD’s derivative contracts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outstanding were as follows: interest rate swaps $450,025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($436,783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2024),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swaps $126,926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($120,483 million—June 30, 2024), long positions of other derivatives $368 million ($280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million—June 30, 2024), and short positions of other derivatives $196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($201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million—June 30, 2024).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is not required to post collateral under its derivative agreements as long as it maintains a triple-A credit rating.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aggregate fair value of all derivative instruments with credit-risk related contingent features that were in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liability position as of September 30, 2024 was $14,825 million ($22,858 million—June 30, 2024). IBRD has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posted any collateral with these counterparties due to its triple-A credit rating.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 the credit risk related contingent features underlying these agreements were triggered to the extent that IBRD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would be required to post collateral as of September 30, 2024, the amount of collateral that would need to be posted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would be $10,849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($18,593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2024). Subsequent triggers of contingent features would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 posting of additional collateral, up to a maximum of $14,825 million ($22,858 million—June 30, 2024).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received collateral totaling $378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as of September 30, 2024 ($343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2024), in relation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swap transactions (Note C—Investments).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on the unrealized mark-to-market gains and losses on the non-trading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derivatives and their location on the Condensed Statements of Income: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F3: Unrealized mark-to-market gains or losses on non-trading derivatives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4" w:after="6"/>
        <w:ind w:left="0" w:right="42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6"/>
        </w:trPr>
        <w:tc>
          <w:tcPr>
            <w:tcW w:type="dxa" w:w="3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as: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33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</w:t>
            </w:r>
          </w:p>
        </w:tc>
      </w:tr>
      <w:tr>
        <w:trPr>
          <w:trHeight w:hRule="exact" w:val="226"/>
        </w:trPr>
        <w:tc>
          <w:tcPr>
            <w:tcW w:type="dxa" w:w="3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2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8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194"/>
        </w:trPr>
        <w:tc>
          <w:tcPr>
            <w:tcW w:type="dxa" w:w="3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47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Unrealized mark-to-market gains (losses) 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5,597 </w:t>
            </w:r>
          </w:p>
        </w:tc>
        <w:tc>
          <w:tcPr>
            <w:tcW w:type="dxa" w:w="3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(2,136) </w:t>
            </w:r>
          </w:p>
        </w:tc>
      </w:tr>
      <w:tr>
        <w:trPr>
          <w:trHeight w:hRule="exact" w:val="140"/>
        </w:trPr>
        <w:tc>
          <w:tcPr>
            <w:tcW w:type="dxa" w:w="35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(including currency forward </w:t>
            </w:r>
          </w:p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1,159 </w:t>
            </w:r>
          </w:p>
        </w:tc>
        <w:tc>
          <w:tcPr>
            <w:tcW w:type="dxa" w:w="123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 </w:t>
            </w:r>
          </w:p>
        </w:tc>
      </w:tr>
      <w:tr>
        <w:trPr>
          <w:trHeight w:hRule="exact" w:val="124"/>
        </w:trPr>
        <w:tc>
          <w:tcPr>
            <w:tcW w:type="dxa" w:w="1573"/>
            <w:vMerge/>
            <w:tcBorders/>
          </w:tcPr>
          <w:p/>
        </w:tc>
        <w:tc>
          <w:tcPr>
            <w:tcW w:type="dxa" w:w="3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on non-trading portfolios, net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3146"/>
            <w:gridSpan w:val="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3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contracts and structured swaps)</w:t>
            </w:r>
          </w:p>
        </w:tc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3146"/>
            <w:gridSpan w:val="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06"/>
        </w:trPr>
        <w:tc>
          <w:tcPr>
            <w:tcW w:type="dxa" w:w="3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6,756 </w:t>
            </w:r>
          </w:p>
        </w:tc>
        <w:tc>
          <w:tcPr>
            <w:tcW w:type="dxa" w:w="37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(1,856) </w:t>
            </w:r>
          </w:p>
        </w:tc>
      </w:tr>
    </w:tbl>
    <w:p>
      <w:pPr>
        <w:autoSpaceDN w:val="0"/>
        <w:autoSpaceDE w:val="0"/>
        <w:widowControl/>
        <w:spacing w:line="240" w:lineRule="exact" w:before="4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of the instruments in IBRD’s investment portfolio are held for trading purposes. Within the investment portfolio,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holds highly rated fixed income securities, equity securities and derivatives. The trading portfolio is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held to ensure the availability of funds to meet future cash flow requirements and for liquidity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purposes.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on the amount of unrealized mark-to-market gains and losses on the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Investment–Trading portfolio and their location on the Condensed Statements of Income: 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F4: Unrealized mark-to-market gains or losses on net investment-trading portfolio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4" w:after="8"/>
        <w:ind w:left="0" w:right="43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4"/>
        </w:trPr>
        <w:tc>
          <w:tcPr>
            <w:tcW w:type="dxa" w:w="7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2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as:</w:t>
            </w:r>
          </w:p>
        </w:tc>
        <w:tc>
          <w:tcPr>
            <w:tcW w:type="dxa" w:w="23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</w:t>
            </w:r>
          </w:p>
        </w:tc>
      </w:tr>
      <w:tr>
        <w:trPr>
          <w:trHeight w:hRule="exact" w:val="240"/>
        </w:trPr>
        <w:tc>
          <w:tcPr>
            <w:tcW w:type="dxa" w:w="7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1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0" w:lineRule="exact" w:before="10" w:after="2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Type of instrument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2"/>
        </w:trPr>
        <w:tc>
          <w:tcPr>
            <w:tcW w:type="dxa" w:w="3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Fixed income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4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(losses) gains on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(35) 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</w:tr>
      <w:tr>
        <w:trPr>
          <w:trHeight w:hRule="exact" w:val="270"/>
        </w:trPr>
        <w:tc>
          <w:tcPr>
            <w:tcW w:type="dxa" w:w="3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and 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8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Investments-Trading portfolio, net</w:t>
            </w:r>
          </w:p>
        </w:tc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8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</w:tr>
      <w:tr>
        <w:trPr>
          <w:trHeight w:hRule="exact" w:val="220"/>
        </w:trPr>
        <w:tc>
          <w:tcPr>
            <w:tcW w:type="dxa" w:w="32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(40)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2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associated with each type of instrument include gains and losses on both derivative instruments and investment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securities. 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Related to PEBP holdings.</w:t>
      </w:r>
    </w:p>
    <w:p>
      <w:pPr>
        <w:autoSpaceDN w:val="0"/>
        <w:autoSpaceDE w:val="0"/>
        <w:widowControl/>
        <w:spacing w:line="224" w:lineRule="exact" w:before="140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46     IBRD Condensed Quarterly Financial Statements: September 30,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G—RETAINED EARNINGS, ALLOCATIONS AND TRANSFERS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makes net income allocation decisions on the basis of reported net income, adjusted to exclude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gains and losses on the non-trading portfolios, net; restricted income; Board of Governors-approved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other transfers; non-functional currency translation adjustments; and the allocation to the pension reserve.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August 6, 2024, IBRD’s Executive Directors approved the following allocations relating to the net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earned in the fiscal year ended June 30, 2024: an increase in the General Reserve of $834 million and an increase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Pension Reserve by $306 million.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September 9, 2024, IBRD’s Board of Governors approved contributions from Surplus of $100 million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Trust Fund for Gaza and the West Bank. </w:t>
      </w:r>
      <w:r>
        <w:rPr>
          <w:rFonts w:ascii="TimesNewRoman" w:hAnsi="TimesNewRoman" w:eastAsia="TimesNewRoman"/>
          <w:b w:val="0"/>
          <w:i w:val="0"/>
          <w:color w:val="000000"/>
          <w:sz w:val="20"/>
          <w:u w:val="single"/>
        </w:rPr>
        <w:t>T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 transfer was made on September 16, 2024.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Board of Governors approved a transfer of $515 million on September 18, 2024 to the International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 Association (IDA) and a transfer of $500 million to Surplus out of the net income earned in the fiscal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year ended June 30, 2024. The transfer to IDA was made on September 30, 2024 and is recorded in Board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Governors-approved and other transfers on the Condensed Statements of Income.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September 18, 2024, IBRD's Board of Governors approved an additional transfer of $200 million from Surplus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the Trust Fund for Gaza and the West Bank and a transfer of $200 million from Surplus to the IBRD Surplus-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Funded Livable Planet Fund (LPF1). Both transfers were made on September 30, 2024.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 to the Trust Fund for Gaza and West Bank are recorded in Board of Governors-approved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on the Condensed Statements of Income. For the three months ended September 30, 2024, no grants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made by the LPF1 Fund and no contribution expenses were recognized on the Condensed Statements of Income.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Unutilized LPF1 contributions are included in Retained Earnings on the Condensed Balance Sheet ($301 million —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 and $101 million  —June 30, 2024).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Retained earnings is comprised of the following components: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G1: Retained earnings composition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0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Special reserve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General reserve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34,058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33,224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reserve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987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681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Surplus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</w:tr>
      <w:tr>
        <w:trPr>
          <w:trHeight w:hRule="exact" w:val="26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Cumulative fair value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1,390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1,103 </w:t>
            </w:r>
          </w:p>
        </w:tc>
      </w:tr>
      <w:tr>
        <w:trPr>
          <w:trHeight w:hRule="exact" w:val="24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Unallocated net income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297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2,513 </w:t>
            </w:r>
          </w:p>
        </w:tc>
      </w:tr>
      <w:tr>
        <w:trPr>
          <w:trHeight w:hRule="exact" w:val="220"/>
        </w:trPr>
        <w:tc>
          <w:tcPr>
            <w:tcW w:type="dxa" w:w="6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Restricted retained earnings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7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reserves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629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358 </w:t>
            </w:r>
          </w:p>
        </w:tc>
      </w:tr>
      <w:tr>
        <w:trPr>
          <w:trHeight w:hRule="exact" w:val="220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37,765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38,283 </w:t>
            </w:r>
          </w:p>
        </w:tc>
      </w:tr>
    </w:tbl>
    <w:p>
      <w:pPr>
        <w:autoSpaceDN w:val="0"/>
        <w:autoSpaceDE w:val="0"/>
        <w:widowControl/>
        <w:spacing w:line="180" w:lineRule="exact" w:before="28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Unrealized mark-to-market gains (losses), net related to non-trading portfolios reported at fair value.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40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Comprised of non-functional currency translation gains/losses, the unutilized portion of the cumulative transfers to the LPF1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Fund and revenue from prior years which is set aside for a dedicated purpose.</w:t>
      </w:r>
    </w:p>
    <w:p>
      <w:pPr>
        <w:autoSpaceDN w:val="0"/>
        <w:autoSpaceDE w:val="0"/>
        <w:widowControl/>
        <w:spacing w:line="246" w:lineRule="exact" w:before="31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H—TRANSACTIONS WITH AFFILIATED ORGANIZATIONS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transacts with affiliated organizations by providing loans, administrative, derivative and investment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intermediation services, and through its pension and other postretirement benefit plans.</w:t>
      </w:r>
    </w:p>
    <w:p>
      <w:pPr>
        <w:autoSpaceDN w:val="0"/>
        <w:autoSpaceDE w:val="0"/>
        <w:widowControl/>
        <w:spacing w:line="240" w:lineRule="exact" w:before="120" w:after="0"/>
        <w:ind w:left="10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IBRD provides transfers to IDA out of its net income, upon approval by the Board of Governors (see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Note G—Retained Earnings, Allocations and Transfers).</w:t>
      </w:r>
    </w:p>
    <w:p>
      <w:pPr>
        <w:autoSpaceDN w:val="0"/>
        <w:autoSpaceDE w:val="0"/>
        <w:widowControl/>
        <w:spacing w:line="224" w:lineRule="exact" w:before="1636" w:after="0"/>
        <w:ind w:left="14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47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IBRD had the following receivables from (payables to) its affiliated organizations</w:t>
      </w:r>
      <w:r>
        <w:rPr>
          <w:rFonts w:ascii="ArialMT" w:hAnsi="ArialMT" w:eastAsia="Arial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H1: IBRD’s receivables and payables with affiliated organizations</w:t>
      </w:r>
    </w:p>
    <w:p>
      <w:pPr>
        <w:autoSpaceDN w:val="0"/>
        <w:autoSpaceDE w:val="0"/>
        <w:widowControl/>
        <w:spacing w:line="178" w:lineRule="exact" w:before="54" w:after="1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24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IDA</w:t>
            </w:r>
          </w:p>
        </w:tc>
        <w:tc>
          <w:tcPr>
            <w:tcW w:type="dxa" w:w="8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76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MIGA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IDA</w:t>
            </w:r>
          </w:p>
        </w:tc>
        <w:tc>
          <w:tcPr>
            <w:tcW w:type="dxa" w:w="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76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MIGA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2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Administrative services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563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34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632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279 </w:t>
            </w:r>
          </w:p>
        </w:tc>
        <w:tc>
          <w:tcPr>
            <w:tcW w:type="dxa" w:w="26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4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 </w:t>
            </w:r>
          </w:p>
        </w:tc>
      </w:tr>
      <w:tr>
        <w:trPr>
          <w:trHeight w:hRule="exact" w:val="242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PCRF investments</w:t>
            </w:r>
          </w:p>
        </w:tc>
        <w:tc>
          <w:tcPr>
            <w:tcW w:type="dxa" w:w="555"/>
            <w:vMerge/>
            <w:tcBorders>
              <w:top w:sz="8.0" w:val="single" w:color="#000000"/>
            </w:tcBorders>
          </w:tcPr>
          <w:p/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(555)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(388)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top w:sz="8.0" w:val="single" w:color="#000000"/>
            </w:tcBorders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(943) </w:t>
            </w:r>
          </w:p>
        </w:tc>
        <w:tc>
          <w:tcPr>
            <w:tcW w:type="dxa" w:w="555"/>
            <w:vMerge/>
            <w:tcBorders>
              <w:top w:sz="8.0" w:val="single" w:color="#000000"/>
            </w:tcBorders>
          </w:tcPr>
          <w:p/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(489) </w:t>
            </w:r>
          </w:p>
        </w:tc>
        <w:tc>
          <w:tcPr>
            <w:tcW w:type="dxa" w:w="555"/>
            <w:vMerge/>
            <w:tcBorders>
              <w:top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top w:sz="8.0" w:val="single" w:color="#000000"/>
            </w:tcBorders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(833) </w:t>
            </w:r>
          </w:p>
        </w:tc>
      </w:tr>
    </w:tbl>
    <w:p>
      <w:pPr>
        <w:autoSpaceDN w:val="0"/>
        <w:autoSpaceDE w:val="0"/>
        <w:widowControl/>
        <w:spacing w:line="180" w:lineRule="exact" w:before="2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Pension and other postretirement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4"/>
        </w:trPr>
        <w:tc>
          <w:tcPr>
            <w:tcW w:type="dxa" w:w="2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benefits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(961)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(802) 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8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(1,794) </w:t>
            </w:r>
          </w:p>
        </w:tc>
        <w:tc>
          <w:tcPr>
            <w:tcW w:type="dxa" w:w="7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(906) </w:t>
            </w:r>
          </w:p>
        </w:tc>
        <w:tc>
          <w:tcPr>
            <w:tcW w:type="dxa" w:w="11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(774) </w:t>
            </w:r>
          </w:p>
        </w:tc>
        <w:tc>
          <w:tcPr>
            <w:tcW w:type="dxa" w:w="4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(30) </w:t>
            </w:r>
          </w:p>
        </w:tc>
        <w:tc>
          <w:tcPr>
            <w:tcW w:type="dxa" w:w="8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(1,710) </w:t>
            </w:r>
          </w:p>
        </w:tc>
      </w:tr>
      <w:tr>
        <w:trPr>
          <w:trHeight w:hRule="exact" w:val="206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68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(953)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(1,174)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2836"/>
            <w:gridSpan w:val="3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(2,105)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(1,116)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(1,117)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9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  <w:u w:val="single"/>
              </w:rPr>
              <w:t xml:space="preserve">$ (2,247) </w:t>
            </w:r>
          </w:p>
        </w:tc>
      </w:tr>
      <w:tr>
        <w:trPr>
          <w:trHeight w:hRule="exact" w:val="246"/>
        </w:trPr>
        <w:tc>
          <w:tcPr>
            <w:tcW w:type="dxa" w:w="2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2"/>
            <w:gridSpan w:val="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88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60" w:after="17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receivables from (payables to) these affiliated organizations are reported on the Condensed Balance Sheets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900"/>
        </w:trPr>
        <w:tc>
          <w:tcPr>
            <w:tcW w:type="dxa" w:w="3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10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Receivables / Payables related to: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services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PCRF investments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postretirement benefits</w:t>
            </w:r>
          </w:p>
        </w:tc>
        <w:tc>
          <w:tcPr>
            <w:tcW w:type="dxa" w:w="5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860" w:right="360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Reported as: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liabilities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</w:tr>
    </w:tbl>
    <w:p>
      <w:pPr>
        <w:autoSpaceDN w:val="0"/>
        <w:autoSpaceDE w:val="0"/>
        <w:widowControl/>
        <w:spacing w:line="244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Loans and Other Exposures</w:t>
      </w:r>
    </w:p>
    <w:p>
      <w:pPr>
        <w:autoSpaceDN w:val="0"/>
        <w:autoSpaceDE w:val="0"/>
        <w:widowControl/>
        <w:spacing w:line="240" w:lineRule="exact" w:before="12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has a Local Currency Loan Facility Agreement with IFC, which is capped at $300 million.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 and June 30, 2024, there were no loans outstanding under this facility. 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Administrative Services</w:t>
      </w:r>
    </w:p>
    <w:p>
      <w:pPr>
        <w:autoSpaceDN w:val="0"/>
        <w:autoSpaceDE w:val="0"/>
        <w:widowControl/>
        <w:spacing w:line="240" w:lineRule="exact" w:before="128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Expenses jointly incurred by IBRD and IDA are allocated based on an agreed cost-sharing methodology,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are settled quarterly. For the three months ended September 30, 2024, IBRD’s administrative expenses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excludes the share of expenses allocated to IDA of $463 million ($428 million—three months ended September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2023).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Revenue</w:t>
      </w:r>
    </w:p>
    <w:p>
      <w:pPr>
        <w:autoSpaceDN w:val="0"/>
        <w:autoSpaceDE w:val="0"/>
        <w:widowControl/>
        <w:spacing w:line="240" w:lineRule="exact" w:before="11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jointly earned by IBRD and IDA is allocated based on an agreed revenue-sharing methodology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amounts are settled quarterly. For the three months ended September 30, 2024, IBRD’s other revenue excludes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allocated to IDA of $68 million ($60 million—three months ended September 30, 2023), and is included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from externally funded activities in the Condensed Statements of Income. This revenue also includes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revenue from contracts with clients that are not affiliated with IBRD and are as follows: 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H2: Revenue from contracts with clients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9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Three Months Ended September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462"/>
        </w:trPr>
        <w:tc>
          <w:tcPr>
            <w:tcW w:type="dxa" w:w="6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Trust fund fees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4" w:after="0"/>
              <w:ind w:left="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5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40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advisory services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</w:tr>
      <w:tr>
        <w:trPr>
          <w:trHeight w:hRule="exact" w:val="258"/>
        </w:trPr>
        <w:tc>
          <w:tcPr>
            <w:tcW w:type="dxa" w:w="6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 management services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40"/>
        </w:trPr>
        <w:tc>
          <w:tcPr>
            <w:tcW w:type="dxa" w:w="6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 </w:t>
            </w:r>
          </w:p>
        </w:tc>
        <w:tc>
          <w:tcPr>
            <w:tcW w:type="dxa" w:w="5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28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04"/>
        </w:trPr>
        <w:tc>
          <w:tcPr>
            <w:tcW w:type="dxa" w:w="3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30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7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</w:tr>
      <w:tr>
        <w:trPr>
          <w:trHeight w:hRule="exact" w:val="518"/>
        </w:trPr>
        <w:tc>
          <w:tcPr>
            <w:tcW w:type="dxa" w:w="3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9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Each revenue stream represents compensation for services provided and the related revenue is recognized over time.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When IBRD performs services, its rights to consideration are deemed unconditional and are classified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receivables. IBRD also has an obligation to provide certain services for which it has received consideration in </w:t>
      </w:r>
    </w:p>
    <w:p>
      <w:pPr>
        <w:autoSpaceDN w:val="0"/>
        <w:autoSpaceDE w:val="0"/>
        <w:widowControl/>
        <w:spacing w:line="224" w:lineRule="exact" w:before="77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48     IBRD Condensed Quarterly Financial Statements: September 30,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advance. Such consideration is presented as contract liability and is subsequently recognized as revenue when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related performance obligation is satisfied.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shows IBRD’s receivables and contract liabilities related to revenue from contracts with clients:</w:t>
      </w:r>
    </w:p>
    <w:p>
      <w:pPr>
        <w:autoSpaceDN w:val="0"/>
        <w:autoSpaceDE w:val="0"/>
        <w:widowControl/>
        <w:spacing w:line="222" w:lineRule="exact" w:before="15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H3: Receivables and contract liabilities related to revenue from contracts with clients</w:t>
      </w:r>
    </w:p>
    <w:p>
      <w:pPr>
        <w:autoSpaceDN w:val="0"/>
        <w:autoSpaceDE w:val="0"/>
        <w:widowControl/>
        <w:spacing w:line="178" w:lineRule="exact" w:before="54" w:after="12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60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6"/>
        </w:trPr>
        <w:tc>
          <w:tcPr>
            <w:tcW w:type="dxa" w:w="60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Receivables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 </w:t>
            </w:r>
          </w:p>
        </w:tc>
        <w:tc>
          <w:tcPr>
            <w:tcW w:type="dxa" w:w="2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450"/>
        </w:trPr>
        <w:tc>
          <w:tcPr>
            <w:tcW w:type="dxa" w:w="60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Contract liabilities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 </w:t>
            </w:r>
          </w:p>
        </w:tc>
      </w:tr>
    </w:tbl>
    <w:p>
      <w:pPr>
        <w:autoSpaceDN w:val="0"/>
        <w:autoSpaceDE w:val="0"/>
        <w:widowControl/>
        <w:spacing w:line="240" w:lineRule="exact" w:before="15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amount of fee revenue associated with services provided to affiliated organizations that is included in Revenue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from externally funded activities in the Condensed Statements of Income, is as follows:</w:t>
      </w:r>
    </w:p>
    <w:p>
      <w:pPr>
        <w:autoSpaceDN w:val="0"/>
        <w:autoSpaceDE w:val="0"/>
        <w:widowControl/>
        <w:spacing w:line="222" w:lineRule="exact" w:before="15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H4: Fee revenue from affiliated organizations</w:t>
      </w:r>
    </w:p>
    <w:p>
      <w:pPr>
        <w:autoSpaceDN w:val="0"/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6" w:after="14"/>
        <w:ind w:left="0" w:right="3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Three Months Ended September 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6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9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10"/>
        </w:trPr>
        <w:tc>
          <w:tcPr>
            <w:tcW w:type="dxa" w:w="6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IFC</w:t>
            </w:r>
          </w:p>
        </w:tc>
        <w:tc>
          <w:tcPr>
            <w:tcW w:type="dxa" w:w="3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4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</w:tr>
      <w:tr>
        <w:trPr>
          <w:trHeight w:hRule="exact" w:val="466"/>
        </w:trPr>
        <w:tc>
          <w:tcPr>
            <w:tcW w:type="dxa" w:w="6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MIGA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44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Investments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relate to investments that IBRD has made on behalf of IFC, associated with the PCRF, and are included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Investments-Trading in IBRD’s Condensed Balance Sheets. The corresponding payable to IFC is included in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liabilities in IBRD’s Condensed Balance Sheets. As a result, there is no impact on IBRD’s net asset value from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transactions.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Pension and Other Postretirement Benefits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payable to IDA represents IDA’s net share of prepaid costs for pension and other postretirement benefit plans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PEBP assets. These will be realized over the life of the pension plan participants. The payables to IFC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MIGA represent their respective share of PEBP assets.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PEBP assets are managed by IBRD and are part of the investment portfolio. For Pension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Postretirement Benefits related disclosures, see Note K—Pension and Other Postretirement Benefits.</w:t>
      </w:r>
    </w:p>
    <w:p>
      <w:pPr>
        <w:autoSpaceDN w:val="0"/>
        <w:autoSpaceDE w:val="0"/>
        <w:widowControl/>
        <w:spacing w:line="246" w:lineRule="exact" w:before="26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I—ACCUMULATED OTHER COMPREHENSIVE INCOME</w:t>
      </w:r>
    </w:p>
    <w:p>
      <w:pPr>
        <w:autoSpaceDN w:val="0"/>
        <w:autoSpaceDE w:val="0"/>
        <w:widowControl/>
        <w:spacing w:line="240" w:lineRule="exact" w:before="11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Comprehensive income or loss consists of net income and other gains and losses affecting equity that, under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GAAP, are excluded from net income. Other comprehensive income (loss) comprises currency translation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 on assets and liabilities denominated in euro, DVA on Fair Value Option elected liabilities, and pension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related items. These items are presented in the Condensed Statements of Comprehensive Income. </w:t>
      </w:r>
    </w:p>
    <w:p>
      <w:pPr>
        <w:autoSpaceDN w:val="0"/>
        <w:autoSpaceDE w:val="0"/>
        <w:widowControl/>
        <w:spacing w:line="224" w:lineRule="exact" w:before="3838" w:after="0"/>
        <w:ind w:left="14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Condensed Quarterly Financial Statements: September 30, 2024 (Unaudited)     49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the changes in Accumulated Other Comprehensive Income (AOCI) and Accumulated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Comprehensive Loss (AOCL):</w:t>
      </w:r>
    </w:p>
    <w:p>
      <w:pPr>
        <w:autoSpaceDN w:val="0"/>
        <w:tabs>
          <w:tab w:pos="5020" w:val="left"/>
          <w:tab w:pos="6198" w:val="left"/>
        </w:tabs>
        <w:autoSpaceDE w:val="0"/>
        <w:widowControl/>
        <w:spacing w:line="242" w:lineRule="exact" w:before="192" w:after="8"/>
        <w:ind w:left="62" w:right="1296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I1: AOCI/AOCL changes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September 30, 2024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188"/>
        </w:trPr>
        <w:tc>
          <w:tcPr>
            <w:tcW w:type="dxa" w:w="36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9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  <w:tc>
          <w:tcPr>
            <w:tcW w:type="dxa" w:w="11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180"/>
        </w:trPr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1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4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888"/>
            <w:gridSpan w:val="2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9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11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1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5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of the period</w:t>
            </w:r>
          </w:p>
        </w:tc>
      </w:tr>
      <w:tr>
        <w:trPr>
          <w:trHeight w:hRule="exact" w:val="550"/>
        </w:trPr>
        <w:tc>
          <w:tcPr>
            <w:tcW w:type="dxa" w:w="36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(445) $ </w:t>
            </w:r>
          </w:p>
        </w:tc>
        <w:tc>
          <w:tcPr>
            <w:tcW w:type="dxa" w:w="9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556 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556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248"/>
        </w:trPr>
        <w:tc>
          <w:tcPr>
            <w:tcW w:type="dxa" w:w="3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673 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518 </w:t>
            </w:r>
          </w:p>
        </w:tc>
        <w:tc>
          <w:tcPr>
            <w:tcW w:type="dxa" w:w="1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1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1,187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8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3,741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3,725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14"/>
        </w:trPr>
        <w:tc>
          <w:tcPr>
            <w:tcW w:type="dxa" w:w="36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(15) </w:t>
            </w:r>
          </w:p>
        </w:tc>
        <w:tc>
          <w:tcPr>
            <w:tcW w:type="dxa" w:w="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</w:tr>
      <w:tr>
        <w:trPr>
          <w:trHeight w:hRule="exact" w:val="220"/>
        </w:trPr>
        <w:tc>
          <w:tcPr>
            <w:tcW w:type="dxa" w:w="36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3,954 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1,074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$ </w:t>
            </w:r>
          </w:p>
        </w:tc>
        <w:tc>
          <w:tcPr>
            <w:tcW w:type="dxa" w:w="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1,056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5,010 </w:t>
            </w:r>
          </w:p>
        </w:tc>
      </w:tr>
      <w:tr>
        <w:trPr>
          <w:trHeight w:hRule="exact" w:val="260"/>
        </w:trPr>
        <w:tc>
          <w:tcPr>
            <w:tcW w:type="dxa" w:w="36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5020" w:val="left"/>
          <w:tab w:pos="6198" w:val="left"/>
        </w:tabs>
        <w:autoSpaceDE w:val="0"/>
        <w:widowControl/>
        <w:spacing w:line="244" w:lineRule="exact" w:before="232" w:after="6"/>
        <w:ind w:left="62" w:right="1296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I1.1: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September 30, 2023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Amounts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74"/>
        </w:trPr>
        <w:tc>
          <w:tcPr>
            <w:tcW w:type="dxa" w:w="36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reclassified </w:t>
            </w:r>
          </w:p>
        </w:tc>
        <w:tc>
          <w:tcPr>
            <w:tcW w:type="dxa" w:w="2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Net Changes </w:t>
            </w:r>
          </w:p>
        </w:tc>
      </w:tr>
      <w:tr>
        <w:trPr>
          <w:trHeight w:hRule="exact" w:val="200"/>
        </w:trPr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into net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during the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</w:t>
            </w:r>
          </w:p>
        </w:tc>
      </w:tr>
      <w:tr>
        <w:trPr>
          <w:trHeight w:hRule="exact" w:val="226"/>
        </w:trPr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36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fiscal year</w:t>
            </w:r>
          </w:p>
        </w:tc>
        <w:tc>
          <w:tcPr>
            <w:tcW w:type="dxa" w:w="11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AOCI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income</w:t>
            </w:r>
          </w:p>
        </w:tc>
        <w:tc>
          <w:tcPr>
            <w:tcW w:type="dxa" w:w="12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period</w:t>
            </w:r>
          </w:p>
        </w:tc>
        <w:tc>
          <w:tcPr>
            <w:tcW w:type="dxa" w:w="11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of the period</w:t>
            </w:r>
          </w:p>
        </w:tc>
      </w:tr>
      <w:tr>
        <w:trPr>
          <w:trHeight w:hRule="exact" w:val="554"/>
        </w:trPr>
        <w:tc>
          <w:tcPr>
            <w:tcW w:type="dxa" w:w="36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Cumulative Translation Adjustments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(295) $ </w:t>
            </w:r>
          </w:p>
        </w:tc>
        <w:tc>
          <w:tcPr>
            <w:tcW w:type="dxa" w:w="11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(258) $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(258) $ </w:t>
            </w:r>
          </w:p>
        </w:tc>
        <w:tc>
          <w:tcPr>
            <w:tcW w:type="dxa" w:w="6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(553) </w:t>
            </w:r>
          </w:p>
        </w:tc>
      </w:tr>
      <w:tr>
        <w:trPr>
          <w:trHeight w:hRule="exact" w:val="242"/>
        </w:trPr>
        <w:tc>
          <w:tcPr>
            <w:tcW w:type="dxa" w:w="3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Net Actuarial Gains (Losses)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18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3,490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3,474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Unrecognized Prior Service (Costs) Credits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14"/>
        </w:trPr>
        <w:tc>
          <w:tcPr>
            <w:tcW w:type="dxa" w:w="36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Benefit Plans</w:t>
            </w:r>
          </w:p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5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</w:tr>
      <w:tr>
        <w:trPr>
          <w:trHeight w:hRule="exact" w:val="220"/>
        </w:trPr>
        <w:tc>
          <w:tcPr>
            <w:tcW w:type="dxa" w:w="36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AOCI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3,523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(315) 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(327) $ </w:t>
            </w:r>
          </w:p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3,196 </w:t>
            </w:r>
          </w:p>
        </w:tc>
      </w:tr>
      <w:tr>
        <w:trPr>
          <w:trHeight w:hRule="exact" w:val="260"/>
        </w:trPr>
        <w:tc>
          <w:tcPr>
            <w:tcW w:type="dxa" w:w="36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8" w:lineRule="exact" w:before="21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NOTE J— FAIR VALUE DISCLOSURES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Valuation Methods and Assumptions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September 30, 2024 and June 30, 2024, IBRD had no assets or liabilities measured at fair value on a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recurring basis. </w:t>
      </w:r>
    </w:p>
    <w:p>
      <w:pPr>
        <w:autoSpaceDN w:val="0"/>
        <w:autoSpaceDE w:val="0"/>
        <w:widowControl/>
        <w:spacing w:line="300" w:lineRule="exact" w:before="6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Due from Banks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carrying amount of unrestricted and restricted cash is considered a reasonable estimate of the fair value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positions.</w:t>
      </w:r>
    </w:p>
    <w:p>
      <w:pPr>
        <w:autoSpaceDN w:val="0"/>
        <w:autoSpaceDE w:val="0"/>
        <w:widowControl/>
        <w:spacing w:line="300" w:lineRule="exact" w:before="6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Loans and Loan commitments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There were no loans carried at fair value as of September 30, 2024 or June 30, 2024. IBRD’s loans and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commitments would be classified as Level 3 within the fair value hierarchy.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Summarized below are the techniques applied in determining the fair values of IBRD’s financial instruments. </w:t>
      </w:r>
    </w:p>
    <w:p>
      <w:pPr>
        <w:autoSpaceDN w:val="0"/>
        <w:autoSpaceDE w:val="0"/>
        <w:widowControl/>
        <w:spacing w:line="224" w:lineRule="exact" w:before="135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50     IBRD Condensed Quarterly Financial Statements: September 30,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Investment securities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securities are classified based on management’s intention on the date of purchase, their nature,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policies governing the level and use of such investments. As of September 30, 2024, all of the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instruments in IBRD’s investment portfolio were classified as trading. These securities are carried and reported 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value, or at face value or NAV, which approximates fair value. Where available, quoted market prices are used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determine the fair value of trading securities. Examples include most government, agency and corporate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securities, mutual funds, exchange-traded equity securities and ABS securities.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instruments for which market quotations are not available, fair values are determined using model-based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valuation techniques, whether internally generated or vendor-supplied, that include the standard discounted cash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flow method using observable market inputs such as yield curves, credit spreads, and conditional prepayment rates.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applicable, unobservable inputs such as conditional prepayment rates, probability of default and loss severity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used. Unless quoted prices are available, time deposits are reported at face value, which approximates fair value,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they are short term in nature.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Securities purchased under resale agreements, Securities sold under repurchase agreements, and Securities lent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under securities lending agreements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securities are of a short-term nature and reported at face value, which approximates fair value.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Discount notes and vanilla bonds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 notes and vanilla bonds issued by IBRD are valued using the standard discounted cash flow method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relies on observable market inputs such as yield curves, foreign exchange rates, basis spreads and funding spreads.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available, quoted market prices are used to determine the fair value of short-term notes, as well as some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floating rate notes of longer maturity.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Structured bonds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Structured bonds issued by IBRD have coupon or repayment terms linked to the level or the performance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rates, foreign exchange rates, equity indices, catastrophic events, or commodities. The fair value of the structured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bonds is generally derived using the discounted cash flow method based on estimated future pay-offs determined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applicable models and computation of embedded optionality such as caps, floors and calls. A wide range of industry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standard models such as one factor Hull-White, Generalized Forward Market Model and Black-Scholes are used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depending on the specific structure. These models incorporate observable market inputs, such as yield curves,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foreign exchange rates, basis spreads, funding spreads, interest rate volatilities, equity index volatilities and equity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indices. Where applicable, the models also incorporate significant unobservable inputs such as correlations between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relevant market data and long-dated interest rate volatilities. Generally, the movements in correlations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considered to be independent of movements in long-dated interest rate volatilities.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Derivative instruments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 contracts include currency forward contracts, TBA securities, swaptions, options and futures contracts,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swaps and interest rate swaps. Currency swaps and interest rate swaps are either plain vanilla or structured.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forward contracts and plain vanilla currency and interest rate swaps are valued using the standard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discounted cash flow methods using observable market inputs such as yield curves, foreign exchange rates, basis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spreads and funding spreads. For structured currency and interest rate swaps, which primarily consist of callable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swaps linked to interest rates, foreign exchange rates, and equity indices, valuation models and inputs similar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ones applicable to the valuation of structured bonds are used. Where applicable, the models also incorporate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significant unobservable inputs such as correlations and long-dated interest rate volatilities.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Valuation adjustments on fair value option elected liabilities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DVA on fair value option elected liabilities is measured by revaluing each liability to determine the changes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fair value of that liability arising from changes in IBRD’s funding spread applicable to the relevant reference rate. </w:t>
      </w:r>
    </w:p>
    <w:p>
      <w:pPr>
        <w:autoSpaceDN w:val="0"/>
        <w:autoSpaceDE w:val="0"/>
        <w:widowControl/>
        <w:spacing w:line="224" w:lineRule="exact" w:before="151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September 30, 2024     51</w:t>
      </w:r>
    </w:p>
    <w:p>
      <w:pPr>
        <w:sectPr>
          <w:pgSz w:w="12240" w:h="15840"/>
          <w:pgMar w:top="700" w:right="137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 below presents IBRD’s estimates of fair value of its financial assets and liabilities along with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respective carrying amounts:</w:t>
      </w:r>
    </w:p>
    <w:p>
      <w:pPr>
        <w:autoSpaceDN w:val="0"/>
        <w:autoSpaceDE w:val="0"/>
        <w:widowControl/>
        <w:spacing w:line="222" w:lineRule="exact" w:before="188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J1: Fair value and carrying amount of financial assets and liabilities</w:t>
      </w:r>
    </w:p>
    <w:p>
      <w:pPr>
        <w:autoSpaceDN w:val="0"/>
        <w:autoSpaceDE w:val="0"/>
        <w:widowControl/>
        <w:spacing w:line="178" w:lineRule="exact" w:before="7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56"/>
        </w:trPr>
        <w:tc>
          <w:tcPr>
            <w:tcW w:type="dxa" w:w="647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9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54"/>
        </w:trPr>
        <w:tc>
          <w:tcPr>
            <w:tcW w:type="dxa" w:w="50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7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4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1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</w:tr>
    </w:tbl>
    <w:p>
      <w:pPr>
        <w:autoSpaceDN w:val="0"/>
        <w:autoSpaceDE w:val="0"/>
        <w:widowControl/>
        <w:spacing w:line="180" w:lineRule="exact" w:before="36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538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538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Investments-Trading (including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1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purchased under resale agreements)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94,315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94,315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82,807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82,807 </w:t>
            </w:r>
          </w:p>
        </w:tc>
      </w:tr>
      <w:tr>
        <w:trPr>
          <w:trHeight w:hRule="exact" w:val="26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266,328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265,758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260,236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257,415 </w:t>
            </w:r>
          </w:p>
        </w:tc>
      </w:tr>
      <w:tr>
        <w:trPr>
          <w:trHeight w:hRule="exact" w:val="26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508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508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</w:tr>
      <w:tr>
        <w:trPr>
          <w:trHeight w:hRule="exact" w:val="280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78" w:lineRule="exact" w:before="272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287,131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287,131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6" w:after="6"/>
        <w:ind w:left="62" w:right="60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sold/lent under repurchase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agreements/securities lending agreements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16"/>
        </w:trPr>
        <w:tc>
          <w:tcPr>
            <w:tcW w:type="dxa" w:w="3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and payable for cash collateral received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1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510"/>
        </w:trPr>
        <w:tc>
          <w:tcPr>
            <w:tcW w:type="dxa" w:w="3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14,606 </w:t>
            </w:r>
          </w:p>
        </w:tc>
        <w:tc>
          <w:tcPr>
            <w:tcW w:type="dxa" w:w="1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14,606 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  <w:tc>
          <w:tcPr>
            <w:tcW w:type="dxa" w:w="12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IBRD’s signed loan commitments were $71 billion ($67 billion—June 30, 2024) and had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 fair value of $0.4 billion ($0.3 billion—June 30, 2024).</w:t>
      </w:r>
    </w:p>
    <w:p>
      <w:pPr>
        <w:autoSpaceDN w:val="0"/>
        <w:autoSpaceDE w:val="0"/>
        <w:widowControl/>
        <w:spacing w:line="224" w:lineRule="exact" w:before="756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52     IBRD Condensed Quarterly Financial Statements: September 30,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IBRD’s fair value hierarchy for assets and liabilities measured at fair value on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recurring basis. The fair value of Other fund investments measured using the NAV as a practical expedient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included in the table below but excluded from the fair value hierarchy.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J2: Fair value hierarchy of IBRD’s assets and liabilities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4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Fair Value Measurements on a Recurring Basis</w:t>
      </w:r>
    </w:p>
    <w:p>
      <w:pPr>
        <w:autoSpaceDN w:val="0"/>
        <w:autoSpaceDE w:val="0"/>
        <w:widowControl/>
        <w:spacing w:line="180" w:lineRule="exact" w:before="60" w:after="20"/>
        <w:ind w:left="0" w:right="142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59"/>
        <w:gridCol w:w="2359"/>
        <w:gridCol w:w="2359"/>
        <w:gridCol w:w="2359"/>
      </w:tblGrid>
      <w:tr>
        <w:trPr>
          <w:trHeight w:hRule="exact" w:val="240"/>
        </w:trPr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1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1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Assets:</w:t>
      </w:r>
    </w:p>
    <w:p>
      <w:pPr>
        <w:autoSpaceDN w:val="0"/>
        <w:autoSpaceDE w:val="0"/>
        <w:widowControl/>
        <w:spacing w:line="180" w:lineRule="exact" w:before="60" w:after="3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Investments–Trading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11,792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27,858 </w:t>
            </w:r>
          </w:p>
        </w:tc>
        <w:tc>
          <w:tcPr>
            <w:tcW w:type="dxa" w:w="5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39,650 </w:t>
            </w:r>
          </w:p>
        </w:tc>
      </w:tr>
      <w:tr>
        <w:trPr>
          <w:trHeight w:hRule="exact" w:val="24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4,604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45,338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49,942 </w:t>
            </w:r>
          </w:p>
        </w:tc>
      </w:tr>
      <w:tr>
        <w:trPr>
          <w:trHeight w:hRule="exact" w:val="22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2,057 </w:t>
            </w:r>
          </w:p>
        </w:tc>
      </w:tr>
      <w:tr>
        <w:trPr>
          <w:trHeight w:hRule="exact" w:val="26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2,222 </w:t>
            </w:r>
          </w:p>
        </w:tc>
      </w:tr>
      <w:tr>
        <w:trPr>
          <w:trHeight w:hRule="exact" w:val="246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 securities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368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368 </w:t>
            </w:r>
          </w:p>
        </w:tc>
      </w:tr>
      <w:tr>
        <w:trPr>
          <w:trHeight w:hRule="exact" w:val="234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Investments–Trading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16,764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75,253 </w:t>
            </w:r>
          </w:p>
        </w:tc>
        <w:tc>
          <w:tcPr>
            <w:tcW w:type="dxa" w:w="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94,239 </w:t>
            </w:r>
          </w:p>
        </w:tc>
      </w:tr>
      <w:tr>
        <w:trPr>
          <w:trHeight w:hRule="exact" w:val="246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4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3,975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209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4,184 </w:t>
            </w:r>
          </w:p>
        </w:tc>
      </w:tr>
      <w:tr>
        <w:trPr>
          <w:trHeight w:hRule="exact" w:val="22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7,777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7,948 </w:t>
            </w:r>
          </w:p>
        </w:tc>
      </w:tr>
      <w:tr>
        <w:trPr>
          <w:trHeight w:hRule="exact" w:val="266"/>
        </w:trPr>
        <w:tc>
          <w:tcPr>
            <w:tcW w:type="dxa" w:w="4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11,752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380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12,132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11,582 </w:t>
            </w:r>
          </w:p>
        </w:tc>
      </w:tr>
      <w:tr>
        <w:trPr>
          <w:trHeight w:hRule="exact" w:val="246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</w:tr>
      <w:tr>
        <w:trPr>
          <w:trHeight w:hRule="exact" w:val="234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508 </w:t>
            </w:r>
          </w:p>
        </w:tc>
      </w:tr>
      <w:tr>
        <w:trPr>
          <w:trHeight w:hRule="exact" w:val="276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4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282,620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4,511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287,131 </w:t>
            </w:r>
          </w:p>
        </w:tc>
      </w:tr>
      <w:tr>
        <w:trPr>
          <w:trHeight w:hRule="exact" w:val="214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 and  securities lent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</w:t>
            </w:r>
          </w:p>
        </w:tc>
      </w:tr>
      <w:tr>
        <w:trPr>
          <w:trHeight w:hRule="exact" w:val="228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under securities lending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30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7,507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7,550 </w:t>
            </w:r>
          </w:p>
        </w:tc>
      </w:tr>
      <w:tr>
        <w:trPr>
          <w:trHeight w:hRule="exact" w:val="22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18,778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18,934 </w:t>
            </w:r>
          </w:p>
        </w:tc>
      </w:tr>
      <w:tr>
        <w:trPr>
          <w:trHeight w:hRule="exact" w:val="260"/>
        </w:trPr>
        <w:tc>
          <w:tcPr>
            <w:tcW w:type="dxa" w:w="4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40"/>
        </w:trPr>
        <w:tc>
          <w:tcPr>
            <w:tcW w:type="dxa" w:w="4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26,285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199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26,490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50"/>
        </w:trPr>
        <w:tc>
          <w:tcPr>
            <w:tcW w:type="dxa" w:w="5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11,884 </w:t>
            </w:r>
          </w:p>
        </w:tc>
      </w:tr>
      <w:tr>
        <w:trPr>
          <w:trHeight w:hRule="exact" w:val="240"/>
        </w:trPr>
        <w:tc>
          <w:tcPr>
            <w:tcW w:type="dxa" w:w="5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14,606 </w:t>
            </w:r>
          </w:p>
        </w:tc>
      </w:tr>
      <w:tr>
        <w:trPr>
          <w:trHeight w:hRule="exact" w:val="480"/>
        </w:trPr>
        <w:tc>
          <w:tcPr>
            <w:tcW w:type="dxa" w:w="5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Accounts payable and miscellaneous liabilities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Investments at NAV related to PEBP holdings, not included in the fair value hierarchy.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currency forward contracts.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swaptions, options, and futures contracts. 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$35 million CVA.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Excludes payable for cash collateral received.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f. Includes $337 million DVA.</w:t>
      </w:r>
    </w:p>
    <w:p>
      <w:pPr>
        <w:autoSpaceDN w:val="0"/>
        <w:autoSpaceDE w:val="0"/>
        <w:widowControl/>
        <w:spacing w:line="224" w:lineRule="exact" w:before="1846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September 30, 2024     53</w:t>
      </w:r>
    </w:p>
    <w:p>
      <w:pPr>
        <w:sectPr>
          <w:pgSz w:w="12240" w:h="15840"/>
          <w:pgMar w:top="700" w:right="137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196" w:lineRule="exact" w:before="26" w:after="0"/>
        <w:ind w:left="62" w:right="748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J2.1: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46" w:after="0"/>
        <w:ind w:left="0" w:right="47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Fair Value Measurements on a Recurring Basis</w:t>
      </w:r>
    </w:p>
    <w:p>
      <w:pPr>
        <w:autoSpaceDN w:val="0"/>
        <w:autoSpaceDE w:val="0"/>
        <w:widowControl/>
        <w:spacing w:line="178" w:lineRule="exact" w:before="48" w:after="12"/>
        <w:ind w:left="0" w:right="164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60"/>
        <w:gridCol w:w="2360"/>
        <w:gridCol w:w="2360"/>
        <w:gridCol w:w="2360"/>
      </w:tblGrid>
      <w:tr>
        <w:trPr>
          <w:trHeight w:hRule="exact" w:val="226"/>
        </w:trPr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1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0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0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Assets:</w:t>
      </w:r>
    </w:p>
    <w:p>
      <w:pPr>
        <w:autoSpaceDN w:val="0"/>
        <w:autoSpaceDE w:val="0"/>
        <w:widowControl/>
        <w:spacing w:line="178" w:lineRule="exact" w:before="46" w:after="2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Investments–Trading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and agency obligations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12,940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19,413 </w:t>
            </w:r>
          </w:p>
        </w:tc>
        <w:tc>
          <w:tcPr>
            <w:tcW w:type="dxa" w:w="5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32,353 </w:t>
            </w:r>
          </w:p>
        </w:tc>
      </w:tr>
      <w:tr>
        <w:trPr>
          <w:trHeight w:hRule="exact" w:val="22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3,517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42,474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45,991 </w:t>
            </w:r>
          </w:p>
        </w:tc>
      </w:tr>
      <w:tr>
        <w:trPr>
          <w:trHeight w:hRule="exact" w:val="22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1,880 </w:t>
            </w:r>
          </w:p>
        </w:tc>
      </w:tr>
      <w:tr>
        <w:trPr>
          <w:trHeight w:hRule="exact" w:val="22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fund investments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2,155 </w:t>
            </w:r>
          </w:p>
        </w:tc>
      </w:tr>
      <w:tr>
        <w:trPr>
          <w:trHeight w:hRule="exact" w:val="240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Equity securities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349 </w:t>
            </w:r>
          </w:p>
        </w:tc>
      </w:tr>
      <w:tr>
        <w:trPr>
          <w:trHeight w:hRule="exact" w:val="220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Investments–Trading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16,806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63,767 </w:t>
            </w:r>
          </w:p>
        </w:tc>
        <w:tc>
          <w:tcPr>
            <w:tcW w:type="dxa" w:w="5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82,728 </w:t>
            </w:r>
          </w:p>
        </w:tc>
      </w:tr>
      <w:tr>
        <w:trPr>
          <w:trHeight w:hRule="exact" w:val="232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6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3,935 </w:t>
            </w:r>
          </w:p>
        </w:tc>
        <w:tc>
          <w:tcPr>
            <w:tcW w:type="dxa" w:w="4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4,057 </w:t>
            </w:r>
          </w:p>
        </w:tc>
      </w:tr>
      <w:tr>
        <w:trPr>
          <w:trHeight w:hRule="exact" w:val="20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7,836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7,977 </w:t>
            </w:r>
          </w:p>
        </w:tc>
      </w:tr>
      <w:tr>
        <w:trPr>
          <w:trHeight w:hRule="exact" w:val="250"/>
        </w:trPr>
        <w:tc>
          <w:tcPr>
            <w:tcW w:type="dxa" w:w="4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26"/>
        </w:trPr>
        <w:tc>
          <w:tcPr>
            <w:tcW w:type="dxa" w:w="4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11,771 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12,035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6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11,558 </w:t>
            </w:r>
          </w:p>
        </w:tc>
      </w:tr>
      <w:tr>
        <w:trPr>
          <w:trHeight w:hRule="exact" w:val="246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14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456 </w:t>
            </w:r>
          </w:p>
        </w:tc>
      </w:tr>
      <w:tr>
        <w:trPr>
          <w:trHeight w:hRule="exact" w:val="28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Miscellaneous assets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178" w:lineRule="exact" w:before="220" w:after="2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257,735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</w:tr>
      <w:tr>
        <w:trPr>
          <w:trHeight w:hRule="exact" w:val="214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 and securities lent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256 </w:t>
            </w:r>
          </w:p>
        </w:tc>
      </w:tr>
      <w:tr>
        <w:trPr>
          <w:trHeight w:hRule="exact" w:val="224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under securities lending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6" w:after="1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4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9,816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9,907 </w:t>
            </w:r>
          </w:p>
        </w:tc>
      </w:tr>
      <w:tr>
        <w:trPr>
          <w:trHeight w:hRule="exact" w:val="239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24,556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203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24,759 </w:t>
            </w:r>
          </w:p>
        </w:tc>
      </w:tr>
      <w:tr>
        <w:trPr>
          <w:trHeight w:hRule="exact" w:val="235"/>
        </w:trPr>
        <w:tc>
          <w:tcPr>
            <w:tcW w:type="dxa" w:w="4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6"/>
        </w:trPr>
        <w:tc>
          <w:tcPr>
            <w:tcW w:type="dxa" w:w="49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34,372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294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34,666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8"/>
        </w:trPr>
        <w:tc>
          <w:tcPr>
            <w:tcW w:type="dxa" w:w="5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f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11,938 </w:t>
            </w:r>
          </w:p>
        </w:tc>
      </w:tr>
      <w:tr>
        <w:trPr>
          <w:trHeight w:hRule="exact" w:val="214"/>
        </w:trPr>
        <w:tc>
          <w:tcPr>
            <w:tcW w:type="dxa" w:w="5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22,728 </w:t>
            </w:r>
          </w:p>
        </w:tc>
      </w:tr>
      <w:tr>
        <w:trPr>
          <w:trHeight w:hRule="exact" w:val="474"/>
        </w:trPr>
        <w:tc>
          <w:tcPr>
            <w:tcW w:type="dxa" w:w="5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Accounts payable and miscellaneous liabilities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Investments at NAV related to PEBP holdings, not included in the fair value hierarchy.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Includes currency forward contracts.</w:t>
      </w:r>
    </w:p>
    <w:p>
      <w:pPr>
        <w:autoSpaceDN w:val="0"/>
        <w:autoSpaceDE w:val="0"/>
        <w:widowControl/>
        <w:spacing w:line="178" w:lineRule="exact" w:before="4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swaptions, options, and futures contracts.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$29 million CVA.</w:t>
      </w:r>
    </w:p>
    <w:p>
      <w:pPr>
        <w:autoSpaceDN w:val="0"/>
        <w:autoSpaceDE w:val="0"/>
        <w:widowControl/>
        <w:spacing w:line="180" w:lineRule="exact" w:before="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e. Excludes payable for cash collateral received.</w:t>
      </w:r>
    </w:p>
    <w:p>
      <w:pPr>
        <w:autoSpaceDN w:val="0"/>
        <w:autoSpaceDE w:val="0"/>
        <w:widowControl/>
        <w:spacing w:line="178" w:lineRule="exact" w:before="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f. Includes $409 million DVA.</w:t>
      </w:r>
    </w:p>
    <w:p>
      <w:pPr>
        <w:autoSpaceDN w:val="0"/>
        <w:autoSpaceDE w:val="0"/>
        <w:widowControl/>
        <w:spacing w:line="240" w:lineRule="exact" w:before="18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IBRD’s Level 3 borrowings primarily relate to structured bonds. The fair value of these bonds is estimated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discounted cash flow valuation models that incorporate model parameters, observable market inputs,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unobservable inputs. The significant unobservable inputs used in the fair value measurement of structured bonds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swaps are correlations and long-dated market interest rate volatilities. Generally, the movements in correlations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considered to be independent of the movements in long-dated interest rate volatilities.</w:t>
      </w:r>
    </w:p>
    <w:p>
      <w:pPr>
        <w:autoSpaceDN w:val="0"/>
        <w:autoSpaceDE w:val="0"/>
        <w:widowControl/>
        <w:spacing w:line="224" w:lineRule="exact" w:before="189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54     IBRD Condensed Quarterly Financial Statements: September 30, 2024 (Unaudited)</w:t>
      </w:r>
    </w:p>
    <w:p>
      <w:pPr>
        <w:sectPr>
          <w:pgSz w:w="12240" w:h="15840"/>
          <w:pgMar w:top="724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Correlation is the statistical measurement of the relationship between two variables. For contracts where the holder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benefits from the convergence of the underlying index prices (e.g., market interest rates and foreign exchange rates),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correlation would generally result in an increase in the fair value of the instrument. The magnitude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direction of the fair value adjustment would depend on whether the holder is short or long the option.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Interest rate volatility is the extent to which the level of interest rates changes over time. For purchased options,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volatility will generally result in an increase in the fair value. In general, the volatility used to price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option depends on the maturity of the underlying instrument and the option strike price. During the three months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ended September 30, 2024, and the fiscal year ended June 30, 2024, the interest rate volatilities for certain currencies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were extrapolated for certain tenors and, thus, are considered an unobservable input.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 entered into transactions which have an embedded option associated with an equity index. Valuation inputs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such transactions include, among other valuation inputs, volatilities of the equity indices, that are the extent to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level of equity index changes over time. These index volatility levels are consistent with the respective index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construction methodologies and historical movements. Similar to the impact of the volatility of the other asset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classes described above, an increase in the equity index volatility will result in an increase in the value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purchase option and vice versa.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certain instances, particularly for instruments with coupon or repayment terms linked to catastrophic events,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relies on instrument valuations supplied by external pricing vendors.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a summary of the valuation technique applied in determining fair values of these Level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3 instruments and quantitative information regarding the significant unobservable inputs used. Level 3 instruments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represent 2% of IBRD’s borrowings.</w:t>
      </w:r>
    </w:p>
    <w:p>
      <w:pPr>
        <w:autoSpaceDN w:val="0"/>
        <w:autoSpaceDE w:val="0"/>
        <w:widowControl/>
        <w:spacing w:line="240" w:lineRule="exact" w:before="194" w:after="0"/>
        <w:ind w:left="62" w:right="28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J3: Level 3 Borrowings and derivatives valuation technique and quantitative information regarding 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the significant unobservable inputs: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4"/>
        </w:trPr>
        <w:tc>
          <w:tcPr>
            <w:tcW w:type="dxa" w:w="14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Portfolio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as of </w:t>
            </w:r>
          </w:p>
        </w:tc>
        <w:tc>
          <w:tcPr>
            <w:tcW w:type="dxa" w:w="112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Fair Value as </w:t>
            </w:r>
          </w:p>
        </w:tc>
        <w:tc>
          <w:tcPr>
            <w:tcW w:type="dxa" w:w="103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" w:after="0"/>
              <w:ind w:left="2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Valuation </w:t>
            </w:r>
          </w:p>
        </w:tc>
        <w:tc>
          <w:tcPr>
            <w:tcW w:type="dxa" w:w="124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Unobservable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Range (average), 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Range (average),</w:t>
            </w:r>
          </w:p>
        </w:tc>
      </w:tr>
      <w:tr>
        <w:trPr>
          <w:trHeight w:hRule="exact" w:val="1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September 30, </w:t>
            </w:r>
          </w:p>
        </w:tc>
        <w:tc>
          <w:tcPr>
            <w:tcW w:type="dxa" w:w="11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of June 30, </w:t>
            </w:r>
          </w:p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098"/>
            <w:gridSpan w:val="2"/>
            <w:vMerge/>
            <w:tcBorders/>
          </w:tcPr>
          <w:p/>
        </w:tc>
        <w:tc>
          <w:tcPr>
            <w:tcW w:type="dxa" w:w="2098"/>
            <w:gridSpan w:val="2"/>
            <w:vMerge/>
            <w:tcBorders/>
          </w:tcPr>
          <w:p/>
        </w:tc>
        <w:tc>
          <w:tcPr>
            <w:tcW w:type="dxa" w:w="103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Technique</w:t>
            </w:r>
          </w:p>
        </w:tc>
        <w:tc>
          <w:tcPr>
            <w:tcW w:type="dxa" w:w="12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input</w:t>
            </w:r>
          </w:p>
        </w:tc>
        <w:tc>
          <w:tcPr>
            <w:tcW w:type="dxa" w:w="1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1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1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1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2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4,511 </w:t>
            </w:r>
          </w:p>
        </w:tc>
        <w:tc>
          <w:tcPr>
            <w:tcW w:type="dxa" w:w="3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52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Correlations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-23% to 84%(6%)</w:t>
            </w:r>
          </w:p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-11% to 84% (7%)</w:t>
            </w:r>
          </w:p>
        </w:tc>
      </w:tr>
      <w:tr>
        <w:trPr>
          <w:trHeight w:hRule="exact" w:val="210"/>
        </w:trPr>
        <w:tc>
          <w:tcPr>
            <w:tcW w:type="dxa" w:w="14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Discounted </w:t>
            </w:r>
          </w:p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60% to 69% (66%)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 to 77% (73%)</w:t>
            </w:r>
          </w:p>
        </w:tc>
      </w:tr>
      <w:tr>
        <w:trPr>
          <w:trHeight w:hRule="exact" w:val="10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2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Flow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14"/>
        </w:trPr>
        <w:tc>
          <w:tcPr>
            <w:tcW w:type="dxa" w:w="14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index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</w:tr>
      <w:tr>
        <w:trPr>
          <w:trHeight w:hRule="exact" w:val="22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1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Correlations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-23% to 84%(6%)</w:t>
            </w:r>
          </w:p>
        </w:tc>
        <w:tc>
          <w:tcPr>
            <w:tcW w:type="dxa" w:w="1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-11% to 84% (7%)</w:t>
            </w:r>
          </w:p>
        </w:tc>
      </w:tr>
      <w:tr>
        <w:trPr>
          <w:trHeight w:hRule="exact" w:val="200"/>
        </w:trPr>
        <w:tc>
          <w:tcPr>
            <w:tcW w:type="dxa" w:w="14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103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Discounted </w:t>
            </w:r>
          </w:p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Interest rate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60% to 69% (66%)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65% to 77% (73%)</w:t>
            </w:r>
          </w:p>
        </w:tc>
      </w:tr>
      <w:tr>
        <w:trPr>
          <w:trHeight w:hRule="exact" w:val="100"/>
        </w:trPr>
        <w:tc>
          <w:tcPr>
            <w:tcW w:type="dxa" w:w="14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assets/(liabilities),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</w:tcBorders>
          </w:tcPr>
          <w:p/>
        </w:tc>
        <w:tc>
          <w:tcPr>
            <w:tcW w:type="dxa" w:w="124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134"/>
        </w:trPr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Flow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06"/>
        </w:trPr>
        <w:tc>
          <w:tcPr>
            <w:tcW w:type="dxa" w:w="141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Equity index </w:t>
            </w:r>
          </w:p>
        </w:tc>
        <w:tc>
          <w:tcPr>
            <w:tcW w:type="dxa" w:w="16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  <w:tc>
          <w:tcPr>
            <w:tcW w:type="dxa" w:w="15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5% to 15% (9%)</w:t>
            </w:r>
          </w:p>
        </w:tc>
      </w:tr>
      <w:tr>
        <w:trPr>
          <w:trHeight w:hRule="exact" w:val="230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volatilities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4416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September 30, 2024     55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tables below provide the details of transfers between Level 2 and Level 3 that are due to changes in observable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inputs.</w:t>
      </w:r>
    </w:p>
    <w:p>
      <w:pPr>
        <w:autoSpaceDN w:val="0"/>
        <w:autoSpaceDE w:val="0"/>
        <w:widowControl/>
        <w:spacing w:line="218" w:lineRule="exact" w:before="192" w:after="20"/>
        <w:ind w:left="62" w:right="432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J4: Borrowings and derivatives inter level transfers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9"/>
        <w:gridCol w:w="2359"/>
        <w:gridCol w:w="2359"/>
        <w:gridCol w:w="2359"/>
      </w:tblGrid>
      <w:tr>
        <w:trPr>
          <w:trHeight w:hRule="exact" w:val="240"/>
        </w:trPr>
        <w:tc>
          <w:tcPr>
            <w:tcW w:type="dxa" w:w="59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September 30, 2024</w:t>
            </w:r>
          </w:p>
        </w:tc>
        <w:tc>
          <w:tcPr>
            <w:tcW w:type="dxa" w:w="33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September 30, 2023</w:t>
            </w:r>
          </w:p>
        </w:tc>
      </w:tr>
      <w:tr>
        <w:trPr>
          <w:trHeight w:hRule="exact" w:val="240"/>
        </w:trPr>
        <w:tc>
          <w:tcPr>
            <w:tcW w:type="dxa" w:w="4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5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  <w:tc>
          <w:tcPr>
            <w:tcW w:type="dxa" w:w="16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2</w:t>
            </w:r>
          </w:p>
        </w:tc>
        <w:tc>
          <w:tcPr>
            <w:tcW w:type="dxa" w:w="1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Level 3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7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9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</w:tr>
      <w:tr>
        <w:trPr>
          <w:trHeight w:hRule="exact" w:val="22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178" w:lineRule="exact" w:before="5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into (out of)</w:t>
            </w:r>
          </w:p>
        </w:tc>
        <w:tc>
          <w:tcPr>
            <w:tcW w:type="dxa" w:w="8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 </w:t>
            </w:r>
          </w:p>
        </w:tc>
        <w:tc>
          <w:tcPr>
            <w:tcW w:type="dxa" w:w="6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(95)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(out of) into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</w:tr>
      <w:tr>
        <w:trPr>
          <w:trHeight w:hRule="exact" w:val="240"/>
        </w:trPr>
        <w:tc>
          <w:tcPr>
            <w:tcW w:type="dxa" w:w="2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(95)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2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(into) out of</w:t>
            </w:r>
          </w:p>
        </w:tc>
        <w:tc>
          <w:tcPr>
            <w:tcW w:type="dxa" w:w="8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6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2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 out of (into)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4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</w:tr>
      <w:tr>
        <w:trPr>
          <w:trHeight w:hRule="exact" w:val="220"/>
        </w:trPr>
        <w:tc>
          <w:tcPr>
            <w:tcW w:type="dxa" w:w="2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Derivative Transfers, net</w:t>
            </w:r>
          </w:p>
        </w:tc>
        <w:tc>
          <w:tcPr>
            <w:tcW w:type="dxa" w:w="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–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(99) </w:t>
            </w:r>
          </w:p>
        </w:tc>
      </w:tr>
    </w:tbl>
    <w:p>
      <w:pPr>
        <w:autoSpaceDN w:val="0"/>
        <w:autoSpaceDE w:val="0"/>
        <w:widowControl/>
        <w:spacing w:line="222" w:lineRule="exact" w:before="4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 summary of changes in the fair value of IBRD’s Level 3 borrowings and derivatives: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J5: Borrowings Level 3 changes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20"/>
        <w:ind w:left="0" w:right="56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Three Months Ended September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5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34"/>
        </w:trPr>
        <w:tc>
          <w:tcPr>
            <w:tcW w:type="dxa" w:w="5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period/fiscal year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4,055 </w:t>
            </w:r>
          </w:p>
        </w:tc>
        <w:tc>
          <w:tcPr>
            <w:tcW w:type="dxa" w:w="48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3,607 </w:t>
            </w:r>
          </w:p>
        </w:tc>
      </w:tr>
      <w:tr>
        <w:trPr>
          <w:trHeight w:hRule="exact" w:val="240"/>
        </w:trPr>
        <w:tc>
          <w:tcPr>
            <w:tcW w:type="dxa" w:w="5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</w:tr>
      <w:tr>
        <w:trPr>
          <w:trHeight w:hRule="exact" w:val="246"/>
        </w:trPr>
        <w:tc>
          <w:tcPr>
            <w:tcW w:type="dxa" w:w="5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(152)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(146) 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Total realized/unrealized mark-to-market losses (gains)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4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 (loss)</w:t>
            </w:r>
          </w:p>
        </w:tc>
        <w:tc>
          <w:tcPr>
            <w:tcW w:type="dxa" w:w="5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286 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(98) </w:t>
            </w:r>
          </w:p>
        </w:tc>
      </w:tr>
      <w:tr>
        <w:trPr>
          <w:trHeight w:hRule="exact" w:val="240"/>
        </w:trPr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(loss) income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(26) </w:t>
            </w:r>
          </w:p>
        </w:tc>
      </w:tr>
      <w:tr>
        <w:trPr>
          <w:trHeight w:hRule="exact" w:val="246"/>
        </w:trPr>
        <w:tc>
          <w:tcPr>
            <w:tcW w:type="dxa" w:w="5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to (from) Level 3, net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</w:tr>
      <w:tr>
        <w:trPr>
          <w:trHeight w:hRule="exact" w:val="220"/>
        </w:trPr>
        <w:tc>
          <w:tcPr>
            <w:tcW w:type="dxa" w:w="5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4,511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3,384 </w:t>
            </w:r>
          </w:p>
        </w:tc>
      </w:tr>
    </w:tbl>
    <w:p>
      <w:pPr>
        <w:autoSpaceDN w:val="0"/>
        <w:autoSpaceDE w:val="0"/>
        <w:widowControl/>
        <w:spacing w:line="224" w:lineRule="exact" w:before="505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56     IBRD Condensed Quarterly Financial Statements: September 30, 2024 (Unaudited)</w:t>
      </w:r>
    </w:p>
    <w:p>
      <w:pPr>
        <w:sectPr>
          <w:pgSz w:w="12240" w:h="15840"/>
          <w:pgMar w:top="700" w:right="137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30" w:lineRule="exact" w:before="0" w:after="20"/>
        <w:ind w:left="62" w:right="6048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J6: Derivatives Level 3 changes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sectPr>
          <w:pgSz w:w="12240" w:h="15840"/>
          <w:pgMar w:top="736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3024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September 30, 2024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Derivatives, Assets/(Liabilities)</w:t>
      </w:r>
    </w:p>
    <w:p>
      <w:pPr>
        <w:sectPr>
          <w:type w:val="continuous"/>
          <w:pgSz w:w="12240" w:h="15840"/>
          <w:pgMar w:top="736" w:right="1370" w:bottom="360" w:left="1430" w:header="720" w:footer="720" w:gutter="0"/>
          <w:cols w:num="2" w:equalWidth="0">
            <w:col w:w="6220" w:space="0"/>
            <w:col w:w="3220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24"/>
        <w:ind w:left="0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September 30, 2023 </w:t>
      </w:r>
      <w:r>
        <w:rPr>
          <w:rFonts w:ascii="Arial" w:hAnsi="Arial" w:eastAsia="Arial"/>
          <w:b w:val="0"/>
          <w:i/>
          <w:color w:val="000000"/>
          <w:sz w:val="16"/>
        </w:rPr>
        <w:t>Derivatives, Assets/(Liabilities)</w:t>
      </w:r>
    </w:p>
    <w:p>
      <w:pPr>
        <w:sectPr>
          <w:type w:val="nextColumn"/>
          <w:pgSz w:w="12240" w:h="15840"/>
          <w:pgMar w:top="736" w:right="1370" w:bottom="360" w:left="1430" w:header="720" w:footer="720" w:gutter="0"/>
          <w:cols w:num="2" w:equalWidth="0">
            <w:col w:w="6220" w:space="0"/>
            <w:col w:w="32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80"/>
        </w:trPr>
        <w:tc>
          <w:tcPr>
            <w:tcW w:type="dxa" w:w="30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8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Currency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</w:t>
            </w:r>
          </w:p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2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0"/>
        </w:trPr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Swaps</w:t>
            </w:r>
          </w:p>
        </w:tc>
        <w:tc>
          <w:tcPr>
            <w:tcW w:type="dxa" w:w="13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 Swaps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3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Swaps</w:t>
            </w:r>
          </w:p>
        </w:tc>
        <w:tc>
          <w:tcPr>
            <w:tcW w:type="dxa" w:w="13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Rate Swaps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30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period/fiscal year</w:t>
            </w:r>
          </w:p>
        </w:tc>
        <w:tc>
          <w:tcPr>
            <w:tcW w:type="dxa" w:w="4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4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(62) $ </w:t>
            </w:r>
          </w:p>
        </w:tc>
        <w:tc>
          <w:tcPr>
            <w:tcW w:type="dxa" w:w="4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$ </w:t>
            </w:r>
          </w:p>
        </w:tc>
        <w:tc>
          <w:tcPr>
            <w:tcW w:type="dxa" w:w="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(134) 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(121) </w:t>
            </w:r>
          </w:p>
        </w:tc>
      </w:tr>
      <w:tr>
        <w:trPr>
          <w:trHeight w:hRule="exact" w:val="240"/>
        </w:trPr>
        <w:tc>
          <w:tcPr>
            <w:tcW w:type="dxa" w:w="3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Issuances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58"/>
        </w:trPr>
        <w:tc>
          <w:tcPr>
            <w:tcW w:type="dxa" w:w="3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58"/>
            <w:vMerge/>
            <w:tcBorders>
              <w:top w:sz="8.0" w:val="single" w:color="#000000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8" w:after="32"/>
        <w:ind w:left="6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Total realized/unrealized mark-to-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market (losses) gains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8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income (loss)</w:t>
            </w:r>
          </w:p>
        </w:tc>
        <w:tc>
          <w:tcPr>
            <w:tcW w:type="dxa" w:w="4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123 </w:t>
            </w:r>
          </w:p>
        </w:tc>
        <w:tc>
          <w:tcPr>
            <w:tcW w:type="dxa" w:w="5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194 </w:t>
            </w:r>
          </w:p>
        </w:tc>
        <w:tc>
          <w:tcPr>
            <w:tcW w:type="dxa" w:w="4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(79)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(102) </w:t>
            </w:r>
          </w:p>
        </w:tc>
      </w:tr>
      <w:tr>
        <w:trPr>
          <w:trHeight w:hRule="exact" w:val="240"/>
        </w:trPr>
        <w:tc>
          <w:tcPr>
            <w:tcW w:type="dxa" w:w="3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comprehensive (loss) income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(23)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</w:tr>
      <w:tr>
        <w:trPr>
          <w:trHeight w:hRule="exact" w:val="250"/>
        </w:trPr>
        <w:tc>
          <w:tcPr>
            <w:tcW w:type="dxa" w:w="3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(from) to Level 3, net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5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(99) </w:t>
            </w:r>
          </w:p>
        </w:tc>
        <w:tc>
          <w:tcPr>
            <w:tcW w:type="dxa" w:w="1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(99) </w:t>
            </w:r>
          </w:p>
        </w:tc>
      </w:tr>
      <w:tr>
        <w:trPr>
          <w:trHeight w:hRule="exact" w:val="22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(170) $ 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(146) $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(316) </w:t>
            </w:r>
          </w:p>
        </w:tc>
      </w:tr>
      <w:tr>
        <w:trPr>
          <w:trHeight w:hRule="exact" w:val="260"/>
        </w:trPr>
        <w:tc>
          <w:tcPr>
            <w:tcW w:type="dxa" w:w="3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Information on the unrealized gains or losses included in the Condensed Statements of Income and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Comprehensive Income relating to IBRD’s Level 3 borrowings and derivatives that are still held at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reporting dates, is presented in the following table:</w:t>
      </w:r>
    </w:p>
    <w:p>
      <w:pPr>
        <w:autoSpaceDN w:val="0"/>
        <w:autoSpaceDE w:val="0"/>
        <w:widowControl/>
        <w:spacing w:line="222" w:lineRule="exact" w:before="24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J7: Unrealized gains or losses relating to IBRD’s Level 3 borrowings and derivatives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20"/>
        <w:ind w:left="0" w:right="56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Three Months Ended September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0.0" w:type="dxa"/>
      </w:tblPr>
      <w:tblGrid>
        <w:gridCol w:w="4720"/>
        <w:gridCol w:w="4720"/>
      </w:tblGrid>
      <w:tr>
        <w:trPr>
          <w:trHeight w:hRule="exact" w:val="254"/>
        </w:trPr>
        <w:tc>
          <w:tcPr>
            <w:tcW w:type="dxa" w:w="17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7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78" w:lineRule="exact" w:before="14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Reported as:</w:t>
      </w:r>
    </w:p>
    <w:p>
      <w:pPr>
        <w:autoSpaceDN w:val="0"/>
        <w:autoSpaceDE w:val="0"/>
        <w:widowControl/>
        <w:spacing w:line="178" w:lineRule="exact" w:before="48" w:after="1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0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(loss)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40"/>
        </w:trPr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Comprehensive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178" w:lineRule="exact" w:before="24" w:after="14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4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 </w:t>
            </w:r>
          </w:p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</w:tr>
      <w:tr>
        <w:trPr>
          <w:trHeight w:hRule="exact" w:val="460"/>
        </w:trPr>
        <w:tc>
          <w:tcPr>
            <w:tcW w:type="dxa" w:w="4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Comprehensive (loss) income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(29)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Amounts are included in Unrealized mark-to-market gains (losses) on non-trading portfolios, net on the Condensed Statements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of Income.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Amounts are included in Currency translation adjustment on functional currency and Net Change in DVA on fair value option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elected liabilities, in the Condensed Statements of Comprehensive Income.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Amounts are included in Currency translation adjustment on functional currency, in the Condensed Statements of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Comprehensive Income.</w:t>
      </w:r>
    </w:p>
    <w:p>
      <w:pPr>
        <w:autoSpaceDN w:val="0"/>
        <w:autoSpaceDE w:val="0"/>
        <w:widowControl/>
        <w:spacing w:line="222" w:lineRule="exact" w:before="28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J8: Borrowings fair value and contractual principal balance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4" w:after="6"/>
        <w:ind w:left="0" w:right="2012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Principal Amount Due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6"/>
        </w:trPr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Upon Maturity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34"/>
        </w:trPr>
        <w:tc>
          <w:tcPr>
            <w:tcW w:type="dxa" w:w="3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287,131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304,620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(17,489) </w:t>
            </w:r>
          </w:p>
        </w:tc>
      </w:tr>
      <w:tr>
        <w:trPr>
          <w:trHeight w:hRule="exact" w:val="486"/>
        </w:trPr>
        <w:tc>
          <w:tcPr>
            <w:tcW w:type="dxa" w:w="3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261,790 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285,322 </w:t>
            </w:r>
          </w:p>
        </w:tc>
        <w:tc>
          <w:tcPr>
            <w:tcW w:type="dxa" w:w="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(23,532) </w:t>
            </w:r>
          </w:p>
        </w:tc>
      </w:tr>
    </w:tbl>
    <w:p>
      <w:pPr>
        <w:autoSpaceDN w:val="0"/>
        <w:autoSpaceDE w:val="0"/>
        <w:widowControl/>
        <w:spacing w:line="224" w:lineRule="exact" w:before="223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September 30, 2024     57</w:t>
      </w:r>
    </w:p>
    <w:p>
      <w:pPr>
        <w:sectPr>
          <w:type w:val="continuous"/>
          <w:pgSz w:w="12240" w:h="15840"/>
          <w:pgMar w:top="736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provide information on the changes in fair value due to the change in IBRD’s own credit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financial liabilities measured under the fair value option, included in the Condensed Statements of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Comprehensive Income:</w:t>
      </w:r>
    </w:p>
    <w:p>
      <w:pPr>
        <w:autoSpaceDN w:val="0"/>
        <w:autoSpaceDE w:val="0"/>
        <w:widowControl/>
        <w:spacing w:line="222" w:lineRule="exact" w:before="27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J9: Changes in fair value due to IBRD’s own credit risk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14"/>
        </w:trPr>
        <w:tc>
          <w:tcPr>
            <w:tcW w:type="dxa" w:w="5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mark-to-market gains (losses) due to DVA on fair value option </w:t>
            </w:r>
          </w:p>
        </w:tc>
        <w:tc>
          <w:tcPr>
            <w:tcW w:type="dxa" w:w="173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</w:p>
        </w:tc>
        <w:tc>
          <w:tcPr>
            <w:tcW w:type="dxa" w:w="177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6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</w:p>
        </w:tc>
      </w:tr>
      <w:tr>
        <w:trPr>
          <w:trHeight w:hRule="exact" w:val="220"/>
        </w:trPr>
        <w:tc>
          <w:tcPr>
            <w:tcW w:type="dxa" w:w="5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elected liabilities</w:t>
            </w:r>
          </w:p>
        </w:tc>
        <w:tc>
          <w:tcPr>
            <w:tcW w:type="dxa" w:w="17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17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2023</w:t>
            </w:r>
          </w:p>
        </w:tc>
      </w:tr>
      <w:tr>
        <w:trPr>
          <w:trHeight w:hRule="exact" w:val="220"/>
        </w:trPr>
        <w:tc>
          <w:tcPr>
            <w:tcW w:type="dxa" w:w="5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518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</w:tr>
      <w:tr>
        <w:trPr>
          <w:trHeight w:hRule="exact" w:val="230"/>
        </w:trPr>
        <w:tc>
          <w:tcPr>
            <w:tcW w:type="dxa" w:w="5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Amounts reclassified to net income upon derecognition of a liability</w:t>
            </w:r>
          </w:p>
        </w:tc>
        <w:tc>
          <w:tcPr>
            <w:tcW w:type="dxa" w:w="17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17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04"/>
        </w:trPr>
        <w:tc>
          <w:tcPr>
            <w:tcW w:type="dxa" w:w="5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change in DVA on Fair Value Option Elected Liabilities</w:t>
            </w:r>
          </w:p>
        </w:tc>
        <w:tc>
          <w:tcPr>
            <w:tcW w:type="dxa" w:w="7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  <w:tc>
          <w:tcPr>
            <w:tcW w:type="dxa" w:w="8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(55) </w:t>
            </w:r>
          </w:p>
        </w:tc>
      </w:tr>
      <w:tr>
        <w:trPr>
          <w:trHeight w:hRule="exact" w:val="246"/>
        </w:trPr>
        <w:tc>
          <w:tcPr>
            <w:tcW w:type="dxa" w:w="58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212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IBRD’s Condensed Balance Sheets included a DVA of $1,187 million cumulative gain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($673 million cumulative gain—June 30, 2024) in Accumulated other comprehensive income, associated with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in IBRD’s own credit for financial liabilities measured under the fair value option.</w:t>
      </w:r>
    </w:p>
    <w:p>
      <w:pPr>
        <w:autoSpaceDN w:val="0"/>
        <w:autoSpaceDE w:val="0"/>
        <w:widowControl/>
        <w:spacing w:line="222" w:lineRule="exact" w:before="2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J10: Unrealized mark-to-market gains or losses on investments-trading, and non-trading portfolios, net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14"/>
        </w:trPr>
        <w:tc>
          <w:tcPr>
            <w:tcW w:type="dxa" w:w="3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76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3014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</w:tr>
      <w:tr>
        <w:trPr>
          <w:trHeight w:hRule="exact" w:val="22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976"/>
            <w:gridSpan w:val="6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3014"/>
            <w:gridSpan w:val="6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2023</w:t>
            </w:r>
          </w:p>
        </w:tc>
      </w:tr>
      <w:tr>
        <w:trPr>
          <w:trHeight w:hRule="exact" w:val="320"/>
        </w:trPr>
        <w:tc>
          <w:tcPr>
            <w:tcW w:type="dxa" w:w="33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76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3014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6" w:after="0"/>
              <w:ind w:left="0" w:right="10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18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97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30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</w:tr>
      <w:tr>
        <w:trPr>
          <w:trHeight w:hRule="exact" w:val="20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97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</w:t>
            </w:r>
          </w:p>
        </w:tc>
        <w:tc>
          <w:tcPr>
            <w:tcW w:type="dxa" w:w="30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1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</w:t>
            </w:r>
          </w:p>
        </w:tc>
      </w:tr>
      <w:tr>
        <w:trPr>
          <w:trHeight w:hRule="exact" w:val="18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</w:p>
        </w:tc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</w:p>
        </w:tc>
        <w:tc>
          <w:tcPr>
            <w:tcW w:type="dxa" w:w="9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200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</w:tr>
      <w:tr>
        <w:trPr>
          <w:trHeight w:hRule="exact" w:val="226"/>
        </w:trPr>
        <w:tc>
          <w:tcPr>
            <w:tcW w:type="dxa" w:w="726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0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0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0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9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40"/>
        </w:trPr>
        <w:tc>
          <w:tcPr>
            <w:tcW w:type="dxa" w:w="3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Investments-Trading, net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(365) $ </w:t>
            </w:r>
          </w:p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358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(89) $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(40) </w:t>
            </w:r>
          </w:p>
        </w:tc>
      </w:tr>
    </w:tbl>
    <w:p>
      <w:pPr>
        <w:autoSpaceDN w:val="0"/>
        <w:autoSpaceDE w:val="0"/>
        <w:widowControl/>
        <w:spacing w:line="180" w:lineRule="exact" w:before="20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 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derivatives—Note F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(2,062)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(2,062)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1,254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1,254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assets/liabilities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8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derivatives, net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1,842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(707)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(707)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Borrowings, including derivatives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200"/>
        </w:trPr>
        <w:tc>
          <w:tcPr>
            <w:tcW w:type="dxa" w:w="3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—Notes E and F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(201)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(201) ᵇ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(47)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(47) ᵇ</w:t>
            </w:r>
          </w:p>
        </w:tc>
      </w:tr>
      <w:tr>
        <w:trPr>
          <w:trHeight w:hRule="exact" w:val="254"/>
        </w:trPr>
        <w:tc>
          <w:tcPr>
            <w:tcW w:type="dxa" w:w="3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 and other derivatives, net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11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5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87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(423) $ </w:t>
            </w:r>
          </w:p>
        </w:tc>
        <w:tc>
          <w:tcPr>
            <w:tcW w:type="dxa" w:w="6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(423)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500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500 </w:t>
            </w:r>
          </w:p>
        </w:tc>
      </w:tr>
    </w:tbl>
    <w:p>
      <w:pPr>
        <w:autoSpaceDN w:val="0"/>
        <w:autoSpaceDE w:val="0"/>
        <w:widowControl/>
        <w:spacing w:line="178" w:lineRule="exact" w:before="218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gains (losses).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$6,977 million of unrealized mark-to-market gains related to derivatives associated with borrowings for three months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ended September 30, 2024 (unrealized mark-to-market losses of $2,403 million—three months ended September 30, 2023).</w:t>
      </w:r>
    </w:p>
    <w:p>
      <w:pPr>
        <w:autoSpaceDN w:val="0"/>
        <w:autoSpaceDE w:val="0"/>
        <w:widowControl/>
        <w:spacing w:line="246" w:lineRule="exact" w:before="33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K—PENSION AND OTHER POSTRETIREMENT BENEFITS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IFC and MIGA participate in the defined benefit Staff Retirement Plan (SRP), a Retired Staff Benefits Plan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(RSBP) and the PEBP (collectively “the Pension Plans”) that cover substantially all of their staff members.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 costs, assets and liabilities associated with the Pension Plans are allocated between IBRD, IFC and MIGA 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upon their employees’ respective participation in the Pension Plans. Costs allocated to IBRD are then shared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between IBRD and IDA based on an agreed cost-sharing methodology.</w:t>
      </w:r>
    </w:p>
    <w:p>
      <w:pPr>
        <w:autoSpaceDN w:val="0"/>
        <w:autoSpaceDE w:val="0"/>
        <w:widowControl/>
        <w:spacing w:line="224" w:lineRule="exact" w:before="241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58     IBRD Condensed Quarterly Financial Statements: September 30, 2024 (Unaudited)</w:t>
      </w:r>
    </w:p>
    <w:p>
      <w:pPr>
        <w:sectPr>
          <w:pgSz w:w="12240" w:h="15840"/>
          <w:pgMar w:top="700" w:right="1370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summarize the benefit costs associated with the Pension Plans for IBRD and IDA:</w:t>
      </w:r>
    </w:p>
    <w:p>
      <w:pPr>
        <w:autoSpaceDN w:val="0"/>
        <w:autoSpaceDE w:val="0"/>
        <w:widowControl/>
        <w:spacing w:line="222" w:lineRule="exact" w:before="188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K1: Pension Plans benefit costs</w:t>
      </w:r>
    </w:p>
    <w:p>
      <w:pPr>
        <w:autoSpaceDN w:val="0"/>
        <w:autoSpaceDE w:val="0"/>
        <w:widowControl/>
        <w:spacing w:line="156" w:lineRule="exact" w:before="6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2023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480"/>
        </w:trPr>
        <w:tc>
          <w:tcPr>
            <w:tcW w:type="dxa" w:w="2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 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 </w:t>
            </w:r>
          </w:p>
        </w:tc>
      </w:tr>
      <w:tr>
        <w:trPr>
          <w:trHeight w:hRule="exact" w:val="2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cost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288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360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253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318 </w:t>
            </w:r>
          </w:p>
        </w:tc>
      </w:tr>
      <w:tr>
        <w:trPr>
          <w:trHeight w:hRule="exact" w:val="2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Expected return on plan assets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(373)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(66)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(439)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(344)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(61)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(405) </w:t>
            </w:r>
          </w:p>
        </w:tc>
      </w:tr>
      <w:tr>
        <w:trPr>
          <w:trHeight w:hRule="exact" w:val="20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Amortization of unrecognized prior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1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service costs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  <w:tc>
          <w:tcPr>
            <w:tcW w:type="dxa" w:w="858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Amortization of unrecognized net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8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</w:tr>
      <w:tr>
        <w:trPr>
          <w:trHeight w:hRule="exact" w:val="226"/>
        </w:trPr>
        <w:tc>
          <w:tcPr>
            <w:tcW w:type="dxa" w:w="2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actuarial (gains) losses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1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periodic pension cost</w:t>
            </w:r>
          </w:p>
        </w:tc>
        <w:tc>
          <w:tcPr>
            <w:tcW w:type="dxa" w:w="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 </w:t>
            </w:r>
          </w:p>
        </w:tc>
        <w:tc>
          <w:tcPr>
            <w:tcW w:type="dxa" w:w="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8"/>
        </w:trPr>
        <w:tc>
          <w:tcPr>
            <w:tcW w:type="dxa" w:w="2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IBRD’s share </w:t>
            </w:r>
          </w:p>
        </w:tc>
        <w:tc>
          <w:tcPr>
            <w:tcW w:type="dxa" w:w="10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22 $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</w:tr>
      <w:tr>
        <w:trPr>
          <w:trHeight w:hRule="exact" w:val="490"/>
        </w:trPr>
        <w:tc>
          <w:tcPr>
            <w:tcW w:type="dxa" w:w="20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(5)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Included in amounts reclassified into net income in Note I—Accumulated Other Comprehensive Income.</w:t>
      </w:r>
    </w:p>
    <w:p>
      <w:pPr>
        <w:autoSpaceDN w:val="0"/>
        <w:autoSpaceDE w:val="0"/>
        <w:widowControl/>
        <w:spacing w:line="240" w:lineRule="exact" w:before="1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components of net periodic pension cost, other than the service cost, are included in the Non-interest expenses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—Other, net in the Condensed Statements of Income. The service cost component is included in the Non-interest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expenses—Administrative in the Condensed Statements of Income.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the amounts of IBRD’s pension service cost:</w:t>
      </w:r>
    </w:p>
    <w:p>
      <w:pPr>
        <w:autoSpaceDN w:val="0"/>
        <w:autoSpaceDE w:val="0"/>
        <w:widowControl/>
        <w:spacing w:line="222" w:lineRule="exact" w:before="9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K2: Pension service cost </w:t>
      </w:r>
    </w:p>
    <w:p>
      <w:pPr>
        <w:autoSpaceDN w:val="0"/>
        <w:autoSpaceDE w:val="0"/>
        <w:widowControl/>
        <w:spacing w:line="180" w:lineRule="exact" w:before="60" w:after="18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6"/>
        </w:trPr>
        <w:tc>
          <w:tcPr>
            <w:tcW w:type="dxa" w:w="27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</w:t>
            </w:r>
          </w:p>
        </w:tc>
        <w:tc>
          <w:tcPr>
            <w:tcW w:type="dxa" w:w="6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48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2023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SRP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RSBP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PEBP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  <w:tr>
        <w:trPr>
          <w:trHeight w:hRule="exact" w:val="558"/>
        </w:trPr>
        <w:tc>
          <w:tcPr>
            <w:tcW w:type="dxa" w:w="2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Service cost</w:t>
            </w:r>
          </w:p>
        </w:tc>
        <w:tc>
          <w:tcPr>
            <w:tcW w:type="dxa" w:w="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106 $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153 </w:t>
            </w:r>
          </w:p>
        </w:tc>
        <w:tc>
          <w:tcPr>
            <w:tcW w:type="dxa" w:w="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28 $ </w:t>
            </w:r>
          </w:p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20 $ </w:t>
            </w:r>
          </w:p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 </w:t>
            </w:r>
          </w:p>
        </w:tc>
      </w:tr>
    </w:tbl>
    <w:p>
      <w:pPr>
        <w:autoSpaceDN w:val="0"/>
        <w:autoSpaceDE w:val="0"/>
        <w:widowControl/>
        <w:spacing w:line="178" w:lineRule="exact" w:before="20" w:after="32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28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IBRD’s share</w:t>
            </w:r>
          </w:p>
        </w:tc>
        <w:tc>
          <w:tcPr>
            <w:tcW w:type="dxa" w:w="10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73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13 $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10 $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 </w:t>
            </w:r>
          </w:p>
        </w:tc>
      </w:tr>
      <w:tr>
        <w:trPr>
          <w:trHeight w:hRule="exact" w:val="490"/>
        </w:trPr>
        <w:tc>
          <w:tcPr>
            <w:tcW w:type="dxa" w:w="2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IDA’s share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 </w:t>
            </w:r>
          </w:p>
        </w:tc>
      </w:tr>
    </w:tbl>
    <w:p>
      <w:pPr>
        <w:autoSpaceDN w:val="0"/>
        <w:autoSpaceDE w:val="0"/>
        <w:widowControl/>
        <w:spacing w:line="246" w:lineRule="exact" w:before="30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NOTE L—CONTINGENCIES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time to time, IBRD may be named as a defendant or co-defendant in legal actions on different grounds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various jurisdictions. The outcome of any existing legal action, in which IBRD has been named as a defendant or co-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defendant, as of and for the three months ended September 30, 2024, is not expected to have a material adverse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 on IBRD's financial position, results of operations or cash flows.</w:t>
      </w:r>
    </w:p>
    <w:p>
      <w:pPr>
        <w:autoSpaceDN w:val="0"/>
        <w:autoSpaceDE w:val="0"/>
        <w:widowControl/>
        <w:spacing w:line="224" w:lineRule="exact" w:before="2940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IBRD FINANCIAL STATEMENTS: September 30, 2024     59</w:t>
      </w:r>
    </w:p>
    <w:p>
      <w:pPr>
        <w:sectPr>
          <w:pgSz w:w="12240" w:h="15840"/>
          <w:pgMar w:top="700" w:right="1372" w:bottom="36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REVIEW REPORT</w:t>
      </w:r>
    </w:p>
    <w:p>
      <w:pPr>
        <w:autoSpaceDN w:val="0"/>
        <w:autoSpaceDE w:val="0"/>
        <w:widowControl/>
        <w:spacing w:line="240" w:lineRule="auto" w:before="7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9329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150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60</w:t>
      </w:r>
    </w:p>
    <w:p>
      <w:pPr>
        <w:sectPr>
          <w:pgSz w:w="12240" w:h="15840"/>
          <w:pgMar w:top="696" w:right="142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17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9806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61</w:t>
      </w:r>
    </w:p>
    <w:sectPr w:rsidR="00FC693F" w:rsidRPr="0006063C" w:rsidSect="00034616">
      <w:pgSz w:w="12240" w:h="15840"/>
      <w:pgMar w:top="720" w:right="1420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