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34"/>
        <w:ind w:left="0" w:right="0"/>
      </w:pP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48"/>
        </w:rPr>
        <w:t>International Development Association</w:t>
      </w:r>
    </w:p>
    <w:p>
      <w:pPr>
        <w:autoSpaceDN w:val="0"/>
        <w:autoSpaceDE w:val="0"/>
        <w:widowControl/>
        <w:spacing w:line="240" w:lineRule="auto" w:before="10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95500" cy="2180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180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696" w:lineRule="exact" w:before="442" w:after="0"/>
        <w:ind w:left="432" w:right="432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48"/>
        </w:rPr>
        <w:t xml:space="preserve">Management’s Discussion &amp; Analysis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 xml:space="preserve">and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 xml:space="preserve">Condensed Quarterly Financial Statements </w:t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 xml:space="preserve">March 31, 2025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(Unaudited)</w:t>
      </w:r>
    </w:p>
    <w:p>
      <w:pPr>
        <w:sectPr>
          <w:pgSz w:w="12240" w:h="15840"/>
          <w:pgMar w:top="852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88"/>
      </w:tblGrid>
      <w:tr>
        <w:trPr>
          <w:trHeight w:hRule="exact" w:val="254"/>
        </w:trPr>
        <w:tc>
          <w:tcPr>
            <w:tcW w:type="dxa" w:w="93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9368"/>
            </w:tblGrid>
            <w:tr>
              <w:trPr>
                <w:trHeight w:hRule="exact" w:val="234"/>
              </w:trPr>
              <w:tc>
                <w:tcPr>
                  <w:tcW w:type="dxa" w:w="3960"/>
                  <w:tcBorders/>
                  <w:shd w:fill="7f7f7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22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8"/>
                    </w:rPr>
                    <w:t>Management’s Discussion and Analysis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14" w:lineRule="exact" w:before="218" w:after="15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3129"/>
        <w:gridCol w:w="3129"/>
        <w:gridCol w:w="3129"/>
      </w:tblGrid>
      <w:tr>
        <w:trPr>
          <w:trHeight w:hRule="exact" w:val="294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Section I: Executive Summary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Summary of Financial Results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rPr>
          <w:trHeight w:hRule="exact" w:val="300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Section II: Overview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IDA Replenishment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6</w:t>
            </w:r>
          </w:p>
        </w:tc>
      </w:tr>
      <w:tr>
        <w:trPr>
          <w:trHeight w:hRule="exact" w:val="290"/>
        </w:trPr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7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Section III: IDA's Financial Resources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Replenishment of Resources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6</w:t>
            </w:r>
          </w:p>
        </w:tc>
      </w:tr>
      <w:tr>
        <w:trPr>
          <w:trHeight w:hRule="exact" w:val="286"/>
        </w:trPr>
        <w:tc>
          <w:tcPr>
            <w:tcW w:type="dxa" w:w="3129"/>
            <w:vMerge/>
            <w:tcBorders/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IDA Crisis Facility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6</w:t>
            </w:r>
          </w:p>
        </w:tc>
      </w:tr>
      <w:tr>
        <w:trPr>
          <w:trHeight w:hRule="exact" w:val="282"/>
        </w:trPr>
        <w:tc>
          <w:tcPr>
            <w:tcW w:type="dxa" w:w="3129"/>
            <w:vMerge/>
            <w:tcBorders/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Financial Business Model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</w:t>
            </w:r>
          </w:p>
        </w:tc>
      </w:tr>
      <w:tr>
        <w:trPr>
          <w:trHeight w:hRule="exact" w:val="286"/>
        </w:trPr>
        <w:tc>
          <w:tcPr>
            <w:tcW w:type="dxa" w:w="3129"/>
            <w:vMerge/>
            <w:tcBorders/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Basis of Reporting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</w:t>
            </w:r>
          </w:p>
        </w:tc>
      </w:tr>
      <w:tr>
        <w:trPr>
          <w:trHeight w:hRule="exact" w:val="276"/>
        </w:trPr>
        <w:tc>
          <w:tcPr>
            <w:tcW w:type="dxa" w:w="3129"/>
            <w:vMerge/>
            <w:tcBorders/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IDA20 Funding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</w:t>
            </w:r>
          </w:p>
        </w:tc>
      </w:tr>
      <w:tr>
        <w:trPr>
          <w:trHeight w:hRule="exact" w:val="296"/>
        </w:trPr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Section IV: Financial Results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Allocation of IDA20 Resources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</w:t>
            </w:r>
          </w:p>
        </w:tc>
      </w:tr>
      <w:tr>
        <w:trPr>
          <w:trHeight w:hRule="exact" w:val="264"/>
        </w:trPr>
        <w:tc>
          <w:tcPr>
            <w:tcW w:type="dxa" w:w="3129"/>
            <w:vMerge/>
            <w:tcBorders/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Financial Results and Portfolio Performance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</w:t>
            </w:r>
          </w:p>
        </w:tc>
      </w:tr>
      <w:tr>
        <w:trPr>
          <w:trHeight w:hRule="exact" w:val="300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Section V: Risk Management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Risk Governance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19</w:t>
            </w:r>
          </w:p>
        </w:tc>
      </w:tr>
      <w:tr>
        <w:trPr>
          <w:trHeight w:hRule="exact" w:val="288"/>
        </w:trPr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Section VI: Governance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Management of IDA's Risks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19</w:t>
            </w:r>
          </w:p>
        </w:tc>
      </w:tr>
      <w:tr>
        <w:trPr>
          <w:trHeight w:hRule="exact" w:val="316"/>
        </w:trPr>
        <w:tc>
          <w:tcPr>
            <w:tcW w:type="dxa" w:w="3129"/>
            <w:vMerge/>
            <w:tcBorders/>
          </w:tcPr>
          <w:p/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Senior Management Changes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24</w:t>
            </w:r>
          </w:p>
        </w:tc>
      </w:tr>
    </w:tbl>
    <w:p>
      <w:pPr>
        <w:autoSpaceDN w:val="0"/>
        <w:autoSpaceDE w:val="0"/>
        <w:widowControl/>
        <w:spacing w:line="314" w:lineRule="exact" w:before="154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Tables</w:t>
      </w:r>
    </w:p>
    <w:p>
      <w:pPr>
        <w:autoSpaceDN w:val="0"/>
        <w:tabs>
          <w:tab w:pos="9200" w:val="left"/>
        </w:tabs>
        <w:autoSpaceDE w:val="0"/>
        <w:widowControl/>
        <w:spacing w:line="222" w:lineRule="exact" w:before="210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1: Selected Financial Data </w:t>
      </w:r>
      <w:r>
        <w:rPr>
          <w:rFonts w:ascii="ArialMT" w:hAnsi="ArialMT" w:eastAsia="ArialMT"/>
          <w:b w:val="0"/>
          <w:i w:val="0"/>
          <w:color w:val="000000"/>
          <w:sz w:val="20"/>
        </w:rPr>
        <w:t>2</w:t>
      </w:r>
    </w:p>
    <w:p>
      <w:pPr>
        <w:autoSpaceDN w:val="0"/>
        <w:tabs>
          <w:tab w:pos="9200" w:val="left"/>
        </w:tabs>
        <w:autoSpaceDE w:val="0"/>
        <w:widowControl/>
        <w:spacing w:line="224" w:lineRule="exact" w:before="6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2: Cumulative Net Commitments under IDA20 </w:t>
      </w:r>
      <w:r>
        <w:rPr>
          <w:rFonts w:ascii="ArialMT" w:hAnsi="ArialMT" w:eastAsia="ArialMT"/>
          <w:b w:val="0"/>
          <w:i w:val="0"/>
          <w:color w:val="000000"/>
          <w:sz w:val="20"/>
        </w:rPr>
        <w:t>9</w:t>
      </w:r>
    </w:p>
    <w:p>
      <w:pPr>
        <w:autoSpaceDN w:val="0"/>
        <w:tabs>
          <w:tab w:pos="9104" w:val="left"/>
        </w:tabs>
        <w:autoSpaceDE w:val="0"/>
        <w:widowControl/>
        <w:spacing w:line="238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3: Condensed Statements of Income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11</w:t>
      </w:r>
    </w:p>
    <w:p>
      <w:pPr>
        <w:autoSpaceDN w:val="0"/>
        <w:tabs>
          <w:tab w:pos="9104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4: Condensed Balance Sheets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11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5: Changes in Equity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12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6: Net Commitments of Loans and Guarantees by Region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13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7: Net Commitments of Grants by Region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13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8: Gross Disbursements of Loans and Grants by Region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14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9: Revenue and Loan Balances by Product Category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14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10: Net Non-Interest Expense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17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11: Other Revenue (Expenses), net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18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12: Unrealized Mark-to-Market (losses) gains on non-trading portfolios, net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18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13: Deployable Strategic Capital Ratio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20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14: Commercial Credit Exposure, Net of Collateral Held, by Counterparty Rating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22</w:t>
      </w:r>
    </w:p>
    <w:p>
      <w:pPr>
        <w:autoSpaceDN w:val="0"/>
        <w:autoSpaceDE w:val="0"/>
        <w:widowControl/>
        <w:spacing w:line="314" w:lineRule="exact" w:before="200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Figures</w:t>
      </w:r>
    </w:p>
    <w:p>
      <w:pPr>
        <w:autoSpaceDN w:val="0"/>
        <w:tabs>
          <w:tab w:pos="9200" w:val="left"/>
        </w:tabs>
        <w:autoSpaceDE w:val="0"/>
        <w:widowControl/>
        <w:spacing w:line="238" w:lineRule="exact" w:before="194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1: IDA Windows </w:t>
      </w:r>
      <w:r>
        <w:rPr>
          <w:rFonts w:ascii="ArialMT" w:hAnsi="ArialMT" w:eastAsia="ArialMT"/>
          <w:b w:val="0"/>
          <w:i w:val="0"/>
          <w:color w:val="000000"/>
          <w:sz w:val="20"/>
        </w:rPr>
        <w:t>8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2: Net Loans Outstanding Activity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13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3: Net Loans Outstanding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13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4: Net Investment Portfolio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15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5: Investment interest revenue, net of derivatives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15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6: Borrowing Portfolio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16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7: Borrowing expenses, net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16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8: Net Non-Interest Expenses (GAAP basis)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17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9: Country Exposures as of March 31,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21</w:t>
      </w:r>
    </w:p>
    <w:p>
      <w:pPr>
        <w:autoSpaceDN w:val="0"/>
        <w:tabs>
          <w:tab w:pos="9200" w:val="left"/>
        </w:tabs>
        <w:autoSpaceDE w:val="0"/>
        <w:widowControl/>
        <w:spacing w:line="224" w:lineRule="exact" w:before="2278" w:after="0"/>
        <w:ind w:left="20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March 31, 2025 </w:t>
      </w:r>
      <w:r>
        <w:rPr>
          <w:rFonts w:ascii="ArialMT" w:hAnsi="ArialMT" w:eastAsia="ArialMT"/>
          <w:b w:val="0"/>
          <w:i w:val="0"/>
          <w:color w:val="000000"/>
          <w:sz w:val="20"/>
        </w:rPr>
        <w:t>1</w:t>
      </w:r>
    </w:p>
    <w:p>
      <w:pPr>
        <w:sectPr>
          <w:pgSz w:w="12240" w:h="15840"/>
          <w:pgMar w:top="316" w:right="1416" w:bottom="21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I: Executive Summary</w:t>
            </w:r>
          </w:p>
        </w:tc>
      </w:tr>
    </w:tbl>
    <w:p>
      <w:pPr>
        <w:autoSpaceDN w:val="0"/>
        <w:autoSpaceDE w:val="0"/>
        <w:widowControl/>
        <w:spacing w:line="314" w:lineRule="exact" w:before="310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Section I: Executive Summary</w:t>
      </w:r>
    </w:p>
    <w:p>
      <w:pPr>
        <w:autoSpaceDN w:val="0"/>
        <w:autoSpaceDE w:val="0"/>
        <w:widowControl/>
        <w:spacing w:line="240" w:lineRule="exact" w:before="20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This Management’s Discussion &amp; Analysis (MD&amp;A) reflects the results of the International Development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Association’s (IDA) financial performance for the nine months ended March 31, 2025 (FY25 YTD). This document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should be read in conjunction with IDA’s financial statements and MD&amp;A issued for the fiscal year ended June 30,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2024 (FY24). IDA undertakes no obligation to update any forward-looking statements. Certain reclassifications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prior years’ information have been made to conform with the current year’s presentation.</w:t>
      </w:r>
    </w:p>
    <w:p>
      <w:pPr>
        <w:autoSpaceDN w:val="0"/>
        <w:autoSpaceDE w:val="0"/>
        <w:widowControl/>
        <w:spacing w:line="268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Table 1: Selected Financial Data</w:t>
      </w:r>
    </w:p>
    <w:p>
      <w:pPr>
        <w:autoSpaceDN w:val="0"/>
        <w:autoSpaceDE w:val="0"/>
        <w:widowControl/>
        <w:spacing w:line="178" w:lineRule="exact" w:before="154" w:after="132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dollars, except ratios which are in percentages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86.0" w:type="dxa"/>
      </w:tblPr>
      <w:tblGrid>
        <w:gridCol w:w="3147"/>
        <w:gridCol w:w="3147"/>
        <w:gridCol w:w="3147"/>
      </w:tblGrid>
      <w:tr>
        <w:trPr>
          <w:trHeight w:hRule="exact" w:val="464"/>
        </w:trPr>
        <w:tc>
          <w:tcPr>
            <w:tcW w:type="dxa" w:w="2264"/>
            <w:gridSpan w:val="2"/>
            <w:tcBorders>
              <w:bottom w:sz="4.0" w:val="single" w:color="#7F7F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 xml:space="preserve">As of and for the nine months </w:t>
            </w: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ended March 31,</w:t>
            </w:r>
          </w:p>
        </w:tc>
        <w:tc>
          <w:tcPr>
            <w:tcW w:type="dxa" w:w="1720"/>
            <w:tcBorders>
              <w:bottom w:sz="4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 xml:space="preserve">As of and for the fiscal </w:t>
            </w: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year ended June 30,</w:t>
            </w:r>
          </w:p>
        </w:tc>
      </w:tr>
      <w:tr>
        <w:trPr>
          <w:trHeight w:hRule="exact" w:val="240"/>
        </w:trPr>
        <w:tc>
          <w:tcPr>
            <w:tcW w:type="dxa" w:w="1124"/>
            <w:tcBorders>
              <w:top w:sz="4.0" w:val="single" w:color="#7F7F7F"/>
              <w:bottom w:sz="4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2025</w:t>
            </w:r>
          </w:p>
        </w:tc>
        <w:tc>
          <w:tcPr>
            <w:tcW w:type="dxa" w:w="1140"/>
            <w:tcBorders>
              <w:top w:sz="4.0" w:val="single" w:color="#7F7F7F"/>
              <w:bottom w:sz="4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2024</w:t>
            </w:r>
          </w:p>
        </w:tc>
        <w:tc>
          <w:tcPr>
            <w:tcW w:type="dxa" w:w="1720"/>
            <w:tcBorders>
              <w:top w:sz="4.0" w:val="single" w:color="#7F7F7F"/>
              <w:bottom w:sz="4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2024</w:t>
            </w:r>
          </w:p>
        </w:tc>
      </w:tr>
    </w:tbl>
    <w:p>
      <w:pPr>
        <w:autoSpaceDN w:val="0"/>
        <w:autoSpaceDE w:val="0"/>
        <w:widowControl/>
        <w:spacing w:line="180" w:lineRule="exact" w:before="28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Lending Highlights (Section IV)</w:t>
      </w:r>
    </w:p>
    <w:p>
      <w:pPr>
        <w:autoSpaceDN w:val="0"/>
        <w:autoSpaceDE w:val="0"/>
        <w:widowControl/>
        <w:spacing w:line="180" w:lineRule="exact" w:before="60" w:after="2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Loans, Grants and Guarantees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06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commitments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24,726 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20,279 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31,195 </w:t>
            </w:r>
          </w:p>
        </w:tc>
      </w:tr>
      <w:tr>
        <w:trPr>
          <w:trHeight w:hRule="exact" w:val="240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Gross disbursements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23,049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17,827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28,247 </w:t>
            </w:r>
          </w:p>
        </w:tc>
      </w:tr>
      <w:tr>
        <w:trPr>
          <w:trHeight w:hRule="exact" w:val="318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disbursements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16,724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11,981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20,062 </w:t>
            </w:r>
          </w:p>
        </w:tc>
      </w:tr>
    </w:tbl>
    <w:p>
      <w:pPr>
        <w:autoSpaceDN w:val="0"/>
        <w:autoSpaceDE w:val="0"/>
        <w:widowControl/>
        <w:spacing w:line="180" w:lineRule="exact" w:before="236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Balance Sheet (Section IV)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196"/>
        </w:trPr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assets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266,586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235,979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241,350 </w:t>
            </w:r>
          </w:p>
        </w:tc>
      </w:tr>
      <w:tr>
        <w:trPr>
          <w:trHeight w:hRule="exact" w:val="240"/>
        </w:trPr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investment portfolio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44,487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32,719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33,581 </w:t>
            </w:r>
          </w:p>
        </w:tc>
      </w:tr>
      <w:tr>
        <w:trPr>
          <w:trHeight w:hRule="exact" w:val="240"/>
        </w:trPr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loans outstanding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211,065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193,980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198,457 </w:t>
            </w:r>
          </w:p>
        </w:tc>
      </w:tr>
      <w:tr>
        <w:trPr>
          <w:trHeight w:hRule="exact" w:val="240"/>
        </w:trPr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Borrowing portfolio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66,029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42,291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47,028 </w:t>
            </w:r>
          </w:p>
        </w:tc>
      </w:tr>
      <w:tr>
        <w:trPr>
          <w:trHeight w:hRule="exact" w:val="318"/>
        </w:trPr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equity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195,450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188,558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190,301 </w:t>
            </w:r>
          </w:p>
        </w:tc>
      </w:tr>
    </w:tbl>
    <w:p>
      <w:pPr>
        <w:autoSpaceDN w:val="0"/>
        <w:autoSpaceDE w:val="0"/>
        <w:widowControl/>
        <w:spacing w:line="180" w:lineRule="exact" w:before="236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Income Statement (Section IV)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196"/>
        </w:trPr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revenue, net of borrowing expenses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1,759 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1,781 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2,398 </w:t>
            </w:r>
          </w:p>
        </w:tc>
      </w:tr>
      <w:tr>
        <w:trPr>
          <w:trHeight w:hRule="exact" w:val="240"/>
        </w:trPr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Transfers from affiliated organizations and others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515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291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291 </w:t>
            </w:r>
          </w:p>
        </w:tc>
      </w:tr>
      <w:tr>
        <w:trPr>
          <w:trHeight w:hRule="exact" w:val="240"/>
        </w:trPr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Development grants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(5,227)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(3,549)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(5,291) </w:t>
            </w:r>
          </w:p>
        </w:tc>
      </w:tr>
      <w:tr>
        <w:trPr>
          <w:trHeight w:hRule="exact" w:val="318"/>
        </w:trPr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loss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(3,780)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(2,625)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(3,573) </w:t>
            </w:r>
          </w:p>
        </w:tc>
      </w:tr>
    </w:tbl>
    <w:p>
      <w:pPr>
        <w:autoSpaceDN w:val="0"/>
        <w:autoSpaceDE w:val="0"/>
        <w:widowControl/>
        <w:spacing w:line="180" w:lineRule="exact" w:before="236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Non-GAAP Measures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2"/>
        </w:trPr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Adjusted Net Income (Section IV)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375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210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780 </w:t>
            </w:r>
          </w:p>
        </w:tc>
      </w:tr>
    </w:tbl>
    <w:p>
      <w:pPr>
        <w:autoSpaceDN w:val="0"/>
        <w:autoSpaceDE w:val="0"/>
        <w:widowControl/>
        <w:spacing w:line="180" w:lineRule="exact" w:before="28" w:after="20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Deployable Strategic Capital Ratio (Section V)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0"/>
        <w:gridCol w:w="2360"/>
        <w:gridCol w:w="2360"/>
        <w:gridCol w:w="2360"/>
      </w:tblGrid>
      <w:tr>
        <w:trPr>
          <w:trHeight w:hRule="exact" w:val="246"/>
        </w:trPr>
        <w:tc>
          <w:tcPr>
            <w:tcW w:type="dxa" w:w="3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Current Approach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32.8 %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6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N/A</w:t>
            </w:r>
          </w:p>
        </w:tc>
        <w:tc>
          <w:tcPr>
            <w:tcW w:type="dxa" w:w="11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34.8 %</w:t>
            </w:r>
          </w:p>
        </w:tc>
      </w:tr>
      <w:tr>
        <w:trPr>
          <w:trHeight w:hRule="exact" w:val="486"/>
        </w:trPr>
        <w:tc>
          <w:tcPr>
            <w:tcW w:type="dxa" w:w="391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Previous Approach</w:t>
            </w:r>
          </w:p>
        </w:tc>
        <w:tc>
          <w:tcPr>
            <w:tcW w:type="dxa" w:w="278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N/A</w:t>
            </w:r>
          </w:p>
        </w:tc>
        <w:tc>
          <w:tcPr>
            <w:tcW w:type="dxa" w:w="144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3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21.1 %</w:t>
            </w:r>
          </w:p>
        </w:tc>
        <w:tc>
          <w:tcPr>
            <w:tcW w:type="dxa" w:w="1144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21.1 %</w:t>
            </w:r>
          </w:p>
        </w:tc>
      </w:tr>
    </w:tbl>
    <w:p>
      <w:pPr>
        <w:autoSpaceDN w:val="0"/>
        <w:autoSpaceDE w:val="0"/>
        <w:widowControl/>
        <w:spacing w:line="192" w:lineRule="exact" w:before="26" w:after="0"/>
        <w:ind w:left="242" w:right="184" w:hanging="180"/>
        <w:jc w:val="both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Commitments that have been approved by the Executive Directors (referred to as “the Board” in this document) and are net of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full cancellations and terminations relating to commitments approved in the same fiscal year. Commitments and disbursements </w:t>
      </w:r>
      <w:r>
        <w:rPr>
          <w:rFonts w:ascii="Arial" w:hAnsi="Arial" w:eastAsia="Arial"/>
          <w:b w:val="0"/>
          <w:i/>
          <w:color w:val="000000"/>
          <w:sz w:val="16"/>
        </w:rPr>
        <w:t>exclude IDA-IFC-MIGA Private Sector Window (PSW) activities.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46" w:after="0"/>
        <w:ind w:left="62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For the composition of the net investment portfolio, see Notes to the Condensed Quarterly Financial Statements, Note C –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Investments – Table C2.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20" w:after="0"/>
        <w:ind w:left="62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Includes associated derivatives. For the composition of the Borrowing portfolio, see Notes to the Condensed Quarterly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Financial Statements, Note E – Borrowings.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36" w:after="0"/>
        <w:ind w:left="62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d. Since June 30, 2024, the ratio has been calculated using an enhanced Board-approved methodology. See Section V: Risk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Management.</w:t>
      </w:r>
    </w:p>
    <w:p>
      <w:pPr>
        <w:autoSpaceDN w:val="0"/>
        <w:tabs>
          <w:tab w:pos="588" w:val="left"/>
        </w:tabs>
        <w:autoSpaceDE w:val="0"/>
        <w:widowControl/>
        <w:spacing w:line="224" w:lineRule="exact" w:before="289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March 31, 2025</w:t>
      </w:r>
    </w:p>
    <w:p>
      <w:pPr>
        <w:sectPr>
          <w:pgSz w:w="12240" w:h="15840"/>
          <w:pgMar w:top="280" w:right="1370" w:bottom="21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I: Executive Summary</w:t>
            </w:r>
          </w:p>
        </w:tc>
      </w:tr>
    </w:tbl>
    <w:p>
      <w:pPr>
        <w:autoSpaceDN w:val="0"/>
        <w:autoSpaceDE w:val="0"/>
        <w:widowControl/>
        <w:spacing w:line="240" w:lineRule="exact" w:before="25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IDA, an international organization owned by its 175</w:t>
      </w:r>
      <w:r>
        <w:rPr>
          <w:rFonts w:ascii="TimesNewRoman" w:hAnsi="TimesNewRoman" w:eastAsia="TimesNewRoman"/>
          <w:b w:val="0"/>
          <w:i w:val="0"/>
          <w:color w:val="000000"/>
          <w:sz w:val="13"/>
        </w:rPr>
        <w:t>1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member countries, is one of the five institutions of the World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Bank Group (WBG</w:t>
      </w:r>
      <w:r>
        <w:rPr>
          <w:rFonts w:ascii="TimesNewRoman" w:hAnsi="TimesNewRoman" w:eastAsia="TimesNewRoman"/>
          <w:b w:val="0"/>
          <w:i w:val="0"/>
          <w:color w:val="000000"/>
          <w:sz w:val="13"/>
        </w:rPr>
        <w:t>2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). Each WBG organization is legally and financially independent from IDA, with separate assets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liabilities. IDA is not liable for the obligations of the other institutions. </w:t>
      </w:r>
    </w:p>
    <w:p>
      <w:pPr>
        <w:autoSpaceDN w:val="0"/>
        <w:autoSpaceDE w:val="0"/>
        <w:widowControl/>
        <w:spacing w:line="224" w:lineRule="exact" w:before="13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IDA's mission is to end extreme poverty and boost shared prosperity on a livable planet. With its many years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experience and its depth of knowledge in international development, IDA plays a key role in achieving the WBG’s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goal of helping client countries achieve better development outcomes with a vision to create a world free of poverty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 a livable planet. IDA provides loans, grants, guarantees, and other financial products to the poorest and most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vulnerable countries to help meet their development needs, and technical assistance and policy advice by leveraging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its experience and expertise. It also supports countries with disaster risk financing and insurance against natural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disasters and health-related crises and facilitates financing through trust fund partnerships. </w:t>
      </w:r>
    </w:p>
    <w:p>
      <w:pPr>
        <w:autoSpaceDN w:val="0"/>
        <w:autoSpaceDE w:val="0"/>
        <w:widowControl/>
        <w:spacing w:line="230" w:lineRule="exact" w:before="218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and its affiliated institutions seek to help countries in reducing poverty and inequality, and achieve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improvements in economic growth, job creation, governance, human capital, infrastructure, and debt transparency,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among others. To meet its development goals, the WBG supports client countries' efforts to implement programs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improve growth and development outcomes. Further, new and ongoing factors continue to influence the global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outlook, including: global market uncertainties, migration surges, youth unemployment, energy access, climate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adaptation and mitigation, and growing fragility. IDA continues to work with partners at global and country levels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its borrowing countries to maximize impact for development by efficiently channeling resources into projects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that create jobs, drive growth, reduce poverty, and improve living standards. To further support these efforts,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Board and Management have been reforming the WBG to better address the scale of development needs. This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process includes initiatives to increase impact, expand financing capacity, and modernize the approach to delivery.</w:t>
      </w:r>
    </w:p>
    <w:p>
      <w:pPr>
        <w:autoSpaceDN w:val="0"/>
        <w:autoSpaceDE w:val="0"/>
        <w:widowControl/>
        <w:spacing w:line="176" w:lineRule="exact" w:before="7926" w:after="0"/>
        <w:ind w:left="10" w:right="0" w:firstLine="0"/>
        <w:jc w:val="left"/>
      </w:pPr>
      <w:r>
        <w:rPr>
          <w:w w:val="101.11111534966363"/>
          <w:rFonts w:ascii="Arial" w:hAnsi="Arial" w:eastAsia="Arial"/>
          <w:b w:val="0"/>
          <w:i/>
          <w:color w:val="000000"/>
          <w:sz w:val="9"/>
        </w:rPr>
        <w:t>1</w:t>
      </w:r>
      <w:r>
        <w:rPr>
          <w:rFonts w:ascii="Arial" w:hAnsi="Arial" w:eastAsia="Arial"/>
          <w:b w:val="0"/>
          <w:i/>
          <w:color w:val="000000"/>
          <w:sz w:val="14"/>
        </w:rPr>
        <w:t>On October 18, 2024, the Republic of Suriname became the 175th member country of IDA.</w:t>
      </w:r>
    </w:p>
    <w:p>
      <w:pPr>
        <w:autoSpaceDN w:val="0"/>
        <w:autoSpaceDE w:val="0"/>
        <w:widowControl/>
        <w:spacing w:line="168" w:lineRule="exact" w:before="10" w:after="0"/>
        <w:ind w:left="190" w:right="26" w:hanging="180"/>
        <w:jc w:val="both"/>
      </w:pPr>
      <w:r>
        <w:rPr>
          <w:w w:val="101.11111534966363"/>
          <w:rFonts w:ascii="Arial" w:hAnsi="Arial" w:eastAsia="Arial"/>
          <w:b w:val="0"/>
          <w:i/>
          <w:color w:val="000000"/>
          <w:sz w:val="9"/>
        </w:rPr>
        <w:t>2</w:t>
      </w:r>
      <w:r>
        <w:rPr>
          <w:rFonts w:ascii="Arial" w:hAnsi="Arial" w:eastAsia="Arial"/>
          <w:b w:val="0"/>
          <w:i/>
          <w:color w:val="000000"/>
          <w:sz w:val="14"/>
        </w:rPr>
        <w:t xml:space="preserve">  The other WBG institutions are the International Bank for Reconstruction and Development (IBRD), the International Finance Corporation (IFC), the </w:t>
      </w:r>
      <w:r>
        <w:rPr>
          <w:rFonts w:ascii="Arial" w:hAnsi="Arial" w:eastAsia="Arial"/>
          <w:b w:val="0"/>
          <w:i/>
          <w:color w:val="000000"/>
          <w:sz w:val="14"/>
        </w:rPr>
        <w:t xml:space="preserve">Multilateral Investment Guarantee Agency (MIGA), and the International Centre for Settlement of Investment Disputes (ICSID). The World Bank </w:t>
      </w:r>
      <w:r>
        <w:rPr>
          <w:rFonts w:ascii="Arial" w:hAnsi="Arial" w:eastAsia="Arial"/>
          <w:b w:val="0"/>
          <w:i/>
          <w:color w:val="000000"/>
          <w:sz w:val="14"/>
        </w:rPr>
        <w:t>consists of IBRD and IDA.</w:t>
      </w:r>
    </w:p>
    <w:p>
      <w:pPr>
        <w:autoSpaceDN w:val="0"/>
        <w:tabs>
          <w:tab w:pos="9206" w:val="left"/>
        </w:tabs>
        <w:autoSpaceDE w:val="0"/>
        <w:widowControl/>
        <w:spacing w:line="224" w:lineRule="exact" w:before="532" w:after="0"/>
        <w:ind w:left="21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March 31, 2025 </w:t>
      </w:r>
      <w:r>
        <w:rPr>
          <w:rFonts w:ascii="ArialMT" w:hAnsi="ArialMT" w:eastAsia="ArialMT"/>
          <w:b w:val="0"/>
          <w:i w:val="0"/>
          <w:color w:val="000000"/>
          <w:sz w:val="20"/>
        </w:rPr>
        <w:t>3</w:t>
      </w:r>
    </w:p>
    <w:p>
      <w:pPr>
        <w:sectPr>
          <w:pgSz w:w="12240" w:h="15840"/>
          <w:pgMar w:top="280" w:right="1370" w:bottom="21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6"/>
        <w:gridCol w:w="4716"/>
      </w:tblGrid>
      <w:tr>
        <w:trPr>
          <w:trHeight w:hRule="exact" w:val="284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I: Executive Summary</w:t>
            </w:r>
          </w:p>
        </w:tc>
      </w:tr>
    </w:tbl>
    <w:p>
      <w:pPr>
        <w:autoSpaceDN w:val="0"/>
        <w:autoSpaceDE w:val="0"/>
        <w:widowControl/>
        <w:spacing w:line="268" w:lineRule="exact" w:before="266" w:after="74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Summary of Financial Results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1347"/>
        <w:gridCol w:w="1347"/>
        <w:gridCol w:w="1347"/>
        <w:gridCol w:w="1347"/>
        <w:gridCol w:w="1347"/>
        <w:gridCol w:w="1347"/>
        <w:gridCol w:w="1347"/>
      </w:tblGrid>
      <w:tr>
        <w:trPr>
          <w:trHeight w:hRule="exact" w:val="704"/>
        </w:trPr>
        <w:tc>
          <w:tcPr>
            <w:tcW w:type="dxa" w:w="4720"/>
            <w:tcBorders>
              <w:bottom w:sz="12.0" w:val="single" w:color="#24242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0" w:after="0"/>
              <w:ind w:left="20" w:right="288" w:firstLine="0"/>
              <w:jc w:val="left"/>
            </w:pPr>
            <w:r>
              <w:rPr>
                <w:rFonts w:ascii="TimesNewRoman" w:hAnsi="TimesNewRoman" w:eastAsia="TimesNewRoman"/>
                <w:b/>
                <w:i w:val="0"/>
                <w:color w:val="000000"/>
                <w:sz w:val="22"/>
              </w:rPr>
              <w:t xml:space="preserve">Net Loss and Adjusted Net Income </w:t>
            </w:r>
            <w:r>
              <w:br/>
            </w:r>
            <w:r>
              <w:rPr>
                <w:rFonts w:ascii="TimesNewRoman" w:hAnsi="TimesNewRoman" w:eastAsia="TimesNewRoman"/>
                <w:b/>
                <w:i w:val="0"/>
                <w:color w:val="000000"/>
                <w:sz w:val="20"/>
              </w:rPr>
              <w:t>Net Loss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: IDA reported a net loss of $3,780 million </w:t>
            </w:r>
          </w:p>
        </w:tc>
        <w:tc>
          <w:tcPr>
            <w:tcW w:type="dxa" w:w="46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34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millions of U.S. dollars</w:t>
            </w:r>
          </w:p>
          <w:p>
            <w:pPr>
              <w:autoSpaceDN w:val="0"/>
              <w:autoSpaceDE w:val="0"/>
              <w:widowControl/>
              <w:spacing w:line="178" w:lineRule="exact" w:before="344" w:after="0"/>
              <w:ind w:left="0" w:right="9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595959"/>
                <w:sz w:val="16"/>
              </w:rPr>
              <w:t>YTD Adjusted Net Income</w:t>
            </w:r>
          </w:p>
          <w:p>
            <w:pPr>
              <w:autoSpaceDN w:val="0"/>
              <w:autoSpaceDE w:val="0"/>
              <w:widowControl/>
              <w:spacing w:line="180" w:lineRule="exact" w:before="76" w:after="0"/>
              <w:ind w:left="0" w:right="117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595959"/>
                <w:sz w:val="16"/>
              </w:rPr>
              <w:t>YTD Net (Loss) Income</w:t>
            </w:r>
          </w:p>
          <w:p>
            <w:pPr>
              <w:autoSpaceDN w:val="0"/>
              <w:autoSpaceDE w:val="0"/>
              <w:widowControl/>
              <w:spacing w:line="180" w:lineRule="exact" w:before="90" w:after="0"/>
              <w:ind w:left="6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4,000</w:t>
            </w:r>
          </w:p>
          <w:p>
            <w:pPr>
              <w:autoSpaceDN w:val="0"/>
              <w:autoSpaceDE w:val="0"/>
              <w:widowControl/>
              <w:spacing w:line="178" w:lineRule="exact" w:before="226" w:after="0"/>
              <w:ind w:left="6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2,000</w:t>
            </w:r>
          </w:p>
        </w:tc>
      </w:tr>
      <w:tr>
        <w:trPr>
          <w:trHeight w:hRule="exact" w:val="488"/>
        </w:trPr>
        <w:tc>
          <w:tcPr>
            <w:tcW w:type="dxa" w:w="4720"/>
            <w:tcBorders>
              <w:top w:sz="12.0" w:val="single" w:color="#242424"/>
              <w:bottom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20" w:right="288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in FY25 YTD, compared to net loss of $2,625 million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for the nine months ended March 31, 2024 (FY24 </w:t>
            </w:r>
          </w:p>
        </w:tc>
        <w:tc>
          <w:tcPr>
            <w:tcW w:type="dxa" w:w="8082"/>
            <w:gridSpan w:val="6"/>
            <w:vMerge/>
            <w:tcBorders/>
          </w:tcPr>
          <w:p/>
        </w:tc>
      </w:tr>
      <w:tr>
        <w:trPr>
          <w:trHeight w:hRule="exact" w:val="616"/>
        </w:trPr>
        <w:tc>
          <w:tcPr>
            <w:tcW w:type="dxa" w:w="4720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20" w:right="330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YTD). The increase in net loss was primarily driven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by an increase in development grant expenses in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FY25 YTD compared to FY24 YTD. See Section IV: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Financial Results.</w:t>
            </w:r>
          </w:p>
          <w:p>
            <w:pPr>
              <w:autoSpaceDN w:val="0"/>
              <w:autoSpaceDE w:val="0"/>
              <w:widowControl/>
              <w:spacing w:line="240" w:lineRule="exact" w:before="120" w:after="0"/>
              <w:ind w:left="20" w:right="330" w:firstLine="0"/>
              <w:jc w:val="both"/>
            </w:pPr>
            <w:r>
              <w:rPr>
                <w:rFonts w:ascii="TimesNewRoman" w:hAnsi="TimesNewRoman" w:eastAsia="TimesNewRoman"/>
                <w:b/>
                <w:i w:val="0"/>
                <w:color w:val="000000"/>
                <w:sz w:val="20"/>
              </w:rPr>
              <w:t>Adjusted Net Income: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 IDA's adjusted net income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was $375 million in FY25 YTD, compared to $210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million in FY24 YTD. The increase was primarily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due to higher net interest revenue from loans and </w:t>
            </w:r>
          </w:p>
        </w:tc>
        <w:tc>
          <w:tcPr>
            <w:tcW w:type="dxa" w:w="8082"/>
            <w:gridSpan w:val="6"/>
            <w:vMerge/>
            <w:tcBorders/>
          </w:tcPr>
          <w:p/>
        </w:tc>
      </w:tr>
      <w:tr>
        <w:trPr>
          <w:trHeight w:hRule="exact" w:val="1140"/>
        </w:trPr>
        <w:tc>
          <w:tcPr>
            <w:tcW w:type="dxa" w:w="1347"/>
            <w:vMerge/>
            <w:tcBorders>
              <w:top w:sz="6.0" w:val="single" w:color="#E5E6E5"/>
            </w:tcBorders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0" w:after="0"/>
              <w:ind w:left="540" w:right="114" w:firstLine="416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 xml:space="preserve">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 xml:space="preserve">(2,000)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(4,000)</w:t>
            </w:r>
          </w:p>
        </w:tc>
        <w:tc>
          <w:tcPr>
            <w:tcW w:type="dxa" w:w="3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2800" cy="609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800" cy="60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56"/>
        </w:trPr>
        <w:tc>
          <w:tcPr>
            <w:tcW w:type="dxa" w:w="1347"/>
            <w:vMerge/>
            <w:tcBorders>
              <w:top w:sz="6.0" w:val="single" w:color="#E5E6E5"/>
            </w:tcBorders>
          </w:tcPr>
          <w:p/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FY21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FY22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FY23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FY24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FY25</w:t>
            </w:r>
          </w:p>
        </w:tc>
      </w:tr>
    </w:tbl>
    <w:p>
      <w:pPr>
        <w:autoSpaceDN w:val="0"/>
        <w:autoSpaceDE w:val="0"/>
        <w:widowControl/>
        <w:spacing w:line="238" w:lineRule="exact" w:before="0" w:after="0"/>
        <w:ind w:left="4" w:right="5058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investments and lower provision expense for losses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 loans and other exposures, partially offset by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higher borrowing expenses. See Section IV: Financial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Results.</w:t>
      </w:r>
    </w:p>
    <w:p>
      <w:pPr>
        <w:autoSpaceDN w:val="0"/>
        <w:autoSpaceDE w:val="0"/>
        <w:widowControl/>
        <w:spacing w:line="244" w:lineRule="exact" w:before="394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Loans and grants</w:t>
      </w:r>
    </w:p>
    <w:p>
      <w:pPr>
        <w:autoSpaceDN w:val="0"/>
        <w:autoSpaceDE w:val="0"/>
        <w:widowControl/>
        <w:spacing w:line="240" w:lineRule="exact" w:before="13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IDA's net commitments in FY25 YTD were $24.7 billion compared to $20.3 billion in FY24 YTD. Out of the total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FY25 YTD net commitments, $19.3 billion were loan and guarantee commitments and $5.4 billion were grant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commitments. </w:t>
      </w:r>
    </w:p>
    <w:p>
      <w:pPr>
        <w:autoSpaceDN w:val="0"/>
        <w:autoSpaceDE w:val="0"/>
        <w:widowControl/>
        <w:spacing w:line="240" w:lineRule="exact" w:before="12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net loans outstanding increased by $12.6 billion to $211.1 billion as of March 31, 2025, from $198.5 billion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June 30, 2024, mainly due to the net loan disbursements during FY25 YTD. </w:t>
      </w:r>
    </w:p>
    <w:p>
      <w:pPr>
        <w:autoSpaceDN w:val="0"/>
        <w:autoSpaceDE w:val="0"/>
        <w:widowControl/>
        <w:spacing w:line="240" w:lineRule="exact" w:before="12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Development grant expenses were $5.2 billion in FY25 YTD compared to $3.5 billion in FY24 YTD, due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higher amount of grants meeting the conditions for expense recognition in FY25 YTD. </w:t>
      </w:r>
    </w:p>
    <w:p>
      <w:pPr>
        <w:autoSpaceDN w:val="0"/>
        <w:autoSpaceDE w:val="0"/>
        <w:widowControl/>
        <w:spacing w:line="178" w:lineRule="exact" w:before="150" w:after="118"/>
        <w:ind w:left="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billions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</w:tblGrid>
      <w:tr>
        <w:trPr>
          <w:trHeight w:hRule="exact" w:val="260"/>
        </w:trPr>
        <w:tc>
          <w:tcPr>
            <w:tcW w:type="dxa" w:w="516"/>
            <w:vMerge w:val="restart"/>
            <w:tcBorders>
              <w:bottom w:sz="12.0147066116333" w:val="single" w:color="#95959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0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YTD Net Commitments ᵃ</w:t>
            </w:r>
          </w:p>
        </w:tc>
        <w:tc>
          <w:tcPr>
            <w:tcW w:type="dxa" w:w="742"/>
            <w:vMerge w:val="restart"/>
            <w:tcBorders>
              <w:bottom w:sz="12.0147066116333" w:val="single" w:color="#95959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700"/>
            <w:vMerge w:val="restart"/>
            <w:tcBorders>
              <w:bottom w:sz="12.0147066116333" w:val="single" w:color="#95959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8" w:after="0"/>
              <w:ind w:left="2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Loans outstanding</w:t>
            </w:r>
          </w:p>
        </w:tc>
        <w:tc>
          <w:tcPr>
            <w:tcW w:type="dxa" w:w="526"/>
            <w:vMerge w:val="restart"/>
            <w:tcBorders>
              <w:bottom w:sz="12.0147066116333" w:val="single" w:color="#95959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9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YTD Net Grant Commitments</w:t>
            </w:r>
          </w:p>
        </w:tc>
      </w:tr>
      <w:tr>
        <w:trPr>
          <w:trHeight w:hRule="exact" w:val="180"/>
        </w:trPr>
        <w:tc>
          <w:tcPr>
            <w:tcW w:type="dxa" w:w="674"/>
            <w:vMerge/>
            <w:tcBorders>
              <w:bottom w:sz="12.0147066116333" w:val="single" w:color="#959595"/>
            </w:tcBorders>
          </w:tcPr>
          <w:p/>
        </w:tc>
        <w:tc>
          <w:tcPr>
            <w:tcW w:type="dxa" w:w="230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YTD Gross Disbursements</w:t>
            </w:r>
          </w:p>
        </w:tc>
        <w:tc>
          <w:tcPr>
            <w:tcW w:type="dxa" w:w="674"/>
            <w:vMerge/>
            <w:tcBorders>
              <w:bottom w:sz="12.0147066116333" w:val="single" w:color="#959595"/>
            </w:tcBorders>
          </w:tcPr>
          <w:p/>
        </w:tc>
        <w:tc>
          <w:tcPr>
            <w:tcW w:type="dxa" w:w="674"/>
            <w:vMerge/>
            <w:tcBorders>
              <w:bottom w:sz="12.0147066116333" w:val="single" w:color="#959595"/>
            </w:tcBorders>
          </w:tcPr>
          <w:p/>
        </w:tc>
        <w:tc>
          <w:tcPr>
            <w:tcW w:type="dxa" w:w="674"/>
            <w:vMerge/>
            <w:tcBorders>
              <w:bottom w:sz="12.0147066116333" w:val="single" w:color="#959595"/>
            </w:tcBorders>
          </w:tcPr>
          <w:p/>
        </w:tc>
        <w:tc>
          <w:tcPr>
            <w:tcW w:type="dxa" w:w="239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YTD Grant Expense</w:t>
            </w:r>
          </w:p>
        </w:tc>
      </w:tr>
      <w:tr>
        <w:trPr>
          <w:trHeight w:hRule="exact" w:val="84"/>
        </w:trPr>
        <w:tc>
          <w:tcPr>
            <w:tcW w:type="dxa" w:w="674"/>
            <w:vMerge/>
            <w:tcBorders>
              <w:bottom w:sz="12.0147066116333" w:val="single" w:color="#959595"/>
            </w:tcBorders>
          </w:tcPr>
          <w:p/>
        </w:tc>
        <w:tc>
          <w:tcPr>
            <w:tcW w:type="dxa" w:w="2302"/>
            <w:gridSpan w:val="5"/>
            <w:vMerge w:val="restart"/>
            <w:tcBorders>
              <w:bottom w:sz="6.000849723815918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YTD Net Disbursements</w:t>
            </w:r>
          </w:p>
        </w:tc>
        <w:tc>
          <w:tcPr>
            <w:tcW w:type="dxa" w:w="674"/>
            <w:vMerge/>
            <w:tcBorders>
              <w:bottom w:sz="12.0147066116333" w:val="single" w:color="#959595"/>
            </w:tcBorders>
          </w:tcPr>
          <w:p/>
        </w:tc>
        <w:tc>
          <w:tcPr>
            <w:tcW w:type="dxa" w:w="674"/>
            <w:vMerge/>
            <w:tcBorders>
              <w:bottom w:sz="12.0147066116333" w:val="single" w:color="#959595"/>
            </w:tcBorders>
          </w:tcPr>
          <w:p/>
        </w:tc>
        <w:tc>
          <w:tcPr>
            <w:tcW w:type="dxa" w:w="674"/>
            <w:vMerge/>
            <w:tcBorders>
              <w:bottom w:sz="12.0147066116333" w:val="single" w:color="#959595"/>
            </w:tcBorders>
          </w:tcPr>
          <w:p/>
        </w:tc>
        <w:tc>
          <w:tcPr>
            <w:tcW w:type="dxa" w:w="2392"/>
            <w:gridSpan w:val="5"/>
            <w:vMerge w:val="restart"/>
            <w:tcBorders>
              <w:bottom w:sz="6.000849723815918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YTD Grant Disbursements</w:t>
            </w:r>
          </w:p>
        </w:tc>
      </w:tr>
      <w:tr>
        <w:trPr>
          <w:trHeight w:hRule="exact" w:val="140"/>
        </w:trPr>
        <w:tc>
          <w:tcPr>
            <w:tcW w:type="dxa" w:w="516"/>
            <w:tcBorders>
              <w:top w:sz="12.0147066116333" w:val="single" w:color="#959595"/>
              <w:bottom w:sz="6.000849723815918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70"/>
            <w:gridSpan w:val="5"/>
            <w:vMerge/>
            <w:tcBorders>
              <w:bottom w:sz="6.000849723815918" w:val="single" w:color="#E5E6E5"/>
            </w:tcBorders>
          </w:tcPr>
          <w:p/>
        </w:tc>
        <w:tc>
          <w:tcPr>
            <w:tcW w:type="dxa" w:w="742"/>
            <w:tcBorders>
              <w:top w:sz="12.0147066116333" w:val="single" w:color="#959595"/>
              <w:bottom w:sz="6.000849723815918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0"/>
            <w:vMerge w:val="restart"/>
            <w:tcBorders>
              <w:top w:sz="12.0147066116333" w:val="single" w:color="#959595"/>
              <w:bottom w:sz="6.010063648223877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tcBorders>
              <w:top w:sz="12.0147066116333" w:val="single" w:color="#959595"/>
              <w:bottom w:sz="6.000849723815918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70"/>
            <w:gridSpan w:val="5"/>
            <w:vMerge/>
            <w:tcBorders>
              <w:bottom w:sz="6.000849723815918" w:val="single" w:color="#E5E6E5"/>
            </w:tcBorders>
          </w:tcPr>
          <w:p/>
        </w:tc>
      </w:tr>
      <w:tr>
        <w:trPr>
          <w:trHeight w:hRule="exact" w:val="136"/>
        </w:trPr>
        <w:tc>
          <w:tcPr>
            <w:tcW w:type="dxa" w:w="516"/>
            <w:vMerge w:val="restart"/>
            <w:tcBorders>
              <w:top w:sz="6.000849723815918" w:val="single" w:color="#E5E6E5"/>
              <w:bottom w:sz="6.010063648223877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25</w:t>
            </w:r>
          </w:p>
        </w:tc>
        <w:tc>
          <w:tcPr>
            <w:tcW w:type="dxa" w:w="2302"/>
            <w:gridSpan w:val="5"/>
            <w:vMerge w:val="restart"/>
            <w:tcBorders>
              <w:top w:sz="6.000849723815918" w:val="single" w:color="#E5E6E5"/>
              <w:bottom w:sz="6.0073533058166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73200" cy="533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200" cy="533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"/>
            <w:tcBorders>
              <w:top w:sz="6.000849723815918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250</w:t>
            </w:r>
          </w:p>
        </w:tc>
        <w:tc>
          <w:tcPr>
            <w:tcW w:type="dxa" w:w="674"/>
            <w:vMerge/>
            <w:tcBorders>
              <w:top w:sz="12.0147066116333" w:val="single" w:color="#959595"/>
              <w:bottom w:sz="6.010063648223877" w:val="single" w:color="#E5E6E5"/>
            </w:tcBorders>
          </w:tcPr>
          <w:p/>
        </w:tc>
        <w:tc>
          <w:tcPr>
            <w:tcW w:type="dxa" w:w="526"/>
            <w:vMerge w:val="restart"/>
            <w:tcBorders>
              <w:top w:sz="6.000849723815918" w:val="single" w:color="#E5E6E5"/>
              <w:bottom w:sz="6.010063648223877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92"/>
            <w:gridSpan w:val="5"/>
            <w:vMerge w:val="restart"/>
            <w:tcBorders>
              <w:top w:sz="6.000849723815918" w:val="single" w:color="#E5E6E5"/>
              <w:bottom w:sz="6.0073533058166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2"/>
        </w:trPr>
        <w:tc>
          <w:tcPr>
            <w:tcW w:type="dxa" w:w="674"/>
            <w:vMerge/>
            <w:tcBorders>
              <w:top w:sz="6.000849723815918" w:val="single" w:color="#E5E6E5"/>
              <w:bottom w:sz="6.010063648223877" w:val="single" w:color="#E5E6E5"/>
            </w:tcBorders>
          </w:tcPr>
          <w:p/>
        </w:tc>
        <w:tc>
          <w:tcPr>
            <w:tcW w:type="dxa" w:w="3370"/>
            <w:gridSpan w:val="5"/>
            <w:vMerge/>
            <w:tcBorders>
              <w:top w:sz="6.000849723815918" w:val="single" w:color="#E5E6E5"/>
              <w:bottom w:sz="6.00735330581665" w:val="single" w:color="#E5E6E5"/>
            </w:tcBorders>
          </w:tcPr>
          <w:p/>
        </w:tc>
        <w:tc>
          <w:tcPr>
            <w:tcW w:type="dxa" w:w="742"/>
            <w:tcBorders>
              <w:bottom w:sz="6.010063648223877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vMerge/>
            <w:tcBorders>
              <w:top w:sz="12.0147066116333" w:val="single" w:color="#959595"/>
              <w:bottom w:sz="6.010063648223877" w:val="single" w:color="#E5E6E5"/>
            </w:tcBorders>
          </w:tcPr>
          <w:p/>
        </w:tc>
        <w:tc>
          <w:tcPr>
            <w:tcW w:type="dxa" w:w="674"/>
            <w:vMerge/>
            <w:tcBorders>
              <w:top w:sz="6.000849723815918" w:val="single" w:color="#E5E6E5"/>
              <w:bottom w:sz="6.010063648223877" w:val="single" w:color="#E5E6E5"/>
            </w:tcBorders>
          </w:tcPr>
          <w:p/>
        </w:tc>
        <w:tc>
          <w:tcPr>
            <w:tcW w:type="dxa" w:w="3370"/>
            <w:gridSpan w:val="5"/>
            <w:vMerge/>
            <w:tcBorders>
              <w:top w:sz="6.000849723815918" w:val="single" w:color="#E5E6E5"/>
              <w:bottom w:sz="6.00735330581665" w:val="single" w:color="#E5E6E5"/>
            </w:tcBorders>
          </w:tcPr>
          <w:p/>
        </w:tc>
      </w:tr>
      <w:tr>
        <w:trPr>
          <w:trHeight w:hRule="exact" w:val="138"/>
        </w:trPr>
        <w:tc>
          <w:tcPr>
            <w:tcW w:type="dxa" w:w="516"/>
            <w:vMerge w:val="restart"/>
            <w:tcBorders>
              <w:top w:sz="6.010063648223877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20</w:t>
            </w:r>
          </w:p>
        </w:tc>
        <w:tc>
          <w:tcPr>
            <w:tcW w:type="dxa" w:w="3370"/>
            <w:gridSpan w:val="5"/>
            <w:vMerge/>
            <w:tcBorders>
              <w:top w:sz="6.000849723815918" w:val="single" w:color="#E5E6E5"/>
              <w:bottom w:sz="6.00735330581665" w:val="single" w:color="#E5E6E5"/>
            </w:tcBorders>
          </w:tcPr>
          <w:p/>
        </w:tc>
        <w:tc>
          <w:tcPr>
            <w:tcW w:type="dxa" w:w="742"/>
            <w:tcBorders>
              <w:top w:sz="6.010063648223877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200</w:t>
            </w:r>
          </w:p>
        </w:tc>
        <w:tc>
          <w:tcPr>
            <w:tcW w:type="dxa" w:w="2700"/>
            <w:vMerge w:val="restart"/>
            <w:tcBorders>
              <w:top w:sz="6.010063648223877" w:val="single" w:color="#E5E6E5"/>
              <w:bottom w:sz="6.0073533058166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24000" cy="1397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6"/>
            <w:tcBorders>
              <w:top w:sz="6.010063648223877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18</w:t>
            </w:r>
          </w:p>
        </w:tc>
        <w:tc>
          <w:tcPr>
            <w:tcW w:type="dxa" w:w="3370"/>
            <w:gridSpan w:val="5"/>
            <w:vMerge/>
            <w:tcBorders>
              <w:top w:sz="6.000849723815918" w:val="single" w:color="#E5E6E5"/>
              <w:bottom w:sz="6.00735330581665" w:val="single" w:color="#E5E6E5"/>
            </w:tcBorders>
          </w:tcPr>
          <w:p/>
        </w:tc>
      </w:tr>
      <w:tr>
        <w:trPr>
          <w:trHeight w:hRule="exact" w:val="56"/>
        </w:trPr>
        <w:tc>
          <w:tcPr>
            <w:tcW w:type="dxa" w:w="674"/>
            <w:vMerge/>
            <w:tcBorders>
              <w:top w:sz="6.010063648223877" w:val="single" w:color="#E5E6E5"/>
            </w:tcBorders>
          </w:tcPr>
          <w:p/>
        </w:tc>
        <w:tc>
          <w:tcPr>
            <w:tcW w:type="dxa" w:w="3370"/>
            <w:gridSpan w:val="5"/>
            <w:vMerge/>
            <w:tcBorders>
              <w:top w:sz="6.000849723815918" w:val="single" w:color="#E5E6E5"/>
              <w:bottom w:sz="6.00735330581665" w:val="single" w:color="#E5E6E5"/>
            </w:tcBorders>
          </w:tcPr>
          <w:p/>
        </w:tc>
        <w:tc>
          <w:tcPr>
            <w:tcW w:type="dxa" w:w="7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150</w:t>
            </w:r>
          </w:p>
        </w:tc>
        <w:tc>
          <w:tcPr>
            <w:tcW w:type="dxa" w:w="674"/>
            <w:vMerge/>
            <w:tcBorders>
              <w:top w:sz="6.010063648223877" w:val="single" w:color="#E5E6E5"/>
              <w:bottom w:sz="6.00735330581665" w:val="single" w:color="#E5E6E5"/>
            </w:tcBorders>
          </w:tcPr>
          <w:p/>
        </w:tc>
        <w:tc>
          <w:tcPr>
            <w:tcW w:type="dxa" w:w="526"/>
            <w:vMerge w:val="restart"/>
            <w:tcBorders>
              <w:bottom w:sz="6.000849723815918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12</w:t>
            </w:r>
          </w:p>
        </w:tc>
        <w:tc>
          <w:tcPr>
            <w:tcW w:type="dxa" w:w="3370"/>
            <w:gridSpan w:val="5"/>
            <w:vMerge/>
            <w:tcBorders>
              <w:top w:sz="6.000849723815918" w:val="single" w:color="#E5E6E5"/>
              <w:bottom w:sz="6.00735330581665" w:val="single" w:color="#E5E6E5"/>
            </w:tcBorders>
          </w:tcPr>
          <w:p/>
        </w:tc>
      </w:tr>
      <w:tr>
        <w:trPr>
          <w:trHeight w:hRule="exact" w:val="184"/>
        </w:trPr>
        <w:tc>
          <w:tcPr>
            <w:tcW w:type="dxa" w:w="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15</w:t>
            </w:r>
          </w:p>
        </w:tc>
        <w:tc>
          <w:tcPr>
            <w:tcW w:type="dxa" w:w="3370"/>
            <w:gridSpan w:val="5"/>
            <w:vMerge/>
            <w:tcBorders>
              <w:top w:sz="6.000849723815918" w:val="single" w:color="#E5E6E5"/>
              <w:bottom w:sz="6.00735330581665" w:val="single" w:color="#E5E6E5"/>
            </w:tcBorders>
          </w:tcPr>
          <w:p/>
        </w:tc>
        <w:tc>
          <w:tcPr>
            <w:tcW w:type="dxa" w:w="674"/>
            <w:vMerge/>
            <w:tcBorders/>
          </w:tcPr>
          <w:p/>
        </w:tc>
        <w:tc>
          <w:tcPr>
            <w:tcW w:type="dxa" w:w="674"/>
            <w:vMerge/>
            <w:tcBorders>
              <w:top w:sz="6.010063648223877" w:val="single" w:color="#E5E6E5"/>
              <w:bottom w:sz="6.00735330581665" w:val="single" w:color="#E5E6E5"/>
            </w:tcBorders>
          </w:tcPr>
          <w:p/>
        </w:tc>
        <w:tc>
          <w:tcPr>
            <w:tcW w:type="dxa" w:w="674"/>
            <w:vMerge/>
            <w:tcBorders>
              <w:bottom w:sz="6.000849723815918" w:val="single" w:color="#E5E6E5"/>
            </w:tcBorders>
          </w:tcPr>
          <w:p/>
        </w:tc>
        <w:tc>
          <w:tcPr>
            <w:tcW w:type="dxa" w:w="3370"/>
            <w:gridSpan w:val="5"/>
            <w:vMerge/>
            <w:tcBorders>
              <w:top w:sz="6.000849723815918" w:val="single" w:color="#E5E6E5"/>
              <w:bottom w:sz="6.00735330581665" w:val="single" w:color="#E5E6E5"/>
            </w:tcBorders>
          </w:tcPr>
          <w:p/>
        </w:tc>
      </w:tr>
      <w:tr>
        <w:trPr>
          <w:trHeight w:hRule="exact" w:val="154"/>
        </w:trPr>
        <w:tc>
          <w:tcPr>
            <w:tcW w:type="dxa" w:w="516"/>
            <w:tcBorders>
              <w:bottom w:sz="6.000849723815918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70"/>
            <w:gridSpan w:val="5"/>
            <w:vMerge/>
            <w:tcBorders>
              <w:top w:sz="6.000849723815918" w:val="single" w:color="#E5E6E5"/>
              <w:bottom w:sz="6.00735330581665" w:val="single" w:color="#E5E6E5"/>
            </w:tcBorders>
          </w:tcPr>
          <w:p/>
        </w:tc>
        <w:tc>
          <w:tcPr>
            <w:tcW w:type="dxa" w:w="742"/>
            <w:tcBorders>
              <w:bottom w:sz="6.000849723815918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vMerge/>
            <w:tcBorders>
              <w:top w:sz="6.010063648223877" w:val="single" w:color="#E5E6E5"/>
              <w:bottom w:sz="6.00735330581665" w:val="single" w:color="#E5E6E5"/>
            </w:tcBorders>
          </w:tcPr>
          <w:p/>
        </w:tc>
        <w:tc>
          <w:tcPr>
            <w:tcW w:type="dxa" w:w="674"/>
            <w:vMerge/>
            <w:tcBorders>
              <w:bottom w:sz="6.000849723815918" w:val="single" w:color="#E5E6E5"/>
            </w:tcBorders>
          </w:tcPr>
          <w:p/>
        </w:tc>
        <w:tc>
          <w:tcPr>
            <w:tcW w:type="dxa" w:w="3370"/>
            <w:gridSpan w:val="5"/>
            <w:vMerge/>
            <w:tcBorders>
              <w:top w:sz="6.000849723815918" w:val="single" w:color="#E5E6E5"/>
              <w:bottom w:sz="6.00735330581665" w:val="single" w:color="#E5E6E5"/>
            </w:tcBorders>
          </w:tcPr>
          <w:p/>
        </w:tc>
      </w:tr>
      <w:tr>
        <w:trPr>
          <w:trHeight w:hRule="exact" w:val="86"/>
        </w:trPr>
        <w:tc>
          <w:tcPr>
            <w:tcW w:type="dxa" w:w="516"/>
            <w:tcBorders>
              <w:top w:sz="6.000849723815918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70"/>
            <w:gridSpan w:val="5"/>
            <w:vMerge/>
            <w:tcBorders>
              <w:top w:sz="6.000849723815918" w:val="single" w:color="#E5E6E5"/>
              <w:bottom w:sz="6.00735330581665" w:val="single" w:color="#E5E6E5"/>
            </w:tcBorders>
          </w:tcPr>
          <w:p/>
        </w:tc>
        <w:tc>
          <w:tcPr>
            <w:tcW w:type="dxa" w:w="742"/>
            <w:tcBorders>
              <w:top w:sz="6.000849723815918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vMerge/>
            <w:tcBorders>
              <w:top w:sz="6.010063648223877" w:val="single" w:color="#E5E6E5"/>
              <w:bottom w:sz="6.00735330581665" w:val="single" w:color="#E5E6E5"/>
            </w:tcBorders>
          </w:tcPr>
          <w:p/>
        </w:tc>
        <w:tc>
          <w:tcPr>
            <w:tcW w:type="dxa" w:w="526"/>
            <w:vMerge w:val="restart"/>
            <w:tcBorders>
              <w:top w:sz="6.000849723815918" w:val="single" w:color="#E5E6E5"/>
              <w:bottom w:sz="6.0073533058166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6</w:t>
            </w:r>
          </w:p>
        </w:tc>
        <w:tc>
          <w:tcPr>
            <w:tcW w:type="dxa" w:w="3370"/>
            <w:gridSpan w:val="5"/>
            <w:vMerge/>
            <w:tcBorders>
              <w:top w:sz="6.000849723815918" w:val="single" w:color="#E5E6E5"/>
              <w:bottom w:sz="6.00735330581665" w:val="single" w:color="#E5E6E5"/>
            </w:tcBorders>
          </w:tcPr>
          <w:p/>
        </w:tc>
      </w:tr>
      <w:tr>
        <w:trPr>
          <w:trHeight w:hRule="exact" w:val="146"/>
        </w:trPr>
        <w:tc>
          <w:tcPr>
            <w:tcW w:type="dxa" w:w="516"/>
            <w:tcBorders>
              <w:bottom w:sz="6.00735330581665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70"/>
            <w:gridSpan w:val="5"/>
            <w:vMerge/>
            <w:tcBorders>
              <w:top w:sz="6.000849723815918" w:val="single" w:color="#E5E6E5"/>
              <w:bottom w:sz="6.00735330581665" w:val="single" w:color="#E5E6E5"/>
            </w:tcBorders>
          </w:tcPr>
          <w:p/>
        </w:tc>
        <w:tc>
          <w:tcPr>
            <w:tcW w:type="dxa" w:w="742"/>
            <w:tcBorders>
              <w:bottom w:sz="6.00735330581665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vMerge/>
            <w:tcBorders>
              <w:top w:sz="6.010063648223877" w:val="single" w:color="#E5E6E5"/>
              <w:bottom w:sz="6.00735330581665" w:val="single" w:color="#E5E6E5"/>
            </w:tcBorders>
          </w:tcPr>
          <w:p/>
        </w:tc>
        <w:tc>
          <w:tcPr>
            <w:tcW w:type="dxa" w:w="674"/>
            <w:vMerge/>
            <w:tcBorders>
              <w:top w:sz="6.000849723815918" w:val="single" w:color="#E5E6E5"/>
              <w:bottom w:sz="6.00735330581665" w:val="single" w:color="#E5E6E5"/>
            </w:tcBorders>
          </w:tcPr>
          <w:p/>
        </w:tc>
        <w:tc>
          <w:tcPr>
            <w:tcW w:type="dxa" w:w="3370"/>
            <w:gridSpan w:val="5"/>
            <w:vMerge/>
            <w:tcBorders>
              <w:top w:sz="6.000849723815918" w:val="single" w:color="#E5E6E5"/>
              <w:bottom w:sz="6.00735330581665" w:val="single" w:color="#E5E6E5"/>
            </w:tcBorders>
          </w:tcPr>
          <w:p/>
        </w:tc>
      </w:tr>
      <w:tr>
        <w:trPr>
          <w:trHeight w:hRule="exact" w:val="94"/>
        </w:trPr>
        <w:tc>
          <w:tcPr>
            <w:tcW w:type="dxa" w:w="516"/>
            <w:tcBorders>
              <w:top w:sz="6.0073533058166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5</w:t>
            </w:r>
          </w:p>
        </w:tc>
        <w:tc>
          <w:tcPr>
            <w:tcW w:type="dxa" w:w="424"/>
            <w:vMerge w:val="restart"/>
            <w:tcBorders>
              <w:top w:sz="6.00735330581665" w:val="single" w:color="#E5E6E5"/>
              <w:bottom w:sz="6.0073533058166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vMerge w:val="restart"/>
            <w:tcBorders>
              <w:top w:sz="6.00735330581665" w:val="single" w:color="#E5E6E5"/>
              <w:bottom w:sz="6.0073533058166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vMerge w:val="restart"/>
            <w:tcBorders>
              <w:top w:sz="6.00735330581665" w:val="single" w:color="#E5E6E5"/>
              <w:bottom w:sz="6.0073533058166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vMerge w:val="restart"/>
            <w:tcBorders>
              <w:top w:sz="6.00735330581665" w:val="single" w:color="#E5E6E5"/>
              <w:bottom w:sz="6.0073533058166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98"/>
            <w:vMerge w:val="restart"/>
            <w:tcBorders>
              <w:top w:sz="6.00735330581665" w:val="single" w:color="#E5E6E5"/>
              <w:bottom w:sz="6.0073533058166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42"/>
            <w:vMerge w:val="restart"/>
            <w:tcBorders>
              <w:top w:sz="6.0073533058166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50</w:t>
            </w:r>
          </w:p>
        </w:tc>
        <w:tc>
          <w:tcPr>
            <w:tcW w:type="dxa" w:w="2700"/>
            <w:vMerge w:val="restart"/>
            <w:tcBorders>
              <w:top w:sz="6.00735330581665" w:val="single" w:color="#E5E6E5"/>
              <w:bottom w:sz="6.0073533058166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26"/>
            <w:vMerge w:val="restart"/>
            <w:tcBorders>
              <w:top w:sz="6.00735330581665" w:val="single" w:color="#E5E6E5"/>
              <w:bottom w:sz="6.0073533058166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92"/>
            <w:gridSpan w:val="5"/>
            <w:vMerge w:val="restart"/>
            <w:tcBorders>
              <w:top w:sz="6.00735330581665" w:val="single" w:color="#E5E6E5"/>
              <w:bottom w:sz="6.0073533058166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73200" cy="25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200" cy="25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56"/>
        </w:trPr>
        <w:tc>
          <w:tcPr>
            <w:tcW w:type="dxa" w:w="516"/>
            <w:vMerge w:val="restart"/>
            <w:tcBorders>
              <w:bottom w:sz="6.0073533058166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  <w:tc>
          <w:tcPr>
            <w:tcW w:type="dxa" w:w="674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  <w:tc>
          <w:tcPr>
            <w:tcW w:type="dxa" w:w="674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  <w:tc>
          <w:tcPr>
            <w:tcW w:type="dxa" w:w="674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  <w:tc>
          <w:tcPr>
            <w:tcW w:type="dxa" w:w="674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  <w:tc>
          <w:tcPr>
            <w:tcW w:type="dxa" w:w="674"/>
            <w:vMerge/>
            <w:tcBorders>
              <w:top w:sz="6.00735330581665" w:val="single" w:color="#E5E6E5"/>
            </w:tcBorders>
          </w:tcPr>
          <w:p/>
        </w:tc>
        <w:tc>
          <w:tcPr>
            <w:tcW w:type="dxa" w:w="674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  <w:tc>
          <w:tcPr>
            <w:tcW w:type="dxa" w:w="674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  <w:tc>
          <w:tcPr>
            <w:tcW w:type="dxa" w:w="3370"/>
            <w:gridSpan w:val="5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</w:tr>
      <w:tr>
        <w:trPr>
          <w:trHeight w:hRule="exact" w:val="74"/>
        </w:trPr>
        <w:tc>
          <w:tcPr>
            <w:tcW w:type="dxa" w:w="674"/>
            <w:vMerge/>
            <w:tcBorders>
              <w:bottom w:sz="6.00735330581665" w:val="single" w:color="#E5E6E5"/>
            </w:tcBorders>
          </w:tcPr>
          <w:p/>
        </w:tc>
        <w:tc>
          <w:tcPr>
            <w:tcW w:type="dxa" w:w="674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  <w:tc>
          <w:tcPr>
            <w:tcW w:type="dxa" w:w="674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  <w:tc>
          <w:tcPr>
            <w:tcW w:type="dxa" w:w="674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  <w:tc>
          <w:tcPr>
            <w:tcW w:type="dxa" w:w="674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  <w:tc>
          <w:tcPr>
            <w:tcW w:type="dxa" w:w="674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  <w:tc>
          <w:tcPr>
            <w:tcW w:type="dxa" w:w="742"/>
            <w:tcBorders>
              <w:bottom w:sz="6.00735330581665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  <w:tc>
          <w:tcPr>
            <w:tcW w:type="dxa" w:w="674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  <w:tc>
          <w:tcPr>
            <w:tcW w:type="dxa" w:w="3370"/>
            <w:gridSpan w:val="5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</w:tr>
      <w:tr>
        <w:trPr>
          <w:trHeight w:hRule="exact" w:val="388"/>
        </w:trPr>
        <w:tc>
          <w:tcPr>
            <w:tcW w:type="dxa" w:w="516"/>
            <w:tcBorders>
              <w:top w:sz="6.0073533058166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0</w:t>
            </w:r>
          </w:p>
        </w:tc>
        <w:tc>
          <w:tcPr>
            <w:tcW w:type="dxa" w:w="424"/>
            <w:tcBorders>
              <w:top w:sz="6.0073533058166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FY21</w:t>
            </w:r>
          </w:p>
        </w:tc>
        <w:tc>
          <w:tcPr>
            <w:tcW w:type="dxa" w:w="460"/>
            <w:tcBorders>
              <w:top w:sz="6.0073533058166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FY22</w:t>
            </w:r>
          </w:p>
        </w:tc>
        <w:tc>
          <w:tcPr>
            <w:tcW w:type="dxa" w:w="460"/>
            <w:tcBorders>
              <w:top w:sz="6.0073533058166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FY23</w:t>
            </w:r>
          </w:p>
        </w:tc>
        <w:tc>
          <w:tcPr>
            <w:tcW w:type="dxa" w:w="460"/>
            <w:tcBorders>
              <w:top w:sz="6.0073533058166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FY24</w:t>
            </w:r>
          </w:p>
        </w:tc>
        <w:tc>
          <w:tcPr>
            <w:tcW w:type="dxa" w:w="498"/>
            <w:tcBorders>
              <w:top w:sz="6.0073533058166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FY25</w:t>
            </w:r>
          </w:p>
        </w:tc>
        <w:tc>
          <w:tcPr>
            <w:tcW w:type="dxa" w:w="742"/>
            <w:tcBorders>
              <w:top w:sz="6.0073533058166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0</w:t>
            </w:r>
          </w:p>
        </w:tc>
        <w:tc>
          <w:tcPr>
            <w:tcW w:type="dxa" w:w="2700"/>
            <w:tcBorders>
              <w:top w:sz="6.0073533058166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4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Jun 21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Jun 22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Jun 23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Jun 24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Mar 25</w:t>
            </w:r>
          </w:p>
        </w:tc>
        <w:tc>
          <w:tcPr>
            <w:tcW w:type="dxa" w:w="526"/>
            <w:tcBorders>
              <w:top w:sz="6.0073533058166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0</w:t>
            </w:r>
          </w:p>
        </w:tc>
        <w:tc>
          <w:tcPr>
            <w:tcW w:type="dxa" w:w="514"/>
            <w:tcBorders>
              <w:top w:sz="6.0073533058166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FY21</w:t>
            </w:r>
          </w:p>
        </w:tc>
        <w:tc>
          <w:tcPr>
            <w:tcW w:type="dxa" w:w="460"/>
            <w:tcBorders>
              <w:top w:sz="6.0073533058166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FY22</w:t>
            </w:r>
          </w:p>
        </w:tc>
        <w:tc>
          <w:tcPr>
            <w:tcW w:type="dxa" w:w="460"/>
            <w:tcBorders>
              <w:top w:sz="6.0073533058166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FY23</w:t>
            </w:r>
          </w:p>
        </w:tc>
        <w:tc>
          <w:tcPr>
            <w:tcW w:type="dxa" w:w="460"/>
            <w:tcBorders>
              <w:top w:sz="6.0073533058166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FY24</w:t>
            </w:r>
          </w:p>
        </w:tc>
        <w:tc>
          <w:tcPr>
            <w:tcW w:type="dxa" w:w="498"/>
            <w:tcBorders>
              <w:top w:sz="6.0073533058166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FY25</w:t>
            </w:r>
          </w:p>
        </w:tc>
      </w:tr>
    </w:tbl>
    <w:p>
      <w:pPr>
        <w:autoSpaceDN w:val="0"/>
        <w:autoSpaceDE w:val="0"/>
        <w:widowControl/>
        <w:spacing w:line="178" w:lineRule="exact" w:before="114" w:after="0"/>
        <w:ind w:left="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Includes loans, grants and guarantees.</w:t>
      </w:r>
    </w:p>
    <w:p>
      <w:pPr>
        <w:autoSpaceDN w:val="0"/>
        <w:tabs>
          <w:tab w:pos="582" w:val="left"/>
        </w:tabs>
        <w:autoSpaceDE w:val="0"/>
        <w:widowControl/>
        <w:spacing w:line="224" w:lineRule="exact" w:before="390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March 31, 2025</w:t>
      </w:r>
    </w:p>
    <w:p>
      <w:pPr>
        <w:sectPr>
          <w:pgSz w:w="12240" w:h="15840"/>
          <w:pgMar w:top="280" w:right="1372" w:bottom="21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73"/>
        <w:gridCol w:w="1173"/>
        <w:gridCol w:w="1173"/>
        <w:gridCol w:w="1173"/>
        <w:gridCol w:w="1173"/>
        <w:gridCol w:w="1173"/>
        <w:gridCol w:w="1173"/>
        <w:gridCol w:w="1173"/>
      </w:tblGrid>
      <w:tr>
        <w:trPr>
          <w:trHeight w:hRule="exact" w:val="284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gridSpan w:val="7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I: Executive Summary</w:t>
            </w:r>
          </w:p>
        </w:tc>
      </w:tr>
      <w:tr>
        <w:trPr>
          <w:trHeight w:hRule="exact" w:val="516"/>
        </w:trPr>
        <w:tc>
          <w:tcPr>
            <w:tcW w:type="dxa" w:w="39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54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/>
                <w:i w:val="0"/>
                <w:color w:val="000000"/>
                <w:sz w:val="22"/>
              </w:rPr>
              <w:t>Net Investment Portfolio</w:t>
            </w:r>
          </w:p>
        </w:tc>
        <w:tc>
          <w:tcPr>
            <w:tcW w:type="dxa" w:w="5404"/>
            <w:gridSpan w:val="7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4" w:after="0"/>
              <w:ind w:left="0" w:right="207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billions of U.S. dollars</w:t>
            </w:r>
          </w:p>
        </w:tc>
      </w:tr>
      <w:tr>
        <w:trPr>
          <w:trHeight w:hRule="exact" w:val="360"/>
        </w:trPr>
        <w:tc>
          <w:tcPr>
            <w:tcW w:type="dxa" w:w="4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36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As of March 31, 2025, the net investment portfolio </w:t>
            </w:r>
          </w:p>
        </w:tc>
        <w:tc>
          <w:tcPr>
            <w:tcW w:type="dxa" w:w="458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8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Investment Portfolio</w:t>
            </w:r>
          </w:p>
        </w:tc>
      </w:tr>
      <w:tr>
        <w:trPr>
          <w:trHeight w:hRule="exact" w:val="240"/>
        </w:trPr>
        <w:tc>
          <w:tcPr>
            <w:tcW w:type="dxa" w:w="4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was $44.5 billion, an increase of $10.9 billion from </w:t>
            </w:r>
          </w:p>
        </w:tc>
        <w:tc>
          <w:tcPr>
            <w:tcW w:type="dxa" w:w="458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4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75</w:t>
            </w:r>
          </w:p>
        </w:tc>
      </w:tr>
      <w:tr>
        <w:trPr>
          <w:trHeight w:hRule="exact" w:val="260"/>
        </w:trPr>
        <w:tc>
          <w:tcPr>
            <w:tcW w:type="dxa" w:w="4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June 30, 2024. The increase was driven by net cash 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60</w:t>
            </w:r>
          </w:p>
        </w:tc>
        <w:tc>
          <w:tcPr>
            <w:tcW w:type="dxa" w:w="3844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9500" cy="2159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215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88"/>
        </w:trPr>
        <w:tc>
          <w:tcPr>
            <w:tcW w:type="dxa" w:w="47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inflows from new issuances of debt exceeding net </w:t>
            </w:r>
          </w:p>
        </w:tc>
        <w:tc>
          <w:tcPr>
            <w:tcW w:type="dxa" w:w="1173"/>
            <w:vMerge/>
            <w:tcBorders/>
          </w:tcPr>
          <w:p/>
        </w:tc>
        <w:tc>
          <w:tcPr>
            <w:tcW w:type="dxa" w:w="5865"/>
            <w:gridSpan w:val="5"/>
            <w:vMerge/>
            <w:tcBorders/>
          </w:tcPr>
          <w:p/>
        </w:tc>
      </w:tr>
      <w:tr>
        <w:trPr>
          <w:trHeight w:hRule="exact" w:val="132"/>
        </w:trPr>
        <w:tc>
          <w:tcPr>
            <w:tcW w:type="dxa" w:w="2346"/>
            <w:gridSpan w:val="2"/>
            <w:vMerge/>
            <w:tcBorders/>
          </w:tcPr>
          <w:p/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45</w:t>
            </w:r>
          </w:p>
        </w:tc>
        <w:tc>
          <w:tcPr>
            <w:tcW w:type="dxa" w:w="5865"/>
            <w:gridSpan w:val="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loan and grant disbursements during the period. See </w:t>
            </w:r>
          </w:p>
        </w:tc>
        <w:tc>
          <w:tcPr>
            <w:tcW w:type="dxa" w:w="1173"/>
            <w:vMerge/>
            <w:tcBorders/>
          </w:tcPr>
          <w:p/>
        </w:tc>
        <w:tc>
          <w:tcPr>
            <w:tcW w:type="dxa" w:w="5865"/>
            <w:gridSpan w:val="5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4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Section IV: Financial Results. The primary objective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5865"/>
            <w:gridSpan w:val="5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4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of IDA's investment strategy is principal protection. </w:t>
            </w:r>
          </w:p>
        </w:tc>
        <w:tc>
          <w:tcPr>
            <w:tcW w:type="dxa" w:w="458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4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240"/>
        </w:trPr>
        <w:tc>
          <w:tcPr>
            <w:tcW w:type="dxa" w:w="4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As of March 31, 2025, 72% of IDA's investment </w:t>
            </w:r>
          </w:p>
        </w:tc>
        <w:tc>
          <w:tcPr>
            <w:tcW w:type="dxa" w:w="458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5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248"/>
        </w:trPr>
        <w:tc>
          <w:tcPr>
            <w:tcW w:type="dxa" w:w="4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portfolio was held in instruments rated AA or above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21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22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23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24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 25</w:t>
            </w:r>
          </w:p>
        </w:tc>
      </w:tr>
    </w:tbl>
    <w:p>
      <w:pPr>
        <w:autoSpaceDN w:val="0"/>
        <w:autoSpaceDE w:val="0"/>
        <w:widowControl/>
        <w:spacing w:line="222" w:lineRule="exact" w:before="8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(77% as of June 30, 2024) (Table 14).</w:t>
      </w:r>
    </w:p>
    <w:p>
      <w:pPr>
        <w:autoSpaceDN w:val="0"/>
        <w:autoSpaceDE w:val="0"/>
        <w:widowControl/>
        <w:spacing w:line="244" w:lineRule="exact" w:before="130" w:after="88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Borrowing Portfolio</w:t>
      </w:r>
    </w:p>
    <w:p>
      <w:pPr>
        <w:sectPr>
          <w:pgSz w:w="12240" w:h="15840"/>
          <w:pgMar w:top="280" w:right="1416" w:bottom="21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4" w:right="57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Market borrowings at fair value: As of March 31,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2025, the market borrowings reported at fair value </w:t>
      </w:r>
    </w:p>
    <w:p>
      <w:pPr>
        <w:sectPr>
          <w:type w:val="continuous"/>
          <w:pgSz w:w="12240" w:h="15840"/>
          <w:pgMar w:top="280" w:right="1416" w:bottom="216" w:left="1436" w:header="720" w:footer="720" w:gutter="0"/>
          <w:cols w:num="2" w:equalWidth="0">
            <w:col w:w="5021" w:space="0"/>
            <w:col w:w="4366" w:space="0"/>
          </w:cols>
          <w:docGrid w:linePitch="360"/>
        </w:sectPr>
      </w:pPr>
    </w:p>
    <w:p>
      <w:pPr>
        <w:autoSpaceDN w:val="0"/>
        <w:autoSpaceDE w:val="0"/>
        <w:widowControl/>
        <w:spacing w:line="204" w:lineRule="exact" w:before="0" w:after="58"/>
        <w:ind w:left="652" w:right="1872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In billions of U.S. dollars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</w:rPr>
        <w:t>Borrowing Portfolio</w:t>
      </w:r>
    </w:p>
    <w:p>
      <w:pPr>
        <w:sectPr>
          <w:type w:val="nextColumn"/>
          <w:pgSz w:w="12240" w:h="15840"/>
          <w:pgMar w:top="280" w:right="1416" w:bottom="216" w:left="1436" w:header="720" w:footer="720" w:gutter="0"/>
          <w:cols w:num="2" w:equalWidth="0">
            <w:col w:w="5021" w:space="0"/>
            <w:col w:w="4366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1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the related derivatives were $44.0 billion, 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224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increase of $15.5 billion from June 30, 2024, </w:t>
            </w:r>
          </w:p>
        </w:tc>
        <w:tc>
          <w:tcPr>
            <w:tcW w:type="dxa" w:w="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75</w:t>
            </w:r>
          </w:p>
        </w:tc>
        <w:tc>
          <w:tcPr>
            <w:tcW w:type="dxa" w:w="3674"/>
            <w:gridSpan w:val="5"/>
            <w:vMerge w:val="restart"/>
            <w:tcBorders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6800" cy="482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80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4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primarily due to net new debt issuances of $15.4 </w:t>
            </w:r>
          </w:p>
        </w:tc>
        <w:tc>
          <w:tcPr>
            <w:tcW w:type="dxa" w:w="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60</w:t>
            </w:r>
          </w:p>
        </w:tc>
        <w:tc>
          <w:tcPr>
            <w:tcW w:type="dxa" w:w="6705"/>
            <w:gridSpan w:val="5"/>
            <w:vMerge/>
            <w:tcBorders>
              <w:bottom w:sz="6.0" w:val="single" w:color="#E5E6E5"/>
            </w:tcBorders>
          </w:tcPr>
          <w:p/>
        </w:tc>
      </w:tr>
      <w:tr>
        <w:trPr>
          <w:trHeight w:hRule="exact" w:val="340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billion during the period. </w:t>
            </w:r>
          </w:p>
        </w:tc>
        <w:tc>
          <w:tcPr>
            <w:tcW w:type="dxa" w:w="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6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45</w:t>
            </w:r>
          </w:p>
        </w:tc>
        <w:tc>
          <w:tcPr>
            <w:tcW w:type="dxa" w:w="6705"/>
            <w:gridSpan w:val="5"/>
            <w:vMerge/>
            <w:tcBorders>
              <w:bottom w:sz="6.0" w:val="single" w:color="#E5E6E5"/>
            </w:tcBorders>
          </w:tcPr>
          <w:p/>
        </w:tc>
      </w:tr>
      <w:tr>
        <w:trPr>
          <w:trHeight w:hRule="exact" w:val="256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Market borrowings at amortized cost: As of </w:t>
            </w:r>
          </w:p>
        </w:tc>
        <w:tc>
          <w:tcPr>
            <w:tcW w:type="dxa" w:w="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6705"/>
            <w:gridSpan w:val="5"/>
            <w:vMerge/>
            <w:tcBorders>
              <w:bottom w:sz="6.0" w:val="single" w:color="#E5E6E5"/>
            </w:tcBorders>
          </w:tcPr>
          <w:p/>
        </w:tc>
      </w:tr>
      <w:tr>
        <w:trPr>
          <w:trHeight w:hRule="exact" w:val="166"/>
        </w:trPr>
        <w:tc>
          <w:tcPr>
            <w:tcW w:type="dxa" w:w="4820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March 31, 2025, the market borrowings reported at </w:t>
            </w:r>
          </w:p>
        </w:tc>
        <w:tc>
          <w:tcPr>
            <w:tcW w:type="dxa" w:w="848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05"/>
            <w:gridSpan w:val="5"/>
            <w:vMerge/>
            <w:tcBorders>
              <w:bottom w:sz="6.0" w:val="single" w:color="#E5E6E5"/>
            </w:tcBorders>
          </w:tcPr>
          <w:p/>
        </w:tc>
      </w:tr>
      <w:tr>
        <w:trPr>
          <w:trHeight w:hRule="exact" w:val="78"/>
        </w:trPr>
        <w:tc>
          <w:tcPr>
            <w:tcW w:type="dxa" w:w="4820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21</w:t>
            </w:r>
          </w:p>
        </w:tc>
        <w:tc>
          <w:tcPr>
            <w:tcW w:type="dxa" w:w="740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22</w:t>
            </w:r>
          </w:p>
        </w:tc>
        <w:tc>
          <w:tcPr>
            <w:tcW w:type="dxa" w:w="720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23</w:t>
            </w:r>
          </w:p>
        </w:tc>
        <w:tc>
          <w:tcPr>
            <w:tcW w:type="dxa" w:w="720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24</w:t>
            </w:r>
          </w:p>
        </w:tc>
        <w:tc>
          <w:tcPr>
            <w:tcW w:type="dxa" w:w="782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 25</w:t>
            </w:r>
          </w:p>
        </w:tc>
      </w:tr>
      <w:tr>
        <w:trPr>
          <w:trHeight w:hRule="exact" w:val="240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amortized cost were $14.8 billion, an increase of $3.3 </w:t>
            </w:r>
          </w:p>
        </w:tc>
        <w:tc>
          <w:tcPr>
            <w:tcW w:type="dxa" w:w="8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6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</w:tr>
      <w:tr>
        <w:trPr>
          <w:trHeight w:hRule="exact" w:val="240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billion from June 30, 2024, primarily due to net new 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</w:tr>
      <w:tr>
        <w:trPr>
          <w:trHeight w:hRule="exact" w:val="302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debt issuances during the period.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60" w:after="0"/>
        <w:ind w:left="4" w:right="5014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Concessional Partner Loans at amortized cost: As of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March 31, 2025, Concessional Partner Loans (CPL)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reported at amortized cost were $7.2 billion, an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of $0.2 billion from June 30, 2024. </w:t>
      </w:r>
    </w:p>
    <w:p>
      <w:pPr>
        <w:autoSpaceDN w:val="0"/>
        <w:autoSpaceDE w:val="0"/>
        <w:widowControl/>
        <w:spacing w:line="222" w:lineRule="exact" w:before="138" w:after="31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See Section IV: Financial Results.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308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/>
                <w:i w:val="0"/>
                <w:color w:val="000000"/>
                <w:sz w:val="22"/>
              </w:rPr>
              <w:t>Equity and Capital Adequacy</w:t>
            </w:r>
          </w:p>
        </w:tc>
        <w:tc>
          <w:tcPr>
            <w:tcW w:type="dxa" w:w="780"/>
            <w:vMerge w:val="restart"/>
            <w:tcBorders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74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9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billions of U.S. dollars</w:t>
            </w:r>
          </w:p>
        </w:tc>
      </w:tr>
      <w:tr>
        <w:trPr>
          <w:trHeight w:hRule="exact" w:val="300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As of March 31, 2025, IDA's equity was $195.5 </w:t>
            </w:r>
          </w:p>
        </w:tc>
        <w:tc>
          <w:tcPr>
            <w:tcW w:type="dxa" w:w="1341"/>
            <w:vMerge/>
            <w:tcBorders>
              <w:bottom w:sz="6.0086469650268555" w:val="single" w:color="#E5E6E5"/>
            </w:tcBorders>
          </w:tcPr>
          <w:p/>
        </w:tc>
        <w:tc>
          <w:tcPr>
            <w:tcW w:type="dxa" w:w="3742"/>
            <w:gridSpan w:val="5"/>
            <w:vMerge w:val="restart"/>
            <w:tcBorders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Equity</w:t>
            </w:r>
          </w:p>
        </w:tc>
      </w:tr>
      <w:tr>
        <w:trPr>
          <w:trHeight w:hRule="exact" w:val="221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billion, an increase of $5.1 billion from June 30, </w:t>
            </w:r>
          </w:p>
        </w:tc>
        <w:tc>
          <w:tcPr>
            <w:tcW w:type="dxa" w:w="1341"/>
            <w:vMerge/>
            <w:tcBorders>
              <w:bottom w:sz="6.0086469650268555" w:val="single" w:color="#E5E6E5"/>
            </w:tcBorders>
          </w:tcPr>
          <w:p/>
        </w:tc>
        <w:tc>
          <w:tcPr>
            <w:tcW w:type="dxa" w:w="6705"/>
            <w:gridSpan w:val="5"/>
            <w:vMerge/>
            <w:tcBorders>
              <w:bottom w:sz="6.0086469650268555" w:val="single" w:color="#E5E6E5"/>
            </w:tcBorders>
          </w:tcPr>
          <w:p/>
        </w:tc>
      </w:tr>
      <w:tr>
        <w:trPr>
          <w:trHeight w:hRule="exact" w:val="119"/>
        </w:trPr>
        <w:tc>
          <w:tcPr>
            <w:tcW w:type="dxa" w:w="4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2024. The increase was primarily due to subscriptions </w:t>
            </w:r>
          </w:p>
        </w:tc>
        <w:tc>
          <w:tcPr>
            <w:tcW w:type="dxa" w:w="780"/>
            <w:tcBorders>
              <w:top w:sz="6.008646965026855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250</w:t>
            </w:r>
          </w:p>
        </w:tc>
        <w:tc>
          <w:tcPr>
            <w:tcW w:type="dxa" w:w="3742"/>
            <w:gridSpan w:val="5"/>
            <w:vMerge w:val="restart"/>
            <w:tcBorders>
              <w:top w:sz="6.0086469650268555" w:val="single" w:color="#E5E6E5"/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73300" cy="889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3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40"/>
        </w:trPr>
        <w:tc>
          <w:tcPr>
            <w:tcW w:type="dxa" w:w="1341"/>
            <w:vMerge/>
            <w:tcBorders/>
          </w:tcPr>
          <w:p/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200</w:t>
            </w:r>
          </w:p>
        </w:tc>
        <w:tc>
          <w:tcPr>
            <w:tcW w:type="dxa" w:w="6705"/>
            <w:gridSpan w:val="5"/>
            <w:vMerge/>
            <w:tcBorders>
              <w:top w:sz="6.0086469650268555" w:val="single" w:color="#E5E6E5"/>
              <w:bottom w:sz="6.0086469650268555" w:val="single" w:color="#E5E6E5"/>
            </w:tcBorders>
          </w:tcPr>
          <w:p/>
        </w:tc>
      </w:tr>
      <w:tr>
        <w:trPr>
          <w:trHeight w:hRule="exact" w:val="120"/>
        </w:trPr>
        <w:tc>
          <w:tcPr>
            <w:tcW w:type="dxa" w:w="4820"/>
            <w:vMerge w:val="restart"/>
            <w:tcBorders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and contributions paid-in and currency translation 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6705"/>
            <w:gridSpan w:val="5"/>
            <w:vMerge/>
            <w:tcBorders>
              <w:top w:sz="6.0086469650268555" w:val="single" w:color="#E5E6E5"/>
              <w:bottom w:sz="6.0086469650268555" w:val="single" w:color="#E5E6E5"/>
            </w:tcBorders>
          </w:tcPr>
          <w:p/>
        </w:tc>
      </w:tr>
      <w:tr>
        <w:trPr>
          <w:trHeight w:hRule="exact" w:val="130"/>
        </w:trPr>
        <w:tc>
          <w:tcPr>
            <w:tcW w:type="dxa" w:w="1341"/>
            <w:vMerge/>
            <w:tcBorders>
              <w:bottom w:sz="6.0086469650268555" w:val="single" w:color="#E5E6E5"/>
            </w:tcBorders>
          </w:tcPr>
          <w:p/>
        </w:tc>
        <w:tc>
          <w:tcPr>
            <w:tcW w:type="dxa" w:w="780"/>
            <w:tcBorders>
              <w:bottom w:sz="6.0086469650268555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05"/>
            <w:gridSpan w:val="5"/>
            <w:vMerge/>
            <w:tcBorders>
              <w:top w:sz="6.0086469650268555" w:val="single" w:color="#E5E6E5"/>
              <w:bottom w:sz="6.0086469650268555" w:val="single" w:color="#E5E6E5"/>
            </w:tcBorders>
          </w:tcPr>
          <w:p/>
        </w:tc>
      </w:tr>
      <w:tr>
        <w:trPr>
          <w:trHeight w:hRule="exact" w:val="110"/>
        </w:trPr>
        <w:tc>
          <w:tcPr>
            <w:tcW w:type="dxa" w:w="4820"/>
            <w:vMerge w:val="restart"/>
            <w:tcBorders>
              <w:top w:sz="6.0086469650268555" w:val="single" w:color="#E5E6E5"/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gains as the Special Drawing Rights (SDR) </w:t>
            </w:r>
          </w:p>
        </w:tc>
        <w:tc>
          <w:tcPr>
            <w:tcW w:type="dxa" w:w="780"/>
            <w:tcBorders>
              <w:top w:sz="6.008646965026855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150</w:t>
            </w:r>
          </w:p>
        </w:tc>
        <w:tc>
          <w:tcPr>
            <w:tcW w:type="dxa" w:w="840"/>
            <w:vMerge w:val="restart"/>
            <w:tcBorders>
              <w:top w:sz="6.0086469650268555" w:val="single" w:color="#E5E6E5"/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vMerge w:val="restart"/>
            <w:tcBorders>
              <w:top w:sz="6.0086469650268555" w:val="single" w:color="#E5E6E5"/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vMerge w:val="restart"/>
            <w:tcBorders>
              <w:top w:sz="6.0086469650268555" w:val="single" w:color="#E5E6E5"/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vMerge w:val="restart"/>
            <w:tcBorders>
              <w:top w:sz="6.0086469650268555" w:val="single" w:color="#E5E6E5"/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62"/>
            <w:vMerge w:val="restart"/>
            <w:tcBorders>
              <w:top w:sz="6.0086469650268555" w:val="single" w:color="#E5E6E5"/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0"/>
        </w:trPr>
        <w:tc>
          <w:tcPr>
            <w:tcW w:type="dxa" w:w="1341"/>
            <w:vMerge/>
            <w:tcBorders>
              <w:top w:sz="6.0086469650268555" w:val="single" w:color="#E5E6E5"/>
              <w:bottom w:sz="6.0086469650268555" w:val="single" w:color="#E5E6E5"/>
            </w:tcBorders>
          </w:tcPr>
          <w:p/>
        </w:tc>
        <w:tc>
          <w:tcPr>
            <w:tcW w:type="dxa" w:w="780"/>
            <w:tcBorders>
              <w:bottom w:sz="6.0086469650268555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1"/>
            <w:vMerge/>
            <w:tcBorders>
              <w:top w:sz="6.0086469650268555" w:val="single" w:color="#E5E6E5"/>
              <w:bottom w:sz="6.0086469650268555" w:val="single" w:color="#E5E6E5"/>
            </w:tcBorders>
          </w:tcPr>
          <w:p/>
        </w:tc>
        <w:tc>
          <w:tcPr>
            <w:tcW w:type="dxa" w:w="1341"/>
            <w:vMerge/>
            <w:tcBorders>
              <w:top w:sz="6.0086469650268555" w:val="single" w:color="#E5E6E5"/>
              <w:bottom w:sz="6.0086469650268555" w:val="single" w:color="#E5E6E5"/>
            </w:tcBorders>
          </w:tcPr>
          <w:p/>
        </w:tc>
        <w:tc>
          <w:tcPr>
            <w:tcW w:type="dxa" w:w="1341"/>
            <w:vMerge/>
            <w:tcBorders>
              <w:top w:sz="6.0086469650268555" w:val="single" w:color="#E5E6E5"/>
              <w:bottom w:sz="6.0086469650268555" w:val="single" w:color="#E5E6E5"/>
            </w:tcBorders>
          </w:tcPr>
          <w:p/>
        </w:tc>
        <w:tc>
          <w:tcPr>
            <w:tcW w:type="dxa" w:w="1341"/>
            <w:vMerge/>
            <w:tcBorders>
              <w:top w:sz="6.0086469650268555" w:val="single" w:color="#E5E6E5"/>
              <w:bottom w:sz="6.0086469650268555" w:val="single" w:color="#E5E6E5"/>
            </w:tcBorders>
          </w:tcPr>
          <w:p/>
        </w:tc>
        <w:tc>
          <w:tcPr>
            <w:tcW w:type="dxa" w:w="1341"/>
            <w:vMerge/>
            <w:tcBorders>
              <w:top w:sz="6.0086469650268555" w:val="single" w:color="#E5E6E5"/>
              <w:bottom w:sz="6.0086469650268555" w:val="single" w:color="#E5E6E5"/>
            </w:tcBorders>
          </w:tcPr>
          <w:p/>
        </w:tc>
      </w:tr>
      <w:tr>
        <w:trPr>
          <w:trHeight w:hRule="exact" w:val="130"/>
        </w:trPr>
        <w:tc>
          <w:tcPr>
            <w:tcW w:type="dxa" w:w="4820"/>
            <w:vMerge w:val="restart"/>
            <w:tcBorders>
              <w:top w:sz="6.0086469650268555" w:val="single" w:color="#E5E6E5"/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appreciated against the U.S dollar. This was partially </w:t>
            </w:r>
          </w:p>
        </w:tc>
        <w:tc>
          <w:tcPr>
            <w:tcW w:type="dxa" w:w="780"/>
            <w:tcBorders>
              <w:top w:sz="6.008646965026855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100</w:t>
            </w:r>
          </w:p>
        </w:tc>
        <w:tc>
          <w:tcPr>
            <w:tcW w:type="dxa" w:w="840"/>
            <w:vMerge w:val="restart"/>
            <w:tcBorders>
              <w:top w:sz="6.0086469650268555" w:val="single" w:color="#E5E6E5"/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vMerge w:val="restart"/>
            <w:tcBorders>
              <w:top w:sz="6.0086469650268555" w:val="single" w:color="#E5E6E5"/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vMerge w:val="restart"/>
            <w:tcBorders>
              <w:top w:sz="6.0086469650268555" w:val="single" w:color="#E5E6E5"/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vMerge w:val="restart"/>
            <w:tcBorders>
              <w:top w:sz="6.0086469650268555" w:val="single" w:color="#E5E6E5"/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62"/>
            <w:vMerge w:val="restart"/>
            <w:tcBorders>
              <w:top w:sz="6.0086469650268555" w:val="single" w:color="#E5E6E5"/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4"/>
        </w:trPr>
        <w:tc>
          <w:tcPr>
            <w:tcW w:type="dxa" w:w="1341"/>
            <w:vMerge/>
            <w:tcBorders>
              <w:top w:sz="6.0086469650268555" w:val="single" w:color="#E5E6E5"/>
              <w:bottom w:sz="6.0086469650268555" w:val="single" w:color="#E5E6E5"/>
            </w:tcBorders>
          </w:tcPr>
          <w:p/>
        </w:tc>
        <w:tc>
          <w:tcPr>
            <w:tcW w:type="dxa" w:w="780"/>
            <w:tcBorders>
              <w:bottom w:sz="6.0086469650268555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1"/>
            <w:vMerge/>
            <w:tcBorders>
              <w:top w:sz="6.0086469650268555" w:val="single" w:color="#E5E6E5"/>
              <w:bottom w:sz="6.0086469650268555" w:val="single" w:color="#E5E6E5"/>
            </w:tcBorders>
          </w:tcPr>
          <w:p/>
        </w:tc>
        <w:tc>
          <w:tcPr>
            <w:tcW w:type="dxa" w:w="1341"/>
            <w:vMerge/>
            <w:tcBorders>
              <w:top w:sz="6.0086469650268555" w:val="single" w:color="#E5E6E5"/>
              <w:bottom w:sz="6.0086469650268555" w:val="single" w:color="#E5E6E5"/>
            </w:tcBorders>
          </w:tcPr>
          <w:p/>
        </w:tc>
        <w:tc>
          <w:tcPr>
            <w:tcW w:type="dxa" w:w="1341"/>
            <w:vMerge/>
            <w:tcBorders>
              <w:top w:sz="6.0086469650268555" w:val="single" w:color="#E5E6E5"/>
              <w:bottom w:sz="6.0086469650268555" w:val="single" w:color="#E5E6E5"/>
            </w:tcBorders>
          </w:tcPr>
          <w:p/>
        </w:tc>
        <w:tc>
          <w:tcPr>
            <w:tcW w:type="dxa" w:w="1341"/>
            <w:vMerge/>
            <w:tcBorders>
              <w:top w:sz="6.0086469650268555" w:val="single" w:color="#E5E6E5"/>
              <w:bottom w:sz="6.0086469650268555" w:val="single" w:color="#E5E6E5"/>
            </w:tcBorders>
          </w:tcPr>
          <w:p/>
        </w:tc>
        <w:tc>
          <w:tcPr>
            <w:tcW w:type="dxa" w:w="1341"/>
            <w:vMerge/>
            <w:tcBorders>
              <w:top w:sz="6.0086469650268555" w:val="single" w:color="#E5E6E5"/>
              <w:bottom w:sz="6.0086469650268555" w:val="single" w:color="#E5E6E5"/>
            </w:tcBorders>
          </w:tcPr>
          <w:p/>
        </w:tc>
      </w:tr>
      <w:tr>
        <w:trPr>
          <w:trHeight w:hRule="exact" w:val="136"/>
        </w:trPr>
        <w:tc>
          <w:tcPr>
            <w:tcW w:type="dxa" w:w="4820"/>
            <w:vMerge w:val="restart"/>
            <w:tcBorders>
              <w:top w:sz="6.0086469650268555" w:val="single" w:color="#E5E6E5"/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offset by the net loss during the period. See Section </w:t>
            </w:r>
          </w:p>
        </w:tc>
        <w:tc>
          <w:tcPr>
            <w:tcW w:type="dxa" w:w="780"/>
            <w:tcBorders>
              <w:top w:sz="6.008646965026855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50</w:t>
            </w:r>
          </w:p>
        </w:tc>
        <w:tc>
          <w:tcPr>
            <w:tcW w:type="dxa" w:w="840"/>
            <w:vMerge w:val="restart"/>
            <w:tcBorders>
              <w:top w:sz="6.0086469650268555" w:val="single" w:color="#E5E6E5"/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vMerge w:val="restart"/>
            <w:tcBorders>
              <w:top w:sz="6.0086469650268555" w:val="single" w:color="#E5E6E5"/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vMerge w:val="restart"/>
            <w:tcBorders>
              <w:top w:sz="6.0086469650268555" w:val="single" w:color="#E5E6E5"/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vMerge w:val="restart"/>
            <w:tcBorders>
              <w:top w:sz="6.0086469650268555" w:val="single" w:color="#E5E6E5"/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62"/>
            <w:vMerge w:val="restart"/>
            <w:tcBorders>
              <w:top w:sz="6.0086469650268555" w:val="single" w:color="#E5E6E5"/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0"/>
        </w:trPr>
        <w:tc>
          <w:tcPr>
            <w:tcW w:type="dxa" w:w="1341"/>
            <w:vMerge/>
            <w:tcBorders>
              <w:top w:sz="6.0086469650268555" w:val="single" w:color="#E5E6E5"/>
              <w:bottom w:sz="6.0086469650268555" w:val="single" w:color="#E5E6E5"/>
            </w:tcBorders>
          </w:tcPr>
          <w:p/>
        </w:tc>
        <w:tc>
          <w:tcPr>
            <w:tcW w:type="dxa" w:w="780"/>
            <w:tcBorders>
              <w:bottom w:sz="6.0086469650268555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1"/>
            <w:vMerge/>
            <w:tcBorders>
              <w:top w:sz="6.0086469650268555" w:val="single" w:color="#E5E6E5"/>
              <w:bottom w:sz="6.0086469650268555" w:val="single" w:color="#E5E6E5"/>
            </w:tcBorders>
          </w:tcPr>
          <w:p/>
        </w:tc>
        <w:tc>
          <w:tcPr>
            <w:tcW w:type="dxa" w:w="1341"/>
            <w:vMerge/>
            <w:tcBorders>
              <w:top w:sz="6.0086469650268555" w:val="single" w:color="#E5E6E5"/>
              <w:bottom w:sz="6.0086469650268555" w:val="single" w:color="#E5E6E5"/>
            </w:tcBorders>
          </w:tcPr>
          <w:p/>
        </w:tc>
        <w:tc>
          <w:tcPr>
            <w:tcW w:type="dxa" w:w="1341"/>
            <w:vMerge/>
            <w:tcBorders>
              <w:top w:sz="6.0086469650268555" w:val="single" w:color="#E5E6E5"/>
              <w:bottom w:sz="6.0086469650268555" w:val="single" w:color="#E5E6E5"/>
            </w:tcBorders>
          </w:tcPr>
          <w:p/>
        </w:tc>
        <w:tc>
          <w:tcPr>
            <w:tcW w:type="dxa" w:w="1341"/>
            <w:vMerge/>
            <w:tcBorders>
              <w:top w:sz="6.0086469650268555" w:val="single" w:color="#E5E6E5"/>
              <w:bottom w:sz="6.0086469650268555" w:val="single" w:color="#E5E6E5"/>
            </w:tcBorders>
          </w:tcPr>
          <w:p/>
        </w:tc>
        <w:tc>
          <w:tcPr>
            <w:tcW w:type="dxa" w:w="1341"/>
            <w:vMerge/>
            <w:tcBorders>
              <w:top w:sz="6.0086469650268555" w:val="single" w:color="#E5E6E5"/>
              <w:bottom w:sz="6.0086469650268555" w:val="single" w:color="#E5E6E5"/>
            </w:tcBorders>
          </w:tcPr>
          <w:p/>
        </w:tc>
      </w:tr>
      <w:tr>
        <w:trPr>
          <w:trHeight w:hRule="exact" w:val="290"/>
        </w:trPr>
        <w:tc>
          <w:tcPr>
            <w:tcW w:type="dxa" w:w="4820"/>
            <w:tcBorders>
              <w:top w:sz="6.008646965026855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II: Overview and Section IV: Financial Results.</w:t>
            </w:r>
          </w:p>
        </w:tc>
        <w:tc>
          <w:tcPr>
            <w:tcW w:type="dxa" w:w="780"/>
            <w:tcBorders>
              <w:top w:sz="6.008646965026855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840"/>
            <w:tcBorders>
              <w:top w:sz="6.008646965026855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2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Jun 21</w:t>
            </w:r>
          </w:p>
        </w:tc>
        <w:tc>
          <w:tcPr>
            <w:tcW w:type="dxa" w:w="720"/>
            <w:tcBorders>
              <w:top w:sz="6.008646965026855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Jun 22</w:t>
            </w:r>
          </w:p>
        </w:tc>
        <w:tc>
          <w:tcPr>
            <w:tcW w:type="dxa" w:w="720"/>
            <w:tcBorders>
              <w:top w:sz="6.008646965026855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Jun 23</w:t>
            </w:r>
          </w:p>
        </w:tc>
        <w:tc>
          <w:tcPr>
            <w:tcW w:type="dxa" w:w="700"/>
            <w:tcBorders>
              <w:top w:sz="6.008646965026855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Jun 24</w:t>
            </w:r>
          </w:p>
        </w:tc>
        <w:tc>
          <w:tcPr>
            <w:tcW w:type="dxa" w:w="762"/>
            <w:tcBorders>
              <w:top w:sz="6.008646965026855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Mar 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434"/>
        <w:ind w:left="0" w:right="0"/>
      </w:pPr>
    </w:p>
    <w:p>
      <w:pPr>
        <w:sectPr>
          <w:type w:val="continuous"/>
          <w:pgSz w:w="12240" w:h="15840"/>
          <w:pgMar w:top="280" w:right="1416" w:bottom="21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4" w:right="57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Deployable Strategic Capital (DSC) ratio, IDA's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main capital adequacy measure, was 32.8% as of </w:t>
      </w:r>
    </w:p>
    <w:p>
      <w:pPr>
        <w:sectPr>
          <w:type w:val="continuous"/>
          <w:pgSz w:w="12240" w:h="15840"/>
          <w:pgMar w:top="280" w:right="1416" w:bottom="216" w:left="1436" w:header="720" w:footer="720" w:gutter="0"/>
          <w:cols w:num="2" w:equalWidth="0">
            <w:col w:w="5024" w:space="0"/>
            <w:col w:w="4364" w:space="0"/>
          </w:cols>
          <w:docGrid w:linePitch="360"/>
        </w:sectPr>
      </w:pPr>
    </w:p>
    <w:p>
      <w:pPr>
        <w:autoSpaceDN w:val="0"/>
        <w:autoSpaceDE w:val="0"/>
        <w:widowControl/>
        <w:spacing w:line="204" w:lineRule="exact" w:before="0" w:after="162"/>
        <w:ind w:left="650" w:right="1008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Ratio in percentages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</w:rPr>
        <w:t>Deployable Strategic Capital Ratio</w:t>
      </w:r>
    </w:p>
    <w:p>
      <w:pPr>
        <w:sectPr>
          <w:type w:val="nextColumn"/>
          <w:pgSz w:w="12240" w:h="15840"/>
          <w:pgMar w:top="280" w:right="1416" w:bottom="216" w:left="1436" w:header="720" w:footer="720" w:gutter="0"/>
          <w:cols w:num="2" w:equalWidth="0">
            <w:col w:w="5024" w:space="0"/>
            <w:col w:w="436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216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March 31, 2025 (34.8% as of June 30, 2024), above </w:t>
            </w:r>
          </w:p>
        </w:tc>
        <w:tc>
          <w:tcPr>
            <w:tcW w:type="dxa" w:w="800"/>
            <w:vMerge w:val="restart"/>
            <w:tcBorders>
              <w:bottom w:sz="6.020586967468262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114" w:after="0"/>
              <w:ind w:left="7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595959"/>
                <w:sz w:val="12"/>
              </w:rPr>
              <w:t>DSC Ratio - Current Approach</w:t>
            </w:r>
          </w:p>
        </w:tc>
      </w:tr>
      <w:tr>
        <w:trPr>
          <w:trHeight w:hRule="exact" w:val="70"/>
        </w:trPr>
        <w:tc>
          <w:tcPr>
            <w:tcW w:type="dxa" w:w="4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the zero percent policy minimum. In April 2024, </w:t>
            </w:r>
          </w:p>
        </w:tc>
        <w:tc>
          <w:tcPr>
            <w:tcW w:type="dxa" w:w="1341"/>
            <w:vMerge/>
            <w:tcBorders>
              <w:bottom w:sz="6.020586967468262" w:val="single" w:color="#E5E6E5"/>
            </w:tcBorders>
          </w:tcPr>
          <w:p/>
        </w:tc>
        <w:tc>
          <w:tcPr>
            <w:tcW w:type="dxa" w:w="6705"/>
            <w:gridSpan w:val="5"/>
            <w:vMerge/>
            <w:tcBorders/>
          </w:tcPr>
          <w:p/>
        </w:tc>
      </w:tr>
      <w:tr>
        <w:trPr>
          <w:trHeight w:hRule="exact" w:val="186"/>
        </w:trPr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>
              <w:bottom w:sz="6.020586967468262" w:val="single" w:color="#E5E6E5"/>
            </w:tcBorders>
          </w:tcPr>
          <w:p/>
        </w:tc>
        <w:tc>
          <w:tcPr>
            <w:tcW w:type="dxa" w:w="36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40" w:after="0"/>
              <w:ind w:left="7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595959"/>
                <w:sz w:val="12"/>
              </w:rPr>
              <w:t>DSC Ratio - Previous Approach</w:t>
            </w:r>
          </w:p>
        </w:tc>
      </w:tr>
      <w:tr>
        <w:trPr>
          <w:trHeight w:hRule="exact" w:val="154"/>
        </w:trPr>
        <w:tc>
          <w:tcPr>
            <w:tcW w:type="dxa" w:w="4820"/>
            <w:tcBorders>
              <w:bottom w:sz="6.020586967468262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IDA's Board approved enhancements to the DSC </w:t>
            </w:r>
          </w:p>
        </w:tc>
        <w:tc>
          <w:tcPr>
            <w:tcW w:type="dxa" w:w="1341"/>
            <w:vMerge/>
            <w:tcBorders>
              <w:bottom w:sz="6.020586967468262" w:val="single" w:color="#E5E6E5"/>
            </w:tcBorders>
          </w:tcPr>
          <w:p/>
        </w:tc>
        <w:tc>
          <w:tcPr>
            <w:tcW w:type="dxa" w:w="6705"/>
            <w:gridSpan w:val="5"/>
            <w:vMerge/>
            <w:tcBorders/>
          </w:tcPr>
          <w:p/>
        </w:tc>
      </w:tr>
      <w:tr>
        <w:trPr>
          <w:trHeight w:hRule="exact" w:val="105"/>
        </w:trPr>
        <w:tc>
          <w:tcPr>
            <w:tcW w:type="dxa" w:w="4820"/>
            <w:tcBorders>
              <w:top w:sz="6.020586967468262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tcBorders>
              <w:top w:sz="6.020586967468262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45%</w:t>
            </w:r>
          </w:p>
        </w:tc>
        <w:tc>
          <w:tcPr>
            <w:tcW w:type="dxa" w:w="6705"/>
            <w:gridSpan w:val="5"/>
            <w:vMerge/>
            <w:tcBorders/>
          </w:tcPr>
          <w:p/>
        </w:tc>
      </w:tr>
      <w:tr>
        <w:trPr>
          <w:trHeight w:hRule="exact" w:val="225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framework, which allowed for increased efficiency of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30%</w:t>
            </w:r>
          </w:p>
        </w:tc>
        <w:tc>
          <w:tcPr>
            <w:tcW w:type="dxa" w:w="3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43100" cy="152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82"/>
        </w:trPr>
        <w:tc>
          <w:tcPr>
            <w:tcW w:type="dxa" w:w="4820"/>
            <w:vMerge w:val="restart"/>
            <w:tcBorders>
              <w:bottom w:sz="6.020586967468262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capital utilization. See Section V: Risk Management.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15%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2" w:after="0"/>
              <w:ind w:left="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Jun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Jun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Jun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Jun 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Mar </w:t>
            </w:r>
          </w:p>
        </w:tc>
      </w:tr>
      <w:tr>
        <w:trPr>
          <w:trHeight w:hRule="exact" w:val="90"/>
        </w:trPr>
        <w:tc>
          <w:tcPr>
            <w:tcW w:type="dxa" w:w="1341"/>
            <w:vMerge/>
            <w:tcBorders>
              <w:bottom w:sz="6.020586967468262" w:val="single" w:color="#E5E6E5"/>
            </w:tcBorders>
          </w:tcPr>
          <w:p/>
        </w:tc>
        <w:tc>
          <w:tcPr>
            <w:tcW w:type="dxa" w:w="800"/>
            <w:tcBorders>
              <w:bottom w:sz="6.020586967468262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</w:tr>
      <w:tr>
        <w:trPr>
          <w:trHeight w:hRule="exact" w:val="308"/>
        </w:trPr>
        <w:tc>
          <w:tcPr>
            <w:tcW w:type="dxa" w:w="4820"/>
            <w:vMerge w:val="restart"/>
            <w:tcBorders>
              <w:top w:sz="6.020586967468262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0"/>
            <w:vMerge w:val="restart"/>
            <w:tcBorders>
              <w:top w:sz="6.020586967468262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0%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1341"/>
            <w:vMerge/>
            <w:tcBorders>
              <w:top w:sz="6.020586967468262" w:val="single" w:color="#E5E6E5"/>
            </w:tcBorders>
          </w:tcPr>
          <w:p/>
        </w:tc>
        <w:tc>
          <w:tcPr>
            <w:tcW w:type="dxa" w:w="1341"/>
            <w:vMerge/>
            <w:tcBorders>
              <w:top w:sz="6.020586967468262" w:val="single" w:color="#E5E6E5"/>
            </w:tcBorders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</w:t>
            </w:r>
          </w:p>
        </w:tc>
      </w:tr>
    </w:tbl>
    <w:p>
      <w:pPr>
        <w:autoSpaceDN w:val="0"/>
        <w:autoSpaceDE w:val="0"/>
        <w:widowControl/>
        <w:spacing w:line="156" w:lineRule="exact" w:before="34" w:after="0"/>
        <w:ind w:left="0" w:right="1184" w:firstLine="0"/>
        <w:jc w:val="right"/>
      </w:pPr>
      <w:r>
        <w:rPr>
          <w:rFonts w:ascii="Arial" w:hAnsi="Arial" w:eastAsia="Arial"/>
          <w:b/>
          <w:i w:val="0"/>
          <w:color w:val="595959"/>
          <w:sz w:val="14"/>
        </w:rPr>
        <w:t>Policy Minimum ratio = 0%</w:t>
      </w:r>
    </w:p>
    <w:p>
      <w:pPr>
        <w:autoSpaceDN w:val="0"/>
        <w:tabs>
          <w:tab w:pos="9200" w:val="left"/>
        </w:tabs>
        <w:autoSpaceDE w:val="0"/>
        <w:widowControl/>
        <w:spacing w:line="224" w:lineRule="exact" w:before="1086" w:after="0"/>
        <w:ind w:left="20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March 31, 2025 </w:t>
      </w:r>
      <w:r>
        <w:rPr>
          <w:rFonts w:ascii="ArialMT" w:hAnsi="ArialMT" w:eastAsia="ArialMT"/>
          <w:b w:val="0"/>
          <w:i w:val="0"/>
          <w:color w:val="000000"/>
          <w:sz w:val="20"/>
        </w:rPr>
        <w:t>5</w:t>
      </w:r>
    </w:p>
    <w:p>
      <w:pPr>
        <w:sectPr>
          <w:type w:val="continuous"/>
          <w:pgSz w:w="12240" w:h="15840"/>
          <w:pgMar w:top="280" w:right="1416" w:bottom="21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II: Overview</w:t>
            </w:r>
          </w:p>
        </w:tc>
      </w:tr>
    </w:tbl>
    <w:p>
      <w:pPr>
        <w:autoSpaceDN w:val="0"/>
        <w:autoSpaceDE w:val="0"/>
        <w:widowControl/>
        <w:spacing w:line="314" w:lineRule="exact" w:before="310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Section II: Overview</w:t>
      </w:r>
    </w:p>
    <w:p>
      <w:pPr>
        <w:autoSpaceDN w:val="0"/>
        <w:autoSpaceDE w:val="0"/>
        <w:widowControl/>
        <w:spacing w:line="268" w:lineRule="exact" w:before="2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IDA Replenishment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Generally, every three years, representatives of IDA’s members</w:t>
      </w:r>
      <w:r>
        <w:rPr>
          <w:rFonts w:ascii="TimesNewRoman" w:hAnsi="TimesNewRoman" w:eastAsia="TimesNewRoman"/>
          <w:b w:val="0"/>
          <w:i w:val="0"/>
          <w:color w:val="000000"/>
          <w:sz w:val="13"/>
        </w:rPr>
        <w:t>3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meet to assess IDA’s financial capacity and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medium-term demand for new IDA financing. Members decide on the policy framework, agree on the amount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financing to be made available for the replenishment period, and commit to additional contributions of equity that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are required to meet these goals. The meetings culminate in a replenishment agreement that determines the size,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sources (both internal and external), and uses of funds for the replenishment period. </w:t>
      </w:r>
    </w:p>
    <w:p>
      <w:pPr>
        <w:autoSpaceDN w:val="0"/>
        <w:autoSpaceDE w:val="0"/>
        <w:widowControl/>
        <w:spacing w:line="268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Replenishment of Resources 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Twentieth Replenishment (IDA20), the replenishment period of FY23 through FY25, commenced on July 1,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2022, with a financing envelope of $93.0 billion</w:t>
      </w:r>
      <w:r>
        <w:rPr>
          <w:rFonts w:ascii="TimesNewRoman" w:hAnsi="TimesNewRoman" w:eastAsia="TimesNewRoman"/>
          <w:b w:val="0"/>
          <w:i w:val="0"/>
          <w:color w:val="000000"/>
          <w:sz w:val="13"/>
        </w:rPr>
        <w:t>4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, including $11.0 billion of IDA19 carry over, supported by $23.5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billion of member contributions. IDA20 recognizes the need to help address the profound challenges faced by IDA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countries. IDA20 reaffirms the international community’s commitment to scale up support to enable IDA countries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respond to the effects of the coronavirus disease (COVID-19) pandemic crisis, recoup their development losses,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resume progress toward the 2030 Sustainable Development goals. IDA20 supports the world’s poorest and most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vulnerable countries to emerge on a development path in line with the Green, Resilient and Inclusive Development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(GRID) framework. IDA20 builds on the IDA19 special themes, with the continuation of climate change, fragility,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conflict, and violence (FCV), gender and development, jobs and economic transformation and the introduction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human capital as a special theme in IDA20. In addition, IDA20’s policy package incorporates four cross-cutting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issues: crisis preparedness (introduced in IDA20), governance and institutions, debt, and technology. During FY24,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results and implementation progress of IDA20 were reviewed by Management. The review acknowledged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surging financing and additional volumes provided to IDA countries to address overlapping crises in FY23, and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compounding effect of a stronger US dollar resulted in a projected financing gap, relative to the amount when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IDA20 financial capacity was negotiated. Management proposed, and the Board approved, a number of adjustments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to the IDA operational and financial framework to close this gap and meet initially planned financial targets.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March 31, 2025, Instruments of Commitment (IoCs) from members of $23.5 billion had been received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towards the IDA20 replenishment.</w:t>
      </w:r>
    </w:p>
    <w:p>
      <w:pPr>
        <w:autoSpaceDN w:val="0"/>
        <w:autoSpaceDE w:val="0"/>
        <w:widowControl/>
        <w:spacing w:line="224" w:lineRule="exact" w:before="13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Twenty-First Replenishment of Resources (IDA21) operational and financing framework reflects an IDA21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financing envelope of up to $100.0 billion over the three-year replenishment period from July 1, 2025, through June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30, 2028. The IDA21 financing envelope is expected to be supported by up to $23.7 billion of member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contributions, while contributions for Multilateral Debt Relief Initiative (MDRI), financing raised in the capital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markets, internal resources (e.g., loan repayments), transfers from IBRD, in addition to capital support on IFC's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balance sheet for the Private Sector Window (PSW) make up the remainder. IDA's Executive Directors approved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IDA21 replenishment report in March 2025, and recommended the Board of Governors to authorize a general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in subscriptions, which was approved in April 2025. </w:t>
      </w:r>
    </w:p>
    <w:p>
      <w:pPr>
        <w:autoSpaceDN w:val="0"/>
        <w:autoSpaceDE w:val="0"/>
        <w:widowControl/>
        <w:spacing w:line="268" w:lineRule="exact" w:before="24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IDA Crisis Facility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2023, IDA's Board of Governors adopted a Resolution to establish a Crisis Facility to scale up support for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world’s poorest countries to address worsening development challenges due to the overlapping global crises,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particularly food insecurity and extreme climate events. The Crisis Facility has two objectives: i) to provide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additional resources to IDA countries affected by Russia’s invasion of Ukraine at a time of compounding,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overlapping global crises; and ii) to provide a mechanism for pooling and leveraging contributions to support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Ukraine, and neighboring Moldova. This facility is supported by member contributions and is one of the measures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enhance IDA's financing capacity in IDA20. As of March 31, 2025, $2,392 million of member contributions had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been received by the facility, of which $2,379 million were cash contributions. </w:t>
      </w:r>
    </w:p>
    <w:p>
      <w:pPr>
        <w:autoSpaceDN w:val="0"/>
        <w:autoSpaceDE w:val="0"/>
        <w:widowControl/>
        <w:spacing w:line="170" w:lineRule="exact" w:before="710" w:after="0"/>
        <w:ind w:left="100" w:right="28" w:hanging="90"/>
        <w:jc w:val="both"/>
      </w:pPr>
      <w:r>
        <w:rPr>
          <w:w w:val="103.99999618530273"/>
          <w:rFonts w:ascii="Arial" w:hAnsi="Arial" w:eastAsia="Arial"/>
          <w:b w:val="0"/>
          <w:i/>
          <w:color w:val="000000"/>
          <w:sz w:val="10"/>
        </w:rPr>
        <w:t>3</w:t>
      </w:r>
      <w:r>
        <w:rPr>
          <w:rFonts w:ascii="Arial" w:hAnsi="Arial" w:eastAsia="Arial"/>
          <w:b w:val="0"/>
          <w:i/>
          <w:color w:val="000000"/>
          <w:sz w:val="14"/>
        </w:rPr>
        <w:t xml:space="preserve">IDA’s members are owners and hold voting rights in IDA. Members do not, however, hold shares in IDA and are therefore not referred to as </w:t>
      </w:r>
      <w:r>
        <w:rPr>
          <w:rFonts w:ascii="Arial" w:hAnsi="Arial" w:eastAsia="Arial"/>
          <w:b w:val="0"/>
          <w:i/>
          <w:color w:val="000000"/>
          <w:sz w:val="14"/>
        </w:rPr>
        <w:t xml:space="preserve">shareholders. Payments for subscriptions and contributions from members increase IDA’s paid-in equity and are financially equivalent to paid-in </w:t>
      </w:r>
      <w:r>
        <w:rPr>
          <w:rFonts w:ascii="Arial" w:hAnsi="Arial" w:eastAsia="Arial"/>
          <w:b w:val="0"/>
          <w:i/>
          <w:color w:val="000000"/>
          <w:sz w:val="14"/>
        </w:rPr>
        <w:t xml:space="preserve">capital in multilateral development organizations that issue shares. IDA members have the same ownership rights as shareholders in other MDBs. </w:t>
      </w:r>
      <w:r>
        <w:rPr>
          <w:rFonts w:ascii="Arial" w:hAnsi="Arial" w:eastAsia="Arial"/>
          <w:b w:val="0"/>
          <w:i/>
          <w:color w:val="000000"/>
          <w:sz w:val="14"/>
        </w:rPr>
        <w:t xml:space="preserve">For example, should IDA ever permanently suspend its operations, each member would receive a pro rata share of IDA’s net assets in proportion to </w:t>
      </w:r>
      <w:r>
        <w:rPr>
          <w:rFonts w:ascii="Arial" w:hAnsi="Arial" w:eastAsia="Arial"/>
          <w:b w:val="0"/>
          <w:i/>
          <w:color w:val="000000"/>
          <w:sz w:val="14"/>
        </w:rPr>
        <w:t>the amounts it originally paid in and invested in IDA.</w:t>
      </w:r>
    </w:p>
    <w:p>
      <w:pPr>
        <w:autoSpaceDN w:val="0"/>
        <w:tabs>
          <w:tab w:pos="100" w:val="left"/>
        </w:tabs>
        <w:autoSpaceDE w:val="0"/>
        <w:widowControl/>
        <w:spacing w:line="178" w:lineRule="exact" w:before="18" w:after="0"/>
        <w:ind w:left="10" w:right="0" w:firstLine="0"/>
        <w:jc w:val="left"/>
      </w:pPr>
      <w:r>
        <w:rPr>
          <w:w w:val="103.99999618530273"/>
          <w:rFonts w:ascii="Arial" w:hAnsi="Arial" w:eastAsia="Arial"/>
          <w:b w:val="0"/>
          <w:i/>
          <w:color w:val="000000"/>
          <w:sz w:val="10"/>
        </w:rPr>
        <w:t>4</w:t>
      </w:r>
      <w:r>
        <w:rPr>
          <w:rFonts w:ascii="Arial" w:hAnsi="Arial" w:eastAsia="Arial"/>
          <w:b w:val="0"/>
          <w:i/>
          <w:color w:val="000000"/>
          <w:sz w:val="14"/>
        </w:rPr>
        <w:t xml:space="preserve">U.S. dollar amounts are based on IDA20 reference rate of USD/SDR 1.42934. The U.S. dollar amounts are provided for reporting purposes only, as </w:t>
      </w:r>
      <w:r>
        <w:rPr>
          <w:rFonts w:ascii="Arial" w:hAnsi="Arial" w:eastAsia="Arial"/>
          <w:b w:val="0"/>
          <w:i/>
          <w:color w:val="000000"/>
          <w:sz w:val="14"/>
        </w:rPr>
        <w:t>IDA’s balance sheet is predominantly managed in SDR.</w:t>
      </w:r>
    </w:p>
    <w:p>
      <w:pPr>
        <w:autoSpaceDN w:val="0"/>
        <w:tabs>
          <w:tab w:pos="588" w:val="left"/>
        </w:tabs>
        <w:autoSpaceDE w:val="0"/>
        <w:widowControl/>
        <w:spacing w:line="224" w:lineRule="exact" w:before="5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March 31, 2025</w:t>
      </w:r>
    </w:p>
    <w:p>
      <w:pPr>
        <w:sectPr>
          <w:pgSz w:w="12240" w:h="15840"/>
          <w:pgMar w:top="280" w:right="1370" w:bottom="21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5"/>
        <w:gridCol w:w="4715"/>
      </w:tblGrid>
      <w:tr>
        <w:trPr>
          <w:trHeight w:hRule="exact" w:val="284"/>
        </w:trPr>
        <w:tc>
          <w:tcPr>
            <w:tcW w:type="dxa" w:w="3956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II: Overview</w:t>
            </w:r>
          </w:p>
        </w:tc>
      </w:tr>
    </w:tbl>
    <w:p>
      <w:pPr>
        <w:autoSpaceDN w:val="0"/>
        <w:autoSpaceDE w:val="0"/>
        <w:widowControl/>
        <w:spacing w:line="268" w:lineRule="exact" w:before="2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Financial Business Model</w:t>
      </w:r>
    </w:p>
    <w:p>
      <w:pPr>
        <w:autoSpaceDN w:val="0"/>
        <w:autoSpaceDE w:val="0"/>
        <w:widowControl/>
        <w:spacing w:line="240" w:lineRule="exact" w:before="124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has financed its operations over the years with its own equity, including regular additions to equity provided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member countries as part of the replenishment process. As a result of the strong support from member countries,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has built up a substantial equity base of $195.5 billion as of March 31, 2025. Since FY18, IDA has shifted to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hybrid financial model by introducing market debt into its business model. By prudently leveraging its equity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blending market debt with equity contributions from members, IDA has increased its financial efficiency, and scaled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up its financing to support the escalating demand for its resources to deliver on the following priorities: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Provide concessional financing on terms that respond to clients’ needs; and</w:t>
      </w:r>
    </w:p>
    <w:p>
      <w:pPr>
        <w:autoSpaceDN w:val="0"/>
        <w:tabs>
          <w:tab w:pos="180" w:val="left"/>
        </w:tabs>
        <w:autoSpaceDE w:val="0"/>
        <w:widowControl/>
        <w:spacing w:line="240" w:lineRule="exact" w:before="6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Ensure long-term financial sustainability of IDA’s financial model through a prudent risk management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framework.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Currently, IDA's non-concessional and concessional lending, including grants, is primarily financed by IDA’s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equity. As IDA’s funding program expands under the hybrid financing model, a larger portion of lending will be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funded by market debt, together with member countries’ contributions (equity). Funds not deployed for lending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maintained in IDA’s investment portfolio to supply liquidity for its operations, which will also be increasingly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funded with debt. </w:t>
      </w:r>
    </w:p>
    <w:p>
      <w:pPr>
        <w:autoSpaceDN w:val="0"/>
        <w:autoSpaceDE w:val="0"/>
        <w:widowControl/>
        <w:spacing w:line="268" w:lineRule="exact" w:before="1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Basis of Reporting</w:t>
      </w:r>
    </w:p>
    <w:p>
      <w:pPr>
        <w:autoSpaceDN w:val="0"/>
        <w:autoSpaceDE w:val="0"/>
        <w:widowControl/>
        <w:spacing w:line="240" w:lineRule="exact" w:before="124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prepares its financial statements in conformity with accounting principles generally accepted in the United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States of America (U.S. GAAP). IDA’s reporting currency is the U.S. dollar. IDA’s functional currencies are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SDR and its component currencies of the U.S. dollar, euro, Japanese yen, pound sterling and Chinese renminbi.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uses net income as the basis for deriving adjusted net income, as discussed in Section IV: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Results.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Adjusted Net Income</w:t>
      </w:r>
    </w:p>
    <w:p>
      <w:pPr>
        <w:autoSpaceDN w:val="0"/>
        <w:autoSpaceDE w:val="0"/>
        <w:widowControl/>
        <w:spacing w:line="240" w:lineRule="exact" w:before="13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Adjusted Net Income (ANI), a non-GAAP measure, reflects the economic results of IDA’s operations and is used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management and the Board as a financial sustainability measure. ANI is defined as IDA’s net income,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adjusted to exclude certain items. After the effects of these adjustments, ANI generally reflects amounts which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realized, not restricted for specific uses, and not directly funded by members. For a detailed discussion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adjustments, see IDA’s MD&amp;A for the fiscal year ended June 30, 2024, Section IV: Financial Results.</w:t>
      </w:r>
    </w:p>
    <w:p>
      <w:pPr>
        <w:autoSpaceDN w:val="0"/>
        <w:tabs>
          <w:tab w:pos="9196" w:val="left"/>
        </w:tabs>
        <w:autoSpaceDE w:val="0"/>
        <w:widowControl/>
        <w:spacing w:line="224" w:lineRule="exact" w:before="6590" w:after="0"/>
        <w:ind w:left="20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March 31, 2025 </w:t>
      </w:r>
      <w:r>
        <w:rPr>
          <w:rFonts w:ascii="ArialMT" w:hAnsi="ArialMT" w:eastAsia="ArialMT"/>
          <w:b w:val="0"/>
          <w:i w:val="0"/>
          <w:color w:val="000000"/>
          <w:sz w:val="20"/>
        </w:rPr>
        <w:t>7</w:t>
      </w:r>
    </w:p>
    <w:p>
      <w:pPr>
        <w:sectPr>
          <w:pgSz w:w="12240" w:h="15840"/>
          <w:pgMar w:top="280" w:right="1370" w:bottom="2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IDA's Financial Resources</w:t>
            </w:r>
          </w:p>
        </w:tc>
      </w:tr>
    </w:tbl>
    <w:p>
      <w:pPr>
        <w:autoSpaceDN w:val="0"/>
        <w:autoSpaceDE w:val="0"/>
        <w:widowControl/>
        <w:spacing w:line="314" w:lineRule="exact" w:before="310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Section III: IDA’s Financial Resources</w:t>
      </w:r>
    </w:p>
    <w:p>
      <w:pPr>
        <w:autoSpaceDN w:val="0"/>
        <w:autoSpaceDE w:val="0"/>
        <w:widowControl/>
        <w:spacing w:line="268" w:lineRule="exact" w:before="2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IDA20 Funding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financing resource envelope available for lending and grant commitments is based on the long-term outlook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IDA’s financial sustainability. This takes into account the amount of member contributions and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concessionality of the proposed financing to borrowers, market conditions, and capital adequacy requirements.</w:t>
      </w:r>
    </w:p>
    <w:p>
      <w:pPr>
        <w:autoSpaceDN w:val="0"/>
        <w:autoSpaceDE w:val="0"/>
        <w:widowControl/>
        <w:spacing w:line="268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Allocation of IDA20 Resources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financing is provided in the form of loans, grants, and guarantees. Most of IDA’s resources are allocated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eligible members through IDA Country Allocations that provide unearmarked support. The allocation framework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agreed for each replenishment cycle. IDA Country Allocations are determined using the Performance Based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Allocation (PBA) system, which takes into account the country’s performance rating (CPR), population size and per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capita income, and is complemented by the FCV envelope. The rest of IDA resources are provided through five IDA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Windows dedicated to addressing specific development priorities, and an Arrears Clearance framework that provides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exceptional support for countries to fully reengage with the World Bank. 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IDA responds to specific needs of its members through the following five IDA Windows:</w:t>
      </w:r>
    </w:p>
    <w:p>
      <w:pPr>
        <w:autoSpaceDN w:val="0"/>
        <w:autoSpaceDE w:val="0"/>
        <w:widowControl/>
        <w:spacing w:line="178" w:lineRule="exact" w:before="15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Figure 1: IDA Windows</w:t>
      </w:r>
    </w:p>
    <w:p>
      <w:pPr>
        <w:autoSpaceDN w:val="0"/>
        <w:autoSpaceDE w:val="0"/>
        <w:widowControl/>
        <w:spacing w:line="240" w:lineRule="auto" w:before="102" w:after="0"/>
        <w:ind w:left="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824730" cy="27978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4730" cy="2797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16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Eligibility and the percentage of allocation of grants for IDA-only countries are based on an assessment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country’s risk of debt distress, where countries, including IDA-only Small States</w:t>
      </w:r>
      <w:r>
        <w:rPr>
          <w:rFonts w:ascii="TimesNewRoman" w:hAnsi="TimesNewRoman" w:eastAsia="TimesNewRoman"/>
          <w:b w:val="0"/>
          <w:i w:val="0"/>
          <w:color w:val="000000"/>
          <w:sz w:val="13"/>
        </w:rPr>
        <w:t>5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, with high risk of debt distress, 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debt distress, receive their IDA assistance in grants. IDA-only Small States at moderate risk of debt distress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continue to receive half of their IDA20 allocation in grants and half in loans. Gap and Blend countries are only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eligible for grant financing through the Window for Host Communities and Refugees, if applicable.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part of IDA’s balance sheet optimization measures, two new financing terms were introduced in IDA20 which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carry no interest or service charges: a) Concessional Shorter-Maturity Loans (SMLs); and b) 50-year loans.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addition, starting from IDA20, borrowers are allowed to convert their concessional borrowing into one of the SDR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component currencies or non-SDR local currency terms, subject to market availability. </w:t>
      </w:r>
    </w:p>
    <w:p>
      <w:pPr>
        <w:autoSpaceDN w:val="0"/>
        <w:autoSpaceDE w:val="0"/>
        <w:widowControl/>
        <w:spacing w:line="176" w:lineRule="exact" w:before="1792" w:after="0"/>
        <w:ind w:left="10" w:right="0" w:firstLine="0"/>
        <w:jc w:val="left"/>
      </w:pPr>
      <w:r>
        <w:rPr>
          <w:w w:val="101.11111534966363"/>
          <w:rFonts w:ascii="Arial" w:hAnsi="Arial" w:eastAsia="Arial"/>
          <w:b w:val="0"/>
          <w:i/>
          <w:color w:val="000000"/>
          <w:sz w:val="9"/>
        </w:rPr>
        <w:t>5</w:t>
      </w:r>
      <w:r>
        <w:rPr>
          <w:rFonts w:ascii="Arial" w:hAnsi="Arial" w:eastAsia="Arial"/>
          <w:b w:val="0"/>
          <w:i/>
          <w:color w:val="000000"/>
          <w:sz w:val="14"/>
        </w:rPr>
        <w:t>Small States are countries with a population of 1.5 million people or fewer. Small Island Economies are a sub-set of this broader category.</w:t>
      </w:r>
    </w:p>
    <w:p>
      <w:pPr>
        <w:autoSpaceDN w:val="0"/>
        <w:tabs>
          <w:tab w:pos="588" w:val="left"/>
        </w:tabs>
        <w:autoSpaceDE w:val="0"/>
        <w:widowControl/>
        <w:spacing w:line="224" w:lineRule="exact" w:before="582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March 31, 2025</w:t>
      </w:r>
    </w:p>
    <w:p>
      <w:pPr>
        <w:sectPr>
          <w:pgSz w:w="12240" w:h="15840"/>
          <w:pgMar w:top="280" w:right="1370" w:bottom="21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84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IDA's Financial Resources</w:t>
            </w:r>
          </w:p>
        </w:tc>
      </w:tr>
    </w:tbl>
    <w:p>
      <w:pPr>
        <w:autoSpaceDN w:val="0"/>
        <w:autoSpaceDE w:val="0"/>
        <w:widowControl/>
        <w:spacing w:line="178" w:lineRule="exact" w:before="280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Table 2: Cumulative Net Commitments under IDA20 </w:t>
      </w:r>
    </w:p>
    <w:p>
      <w:pPr>
        <w:autoSpaceDN w:val="0"/>
        <w:autoSpaceDE w:val="0"/>
        <w:widowControl/>
        <w:spacing w:line="178" w:lineRule="exact" w:before="74" w:after="0"/>
        <w:ind w:left="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136" w:after="6"/>
        <w:ind w:left="0" w:right="2688" w:firstLine="0"/>
        <w:jc w:val="right"/>
      </w:pPr>
      <w:r>
        <w:rPr>
          <w:rFonts w:ascii="ArialMT" w:hAnsi="ArialMT" w:eastAsia="ArialMT"/>
          <w:b w:val="0"/>
          <w:i w:val="0"/>
          <w:color w:val="929292"/>
          <w:sz w:val="16"/>
        </w:rPr>
        <w:t xml:space="preserve">Loans and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58"/>
        <w:gridCol w:w="2358"/>
        <w:gridCol w:w="2358"/>
        <w:gridCol w:w="2358"/>
      </w:tblGrid>
      <w:tr>
        <w:trPr>
          <w:trHeight w:hRule="exact" w:val="214"/>
        </w:trPr>
        <w:tc>
          <w:tcPr>
            <w:tcW w:type="dxa" w:w="3704"/>
            <w:tcBorders>
              <w:bottom w:sz="4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929292"/>
                <w:sz w:val="16"/>
              </w:rPr>
              <w:t>As of March 31, 2025</w:t>
            </w:r>
          </w:p>
        </w:tc>
        <w:tc>
          <w:tcPr>
            <w:tcW w:type="dxa" w:w="340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4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929292"/>
                <w:sz w:val="16"/>
              </w:rPr>
              <w:t>Guarantees</w:t>
            </w:r>
          </w:p>
        </w:tc>
        <w:tc>
          <w:tcPr>
            <w:tcW w:type="dxa" w:w="1380"/>
            <w:tcBorders>
              <w:bottom w:sz="4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929292"/>
                <w:sz w:val="16"/>
              </w:rPr>
              <w:t>Grants</w:t>
            </w:r>
          </w:p>
        </w:tc>
        <w:tc>
          <w:tcPr>
            <w:tcW w:type="dxa" w:w="884"/>
            <w:tcBorders>
              <w:bottom w:sz="4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929292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3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Concessional financing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1887"/>
        <w:gridCol w:w="1887"/>
        <w:gridCol w:w="1887"/>
        <w:gridCol w:w="1887"/>
        <w:gridCol w:w="1887"/>
      </w:tblGrid>
      <w:tr>
        <w:trPr>
          <w:trHeight w:hRule="exact" w:val="240"/>
        </w:trPr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IDA Country Allocations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44,979 $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13,426 $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58,405 </w:t>
            </w:r>
          </w:p>
        </w:tc>
      </w:tr>
    </w:tbl>
    <w:p>
      <w:pPr>
        <w:autoSpaceDN w:val="0"/>
        <w:autoSpaceDE w:val="0"/>
        <w:widowControl/>
        <w:spacing w:line="180" w:lineRule="exact" w:before="30" w:after="30"/>
        <w:ind w:left="14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IDA Concessional Windows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7"/>
        <w:gridCol w:w="1887"/>
        <w:gridCol w:w="1887"/>
        <w:gridCol w:w="1887"/>
        <w:gridCol w:w="1887"/>
      </w:tblGrid>
      <w:tr>
        <w:trPr>
          <w:trHeight w:hRule="exact" w:val="228"/>
        </w:trPr>
        <w:tc>
          <w:tcPr>
            <w:tcW w:type="dxa" w:w="5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Regional Window</w:t>
            </w:r>
          </w:p>
        </w:tc>
        <w:tc>
          <w:tcPr>
            <w:tcW w:type="dxa" w:w="4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3,040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3,731 </w:t>
            </w:r>
          </w:p>
        </w:tc>
        <w:tc>
          <w:tcPr>
            <w:tcW w:type="dxa" w:w="8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6,771 </w:t>
            </w:r>
          </w:p>
        </w:tc>
      </w:tr>
      <w:tr>
        <w:trPr>
          <w:trHeight w:hRule="exact" w:val="240"/>
        </w:trPr>
        <w:tc>
          <w:tcPr>
            <w:tcW w:type="dxa" w:w="5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2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Window for Host Communities and Refugees</w:t>
            </w:r>
          </w:p>
        </w:tc>
        <w:tc>
          <w:tcPr>
            <w:tcW w:type="dxa" w:w="1887"/>
            <w:vMerge/>
            <w:tcBorders>
              <w:bottom w:sz="8.0" w:val="single" w:color="#000000"/>
            </w:tcBorders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364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4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1,528 </w:t>
            </w:r>
          </w:p>
        </w:tc>
        <w:tc>
          <w:tcPr>
            <w:tcW w:type="dxa" w:w="8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1,892 </w:t>
            </w:r>
          </w:p>
        </w:tc>
      </w:tr>
      <w:tr>
        <w:trPr>
          <w:trHeight w:hRule="exact" w:val="240"/>
        </w:trPr>
        <w:tc>
          <w:tcPr>
            <w:tcW w:type="dxa" w:w="5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2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Crisis Response Window</w:t>
            </w:r>
          </w:p>
        </w:tc>
        <w:tc>
          <w:tcPr>
            <w:tcW w:type="dxa" w:w="1887"/>
            <w:vMerge/>
            <w:tcBorders>
              <w:bottom w:sz="8.0" w:val="single" w:color="#000000"/>
            </w:tcBorders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956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4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2,101 </w:t>
            </w:r>
          </w:p>
        </w:tc>
        <w:tc>
          <w:tcPr>
            <w:tcW w:type="dxa" w:w="8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3,057 </w:t>
            </w:r>
          </w:p>
        </w:tc>
      </w:tr>
      <w:tr>
        <w:trPr>
          <w:trHeight w:hRule="exact" w:val="240"/>
        </w:trPr>
        <w:tc>
          <w:tcPr>
            <w:tcW w:type="dxa" w:w="5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2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Scale-up Window – Shorter Maturity Loans</w:t>
            </w:r>
          </w:p>
        </w:tc>
        <w:tc>
          <w:tcPr>
            <w:tcW w:type="dxa" w:w="1887"/>
            <w:vMerge/>
            <w:tcBorders>
              <w:bottom w:sz="8.0" w:val="single" w:color="#000000"/>
            </w:tcBorders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4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6,911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4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6,911 </w:t>
            </w:r>
          </w:p>
        </w:tc>
      </w:tr>
      <w:tr>
        <w:trPr>
          <w:trHeight w:hRule="exact" w:val="250"/>
        </w:trPr>
        <w:tc>
          <w:tcPr>
            <w:tcW w:type="dxa" w:w="544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Non-concessional financing – Scale-up Window and other</w:t>
            </w:r>
          </w:p>
        </w:tc>
        <w:tc>
          <w:tcPr>
            <w:tcW w:type="dxa" w:w="1887"/>
            <w:vMerge/>
            <w:tcBorders>
              <w:bottom w:sz="8.0" w:val="single" w:color="#000000"/>
            </w:tcBorders>
          </w:tcPr>
          <w:p/>
        </w:tc>
        <w:tc>
          <w:tcPr>
            <w:tcW w:type="dxa" w:w="13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4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5,970 </w:t>
            </w:r>
          </w:p>
        </w:tc>
        <w:tc>
          <w:tcPr>
            <w:tcW w:type="dxa" w:w="13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4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5,970 </w:t>
            </w:r>
          </w:p>
        </w:tc>
      </w:tr>
      <w:tr>
        <w:trPr>
          <w:trHeight w:hRule="exact" w:val="220"/>
        </w:trPr>
        <w:tc>
          <w:tcPr>
            <w:tcW w:type="dxa" w:w="544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Total Cumulative Net Commitments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a b</w:t>
            </w:r>
          </w:p>
        </w:tc>
        <w:tc>
          <w:tcPr>
            <w:tcW w:type="dxa" w:w="46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62,220 $ </w:t>
            </w:r>
          </w:p>
        </w:tc>
        <w:tc>
          <w:tcPr>
            <w:tcW w:type="dxa" w:w="132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20,786 $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83,006 </w:t>
            </w:r>
          </w:p>
        </w:tc>
      </w:tr>
    </w:tbl>
    <w:p>
      <w:pPr>
        <w:autoSpaceDN w:val="0"/>
        <w:tabs>
          <w:tab w:pos="236" w:val="left"/>
        </w:tabs>
        <w:autoSpaceDE w:val="0"/>
        <w:widowControl/>
        <w:spacing w:line="192" w:lineRule="exact" w:before="328" w:after="0"/>
        <w:ind w:left="56" w:right="86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Commitments are net of full cancellations and terminations relating to commitments approved in the same fiscal year.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Commitments exclude IDA-IFC-MIGA Private Sector Window (PSW) activities.</w:t>
      </w:r>
    </w:p>
    <w:p>
      <w:pPr>
        <w:autoSpaceDN w:val="0"/>
        <w:tabs>
          <w:tab w:pos="236" w:val="left"/>
        </w:tabs>
        <w:autoSpaceDE w:val="0"/>
        <w:widowControl/>
        <w:spacing w:line="192" w:lineRule="exact" w:before="50" w:after="0"/>
        <w:ind w:left="5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Excludes IDA19 Commitments of $1.2 billion credits approved in July 2022 and $6.0 billion of commitments to Ukraine as part of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the IDA Crisis Facility. </w:t>
      </w:r>
    </w:p>
    <w:p>
      <w:pPr>
        <w:autoSpaceDN w:val="0"/>
        <w:autoSpaceDE w:val="0"/>
        <w:widowControl/>
        <w:spacing w:line="244" w:lineRule="exact" w:before="202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Private Sector Window</w:t>
      </w:r>
    </w:p>
    <w:p>
      <w:pPr>
        <w:autoSpaceDN w:val="0"/>
        <w:autoSpaceDE w:val="0"/>
        <w:widowControl/>
        <w:spacing w:line="240" w:lineRule="exact" w:before="13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IDA-IFC-MIGA Private Sector Window was created under IDA18 to mobilize private sector investment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IDA-only countries and IDA-eligible Fragile and Conflict-affected Situations. In December 2024, the Board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approved an increase of the IDA20 PSW allocation by $234 million corresponding to the release of the PSW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resources allocated in the previous replenishment cycles, bringing the total IDA20 allocation to $2.7 billion. This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had no impact on the cumulative total PSW allocation in IDA18 through IDA20. As of March 31, 2025, $1.9 billion,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net of cancellations, had been committed in IDA20.</w:t>
      </w:r>
    </w:p>
    <w:p>
      <w:pPr>
        <w:autoSpaceDN w:val="0"/>
        <w:autoSpaceDE w:val="0"/>
        <w:widowControl/>
        <w:spacing w:line="240" w:lineRule="exact" w:before="12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PSW is deployed through facilities designed to target critical challenges faced by the private sector and will leverage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IFC and MIGA’s business platforms and instruments.</w:t>
      </w:r>
    </w:p>
    <w:p>
      <w:pPr>
        <w:autoSpaceDN w:val="0"/>
        <w:tabs>
          <w:tab w:pos="9200" w:val="left"/>
        </w:tabs>
        <w:autoSpaceDE w:val="0"/>
        <w:widowControl/>
        <w:spacing w:line="224" w:lineRule="exact" w:before="7192" w:after="0"/>
        <w:ind w:left="20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March 31, 2025 </w:t>
      </w:r>
      <w:r>
        <w:rPr>
          <w:rFonts w:ascii="ArialMT" w:hAnsi="ArialMT" w:eastAsia="ArialMT"/>
          <w:b w:val="0"/>
          <w:i w:val="0"/>
          <w:color w:val="000000"/>
          <w:sz w:val="20"/>
        </w:rPr>
        <w:t>9</w:t>
      </w:r>
    </w:p>
    <w:p>
      <w:pPr>
        <w:sectPr>
          <w:pgSz w:w="12240" w:h="15840"/>
          <w:pgMar w:top="280" w:right="1370" w:bottom="21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IV: Financial Results</w:t>
            </w:r>
          </w:p>
        </w:tc>
      </w:tr>
    </w:tbl>
    <w:p>
      <w:pPr>
        <w:autoSpaceDN w:val="0"/>
        <w:autoSpaceDE w:val="0"/>
        <w:widowControl/>
        <w:spacing w:line="314" w:lineRule="exact" w:before="310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Section IV: Financial Results</w:t>
      </w:r>
    </w:p>
    <w:p>
      <w:pPr>
        <w:autoSpaceDN w:val="0"/>
        <w:autoSpaceDE w:val="0"/>
        <w:widowControl/>
        <w:spacing w:line="268" w:lineRule="exact" w:before="2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Financial Results and Portfolio Performance</w:t>
      </w:r>
    </w:p>
    <w:p>
      <w:pPr>
        <w:autoSpaceDN w:val="0"/>
        <w:autoSpaceDE w:val="0"/>
        <w:widowControl/>
        <w:spacing w:line="244" w:lineRule="exact" w:before="134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Net Loss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net loss was $3,780 million in FY25 YTD, compared with a net loss of $2,625 million in FY24 YTD (Table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3). The higher net loss was primarily driven by an increase of $1,678 million in development grant expenses due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higher amount of grants that met the conditions for expense recognition in FY25 YTD compared to FY24 YTD,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partially offset by the increase in net interest revenue from loans and investments and the lower provision expense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for losses on loans and other exposures.</w:t>
      </w:r>
    </w:p>
    <w:p>
      <w:pPr>
        <w:autoSpaceDN w:val="0"/>
        <w:autoSpaceDE w:val="0"/>
        <w:widowControl/>
        <w:spacing w:line="244" w:lineRule="exact" w:before="7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Adjusted Net Income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adjusted net income was $375 million in FY25 YTD, compared with $210 million in FY24 YTD (Table 3).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increase was primarily driven by the following factors: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60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 increase of $284 million in net interest revenue from loans due to the increase in the average loan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balance by $14.4 billion in FY25 YTD compared to FY24 YTD; 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60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 increase of $165 million in net interest revenue on investments, primarily due to the increase in the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average investment balance by $6.3 billion in FY25 YTD compared to FY24 YTD; 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60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 decrease of $301 million in provision expense for losses on loans and other exposures mainly attributable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the lower increase in loan exposure in FY25 YTD compared to FY24 YTD, and the release in loss given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default (severity) due to the change in the eligibility of a borrower from IDA-only to blend status; and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partially offset by: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0" w:after="0"/>
        <w:ind w:left="37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 increase of $477 million in borrowing expenses, mainly due to the higher average balance of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borrowings outstanding in FY25 YTD compared to FY24 YTD. </w:t>
      </w:r>
    </w:p>
    <w:p>
      <w:pPr>
        <w:autoSpaceDN w:val="0"/>
        <w:tabs>
          <w:tab w:pos="588" w:val="left"/>
        </w:tabs>
        <w:autoSpaceDE w:val="0"/>
        <w:widowControl/>
        <w:spacing w:line="224" w:lineRule="exact" w:before="778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March 31, 2025</w:t>
      </w:r>
    </w:p>
    <w:p>
      <w:pPr>
        <w:sectPr>
          <w:pgSz w:w="12240" w:h="15840"/>
          <w:pgMar w:top="280" w:right="1370" w:bottom="21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933"/>
        <w:gridCol w:w="4933"/>
      </w:tblGrid>
      <w:tr>
        <w:trPr>
          <w:trHeight w:hRule="exact" w:val="286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IV: Financial Results</w:t>
            </w:r>
          </w:p>
        </w:tc>
      </w:tr>
    </w:tbl>
    <w:p>
      <w:pPr>
        <w:autoSpaceDN w:val="0"/>
        <w:autoSpaceDE w:val="0"/>
        <w:widowControl/>
        <w:spacing w:line="178" w:lineRule="exact" w:before="32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Table 3: Condensed Statements of Income</w:t>
      </w:r>
    </w:p>
    <w:p>
      <w:pPr>
        <w:autoSpaceDN w:val="0"/>
        <w:autoSpaceDE w:val="0"/>
        <w:widowControl/>
        <w:spacing w:line="178" w:lineRule="exact" w:before="74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70" w:after="66"/>
        <w:ind w:left="0" w:right="1052" w:firstLine="0"/>
        <w:jc w:val="right"/>
      </w:pPr>
      <w:r>
        <w:rPr>
          <w:rFonts w:ascii="Arial" w:hAnsi="Arial" w:eastAsia="Arial"/>
          <w:b w:val="0"/>
          <w:i/>
          <w:color w:val="808080"/>
          <w:sz w:val="16"/>
        </w:rPr>
        <w:t>Impact on Income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973"/>
        <w:gridCol w:w="1973"/>
        <w:gridCol w:w="1973"/>
        <w:gridCol w:w="1973"/>
        <w:gridCol w:w="1973"/>
      </w:tblGrid>
      <w:tr>
        <w:trPr>
          <w:trHeight w:hRule="exact" w:val="268"/>
        </w:trPr>
        <w:tc>
          <w:tcPr>
            <w:tcW w:type="dxa" w:w="4204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For the nine months ended March 31,</w:t>
            </w:r>
          </w:p>
        </w:tc>
        <w:tc>
          <w:tcPr>
            <w:tcW w:type="dxa" w:w="204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9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2025</w:t>
            </w:r>
          </w:p>
        </w:tc>
        <w:tc>
          <w:tcPr>
            <w:tcW w:type="dxa" w:w="76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2024</w:t>
            </w:r>
          </w:p>
        </w:tc>
        <w:tc>
          <w:tcPr>
            <w:tcW w:type="dxa" w:w="130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2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Decrease</w:t>
            </w:r>
          </w:p>
        </w:tc>
        <w:tc>
          <w:tcPr>
            <w:tcW w:type="dxa" w:w="1064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5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Increase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38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Interest 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3289"/>
        <w:gridCol w:w="3289"/>
        <w:gridCol w:w="3289"/>
      </w:tblGrid>
      <w:tr>
        <w:trPr>
          <w:trHeight w:hRule="exact" w:val="176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Loans, net</w:t>
            </w:r>
          </w:p>
        </w:tc>
        <w:tc>
          <w:tcPr>
            <w:tcW w:type="dxa" w:w="54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7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$ 2,220 $ 1,936 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284</w:t>
            </w:r>
          </w:p>
        </w:tc>
      </w:tr>
    </w:tbl>
    <w:p>
      <w:pPr>
        <w:autoSpaceDN w:val="0"/>
        <w:autoSpaceDE w:val="0"/>
        <w:widowControl/>
        <w:spacing w:line="14" w:lineRule="exact" w:before="0" w:after="56"/>
        <w:ind w:left="0" w:right="0"/>
      </w:pPr>
    </w:p>
    <w:p>
      <w:pPr>
        <w:sectPr>
          <w:pgSz w:w="12240" w:h="15840"/>
          <w:pgMar w:top="256" w:right="944" w:bottom="216" w:left="1430" w:header="720" w:footer="720" w:gutter="0"/>
          <w:cols/>
          <w:docGrid w:linePitch="360"/>
        </w:sectPr>
      </w:pPr>
    </w:p>
    <w:p>
      <w:pPr>
        <w:autoSpaceDN w:val="0"/>
        <w:tabs>
          <w:tab w:pos="152" w:val="left"/>
          <w:tab w:pos="182" w:val="left"/>
        </w:tabs>
        <w:autoSpaceDE w:val="0"/>
        <w:widowControl/>
        <w:spacing w:line="236" w:lineRule="exact" w:before="0" w:after="0"/>
        <w:ind w:left="6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Investments, net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Asset-liability management derivatives, net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</w:rPr>
        <w:t xml:space="preserve">Borrowing expenses, net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</w:rPr>
        <w:t xml:space="preserve">Interest revenue, net of borrowing expenses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Provision for losses on loans and other exposures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Other revenue (expenses), net (Table 11)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Net non-interest expense (Table 10)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Transfers from affiliated organizations and others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Non-functional currency translation adjustment gains (losses), net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Unrealized mark-to-market gains on investments-trading portfolio, net </w:t>
      </w:r>
      <w:r>
        <w:rPr>
          <w:w w:val="103.99999618530273"/>
          <w:rFonts w:ascii="ArialMT" w:hAnsi="ArialMT" w:eastAsia="ArialMT"/>
          <w:b w:val="0"/>
          <w:i w:val="0"/>
          <w:color w:val="000000"/>
          <w:sz w:val="10"/>
        </w:rPr>
        <w:t xml:space="preserve">a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Unrealized mark-to-market gains on non-trading portfolios, net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Development grants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</w:rPr>
        <w:t xml:space="preserve">Net Loss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Adjustments to reconcile net loss to adjusted net income:</w:t>
      </w:r>
    </w:p>
    <w:p>
      <w:pPr>
        <w:sectPr>
          <w:type w:val="continuous"/>
          <w:pgSz w:w="12240" w:h="15840"/>
          <w:pgMar w:top="256" w:right="944" w:bottom="216" w:left="1430" w:header="720" w:footer="720" w:gutter="0"/>
          <w:cols w:num="2" w:equalWidth="0">
            <w:col w:w="5346" w:space="0"/>
            <w:col w:w="451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2466"/>
        <w:gridCol w:w="2466"/>
        <w:gridCol w:w="2466"/>
        <w:gridCol w:w="2466"/>
      </w:tblGrid>
      <w:tr>
        <w:trPr>
          <w:trHeight w:hRule="exact" w:val="196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1,136 </w:t>
            </w:r>
          </w:p>
        </w:tc>
        <w:tc>
          <w:tcPr>
            <w:tcW w:type="dxa" w:w="6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971</w:t>
            </w:r>
          </w:p>
        </w:tc>
        <w:tc>
          <w:tcPr>
            <w:tcW w:type="dxa" w:w="1574"/>
            <w:vMerge w:val="restart"/>
            <w:tcBorders>
              <w:end w:sz="30.40000000000009" w:val="single" w:color="#6D6D6D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62"/>
            <w:tcBorders>
              <w:start w:sz="30.40000000000009" w:val="single" w:color="#6D6D6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165</w:t>
            </w:r>
          </w:p>
        </w:tc>
      </w:tr>
      <w:tr>
        <w:trPr>
          <w:trHeight w:hRule="exact" w:val="284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 </w:t>
            </w:r>
          </w:p>
        </w:tc>
        <w:tc>
          <w:tcPr>
            <w:tcW w:type="dxa" w:w="6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47</w:t>
            </w:r>
          </w:p>
        </w:tc>
        <w:tc>
          <w:tcPr>
            <w:tcW w:type="dxa" w:w="2466"/>
            <w:vMerge/>
            <w:tcBorders>
              <w:end w:sz="30.40000000000009" w:val="single" w:color="#6D6D6D"/>
            </w:tcBorders>
          </w:tcPr>
          <w:p/>
        </w:tc>
        <w:tc>
          <w:tcPr>
            <w:tcW w:type="dxa" w:w="862"/>
            <w:tcBorders>
              <w:start w:sz="30.40000000000009" w:val="single" w:color="#6D6D6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6</w:t>
            </w:r>
          </w:p>
        </w:tc>
      </w:tr>
      <w:tr>
        <w:trPr>
          <w:trHeight w:hRule="exact" w:val="232"/>
        </w:trPr>
        <w:tc>
          <w:tcPr>
            <w:tcW w:type="dxa" w:w="8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(1,650) </w:t>
            </w:r>
          </w:p>
        </w:tc>
        <w:tc>
          <w:tcPr>
            <w:tcW w:type="dxa" w:w="644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(1,173)</w:t>
            </w:r>
          </w:p>
        </w:tc>
        <w:tc>
          <w:tcPr>
            <w:tcW w:type="dxa" w:w="1574"/>
            <w:tcBorders>
              <w:end w:sz="30.40000000000009" w:val="single" w:color="#6D6D6D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3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(477)</w:t>
            </w:r>
          </w:p>
        </w:tc>
        <w:tc>
          <w:tcPr>
            <w:tcW w:type="dxa" w:w="862"/>
            <w:tcBorders>
              <w:start w:sz="30.40000000000009" w:val="single" w:color="#6D6D6D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1488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$ 1,759 $ 1,781 </w:t>
            </w:r>
          </w:p>
        </w:tc>
        <w:tc>
          <w:tcPr>
            <w:tcW w:type="dxa" w:w="1574"/>
            <w:tcBorders>
              <w:top w:sz="8.0" w:val="single" w:color="#000000"/>
              <w:end w:sz="30.40000000000009" w:val="single" w:color="#6D6D6D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(22)</w:t>
            </w:r>
          </w:p>
        </w:tc>
        <w:tc>
          <w:tcPr>
            <w:tcW w:type="dxa" w:w="862"/>
            <w:tcBorders>
              <w:start w:sz="30.40000000000009" w:val="single" w:color="#6D6D6D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4"/>
        </w:trPr>
        <w:tc>
          <w:tcPr>
            <w:tcW w:type="dxa" w:w="8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(276) </w:t>
            </w:r>
          </w:p>
        </w:tc>
        <w:tc>
          <w:tcPr>
            <w:tcW w:type="dxa" w:w="6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(577) </w:t>
            </w:r>
          </w:p>
        </w:tc>
        <w:tc>
          <w:tcPr>
            <w:tcW w:type="dxa" w:w="1574"/>
            <w:tcBorders>
              <w:top w:sz="8.0" w:val="single" w:color="#000000"/>
              <w:end w:sz="30.40000000000009" w:val="single" w:color="#6D6D6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62"/>
            <w:tcBorders>
              <w:start w:sz="30.40000000000009" w:val="single" w:color="#6D6D6D"/>
              <w:top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301</w:t>
            </w:r>
          </w:p>
        </w:tc>
      </w:tr>
      <w:tr>
        <w:trPr>
          <w:trHeight w:hRule="exact" w:val="272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1574"/>
            <w:vMerge w:val="restart"/>
            <w:tcBorders>
              <w:end w:sz="30.40000000000009" w:val="single" w:color="#6D6D6D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2" w:after="0"/>
              <w:ind w:left="0" w:right="1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(136)</w:t>
            </w:r>
          </w:p>
        </w:tc>
        <w:tc>
          <w:tcPr>
            <w:tcW w:type="dxa" w:w="862"/>
            <w:vMerge w:val="restart"/>
            <w:tcBorders>
              <w:start w:sz="30.40000000000009" w:val="single" w:color="#6D6D6D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48</w:t>
            </w:r>
          </w:p>
        </w:tc>
      </w:tr>
      <w:tr>
        <w:trPr>
          <w:trHeight w:hRule="exact" w:val="208"/>
        </w:trPr>
        <w:tc>
          <w:tcPr>
            <w:tcW w:type="dxa" w:w="14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(1,190)  (1,054) </w:t>
            </w:r>
          </w:p>
        </w:tc>
        <w:tc>
          <w:tcPr>
            <w:tcW w:type="dxa" w:w="2466"/>
            <w:vMerge/>
            <w:tcBorders>
              <w:end w:sz="30.40000000000009" w:val="single" w:color="#6D6D6D"/>
            </w:tcBorders>
          </w:tcPr>
          <w:p/>
        </w:tc>
        <w:tc>
          <w:tcPr>
            <w:tcW w:type="dxa" w:w="2466"/>
            <w:vMerge/>
            <w:tcBorders>
              <w:start w:sz="30.40000000000009" w:val="single" w:color="#6D6D6D"/>
            </w:tcBorders>
          </w:tcPr>
          <w:p/>
        </w:tc>
      </w:tr>
      <w:tr>
        <w:trPr>
          <w:trHeight w:hRule="exact" w:val="275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515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291 </w:t>
            </w:r>
          </w:p>
        </w:tc>
        <w:tc>
          <w:tcPr>
            <w:tcW w:type="dxa" w:w="1574"/>
            <w:vMerge w:val="restart"/>
            <w:tcBorders>
              <w:end w:sz="30.40000000000009" w:val="single" w:color="#6D6D6D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5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(45)</w:t>
            </w:r>
          </w:p>
        </w:tc>
        <w:tc>
          <w:tcPr>
            <w:tcW w:type="dxa" w:w="862"/>
            <w:tcBorders>
              <w:start w:sz="30.40000000000009" w:val="single" w:color="#6D6D6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224</w:t>
            </w:r>
          </w:p>
        </w:tc>
      </w:tr>
      <w:tr>
        <w:trPr>
          <w:trHeight w:hRule="exact" w:val="237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  <w:tc>
          <w:tcPr>
            <w:tcW w:type="dxa" w:w="2466"/>
            <w:vMerge/>
            <w:tcBorders>
              <w:end w:sz="30.40000000000009" w:val="single" w:color="#6D6D6D"/>
            </w:tcBorders>
          </w:tcPr>
          <w:p/>
        </w:tc>
        <w:tc>
          <w:tcPr>
            <w:tcW w:type="dxa" w:w="862"/>
            <w:vMerge w:val="restart"/>
            <w:tcBorders>
              <w:start w:sz="30.40000000000009" w:val="single" w:color="#6D6D6D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37</w:t>
            </w:r>
          </w:p>
        </w:tc>
      </w:tr>
      <w:tr>
        <w:trPr>
          <w:trHeight w:hRule="exact" w:val="228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218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263 </w:t>
            </w:r>
          </w:p>
        </w:tc>
        <w:tc>
          <w:tcPr>
            <w:tcW w:type="dxa" w:w="2466"/>
            <w:vMerge/>
            <w:tcBorders>
              <w:end w:sz="30.40000000000009" w:val="single" w:color="#6D6D6D"/>
            </w:tcBorders>
          </w:tcPr>
          <w:p/>
        </w:tc>
        <w:tc>
          <w:tcPr>
            <w:tcW w:type="dxa" w:w="2466"/>
            <w:vMerge/>
            <w:tcBorders>
              <w:start w:sz="30.40000000000009" w:val="single" w:color="#6D6D6D"/>
            </w:tcBorders>
          </w:tcPr>
          <w:p/>
        </w:tc>
      </w:tr>
      <w:tr>
        <w:trPr>
          <w:trHeight w:hRule="exact" w:val="266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331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215 </w:t>
            </w:r>
          </w:p>
        </w:tc>
        <w:tc>
          <w:tcPr>
            <w:tcW w:type="dxa" w:w="2466"/>
            <w:vMerge/>
            <w:tcBorders>
              <w:end w:sz="30.40000000000009" w:val="single" w:color="#6D6D6D"/>
            </w:tcBorders>
          </w:tcPr>
          <w:p/>
        </w:tc>
        <w:tc>
          <w:tcPr>
            <w:tcW w:type="dxa" w:w="862"/>
            <w:tcBorders>
              <w:start w:sz="30.40000000000009" w:val="single" w:color="#6D6D6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0" w:after="0"/>
              <w:ind w:left="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116</w:t>
            </w:r>
          </w:p>
        </w:tc>
      </w:tr>
      <w:tr>
        <w:trPr>
          <w:trHeight w:hRule="exact" w:val="230"/>
        </w:trPr>
        <w:tc>
          <w:tcPr>
            <w:tcW w:type="dxa" w:w="1488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(5,227)  (3,549) </w:t>
            </w:r>
          </w:p>
        </w:tc>
        <w:tc>
          <w:tcPr>
            <w:tcW w:type="dxa" w:w="1574"/>
            <w:tcBorders>
              <w:end w:sz="30.40000000000009" w:val="single" w:color="#6D6D6D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(1,678)</w:t>
            </w:r>
          </w:p>
        </w:tc>
        <w:tc>
          <w:tcPr>
            <w:tcW w:type="dxa" w:w="862"/>
            <w:tcBorders>
              <w:start w:sz="30.40000000000009" w:val="single" w:color="#6D6D6D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0"/>
        </w:trPr>
        <w:tc>
          <w:tcPr>
            <w:tcW w:type="dxa" w:w="1488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(3,780) $ (2,625) </w:t>
            </w:r>
          </w:p>
        </w:tc>
        <w:tc>
          <w:tcPr>
            <w:tcW w:type="dxa" w:w="1574"/>
            <w:tcBorders>
              <w:top w:sz="8.0" w:val="single" w:color="#000000"/>
              <w:end w:sz="30.40000000000009" w:val="single" w:color="#6D6D6D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3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(1,155)</w:t>
            </w:r>
          </w:p>
        </w:tc>
        <w:tc>
          <w:tcPr>
            <w:tcW w:type="dxa" w:w="862"/>
            <w:tcBorders>
              <w:start w:sz="30.40000000000009" w:val="single" w:color="#6D6D6D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240"/>
        <w:ind w:left="0" w:right="0"/>
      </w:pPr>
    </w:p>
    <w:p>
      <w:pPr>
        <w:sectPr>
          <w:type w:val="nextColumn"/>
          <w:pgSz w:w="12240" w:h="15840"/>
          <w:pgMar w:top="256" w:right="944" w:bottom="216" w:left="1430" w:header="720" w:footer="720" w:gutter="0"/>
          <w:cols w:num="2" w:equalWidth="0">
            <w:col w:w="5346" w:space="0"/>
            <w:col w:w="4519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.0" w:type="dxa"/>
      </w:tblPr>
      <w:tblGrid>
        <w:gridCol w:w="3289"/>
        <w:gridCol w:w="3289"/>
        <w:gridCol w:w="3289"/>
      </w:tblGrid>
      <w:tr>
        <w:trPr>
          <w:trHeight w:hRule="exact" w:val="176"/>
        </w:trPr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Activities directly funded by member contributions</w:t>
            </w:r>
          </w:p>
        </w:tc>
        <w:tc>
          <w:tcPr>
            <w:tcW w:type="dxa" w:w="4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9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$ 5,235 $ 3,605 </w:t>
            </w:r>
          </w:p>
        </w:tc>
        <w:tc>
          <w:tcPr>
            <w:tcW w:type="dxa" w:w="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1,630</w:t>
            </w:r>
          </w:p>
        </w:tc>
      </w:tr>
    </w:tbl>
    <w:p>
      <w:pPr>
        <w:autoSpaceDN w:val="0"/>
        <w:autoSpaceDE w:val="0"/>
        <w:widowControl/>
        <w:spacing w:line="14" w:lineRule="exact" w:before="0" w:after="54"/>
        <w:ind w:left="0" w:right="0"/>
      </w:pPr>
    </w:p>
    <w:p>
      <w:pPr>
        <w:sectPr>
          <w:type w:val="continuous"/>
          <w:pgSz w:w="12240" w:h="15840"/>
          <w:pgMar w:top="256" w:right="944" w:bottom="216" w:left="1430" w:header="720" w:footer="720" w:gutter="0"/>
          <w:cols/>
          <w:docGrid w:linePitch="360"/>
        </w:sectPr>
      </w:pPr>
    </w:p>
    <w:p>
      <w:pPr>
        <w:autoSpaceDN w:val="0"/>
        <w:tabs>
          <w:tab w:pos="152" w:val="left"/>
          <w:tab w:pos="182" w:val="left"/>
        </w:tabs>
        <w:autoSpaceDE w:val="0"/>
        <w:widowControl/>
        <w:spacing w:line="228" w:lineRule="exact" w:before="0" w:after="0"/>
        <w:ind w:left="62" w:right="288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Contributions from affiliated organizations and others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Non-functional currency translation adjustment (gains) losses, net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Unrealized mark-to-market (gains) on non-trading portfolios, net </w:t>
      </w:r>
      <w:r>
        <w:rPr>
          <w:w w:val="103.99999618530273"/>
          <w:rFonts w:ascii="ArialMT" w:hAnsi="ArialMT" w:eastAsia="ArialMT"/>
          <w:b w:val="0"/>
          <w:i w:val="0"/>
          <w:color w:val="000000"/>
          <w:sz w:val="10"/>
        </w:rPr>
        <w:t>b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Pension and other adjustments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</w:rPr>
        <w:t>Adjusted Net Income</w:t>
      </w:r>
    </w:p>
    <w:p>
      <w:pPr>
        <w:sectPr>
          <w:type w:val="continuous"/>
          <w:pgSz w:w="12240" w:h="15840"/>
          <w:pgMar w:top="256" w:right="944" w:bottom="216" w:left="1430" w:header="720" w:footer="720" w:gutter="0"/>
          <w:cols w:num="2" w:equalWidth="0">
            <w:col w:w="5162" w:space="0"/>
            <w:col w:w="470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3.9999999999998" w:type="dxa"/>
      </w:tblPr>
      <w:tblGrid>
        <w:gridCol w:w="1973"/>
        <w:gridCol w:w="1973"/>
        <w:gridCol w:w="1973"/>
        <w:gridCol w:w="1973"/>
        <w:gridCol w:w="1973"/>
      </w:tblGrid>
      <w:tr>
        <w:trPr>
          <w:trHeight w:hRule="exact" w:val="194"/>
        </w:trPr>
        <w:tc>
          <w:tcPr>
            <w:tcW w:type="dxa" w:w="2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(515) </w:t>
            </w:r>
          </w:p>
        </w:tc>
        <w:tc>
          <w:tcPr>
            <w:tcW w:type="dxa" w:w="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(291) </w:t>
            </w:r>
          </w:p>
        </w:tc>
        <w:tc>
          <w:tcPr>
            <w:tcW w:type="dxa" w:w="1476"/>
            <w:tcBorders>
              <w:end w:sz="48.0" w:val="single" w:color="#B5B6B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(224)</w:t>
            </w:r>
          </w:p>
        </w:tc>
        <w:tc>
          <w:tcPr>
            <w:tcW w:type="dxa" w:w="920"/>
            <w:vMerge w:val="restart"/>
            <w:tcBorders>
              <w:start w:sz="48.0" w:val="single" w:color="#B5B6B5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4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61</w:t>
            </w:r>
          </w:p>
        </w:tc>
      </w:tr>
      <w:tr>
        <w:trPr>
          <w:trHeight w:hRule="exact" w:val="240"/>
        </w:trPr>
        <w:tc>
          <w:tcPr>
            <w:tcW w:type="dxa" w:w="1973"/>
            <w:vMerge/>
            <w:tcBorders>
              <w:bottom w:sz="8.0" w:val="single" w:color="#000000"/>
            </w:tcBorders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(35) </w:t>
            </w:r>
          </w:p>
        </w:tc>
        <w:tc>
          <w:tcPr>
            <w:tcW w:type="dxa" w:w="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476"/>
            <w:tcBorders>
              <w:end w:sz="48.0" w:val="single" w:color="#B5B6B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(37)</w:t>
            </w:r>
          </w:p>
        </w:tc>
        <w:tc>
          <w:tcPr>
            <w:tcW w:type="dxa" w:w="1973"/>
            <w:vMerge/>
            <w:tcBorders>
              <w:start w:sz="48.0" w:val="single" w:color="#B5B6B5"/>
              <w:bottom w:sz="8.0" w:val="single" w:color="#000000"/>
            </w:tcBorders>
          </w:tcPr>
          <w:p/>
        </w:tc>
      </w:tr>
      <w:tr>
        <w:trPr>
          <w:trHeight w:hRule="exact" w:val="260"/>
        </w:trPr>
        <w:tc>
          <w:tcPr>
            <w:tcW w:type="dxa" w:w="1973"/>
            <w:vMerge/>
            <w:tcBorders>
              <w:bottom w:sz="8.0" w:val="single" w:color="#000000"/>
            </w:tcBorders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(317) </w:t>
            </w:r>
          </w:p>
        </w:tc>
        <w:tc>
          <w:tcPr>
            <w:tcW w:type="dxa" w:w="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(207) </w:t>
            </w:r>
          </w:p>
        </w:tc>
        <w:tc>
          <w:tcPr>
            <w:tcW w:type="dxa" w:w="1476"/>
            <w:vMerge w:val="restart"/>
            <w:tcBorders>
              <w:end w:sz="48.0" w:val="single" w:color="#B5B6B5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(110)</w:t>
            </w:r>
          </w:p>
        </w:tc>
        <w:tc>
          <w:tcPr>
            <w:tcW w:type="dxa" w:w="1973"/>
            <w:vMerge/>
            <w:tcBorders>
              <w:start w:sz="48.0" w:val="single" w:color="#B5B6B5"/>
              <w:bottom w:sz="8.0" w:val="single" w:color="#000000"/>
            </w:tcBorders>
          </w:tcPr>
          <w:p/>
        </w:tc>
      </w:tr>
      <w:tr>
        <w:trPr>
          <w:trHeight w:hRule="exact" w:val="256"/>
        </w:trPr>
        <w:tc>
          <w:tcPr>
            <w:tcW w:type="dxa" w:w="1973"/>
            <w:vMerge/>
            <w:tcBorders>
              <w:bottom w:sz="8.0" w:val="single" w:color="#000000"/>
            </w:tcBorders>
          </w:tcPr>
          <w:p/>
        </w:tc>
        <w:tc>
          <w:tcPr>
            <w:tcW w:type="dxa" w:w="7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(213) </w:t>
            </w:r>
          </w:p>
        </w:tc>
        <w:tc>
          <w:tcPr>
            <w:tcW w:type="dxa" w:w="4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(274) </w:t>
            </w:r>
          </w:p>
        </w:tc>
        <w:tc>
          <w:tcPr>
            <w:tcW w:type="dxa" w:w="1973"/>
            <w:vMerge/>
            <w:tcBorders>
              <w:end w:sz="48.0" w:val="single" w:color="#B5B6B5"/>
              <w:bottom w:sz="8.0" w:val="single" w:color="#000000"/>
            </w:tcBorders>
          </w:tcPr>
          <w:p/>
        </w:tc>
        <w:tc>
          <w:tcPr>
            <w:tcW w:type="dxa" w:w="1973"/>
            <w:vMerge/>
            <w:tcBorders>
              <w:start w:sz="48.0" w:val="single" w:color="#B5B6B5"/>
              <w:bottom w:sz="8.0" w:val="single" w:color="#000000"/>
            </w:tcBorders>
          </w:tcPr>
          <w:p/>
        </w:tc>
      </w:tr>
      <w:tr>
        <w:trPr>
          <w:trHeight w:hRule="exact" w:val="200"/>
        </w:trPr>
        <w:tc>
          <w:tcPr>
            <w:tcW w:type="dxa" w:w="2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375 $ </w:t>
            </w:r>
          </w:p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210 </w:t>
            </w:r>
          </w:p>
        </w:tc>
        <w:tc>
          <w:tcPr>
            <w:tcW w:type="dxa" w:w="1476"/>
            <w:tcBorders>
              <w:top w:sz="8.0" w:val="single" w:color="#000000"/>
              <w:end w:sz="48.0" w:val="single" w:color="#B5B6B5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start w:sz="48.0" w:val="single" w:color="#B5B6B5"/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165</w:t>
            </w:r>
          </w:p>
        </w:tc>
      </w:tr>
    </w:tbl>
    <w:p>
      <w:pPr>
        <w:autoSpaceDN w:val="0"/>
        <w:autoSpaceDE w:val="0"/>
        <w:widowControl/>
        <w:spacing w:line="14" w:lineRule="exact" w:before="0" w:after="360"/>
        <w:ind w:left="0" w:right="0"/>
      </w:pPr>
    </w:p>
    <w:p>
      <w:pPr>
        <w:sectPr>
          <w:type w:val="nextColumn"/>
          <w:pgSz w:w="12240" w:h="15840"/>
          <w:pgMar w:top="256" w:right="944" w:bottom="216" w:left="1430" w:header="720" w:footer="720" w:gutter="0"/>
          <w:cols w:num="2" w:equalWidth="0">
            <w:col w:w="5162" w:space="0"/>
            <w:col w:w="4703" w:space="0"/>
          </w:cols>
          <w:docGrid w:linePitch="360"/>
        </w:sectPr>
      </w:pPr>
    </w:p>
    <w:p>
      <w:pPr>
        <w:autoSpaceDN w:val="0"/>
        <w:tabs>
          <w:tab w:pos="242" w:val="left"/>
        </w:tabs>
        <w:autoSpaceDE w:val="0"/>
        <w:widowControl/>
        <w:spacing w:line="192" w:lineRule="exact" w:before="32" w:after="0"/>
        <w:ind w:left="62" w:right="432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Includes IDA’s share of returns from Post-Employment Benefit Plan (PEBP) and Post-Retirement Contribution Reserve Fund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(PCRF) assets – $58 million positive return (FY24 YTD – $109 million of positive return).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Excludes $14 million of gains from revenue-related forward currency contracts (FY24 YTD – $8 million of gains).</w:t>
      </w:r>
    </w:p>
    <w:p>
      <w:pPr>
        <w:autoSpaceDN w:val="0"/>
        <w:autoSpaceDE w:val="0"/>
        <w:widowControl/>
        <w:spacing w:line="252" w:lineRule="exact" w:before="268" w:after="72"/>
        <w:ind w:left="10" w:right="7056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Table 4: Condensed Balance Sheets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466"/>
        <w:gridCol w:w="2466"/>
        <w:gridCol w:w="2466"/>
        <w:gridCol w:w="2466"/>
      </w:tblGrid>
      <w:tr>
        <w:trPr>
          <w:trHeight w:hRule="exact" w:val="270"/>
        </w:trPr>
        <w:tc>
          <w:tcPr>
            <w:tcW w:type="dxa" w:w="1564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As of</w:t>
            </w:r>
          </w:p>
        </w:tc>
        <w:tc>
          <w:tcPr>
            <w:tcW w:type="dxa" w:w="248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2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March 31, 2025</w:t>
            </w:r>
          </w:p>
        </w:tc>
        <w:tc>
          <w:tcPr>
            <w:tcW w:type="dxa" w:w="166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24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June 30, 2024</w:t>
            </w:r>
          </w:p>
        </w:tc>
        <w:tc>
          <w:tcPr>
            <w:tcW w:type="dxa" w:w="3664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40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Decrease   Increase</w:t>
            </w:r>
          </w:p>
        </w:tc>
      </w:tr>
    </w:tbl>
    <w:p>
      <w:pPr>
        <w:autoSpaceDN w:val="0"/>
        <w:autoSpaceDE w:val="0"/>
        <w:widowControl/>
        <w:spacing w:line="180" w:lineRule="exact" w:before="30" w:after="38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973"/>
        <w:gridCol w:w="1973"/>
        <w:gridCol w:w="1973"/>
        <w:gridCol w:w="1973"/>
        <w:gridCol w:w="1973"/>
      </w:tblGrid>
      <w:tr>
        <w:trPr>
          <w:trHeight w:hRule="exact" w:val="290"/>
        </w:trPr>
        <w:tc>
          <w:tcPr>
            <w:tcW w:type="dxa" w:w="2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Due from banks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952 $ </w:t>
            </w:r>
          </w:p>
        </w:tc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586 </w:t>
            </w:r>
          </w:p>
        </w:tc>
        <w:tc>
          <w:tcPr>
            <w:tcW w:type="dxa" w:w="3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6" w:after="0"/>
              <w:ind w:left="0" w:right="17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366</w:t>
            </w:r>
          </w:p>
        </w:tc>
      </w:tr>
      <w:tr>
        <w:trPr>
          <w:trHeight w:hRule="exact" w:val="210"/>
        </w:trPr>
        <w:tc>
          <w:tcPr>
            <w:tcW w:type="dxa" w:w="2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45,154 </w:t>
            </w:r>
          </w:p>
        </w:tc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34,377 </w:t>
            </w:r>
          </w:p>
        </w:tc>
        <w:tc>
          <w:tcPr>
            <w:tcW w:type="dxa" w:w="3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10,777</w:t>
            </w:r>
          </w:p>
        </w:tc>
      </w:tr>
      <w:tr>
        <w:trPr>
          <w:trHeight w:hRule="exact" w:val="242"/>
        </w:trPr>
        <w:tc>
          <w:tcPr>
            <w:tcW w:type="dxa" w:w="2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loans outstanding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211,065 </w:t>
            </w:r>
          </w:p>
        </w:tc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198,457 </w:t>
            </w:r>
          </w:p>
        </w:tc>
        <w:tc>
          <w:tcPr>
            <w:tcW w:type="dxa" w:w="3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1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12,608</w:t>
            </w:r>
          </w:p>
        </w:tc>
      </w:tr>
      <w:tr>
        <w:trPr>
          <w:trHeight w:hRule="exact" w:val="234"/>
        </w:trPr>
        <w:tc>
          <w:tcPr>
            <w:tcW w:type="dxa" w:w="2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assets, net</w:t>
            </w:r>
          </w:p>
        </w:tc>
        <w:tc>
          <w:tcPr>
            <w:tcW w:type="dxa" w:w="6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497 </w:t>
            </w:r>
          </w:p>
        </w:tc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363 </w:t>
            </w:r>
          </w:p>
        </w:tc>
        <w:tc>
          <w:tcPr>
            <w:tcW w:type="dxa" w:w="3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17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134</w:t>
            </w:r>
          </w:p>
        </w:tc>
      </w:tr>
      <w:tr>
        <w:trPr>
          <w:trHeight w:hRule="exact" w:val="290"/>
        </w:trPr>
        <w:tc>
          <w:tcPr>
            <w:tcW w:type="dxa" w:w="23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assets</w:t>
            </w:r>
          </w:p>
        </w:tc>
        <w:tc>
          <w:tcPr>
            <w:tcW w:type="dxa" w:w="1973"/>
            <w:vMerge/>
            <w:tcBorders>
              <w:bottom w:sz="8.0" w:val="single" w:color="#000000"/>
            </w:tcBorders>
          </w:tcPr>
          <w:p/>
        </w:tc>
        <w:tc>
          <w:tcPr>
            <w:tcW w:type="dxa" w:w="1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8,918 </w:t>
            </w:r>
          </w:p>
        </w:tc>
        <w:tc>
          <w:tcPr>
            <w:tcW w:type="dxa" w:w="8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7,567 </w:t>
            </w:r>
          </w:p>
        </w:tc>
        <w:tc>
          <w:tcPr>
            <w:tcW w:type="dxa" w:w="36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4" w:after="0"/>
              <w:ind w:left="0" w:right="15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1,351</w:t>
            </w:r>
          </w:p>
        </w:tc>
      </w:tr>
      <w:tr>
        <w:trPr>
          <w:trHeight w:hRule="exact" w:val="246"/>
        </w:trPr>
        <w:tc>
          <w:tcPr>
            <w:tcW w:type="dxa" w:w="23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assets</w:t>
            </w:r>
          </w:p>
        </w:tc>
        <w:tc>
          <w:tcPr>
            <w:tcW w:type="dxa" w:w="6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266,586 $ </w:t>
            </w:r>
          </w:p>
        </w:tc>
        <w:tc>
          <w:tcPr>
            <w:tcW w:type="dxa" w:w="8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241,350 </w:t>
            </w:r>
          </w:p>
        </w:tc>
        <w:tc>
          <w:tcPr>
            <w:tcW w:type="dxa" w:w="36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6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25,236</w:t>
            </w:r>
          </w:p>
        </w:tc>
      </w:tr>
    </w:tbl>
    <w:p>
      <w:pPr>
        <w:autoSpaceDN w:val="0"/>
        <w:autoSpaceDE w:val="0"/>
        <w:widowControl/>
        <w:spacing w:line="180" w:lineRule="exact" w:before="40" w:after="1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Liabilities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hRule="exact" w:val="212"/>
        </w:trPr>
        <w:tc>
          <w:tcPr>
            <w:tcW w:type="dxa" w:w="2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64,510 $ 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3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44,923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19,587</w:t>
            </w:r>
          </w:p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7"/>
        </w:trPr>
        <w:tc>
          <w:tcPr>
            <w:tcW w:type="dxa" w:w="2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liabilities, net</w:t>
            </w:r>
          </w:p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405 </w:t>
            </w:r>
          </w:p>
        </w:tc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667 </w:t>
            </w:r>
          </w:p>
        </w:tc>
        <w:tc>
          <w:tcPr>
            <w:tcW w:type="dxa" w:w="22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7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(262)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7"/>
        </w:trPr>
        <w:tc>
          <w:tcPr>
            <w:tcW w:type="dxa" w:w="2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liabilities</w:t>
            </w:r>
          </w:p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6,221 </w:t>
            </w:r>
          </w:p>
        </w:tc>
        <w:tc>
          <w:tcPr>
            <w:tcW w:type="dxa" w:w="2470"/>
            <w:gridSpan w:val="2"/>
            <w:tcBorders>
              <w:end w:sz="5.599999999999909" w:val="single" w:color="#B5B6B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4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5,459 </w:t>
            </w:r>
          </w:p>
        </w:tc>
        <w:tc>
          <w:tcPr>
            <w:tcW w:type="dxa" w:w="670"/>
            <w:tcBorders>
              <w:start w:sz="5.599999999999909" w:val="single" w:color="#B5B6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762</w:t>
            </w:r>
          </w:p>
        </w:tc>
        <w:tc>
          <w:tcPr>
            <w:tcW w:type="dxa" w:w="1233"/>
            <w:vMerge/>
            <w:tcBorders/>
          </w:tcPr>
          <w:p/>
        </w:tc>
        <w:tc>
          <w:tcPr>
            <w:tcW w:type="dxa" w:w="1233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20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Equity</w:t>
            </w:r>
          </w:p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195,450 </w:t>
            </w:r>
          </w:p>
        </w:tc>
        <w:tc>
          <w:tcPr>
            <w:tcW w:type="dxa" w:w="2470"/>
            <w:gridSpan w:val="2"/>
            <w:tcBorders>
              <w:end w:sz="5.599999999999909" w:val="single" w:color="#B5B6B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190,301 </w:t>
            </w:r>
          </w:p>
        </w:tc>
        <w:tc>
          <w:tcPr>
            <w:tcW w:type="dxa" w:w="670"/>
            <w:tcBorders>
              <w:start w:sz="5.599999999999909" w:val="single" w:color="#B5B6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5,149</w:t>
            </w:r>
          </w:p>
        </w:tc>
        <w:tc>
          <w:tcPr>
            <w:tcW w:type="dxa" w:w="10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"/>
        </w:trPr>
        <w:tc>
          <w:tcPr>
            <w:tcW w:type="dxa" w:w="1233"/>
            <w:vMerge/>
            <w:tcBorders>
              <w:bottom w:sz="8.0" w:val="single" w:color="#000000"/>
            </w:tcBorders>
          </w:tcPr>
          <w:p/>
        </w:tc>
        <w:tc>
          <w:tcPr>
            <w:tcW w:type="dxa" w:w="980"/>
            <w:vMerge w:val="restart"/>
            <w:tcBorders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40"/>
            <w:vMerge w:val="restart"/>
            <w:tcBorders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2" w:after="0"/>
              <w:ind w:left="0" w:right="2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266,586 $ </w:t>
            </w:r>
          </w:p>
        </w:tc>
        <w:tc>
          <w:tcPr>
            <w:tcW w:type="dxa" w:w="3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33"/>
            <w:vMerge/>
            <w:tcBorders>
              <w:bottom w:sz="8.0" w:val="single" w:color="#000000"/>
            </w:tcBorders>
          </w:tcPr>
          <w:p/>
        </w:tc>
        <w:tc>
          <w:tcPr>
            <w:tcW w:type="dxa" w:w="1233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0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liabilities and equity</w:t>
            </w:r>
          </w:p>
        </w:tc>
        <w:tc>
          <w:tcPr>
            <w:tcW w:type="dxa" w:w="1233"/>
            <w:vMerge/>
            <w:tcBorders>
              <w:bottom w:sz="8.0" w:val="single" w:color="#929292"/>
            </w:tcBorders>
          </w:tcPr>
          <w:p/>
        </w:tc>
        <w:tc>
          <w:tcPr>
            <w:tcW w:type="dxa" w:w="1233"/>
            <w:vMerge/>
            <w:tcBorders>
              <w:bottom w:sz="8.0" w:val="single" w:color="#929292"/>
            </w:tcBorders>
          </w:tcPr>
          <w:p/>
        </w:tc>
        <w:tc>
          <w:tcPr>
            <w:tcW w:type="dxa" w:w="3140"/>
            <w:gridSpan w:val="3"/>
            <w:vMerge w:val="restart"/>
            <w:tcBorders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3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241,350 </w:t>
            </w:r>
          </w:p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25,236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205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33"/>
            <w:vMerge/>
            <w:tcBorders>
              <w:bottom w:sz="8.0" w:val="single" w:color="#929292"/>
            </w:tcBorders>
          </w:tcPr>
          <w:p/>
        </w:tc>
        <w:tc>
          <w:tcPr>
            <w:tcW w:type="dxa" w:w="1233"/>
            <w:vMerge/>
            <w:tcBorders>
              <w:bottom w:sz="8.0" w:val="single" w:color="#929292"/>
            </w:tcBorders>
          </w:tcPr>
          <w:p/>
        </w:tc>
        <w:tc>
          <w:tcPr>
            <w:tcW w:type="dxa" w:w="3699"/>
            <w:gridSpan w:val="3"/>
            <w:vMerge/>
            <w:tcBorders>
              <w:bottom w:sz="8.0" w:val="single" w:color="#929292"/>
            </w:tcBorders>
          </w:tcPr>
          <w:p/>
        </w:tc>
        <w:tc>
          <w:tcPr>
            <w:tcW w:type="dxa" w:w="10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0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11</w:t>
            </w:r>
          </w:p>
        </w:tc>
      </w:tr>
      <w:tr>
        <w:trPr>
          <w:trHeight w:hRule="exact" w:val="2362"/>
        </w:trPr>
        <w:tc>
          <w:tcPr>
            <w:tcW w:type="dxa" w:w="1233"/>
            <w:vMerge/>
            <w:tcBorders>
              <w:top w:sz="8.0" w:val="single" w:color="#000000"/>
            </w:tcBorders>
          </w:tcPr>
          <w:p/>
        </w:tc>
        <w:tc>
          <w:tcPr>
            <w:tcW w:type="dxa" w:w="5660"/>
            <w:gridSpan w:val="5"/>
            <w:tcBorders>
              <w:top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48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IDA Management's Discussion and Analysis: March 31, 2025</w:t>
            </w:r>
          </w:p>
        </w:tc>
        <w:tc>
          <w:tcPr>
            <w:tcW w:type="dxa" w:w="1233"/>
            <w:vMerge/>
            <w:tcBorders>
              <w:top w:sz="8.0" w:val="single" w:color="#000000"/>
            </w:tcBorders>
          </w:tcPr>
          <w:p/>
        </w:tc>
        <w:tc>
          <w:tcPr>
            <w:tcW w:type="dxa" w:w="1233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56" w:right="944" w:bottom="21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6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IV: Financial Results</w:t>
            </w:r>
          </w:p>
        </w:tc>
      </w:tr>
    </w:tbl>
    <w:p>
      <w:pPr>
        <w:autoSpaceDN w:val="0"/>
        <w:autoSpaceDE w:val="0"/>
        <w:widowControl/>
        <w:spacing w:line="222" w:lineRule="exact" w:before="31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main drivers for the movements in the Condensed Balance Sheets as of March 31, 2025 are as follows:</w:t>
      </w:r>
    </w:p>
    <w:p>
      <w:pPr>
        <w:autoSpaceDN w:val="0"/>
        <w:tabs>
          <w:tab w:pos="730" w:val="left"/>
        </w:tabs>
        <w:autoSpaceDE w:val="0"/>
        <w:widowControl/>
        <w:spacing w:line="222" w:lineRule="exact" w:before="78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 increase in investments, driven by net cash inflows from new issuances of debt during the period;</w:t>
      </w:r>
    </w:p>
    <w:p>
      <w:pPr>
        <w:autoSpaceDN w:val="0"/>
        <w:tabs>
          <w:tab w:pos="730" w:val="left"/>
        </w:tabs>
        <w:autoSpaceDE w:val="0"/>
        <w:widowControl/>
        <w:spacing w:line="222" w:lineRule="exact" w:before="78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 increase in net loans outstanding mainly due to net loan disbursements during the period;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60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 increase in other assets mainly due to the increase in receivable for securities in the investment portfolio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that were sold but have not been settled by the end of the period;</w:t>
      </w:r>
    </w:p>
    <w:p>
      <w:pPr>
        <w:autoSpaceDN w:val="0"/>
        <w:tabs>
          <w:tab w:pos="730" w:val="left"/>
        </w:tabs>
        <w:autoSpaceDE w:val="0"/>
        <w:widowControl/>
        <w:spacing w:line="222" w:lineRule="exact" w:before="78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 increase in borrowings due to net new issuances of market borrowings during the period;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60" w:after="0"/>
        <w:ind w:left="37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 increase in equity primarily due to subscriptions and contributions paid-in and currency translation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gains as the SDR appreciated against U.S dollar, partially offset by the net loss during the period.</w:t>
      </w:r>
    </w:p>
    <w:p>
      <w:pPr>
        <w:autoSpaceDN w:val="0"/>
        <w:autoSpaceDE w:val="0"/>
        <w:widowControl/>
        <w:spacing w:line="244" w:lineRule="exact" w:before="37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Equity</w:t>
      </w:r>
    </w:p>
    <w:p>
      <w:pPr>
        <w:autoSpaceDN w:val="0"/>
        <w:autoSpaceDE w:val="0"/>
        <w:widowControl/>
        <w:spacing w:line="222" w:lineRule="exact" w:before="14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See Table 5 below for the change in IDA’s equity during FY25 YTD.</w:t>
      </w:r>
    </w:p>
    <w:p>
      <w:pPr>
        <w:autoSpaceDN w:val="0"/>
        <w:autoSpaceDE w:val="0"/>
        <w:widowControl/>
        <w:spacing w:line="178" w:lineRule="exact" w:before="15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Table 5: Changes in Equity</w:t>
      </w:r>
    </w:p>
    <w:p>
      <w:pPr>
        <w:autoSpaceDN w:val="0"/>
        <w:autoSpaceDE w:val="0"/>
        <w:widowControl/>
        <w:spacing w:line="178" w:lineRule="exact" w:before="13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billions of U.S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40"/>
        </w:trPr>
        <w:tc>
          <w:tcPr>
            <w:tcW w:type="dxa" w:w="395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Equity as of June 30, 2024</w:t>
            </w:r>
          </w:p>
        </w:tc>
        <w:tc>
          <w:tcPr>
            <w:tcW w:type="dxa" w:w="236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190.3 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Activity during the year: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32"/>
        </w:trPr>
        <w:tc>
          <w:tcPr>
            <w:tcW w:type="dxa" w:w="4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Subscriptions and contributions paid-in</w:t>
            </w:r>
          </w:p>
        </w:tc>
        <w:tc>
          <w:tcPr>
            <w:tcW w:type="dxa" w:w="1584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6.3 </w:t>
            </w:r>
          </w:p>
        </w:tc>
      </w:tr>
      <w:tr>
        <w:trPr>
          <w:trHeight w:hRule="exact" w:val="240"/>
        </w:trPr>
        <w:tc>
          <w:tcPr>
            <w:tcW w:type="dxa" w:w="4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Nonnegotiable non-interest bearing demand obligations, net</w:t>
            </w:r>
          </w:p>
        </w:tc>
        <w:tc>
          <w:tcPr>
            <w:tcW w:type="dxa" w:w="3147"/>
            <w:vMerge/>
            <w:tcBorders>
              <w:bottom w:sz="8.0" w:val="single" w:color="#6C6C6C"/>
            </w:tcBorders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1.1 </w:t>
            </w:r>
          </w:p>
        </w:tc>
      </w:tr>
      <w:tr>
        <w:trPr>
          <w:trHeight w:hRule="exact" w:val="240"/>
        </w:trPr>
        <w:tc>
          <w:tcPr>
            <w:tcW w:type="dxa" w:w="4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loss</w:t>
            </w:r>
          </w:p>
        </w:tc>
        <w:tc>
          <w:tcPr>
            <w:tcW w:type="dxa" w:w="3147"/>
            <w:vMerge/>
            <w:tcBorders>
              <w:bottom w:sz="8.0" w:val="single" w:color="#6C6C6C"/>
            </w:tcBorders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(3.8) </w:t>
            </w:r>
          </w:p>
        </w:tc>
      </w:tr>
      <w:tr>
        <w:trPr>
          <w:trHeight w:hRule="exact" w:val="248"/>
        </w:trPr>
        <w:tc>
          <w:tcPr>
            <w:tcW w:type="dxa" w:w="4726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Changes in accumulated other comprehensive income</w:t>
            </w:r>
          </w:p>
        </w:tc>
        <w:tc>
          <w:tcPr>
            <w:tcW w:type="dxa" w:w="3147"/>
            <w:vMerge/>
            <w:tcBorders>
              <w:bottom w:sz="8.0" w:val="single" w:color="#6C6C6C"/>
            </w:tcBorders>
          </w:tcPr>
          <w:p/>
        </w:tc>
        <w:tc>
          <w:tcPr>
            <w:tcW w:type="dxa" w:w="82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1.6 </w:t>
            </w:r>
          </w:p>
        </w:tc>
      </w:tr>
      <w:tr>
        <w:trPr>
          <w:trHeight w:hRule="exact" w:val="240"/>
        </w:trPr>
        <w:tc>
          <w:tcPr>
            <w:tcW w:type="dxa" w:w="472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Total Activity </w:t>
            </w:r>
          </w:p>
        </w:tc>
        <w:tc>
          <w:tcPr>
            <w:tcW w:type="dxa" w:w="158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5.2 </w:t>
            </w:r>
          </w:p>
        </w:tc>
      </w:tr>
      <w:tr>
        <w:trPr>
          <w:trHeight w:hRule="exact" w:val="220"/>
        </w:trPr>
        <w:tc>
          <w:tcPr>
            <w:tcW w:type="dxa" w:w="4726"/>
            <w:tcBorders>
              <w:top w:sz="8.0" w:val="single" w:color="#6C6C6C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Equity as of March 31, 2025</w:t>
            </w:r>
          </w:p>
        </w:tc>
        <w:tc>
          <w:tcPr>
            <w:tcW w:type="dxa" w:w="1584"/>
            <w:tcBorders>
              <w:top w:sz="8.0" w:val="single" w:color="#6C6C6C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>
              <w:top w:sz="8.0" w:val="single" w:color="#6C6C6C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195.5 </w:t>
            </w:r>
          </w:p>
        </w:tc>
      </w:tr>
      <w:tr>
        <w:trPr>
          <w:trHeight w:hRule="exact" w:val="334"/>
        </w:trPr>
        <w:tc>
          <w:tcPr>
            <w:tcW w:type="dxa" w:w="4726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4" w:lineRule="exact" w:before="36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Results from Financing Activities</w:t>
      </w:r>
    </w:p>
    <w:p>
      <w:pPr>
        <w:autoSpaceDN w:val="0"/>
        <w:autoSpaceDE w:val="0"/>
        <w:widowControl/>
        <w:spacing w:line="222" w:lineRule="exact" w:before="144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Loan Portfolio and Grant Activity</w:t>
      </w:r>
    </w:p>
    <w:p>
      <w:pPr>
        <w:autoSpaceDN w:val="0"/>
        <w:autoSpaceDE w:val="0"/>
        <w:widowControl/>
        <w:spacing w:line="240" w:lineRule="exact" w:before="12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March 31, 2025, net loans outstanding were $211.1 billion, $12.6 billion higher compared with June 30, 2024.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increase was mainly due to the net loan disbursements during the nine months ended March 31, 2025.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undisbursed balance for loan and grant commitments were $76.0 billion and $26.1 billion, respectively as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March 31, 2025.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March 31, 2025, 76% of IDA’s loans outstanding were denominated in SDR. For the regional presentation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loans outstanding, see Notes to the Condensed Quarterly Financial Statements for the period ended March 31, 2025,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Note D – Loans and Other Exposures – Table D5.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Certain of IDA's loan product offerings carry pricing terms equivalent to those of IBRD. The Board approved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adjustments to IBRD's loan pricing in October 2024. The following pricing adjustments are now applicable to IDA's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non-concessional loans offered on IBRD's flexible loan terms: 1) introduction of a grace period, during which no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commitment fees are charged for the first four years for Investment Project Financing (IPFs) and Program-for-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Results Financing (PforRs); 2) removal of the prepayment premium; and 3) introduction of a 7 year Short Maturity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 (SML) with a maturity discount applied to the contractual spread. </w:t>
      </w:r>
    </w:p>
    <w:p>
      <w:pPr>
        <w:autoSpaceDN w:val="0"/>
        <w:tabs>
          <w:tab w:pos="588" w:val="left"/>
        </w:tabs>
        <w:autoSpaceDE w:val="0"/>
        <w:widowControl/>
        <w:spacing w:line="224" w:lineRule="exact" w:before="353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March 31, 2025</w:t>
      </w:r>
    </w:p>
    <w:p>
      <w:pPr>
        <w:sectPr>
          <w:pgSz w:w="12240" w:h="15840"/>
          <w:pgMar w:top="256" w:right="1370" w:bottom="21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  <w:gridCol w:w="633"/>
      </w:tblGrid>
      <w:tr>
        <w:trPr>
          <w:trHeight w:hRule="exact" w:val="286"/>
        </w:trPr>
        <w:tc>
          <w:tcPr>
            <w:tcW w:type="dxa" w:w="3964"/>
            <w:gridSpan w:val="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4800"/>
            <w:gridSpan w:val="10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IV: Financial Results</w:t>
            </w:r>
          </w:p>
        </w:tc>
        <w:tc>
          <w:tcPr>
            <w:tcW w:type="dxa" w:w="6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22"/>
        </w:trPr>
        <w:tc>
          <w:tcPr>
            <w:tcW w:type="dxa" w:w="3964"/>
            <w:gridSpan w:val="4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2" w:after="0"/>
              <w:ind w:left="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Figure 2: Net Loans Outstanding Activity</w:t>
            </w:r>
          </w:p>
        </w:tc>
        <w:tc>
          <w:tcPr>
            <w:tcW w:type="dxa" w:w="4800"/>
            <w:gridSpan w:val="10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2" w:after="0"/>
              <w:ind w:left="0" w:right="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Figure 3: Net Loans Outstanding</w:t>
            </w:r>
          </w:p>
        </w:tc>
        <w:tc>
          <w:tcPr>
            <w:tcW w:type="dxa" w:w="604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2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211.1</w:t>
            </w:r>
          </w:p>
        </w:tc>
      </w:tr>
      <w:tr>
        <w:trPr>
          <w:trHeight w:hRule="exact" w:val="520"/>
        </w:trPr>
        <w:tc>
          <w:tcPr>
            <w:tcW w:type="dxa" w:w="39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6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billions of U.S. dollars</w:t>
            </w:r>
          </w:p>
        </w:tc>
        <w:tc>
          <w:tcPr>
            <w:tcW w:type="dxa" w:w="480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83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billions of U.S. dollars</w:t>
            </w:r>
          </w:p>
        </w:tc>
        <w:tc>
          <w:tcPr>
            <w:tcW w:type="dxa" w:w="633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404"/>
        </w:trPr>
        <w:tc>
          <w:tcPr>
            <w:tcW w:type="dxa" w:w="39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6" w:after="0"/>
              <w:ind w:left="0" w:right="22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17.4</w:t>
            </w:r>
          </w:p>
        </w:tc>
        <w:tc>
          <w:tcPr>
            <w:tcW w:type="dxa" w:w="1136"/>
            <w:gridSpan w:val="2"/>
            <w:vMerge w:val="restart"/>
            <w:tcBorders>
              <w:bottom w:sz="6.004584312438965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98" w:after="0"/>
              <w:ind w:left="0" w:right="6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1.9</w:t>
            </w:r>
          </w:p>
        </w:tc>
        <w:tc>
          <w:tcPr>
            <w:tcW w:type="dxa" w:w="466"/>
            <w:vMerge w:val="restart"/>
            <w:tcBorders>
              <w:bottom w:sz="6.004584312438965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211.1</w:t>
            </w:r>
          </w:p>
        </w:tc>
        <w:tc>
          <w:tcPr>
            <w:tcW w:type="dxa" w:w="1118"/>
            <w:gridSpan w:val="2"/>
            <w:vMerge w:val="restart"/>
            <w:tcBorders>
              <w:bottom w:sz="6.004584312438965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177.8</w:t>
            </w:r>
          </w:p>
        </w:tc>
        <w:tc>
          <w:tcPr>
            <w:tcW w:type="dxa" w:w="660"/>
            <w:gridSpan w:val="2"/>
            <w:vMerge w:val="restart"/>
            <w:tcBorders>
              <w:bottom w:sz="6.004584312438965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174.5</w:t>
            </w:r>
          </w:p>
        </w:tc>
        <w:tc>
          <w:tcPr>
            <w:tcW w:type="dxa" w:w="680"/>
            <w:gridSpan w:val="2"/>
            <w:vMerge w:val="restart"/>
            <w:tcBorders>
              <w:bottom w:sz="6.004584312438965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0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187.7</w:t>
            </w:r>
          </w:p>
        </w:tc>
        <w:tc>
          <w:tcPr>
            <w:tcW w:type="dxa" w:w="740"/>
            <w:vMerge w:val="restart"/>
            <w:tcBorders>
              <w:bottom w:sz="6.004584312438965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54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198.5</w:t>
            </w:r>
          </w:p>
        </w:tc>
        <w:tc>
          <w:tcPr>
            <w:tcW w:type="dxa" w:w="633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39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3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198.5</w:t>
            </w:r>
          </w:p>
        </w:tc>
        <w:tc>
          <w:tcPr>
            <w:tcW w:type="dxa" w:w="1266"/>
            <w:gridSpan w:val="2"/>
            <w:vMerge/>
            <w:tcBorders>
              <w:bottom w:sz="6.004584312438965" w:val="single" w:color="#898A89"/>
            </w:tcBorders>
          </w:tcPr>
          <w:p/>
        </w:tc>
        <w:tc>
          <w:tcPr>
            <w:tcW w:type="dxa" w:w="633"/>
            <w:vMerge/>
            <w:tcBorders>
              <w:bottom w:sz="6.004584312438965" w:val="single" w:color="#898A89"/>
            </w:tcBorders>
          </w:tcPr>
          <w:p/>
        </w:tc>
        <w:tc>
          <w:tcPr>
            <w:tcW w:type="dxa" w:w="1266"/>
            <w:gridSpan w:val="2"/>
            <w:vMerge/>
            <w:tcBorders>
              <w:bottom w:sz="6.004584312438965" w:val="single" w:color="#898A89"/>
            </w:tcBorders>
          </w:tcPr>
          <w:p/>
        </w:tc>
        <w:tc>
          <w:tcPr>
            <w:tcW w:type="dxa" w:w="1266"/>
            <w:gridSpan w:val="2"/>
            <w:vMerge/>
            <w:tcBorders>
              <w:bottom w:sz="6.004584312438965" w:val="single" w:color="#898A89"/>
            </w:tcBorders>
          </w:tcPr>
          <w:p/>
        </w:tc>
        <w:tc>
          <w:tcPr>
            <w:tcW w:type="dxa" w:w="1266"/>
            <w:gridSpan w:val="2"/>
            <w:vMerge/>
            <w:tcBorders>
              <w:bottom w:sz="6.004584312438965" w:val="single" w:color="#898A89"/>
            </w:tcBorders>
          </w:tcPr>
          <w:p/>
        </w:tc>
        <w:tc>
          <w:tcPr>
            <w:tcW w:type="dxa" w:w="633"/>
            <w:vMerge/>
            <w:tcBorders>
              <w:bottom w:sz="6.004584312438965" w:val="single" w:color="#898A89"/>
            </w:tcBorders>
          </w:tcPr>
          <w:p/>
        </w:tc>
        <w:tc>
          <w:tcPr>
            <w:tcW w:type="dxa" w:w="633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294"/>
        </w:trPr>
        <w:tc>
          <w:tcPr>
            <w:tcW w:type="dxa" w:w="2944"/>
            <w:gridSpan w:val="3"/>
            <w:tcBorders>
              <w:bottom w:sz="6.004584312438965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(6.4)</w:t>
            </w:r>
          </w:p>
        </w:tc>
        <w:tc>
          <w:tcPr>
            <w:tcW w:type="dxa" w:w="1020"/>
            <w:tcBorders>
              <w:bottom w:sz="6.004584312438965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(0.3)</w:t>
            </w:r>
          </w:p>
        </w:tc>
        <w:tc>
          <w:tcPr>
            <w:tcW w:type="dxa" w:w="1266"/>
            <w:gridSpan w:val="2"/>
            <w:vMerge/>
            <w:tcBorders>
              <w:bottom w:sz="6.004584312438965" w:val="single" w:color="#898A89"/>
            </w:tcBorders>
          </w:tcPr>
          <w:p/>
        </w:tc>
        <w:tc>
          <w:tcPr>
            <w:tcW w:type="dxa" w:w="633"/>
            <w:vMerge/>
            <w:tcBorders>
              <w:bottom w:sz="6.004584312438965" w:val="single" w:color="#898A89"/>
            </w:tcBorders>
          </w:tcPr>
          <w:p/>
        </w:tc>
        <w:tc>
          <w:tcPr>
            <w:tcW w:type="dxa" w:w="1266"/>
            <w:gridSpan w:val="2"/>
            <w:vMerge/>
            <w:tcBorders>
              <w:bottom w:sz="6.004584312438965" w:val="single" w:color="#898A89"/>
            </w:tcBorders>
          </w:tcPr>
          <w:p/>
        </w:tc>
        <w:tc>
          <w:tcPr>
            <w:tcW w:type="dxa" w:w="1266"/>
            <w:gridSpan w:val="2"/>
            <w:vMerge/>
            <w:tcBorders>
              <w:bottom w:sz="6.004584312438965" w:val="single" w:color="#898A89"/>
            </w:tcBorders>
          </w:tcPr>
          <w:p/>
        </w:tc>
        <w:tc>
          <w:tcPr>
            <w:tcW w:type="dxa" w:w="1266"/>
            <w:gridSpan w:val="2"/>
            <w:vMerge/>
            <w:tcBorders>
              <w:bottom w:sz="6.004584312438965" w:val="single" w:color="#898A89"/>
            </w:tcBorders>
          </w:tcPr>
          <w:p/>
        </w:tc>
        <w:tc>
          <w:tcPr>
            <w:tcW w:type="dxa" w:w="633"/>
            <w:vMerge/>
            <w:tcBorders>
              <w:bottom w:sz="6.004584312438965" w:val="single" w:color="#898A89"/>
            </w:tcBorders>
          </w:tcPr>
          <w:p/>
        </w:tc>
        <w:tc>
          <w:tcPr>
            <w:tcW w:type="dxa" w:w="604"/>
            <w:tcBorders>
              <w:bottom w:sz="6.004584312438965" w:val="single" w:color="#898A89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2"/>
        </w:trPr>
        <w:tc>
          <w:tcPr>
            <w:tcW w:type="dxa" w:w="1004"/>
            <w:tcBorders>
              <w:top w:sz="6.004584312438965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8" w:after="0"/>
              <w:ind w:left="2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Net Loans </w:t>
            </w:r>
          </w:p>
        </w:tc>
        <w:tc>
          <w:tcPr>
            <w:tcW w:type="dxa" w:w="1000"/>
            <w:tcBorders>
              <w:top w:sz="6.004584312438965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Gross loan </w:t>
            </w:r>
          </w:p>
        </w:tc>
        <w:tc>
          <w:tcPr>
            <w:tcW w:type="dxa" w:w="940"/>
            <w:tcBorders>
              <w:top w:sz="6.004584312438965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Repayments </w:t>
            </w:r>
          </w:p>
        </w:tc>
        <w:tc>
          <w:tcPr>
            <w:tcW w:type="dxa" w:w="1020"/>
            <w:tcBorders>
              <w:top w:sz="6.004584312438965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Accumulated </w:t>
            </w:r>
          </w:p>
        </w:tc>
        <w:tc>
          <w:tcPr>
            <w:tcW w:type="dxa" w:w="880"/>
            <w:tcBorders>
              <w:top w:sz="6.004584312438965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Translation </w:t>
            </w:r>
          </w:p>
        </w:tc>
        <w:tc>
          <w:tcPr>
            <w:tcW w:type="dxa" w:w="1318"/>
            <w:gridSpan w:val="3"/>
            <w:tcBorders>
              <w:top w:sz="6.004584312438965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8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Net Loans </w:t>
            </w:r>
          </w:p>
        </w:tc>
        <w:tc>
          <w:tcPr>
            <w:tcW w:type="dxa" w:w="640"/>
            <w:gridSpan w:val="2"/>
            <w:vMerge w:val="restart"/>
            <w:tcBorders>
              <w:top w:sz="6.004584312438965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Jun 21</w:t>
            </w:r>
          </w:p>
        </w:tc>
        <w:tc>
          <w:tcPr>
            <w:tcW w:type="dxa" w:w="660"/>
            <w:gridSpan w:val="2"/>
            <w:vMerge w:val="restart"/>
            <w:tcBorders>
              <w:top w:sz="6.004584312438965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Jun 22</w:t>
            </w:r>
          </w:p>
        </w:tc>
        <w:tc>
          <w:tcPr>
            <w:tcW w:type="dxa" w:w="562"/>
            <w:vMerge w:val="restart"/>
            <w:tcBorders>
              <w:top w:sz="6.004584312438965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2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Jun 23</w:t>
            </w:r>
          </w:p>
        </w:tc>
        <w:tc>
          <w:tcPr>
            <w:tcW w:type="dxa" w:w="740"/>
            <w:vMerge w:val="restart"/>
            <w:tcBorders>
              <w:top w:sz="6.004584312438965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2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Jun 24</w:t>
            </w:r>
          </w:p>
        </w:tc>
        <w:tc>
          <w:tcPr>
            <w:tcW w:type="dxa" w:w="604"/>
            <w:vMerge w:val="restart"/>
            <w:tcBorders>
              <w:top w:sz="6.004584312438965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494949"/>
                <w:sz w:val="16"/>
              </w:rPr>
              <w:t>Mar 25</w:t>
            </w:r>
          </w:p>
        </w:tc>
      </w:tr>
      <w:tr>
        <w:trPr>
          <w:trHeight w:hRule="exact" w:val="182"/>
        </w:trPr>
        <w:tc>
          <w:tcPr>
            <w:tcW w:type="dxa" w:w="1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outstanding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disbursements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and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provision for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and other </w:t>
            </w:r>
          </w:p>
        </w:tc>
        <w:tc>
          <w:tcPr>
            <w:tcW w:type="dxa" w:w="13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outstanding </w:t>
            </w:r>
          </w:p>
        </w:tc>
        <w:tc>
          <w:tcPr>
            <w:tcW w:type="dxa" w:w="1266"/>
            <w:gridSpan w:val="2"/>
            <w:vMerge/>
            <w:tcBorders>
              <w:top w:sz="6.004584312438965" w:val="single" w:color="#898A89"/>
            </w:tcBorders>
          </w:tcPr>
          <w:p/>
        </w:tc>
        <w:tc>
          <w:tcPr>
            <w:tcW w:type="dxa" w:w="1266"/>
            <w:gridSpan w:val="2"/>
            <w:vMerge/>
            <w:tcBorders>
              <w:top w:sz="6.004584312438965" w:val="single" w:color="#898A89"/>
            </w:tcBorders>
          </w:tcPr>
          <w:p/>
        </w:tc>
        <w:tc>
          <w:tcPr>
            <w:tcW w:type="dxa" w:w="633"/>
            <w:vMerge/>
            <w:tcBorders>
              <w:top w:sz="6.004584312438965" w:val="single" w:color="#898A89"/>
            </w:tcBorders>
          </w:tcPr>
          <w:p/>
        </w:tc>
        <w:tc>
          <w:tcPr>
            <w:tcW w:type="dxa" w:w="633"/>
            <w:vMerge/>
            <w:tcBorders>
              <w:top w:sz="6.004584312438965" w:val="single" w:color="#898A89"/>
            </w:tcBorders>
          </w:tcPr>
          <w:p/>
        </w:tc>
        <w:tc>
          <w:tcPr>
            <w:tcW w:type="dxa" w:w="633"/>
            <w:vMerge/>
            <w:tcBorders>
              <w:top w:sz="6.004584312438965" w:val="single" w:color="#898A89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898"/>
        <w:gridCol w:w="1898"/>
        <w:gridCol w:w="1898"/>
        <w:gridCol w:w="1898"/>
        <w:gridCol w:w="1898"/>
      </w:tblGrid>
      <w:tr>
        <w:trPr>
          <w:trHeight w:hRule="exact" w:val="158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as of June 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prepayments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loan losses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adjustments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as of March </w:t>
            </w:r>
          </w:p>
        </w:tc>
      </w:tr>
      <w:tr>
        <w:trPr>
          <w:trHeight w:hRule="exact" w:val="23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" w:after="0"/>
              <w:ind w:left="1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30, 2024</w:t>
            </w:r>
          </w:p>
        </w:tc>
        <w:tc>
          <w:tcPr>
            <w:tcW w:type="dxa" w:w="1898"/>
            <w:vMerge/>
            <w:tcBorders/>
          </w:tcPr>
          <w:p/>
        </w:tc>
        <w:tc>
          <w:tcPr>
            <w:tcW w:type="dxa" w:w="1898"/>
            <w:vMerge/>
            <w:tcBorders/>
          </w:tcPr>
          <w:p/>
        </w:tc>
        <w:tc>
          <w:tcPr>
            <w:tcW w:type="dxa" w:w="1898"/>
            <w:vMerge/>
            <w:tcBorders/>
          </w:tcPr>
          <w:p/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" w:after="0"/>
              <w:ind w:left="2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31, 2025</w:t>
            </w:r>
          </w:p>
        </w:tc>
      </w:tr>
    </w:tbl>
    <w:p>
      <w:pPr>
        <w:autoSpaceDN w:val="0"/>
        <w:autoSpaceDE w:val="0"/>
        <w:widowControl/>
        <w:spacing w:line="240" w:lineRule="exact" w:before="186" w:after="0"/>
        <w:ind w:left="4" w:right="76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Duri</w:t>
      </w:r>
      <w:r>
        <w:rPr>
          <w:shd w:val="clear" w:color="auto" w:fill="919191"/>
          <w:rFonts w:ascii="TimesNewRoman" w:hAnsi="TimesNewRoman" w:eastAsia="TimesNewRoman"/>
          <w:b w:val="0"/>
          <w:i w:val="0"/>
          <w:color w:val="000000"/>
          <w:sz w:val="20"/>
        </w:rPr>
        <w:t>ng FY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25 YTD, net loan and guarantee commitments were</w:t>
      </w:r>
      <w:r>
        <w:rPr>
          <w:shd w:val="clear" w:color="auto" w:fill="919191"/>
          <w:rFonts w:ascii="TimesNewRoman" w:hAnsi="TimesNewRoman" w:eastAsia="TimesNewRoman"/>
          <w:b w:val="0"/>
          <w:i w:val="0"/>
          <w:color w:val="000000"/>
          <w:sz w:val="20"/>
        </w:rPr>
        <w:t xml:space="preserve"> highe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 by $5.1 billion, and grant commitments were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lower by $0.6 billion, compared with FY24 YTD. There were $222 million of guarantee commitments in FY25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YTD and none in FY24 YTD. </w:t>
      </w:r>
    </w:p>
    <w:p>
      <w:pPr>
        <w:autoSpaceDN w:val="0"/>
        <w:autoSpaceDE w:val="0"/>
        <w:widowControl/>
        <w:spacing w:line="178" w:lineRule="exact" w:before="270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Table 6: Net Commitments of Loans and Guarantees by Region</w:t>
      </w:r>
    </w:p>
    <w:p>
      <w:pPr>
        <w:autoSpaceDN w:val="0"/>
        <w:autoSpaceDE w:val="0"/>
        <w:widowControl/>
        <w:spacing w:line="178" w:lineRule="exact" w:before="74" w:after="70"/>
        <w:ind w:left="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>
        <w:trPr>
          <w:trHeight w:hRule="exact" w:val="272"/>
        </w:trPr>
        <w:tc>
          <w:tcPr>
            <w:tcW w:type="dxa" w:w="3324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For the nine months ended March 31,</w:t>
            </w:r>
          </w:p>
        </w:tc>
        <w:tc>
          <w:tcPr>
            <w:tcW w:type="dxa" w:w="34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2025</w:t>
            </w:r>
          </w:p>
        </w:tc>
        <w:tc>
          <w:tcPr>
            <w:tcW w:type="dxa" w:w="92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% of total</w:t>
            </w:r>
          </w:p>
        </w:tc>
        <w:tc>
          <w:tcPr>
            <w:tcW w:type="dxa" w:w="68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2024</w:t>
            </w:r>
          </w:p>
        </w:tc>
        <w:tc>
          <w:tcPr>
            <w:tcW w:type="dxa" w:w="92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% of total</w:t>
            </w:r>
          </w:p>
        </w:tc>
        <w:tc>
          <w:tcPr>
            <w:tcW w:type="dxa" w:w="62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Variance</w:t>
            </w:r>
          </w:p>
        </w:tc>
      </w:tr>
      <w:tr>
        <w:trPr>
          <w:trHeight w:hRule="exact" w:val="240"/>
        </w:trPr>
        <w:tc>
          <w:tcPr>
            <w:tcW w:type="dxa" w:w="3324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Eastern and Southern Africa</w:t>
            </w:r>
          </w:p>
        </w:tc>
        <w:tc>
          <w:tcPr>
            <w:tcW w:type="dxa" w:w="340"/>
            <w:vMerge w:val="restart"/>
            <w:tcBorders>
              <w:top w:sz="4.0" w:val="single" w:color="#7F7F7F"/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6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2,806 </w:t>
            </w:r>
          </w:p>
        </w:tc>
        <w:tc>
          <w:tcPr>
            <w:tcW w:type="dxa" w:w="92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15 %</w:t>
            </w:r>
          </w:p>
        </w:tc>
        <w:tc>
          <w:tcPr>
            <w:tcW w:type="dxa" w:w="680"/>
            <w:vMerge w:val="restart"/>
            <w:tcBorders>
              <w:top w:sz="4.0" w:val="single" w:color="#7F7F7F"/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6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6,044 </w:t>
            </w:r>
          </w:p>
        </w:tc>
        <w:tc>
          <w:tcPr>
            <w:tcW w:type="dxa" w:w="92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43 %</w:t>
            </w:r>
          </w:p>
        </w:tc>
        <w:tc>
          <w:tcPr>
            <w:tcW w:type="dxa" w:w="620"/>
            <w:vMerge w:val="restart"/>
            <w:tcBorders>
              <w:top w:sz="4.0" w:val="single" w:color="#7F7F7F"/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(3,238) </w:t>
            </w:r>
          </w:p>
        </w:tc>
      </w:tr>
      <w:tr>
        <w:trPr>
          <w:trHeight w:hRule="exact" w:val="240"/>
        </w:trPr>
        <w:tc>
          <w:tcPr>
            <w:tcW w:type="dxa" w:w="3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Western and Central Africa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5,547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29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4,697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33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850 </w:t>
            </w:r>
          </w:p>
        </w:tc>
      </w:tr>
      <w:tr>
        <w:trPr>
          <w:trHeight w:hRule="exact" w:val="240"/>
        </w:trPr>
        <w:tc>
          <w:tcPr>
            <w:tcW w:type="dxa" w:w="3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 Asia and Pacific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421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287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134 </w:t>
            </w:r>
          </w:p>
        </w:tc>
      </w:tr>
      <w:tr>
        <w:trPr>
          <w:trHeight w:hRule="exact" w:val="240"/>
        </w:trPr>
        <w:tc>
          <w:tcPr>
            <w:tcW w:type="dxa" w:w="3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Europe and Central Asia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6,634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34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813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5,821 </w:t>
            </w:r>
          </w:p>
        </w:tc>
      </w:tr>
      <w:tr>
        <w:trPr>
          <w:trHeight w:hRule="exact" w:val="240"/>
        </w:trPr>
        <w:tc>
          <w:tcPr>
            <w:tcW w:type="dxa" w:w="3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Latin America and the Caribbean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744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213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531 </w:t>
            </w:r>
          </w:p>
        </w:tc>
      </w:tr>
      <w:tr>
        <w:trPr>
          <w:trHeight w:hRule="exact" w:val="240"/>
        </w:trPr>
        <w:tc>
          <w:tcPr>
            <w:tcW w:type="dxa" w:w="3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Middle East and North Africa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—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(40) </w:t>
            </w:r>
          </w:p>
        </w:tc>
      </w:tr>
      <w:tr>
        <w:trPr>
          <w:trHeight w:hRule="exact" w:val="240"/>
        </w:trPr>
        <w:tc>
          <w:tcPr>
            <w:tcW w:type="dxa" w:w="3324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South Asia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6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3,173 </w:t>
            </w:r>
          </w:p>
        </w:tc>
        <w:tc>
          <w:tcPr>
            <w:tcW w:type="dxa" w:w="92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16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6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2,158 </w:t>
            </w:r>
          </w:p>
        </w:tc>
        <w:tc>
          <w:tcPr>
            <w:tcW w:type="dxa" w:w="92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15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79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1,015 </w:t>
            </w:r>
          </w:p>
        </w:tc>
      </w:tr>
      <w:tr>
        <w:trPr>
          <w:trHeight w:hRule="exact" w:val="220"/>
        </w:trPr>
        <w:tc>
          <w:tcPr>
            <w:tcW w:type="dxa" w:w="3324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4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6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19,325 </w:t>
            </w:r>
          </w:p>
        </w:tc>
        <w:tc>
          <w:tcPr>
            <w:tcW w:type="dxa" w:w="92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68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6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14,252 </w:t>
            </w:r>
          </w:p>
        </w:tc>
        <w:tc>
          <w:tcPr>
            <w:tcW w:type="dxa" w:w="92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62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5,073 </w:t>
            </w:r>
          </w:p>
        </w:tc>
      </w:tr>
      <w:tr>
        <w:trPr>
          <w:trHeight w:hRule="exact" w:val="260"/>
        </w:trPr>
        <w:tc>
          <w:tcPr>
            <w:tcW w:type="dxa" w:w="3324"/>
            <w:tcBorders>
              <w:top w:sz="8.0" w:val="single" w:color="#B6B6B6"/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"/>
            <w:tcBorders>
              <w:top w:sz="8.0" w:val="single" w:color="#B6B6B6"/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top w:sz="8.0" w:val="single" w:color="#B6B6B6"/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top w:sz="8.0" w:val="single" w:color="#B6B6B6"/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top w:sz="8.0" w:val="single" w:color="#B6B6B6"/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top w:sz="8.0" w:val="single" w:color="#B6B6B6"/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top w:sz="8.0" w:val="single" w:color="#B6B6B6"/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8.0" w:val="single" w:color="#B6B6B6"/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top w:sz="8.0" w:val="single" w:color="#B6B6B6"/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72" w:after="0"/>
        <w:ind w:left="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* Indicates percentage less than 0.5%</w:t>
      </w:r>
      <w:r>
        <w:rPr>
          <w:rFonts w:ascii="ArialMT" w:hAnsi="ArialMT" w:eastAsia="Arial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78" w:lineRule="exact" w:before="386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Table 7: Net Commitments of Grants by Region</w:t>
      </w:r>
    </w:p>
    <w:p>
      <w:pPr>
        <w:autoSpaceDN w:val="0"/>
        <w:autoSpaceDE w:val="0"/>
        <w:widowControl/>
        <w:spacing w:line="178" w:lineRule="exact" w:before="74" w:after="62"/>
        <w:ind w:left="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>
        <w:trPr>
          <w:trHeight w:hRule="exact" w:val="264"/>
        </w:trPr>
        <w:tc>
          <w:tcPr>
            <w:tcW w:type="dxa" w:w="3328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For the nine months ended March 31,</w:t>
            </w:r>
          </w:p>
        </w:tc>
        <w:tc>
          <w:tcPr>
            <w:tcW w:type="dxa" w:w="396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2025</w:t>
            </w:r>
          </w:p>
        </w:tc>
        <w:tc>
          <w:tcPr>
            <w:tcW w:type="dxa" w:w="107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% of total</w:t>
            </w:r>
          </w:p>
        </w:tc>
        <w:tc>
          <w:tcPr>
            <w:tcW w:type="dxa" w:w="69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2024</w:t>
            </w:r>
          </w:p>
        </w:tc>
        <w:tc>
          <w:tcPr>
            <w:tcW w:type="dxa" w:w="91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% of total</w:t>
            </w:r>
          </w:p>
        </w:tc>
        <w:tc>
          <w:tcPr>
            <w:tcW w:type="dxa" w:w="63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Variance</w:t>
            </w:r>
          </w:p>
        </w:tc>
      </w:tr>
      <w:tr>
        <w:trPr>
          <w:trHeight w:hRule="exact" w:val="228"/>
        </w:trPr>
        <w:tc>
          <w:tcPr>
            <w:tcW w:type="dxa" w:w="3328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Eastern and Southern Africa</w:t>
            </w:r>
          </w:p>
        </w:tc>
        <w:tc>
          <w:tcPr>
            <w:tcW w:type="dxa" w:w="396"/>
            <w:vMerge w:val="restart"/>
            <w:tcBorders>
              <w:top w:sz="4.0" w:val="single" w:color="#7F7F7F"/>
              <w:bottom w:sz="4.0" w:val="single" w:color="#A5A5A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>
              <w:top w:sz="4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3,144 </w:t>
            </w:r>
          </w:p>
        </w:tc>
        <w:tc>
          <w:tcPr>
            <w:tcW w:type="dxa" w:w="1070"/>
            <w:tcBorders>
              <w:top w:sz="4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58 %</w:t>
            </w:r>
          </w:p>
        </w:tc>
        <w:tc>
          <w:tcPr>
            <w:tcW w:type="dxa" w:w="690"/>
            <w:vMerge w:val="restart"/>
            <w:tcBorders>
              <w:top w:sz="4.0" w:val="single" w:color="#7F7F7F"/>
              <w:bottom w:sz="4.0" w:val="single" w:color="#A5A5A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4,792 </w:t>
            </w:r>
          </w:p>
        </w:tc>
        <w:tc>
          <w:tcPr>
            <w:tcW w:type="dxa" w:w="910"/>
            <w:tcBorders>
              <w:top w:sz="4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80 %</w:t>
            </w:r>
          </w:p>
        </w:tc>
        <w:tc>
          <w:tcPr>
            <w:tcW w:type="dxa" w:w="630"/>
            <w:vMerge w:val="restart"/>
            <w:tcBorders>
              <w:top w:sz="4.0" w:val="single" w:color="#7F7F7F"/>
              <w:bottom w:sz="4.0" w:val="single" w:color="#A5A5A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(1,648) </w:t>
            </w:r>
          </w:p>
        </w:tc>
      </w:tr>
      <w:tr>
        <w:trPr>
          <w:trHeight w:hRule="exact" w:val="240"/>
        </w:trPr>
        <w:tc>
          <w:tcPr>
            <w:tcW w:type="dxa" w:w="33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Western and Central Africa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4.0" w:val="single" w:color="#A5A5A5"/>
            </w:tcBorders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670 </w:t>
            </w:r>
          </w:p>
        </w:tc>
        <w:tc>
          <w:tcPr>
            <w:tcW w:type="dxa" w:w="10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12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4.0" w:val="single" w:color="#A5A5A5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854 </w:t>
            </w:r>
          </w:p>
        </w:tc>
        <w:tc>
          <w:tcPr>
            <w:tcW w:type="dxa" w:w="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14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4.0" w:val="single" w:color="#A5A5A5"/>
            </w:tcBorders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(184) </w:t>
            </w:r>
          </w:p>
        </w:tc>
      </w:tr>
      <w:tr>
        <w:trPr>
          <w:trHeight w:hRule="exact" w:val="240"/>
        </w:trPr>
        <w:tc>
          <w:tcPr>
            <w:tcW w:type="dxa" w:w="33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 Asia and Pacific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4.0" w:val="single" w:color="#A5A5A5"/>
            </w:tcBorders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523 </w:t>
            </w:r>
          </w:p>
        </w:tc>
        <w:tc>
          <w:tcPr>
            <w:tcW w:type="dxa" w:w="10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4.0" w:val="single" w:color="#A5A5A5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102 </w:t>
            </w:r>
          </w:p>
        </w:tc>
        <w:tc>
          <w:tcPr>
            <w:tcW w:type="dxa" w:w="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4.0" w:val="single" w:color="#A5A5A5"/>
            </w:tcBorders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421 </w:t>
            </w:r>
          </w:p>
        </w:tc>
      </w:tr>
      <w:tr>
        <w:trPr>
          <w:trHeight w:hRule="exact" w:val="240"/>
        </w:trPr>
        <w:tc>
          <w:tcPr>
            <w:tcW w:type="dxa" w:w="33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Europe and Central Asia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4.0" w:val="single" w:color="#A5A5A5"/>
            </w:tcBorders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380 </w:t>
            </w:r>
          </w:p>
        </w:tc>
        <w:tc>
          <w:tcPr>
            <w:tcW w:type="dxa" w:w="10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4.0" w:val="single" w:color="#A5A5A5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  <w:tc>
          <w:tcPr>
            <w:tcW w:type="dxa" w:w="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4.0" w:val="single" w:color="#A5A5A5"/>
            </w:tcBorders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269 </w:t>
            </w:r>
          </w:p>
        </w:tc>
      </w:tr>
      <w:tr>
        <w:trPr>
          <w:trHeight w:hRule="exact" w:val="240"/>
        </w:trPr>
        <w:tc>
          <w:tcPr>
            <w:tcW w:type="dxa" w:w="33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Latin America and the Caribbean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4.0" w:val="single" w:color="#A5A5A5"/>
            </w:tcBorders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139 </w:t>
            </w:r>
          </w:p>
        </w:tc>
        <w:tc>
          <w:tcPr>
            <w:tcW w:type="dxa" w:w="10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4.0" w:val="single" w:color="#A5A5A5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 </w:t>
            </w:r>
          </w:p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4.0" w:val="single" w:color="#A5A5A5"/>
            </w:tcBorders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121 </w:t>
            </w:r>
          </w:p>
        </w:tc>
      </w:tr>
      <w:tr>
        <w:trPr>
          <w:trHeight w:hRule="exact" w:val="240"/>
        </w:trPr>
        <w:tc>
          <w:tcPr>
            <w:tcW w:type="dxa" w:w="33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Middle East and North Africa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4.0" w:val="single" w:color="#A5A5A5"/>
            </w:tcBorders>
          </w:tcPr>
          <w:p/>
        </w:tc>
        <w:tc>
          <w:tcPr>
            <w:tcW w:type="dxa" w:w="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283 </w:t>
            </w:r>
          </w:p>
        </w:tc>
        <w:tc>
          <w:tcPr>
            <w:tcW w:type="dxa" w:w="10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4.0" w:val="single" w:color="#A5A5A5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150 </w:t>
            </w:r>
          </w:p>
        </w:tc>
        <w:tc>
          <w:tcPr>
            <w:tcW w:type="dxa" w:w="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4.0" w:val="single" w:color="#A5A5A5"/>
            </w:tcBorders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133 </w:t>
            </w:r>
          </w:p>
        </w:tc>
      </w:tr>
      <w:tr>
        <w:trPr>
          <w:trHeight w:hRule="exact" w:val="252"/>
        </w:trPr>
        <w:tc>
          <w:tcPr>
            <w:tcW w:type="dxa" w:w="3328"/>
            <w:tcBorders>
              <w:bottom w:sz="4.0" w:val="single" w:color="#A5A5A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South Asia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4.0" w:val="single" w:color="#A5A5A5"/>
            </w:tcBorders>
          </w:tcPr>
          <w:p/>
        </w:tc>
        <w:tc>
          <w:tcPr>
            <w:tcW w:type="dxa" w:w="680"/>
            <w:tcBorders>
              <w:bottom w:sz="4.0" w:val="single" w:color="#A5A5A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262 </w:t>
            </w:r>
          </w:p>
        </w:tc>
        <w:tc>
          <w:tcPr>
            <w:tcW w:type="dxa" w:w="1070"/>
            <w:tcBorders>
              <w:bottom w:sz="4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4.0" w:val="single" w:color="#A5A5A5"/>
            </w:tcBorders>
          </w:tcPr>
          <w:p/>
        </w:tc>
        <w:tc>
          <w:tcPr>
            <w:tcW w:type="dxa" w:w="840"/>
            <w:tcBorders>
              <w:bottom w:sz="4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10"/>
            <w:tcBorders>
              <w:bottom w:sz="4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—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4.0" w:val="single" w:color="#A5A5A5"/>
            </w:tcBorders>
          </w:tcPr>
          <w:p/>
        </w:tc>
        <w:tc>
          <w:tcPr>
            <w:tcW w:type="dxa" w:w="880"/>
            <w:tcBorders>
              <w:bottom w:sz="4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262 </w:t>
            </w:r>
          </w:p>
        </w:tc>
      </w:tr>
      <w:tr>
        <w:trPr>
          <w:trHeight w:hRule="exact" w:val="226"/>
        </w:trPr>
        <w:tc>
          <w:tcPr>
            <w:tcW w:type="dxa" w:w="3328"/>
            <w:tcBorders>
              <w:top w:sz="4.0" w:val="single" w:color="#A5A5A5"/>
              <w:bottom w:sz="6.0" w:val="single" w:color="#A5A5A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96"/>
            <w:tcBorders>
              <w:top w:sz="4.0" w:val="single" w:color="#A5A5A5"/>
              <w:bottom w:sz="6.0" w:val="single" w:color="#A5A5A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5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>
              <w:top w:sz="4.0" w:val="single" w:color="#A5A5A5"/>
              <w:bottom w:sz="6.0" w:val="single" w:color="#A5A5A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5,401 </w:t>
            </w:r>
          </w:p>
        </w:tc>
        <w:tc>
          <w:tcPr>
            <w:tcW w:type="dxa" w:w="1070"/>
            <w:tcBorders>
              <w:top w:sz="4.0" w:val="single" w:color="#A5A5A5"/>
              <w:bottom w:sz="6.0" w:val="single" w:color="#A5A5A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690"/>
            <w:tcBorders>
              <w:top w:sz="4.0" w:val="single" w:color="#A5A5A5"/>
              <w:bottom w:sz="6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0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>
              <w:top w:sz="4.0" w:val="single" w:color="#A5A5A5"/>
              <w:bottom w:sz="6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6,027 </w:t>
            </w:r>
          </w:p>
        </w:tc>
        <w:tc>
          <w:tcPr>
            <w:tcW w:type="dxa" w:w="910"/>
            <w:tcBorders>
              <w:top w:sz="4.0" w:val="single" w:color="#A5A5A5"/>
              <w:bottom w:sz="6.0" w:val="single" w:color="#A5A5A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2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630"/>
            <w:tcBorders>
              <w:top w:sz="4.0" w:val="single" w:color="#A5A5A5"/>
              <w:bottom w:sz="6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9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>
              <w:top w:sz="4.0" w:val="single" w:color="#A5A5A5"/>
              <w:bottom w:sz="6.0" w:val="single" w:color="#A5A5A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(626) </w:t>
            </w:r>
          </w:p>
        </w:tc>
      </w:tr>
      <w:tr>
        <w:trPr>
          <w:trHeight w:hRule="exact" w:val="254"/>
        </w:trPr>
        <w:tc>
          <w:tcPr>
            <w:tcW w:type="dxa" w:w="3328"/>
            <w:tcBorders>
              <w:top w:sz="6.0" w:val="single" w:color="#A5A5A5"/>
              <w:bottom w:sz="4.0" w:val="single" w:color="#7F7F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96"/>
            <w:tcBorders>
              <w:top w:sz="6.0" w:val="single" w:color="#A5A5A5"/>
              <w:bottom w:sz="4.0" w:val="single" w:color="#7F7F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>
              <w:top w:sz="6.0" w:val="single" w:color="#A5A5A5"/>
              <w:bottom w:sz="4.0" w:val="single" w:color="#7F7F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tcBorders>
              <w:top w:sz="6.0" w:val="single" w:color="#A5A5A5"/>
              <w:bottom w:sz="4.0" w:val="single" w:color="#7F7F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90"/>
            <w:tcBorders>
              <w:top w:sz="6.0" w:val="single" w:color="#A5A5A5"/>
              <w:bottom w:sz="4.0" w:val="single" w:color="#7F7F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top w:sz="6.0" w:val="single" w:color="#A5A5A5"/>
              <w:bottom w:sz="4.0" w:val="single" w:color="#7F7F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10"/>
            <w:tcBorders>
              <w:top w:sz="6.0" w:val="single" w:color="#A5A5A5"/>
              <w:bottom w:sz="4.0" w:val="single" w:color="#7F7F7F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tcBorders>
              <w:top w:sz="6.0" w:val="single" w:color="#A5A5A5"/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6.0" w:val="single" w:color="#A5A5A5"/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0" w:lineRule="exact" w:before="72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* Indicates percentage less than 0.5%</w:t>
      </w:r>
      <w:r>
        <w:rPr>
          <w:rFonts w:ascii="ArialMT" w:hAnsi="ArialMT" w:eastAsia="Arial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088" w:val="left"/>
        </w:tabs>
        <w:autoSpaceDE w:val="0"/>
        <w:widowControl/>
        <w:spacing w:line="224" w:lineRule="exact" w:before="2640" w:after="0"/>
        <w:ind w:left="20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March 31,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13</w:t>
      </w:r>
    </w:p>
    <w:p>
      <w:pPr>
        <w:sectPr>
          <w:pgSz w:w="12240" w:h="15840"/>
          <w:pgMar w:top="256" w:right="1314" w:bottom="21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4760"/>
        <w:gridCol w:w="4760"/>
      </w:tblGrid>
      <w:tr>
        <w:trPr>
          <w:trHeight w:hRule="exact" w:val="286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IV: Financial Results</w:t>
            </w:r>
          </w:p>
        </w:tc>
      </w:tr>
    </w:tbl>
    <w:p>
      <w:pPr>
        <w:autoSpaceDN w:val="0"/>
        <w:autoSpaceDE w:val="0"/>
        <w:widowControl/>
        <w:spacing w:line="178" w:lineRule="exact" w:before="326" w:after="0"/>
        <w:ind w:left="9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Table 8: Gross Disbursements of Loans and Grants by Region</w:t>
      </w:r>
    </w:p>
    <w:p>
      <w:pPr>
        <w:autoSpaceDN w:val="0"/>
        <w:autoSpaceDE w:val="0"/>
        <w:widowControl/>
        <w:spacing w:line="178" w:lineRule="exact" w:before="74" w:after="38"/>
        <w:ind w:left="90" w:right="0" w:firstLine="0"/>
        <w:jc w:val="left"/>
      </w:pPr>
      <w:r>
        <w:rPr>
          <w:rFonts w:ascii="Arial" w:hAnsi="Arial" w:eastAsia="Arial"/>
          <w:b w:val="0"/>
          <w:i/>
          <w:color w:val="494949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</w:tblGrid>
      <w:tr>
        <w:trPr>
          <w:trHeight w:hRule="exact" w:val="244"/>
        </w:trPr>
        <w:tc>
          <w:tcPr>
            <w:tcW w:type="dxa" w:w="3174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0"/>
            <w:gridSpan w:val="2"/>
            <w:vMerge w:val="restart"/>
            <w:tcBorders>
              <w:bottom w:sz="4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 xml:space="preserve">Loans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808080"/>
                <w:sz w:val="10"/>
              </w:rPr>
              <w:t>a</w:t>
            </w:r>
          </w:p>
        </w:tc>
        <w:tc>
          <w:tcPr>
            <w:tcW w:type="dxa" w:w="1510"/>
            <w:gridSpan w:val="2"/>
            <w:tcBorders>
              <w:bottom w:sz="4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2025</w:t>
            </w:r>
          </w:p>
        </w:tc>
        <w:tc>
          <w:tcPr>
            <w:tcW w:type="dxa" w:w="1110"/>
            <w:gridSpan w:val="2"/>
            <w:vMerge w:val="restart"/>
            <w:tcBorders>
              <w:bottom w:sz="4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 xml:space="preserve">Loans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808080"/>
                <w:sz w:val="10"/>
              </w:rPr>
              <w:t>a</w:t>
            </w:r>
          </w:p>
        </w:tc>
        <w:tc>
          <w:tcPr>
            <w:tcW w:type="dxa" w:w="1516"/>
            <w:gridSpan w:val="2"/>
            <w:tcBorders>
              <w:bottom w:sz="4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2024</w:t>
            </w:r>
          </w:p>
        </w:tc>
        <w:tc>
          <w:tcPr>
            <w:tcW w:type="dxa" w:w="304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174"/>
            <w:tcBorders>
              <w:top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For the nine months ended March 31,</w:t>
            </w:r>
          </w:p>
        </w:tc>
        <w:tc>
          <w:tcPr>
            <w:tcW w:type="dxa" w:w="1730"/>
            <w:gridSpan w:val="2"/>
            <w:vMerge/>
            <w:tcBorders>
              <w:bottom w:sz="4.0" w:val="single" w:color="#7F7F7F"/>
            </w:tcBorders>
          </w:tcPr>
          <w:p/>
        </w:tc>
        <w:tc>
          <w:tcPr>
            <w:tcW w:type="dxa" w:w="920"/>
            <w:tcBorders>
              <w:top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929292"/>
                <w:sz w:val="16"/>
              </w:rPr>
              <w:t>Grants</w:t>
            </w:r>
          </w:p>
        </w:tc>
        <w:tc>
          <w:tcPr>
            <w:tcW w:type="dxa" w:w="590"/>
            <w:tcBorders>
              <w:top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Total</w:t>
            </w:r>
          </w:p>
        </w:tc>
        <w:tc>
          <w:tcPr>
            <w:tcW w:type="dxa" w:w="1730"/>
            <w:gridSpan w:val="2"/>
            <w:vMerge/>
            <w:tcBorders>
              <w:bottom w:sz="4.0" w:val="single" w:color="#7F7F7F"/>
            </w:tcBorders>
          </w:tcPr>
          <w:p/>
        </w:tc>
        <w:tc>
          <w:tcPr>
            <w:tcW w:type="dxa" w:w="940"/>
            <w:tcBorders>
              <w:top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Grants</w:t>
            </w:r>
          </w:p>
        </w:tc>
        <w:tc>
          <w:tcPr>
            <w:tcW w:type="dxa" w:w="576"/>
            <w:tcBorders>
              <w:top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Total</w:t>
            </w:r>
          </w:p>
        </w:tc>
        <w:tc>
          <w:tcPr>
            <w:tcW w:type="dxa" w:w="304"/>
            <w:tcBorders>
              <w:top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0"/>
            <w:tcBorders>
              <w:top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Variance</w:t>
            </w:r>
          </w:p>
        </w:tc>
      </w:tr>
      <w:tr>
        <w:trPr>
          <w:trHeight w:hRule="exact" w:val="224"/>
        </w:trPr>
        <w:tc>
          <w:tcPr>
            <w:tcW w:type="dxa" w:w="3174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Eastern and Southern Africa</w:t>
            </w:r>
          </w:p>
        </w:tc>
        <w:tc>
          <w:tcPr>
            <w:tcW w:type="dxa" w:w="29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3,961 $ </w:t>
            </w:r>
          </w:p>
        </w:tc>
        <w:tc>
          <w:tcPr>
            <w:tcW w:type="dxa" w:w="92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3,576 $ </w:t>
            </w:r>
          </w:p>
        </w:tc>
        <w:tc>
          <w:tcPr>
            <w:tcW w:type="dxa" w:w="59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7,537 </w:t>
            </w:r>
          </w:p>
        </w:tc>
        <w:tc>
          <w:tcPr>
            <w:tcW w:type="dxa" w:w="33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4,237 $ </w:t>
            </w:r>
          </w:p>
        </w:tc>
        <w:tc>
          <w:tcPr>
            <w:tcW w:type="dxa" w:w="94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1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2,476 $ </w:t>
            </w:r>
          </w:p>
        </w:tc>
        <w:tc>
          <w:tcPr>
            <w:tcW w:type="dxa" w:w="576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6,713 </w:t>
            </w:r>
          </w:p>
        </w:tc>
        <w:tc>
          <w:tcPr>
            <w:tcW w:type="dxa" w:w="304"/>
            <w:vMerge w:val="restart"/>
            <w:tcBorders>
              <w:top w:sz="4.0" w:val="single" w:color="#7F7F7F"/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824 </w:t>
            </w:r>
          </w:p>
        </w:tc>
      </w:tr>
      <w:tr>
        <w:trPr>
          <w:trHeight w:hRule="exact" w:val="240"/>
        </w:trPr>
        <w:tc>
          <w:tcPr>
            <w:tcW w:type="dxa" w:w="3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Western and Central Africa</w:t>
            </w:r>
          </w:p>
        </w:tc>
        <w:tc>
          <w:tcPr>
            <w:tcW w:type="dxa" w:w="10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4,068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1,191 </w:t>
            </w:r>
          </w:p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5,259 </w:t>
            </w:r>
          </w:p>
        </w:tc>
        <w:tc>
          <w:tcPr>
            <w:tcW w:type="dxa" w:w="11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4,325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1,119 </w:t>
            </w:r>
          </w:p>
        </w:tc>
        <w:tc>
          <w:tcPr>
            <w:tcW w:type="dxa" w:w="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5,444 </w:t>
            </w:r>
          </w:p>
        </w:tc>
        <w:tc>
          <w:tcPr>
            <w:tcW w:type="dxa" w:w="865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(185) </w:t>
            </w:r>
          </w:p>
        </w:tc>
      </w:tr>
      <w:tr>
        <w:trPr>
          <w:trHeight w:hRule="exact" w:val="240"/>
        </w:trPr>
        <w:tc>
          <w:tcPr>
            <w:tcW w:type="dxa" w:w="3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 Asia and Pacific</w:t>
            </w:r>
          </w:p>
        </w:tc>
        <w:tc>
          <w:tcPr>
            <w:tcW w:type="dxa" w:w="10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740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207 </w:t>
            </w:r>
          </w:p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947 </w:t>
            </w:r>
          </w:p>
        </w:tc>
        <w:tc>
          <w:tcPr>
            <w:tcW w:type="dxa" w:w="11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727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124 </w:t>
            </w:r>
          </w:p>
        </w:tc>
        <w:tc>
          <w:tcPr>
            <w:tcW w:type="dxa" w:w="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851 </w:t>
            </w:r>
          </w:p>
        </w:tc>
        <w:tc>
          <w:tcPr>
            <w:tcW w:type="dxa" w:w="865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 </w:t>
            </w:r>
          </w:p>
        </w:tc>
      </w:tr>
      <w:tr>
        <w:trPr>
          <w:trHeight w:hRule="exact" w:val="240"/>
        </w:trPr>
        <w:tc>
          <w:tcPr>
            <w:tcW w:type="dxa" w:w="3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Europe and Central Asia</w:t>
            </w:r>
          </w:p>
        </w:tc>
        <w:tc>
          <w:tcPr>
            <w:tcW w:type="dxa" w:w="10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5,721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161 </w:t>
            </w:r>
          </w:p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5,882 </w:t>
            </w:r>
          </w:p>
        </w:tc>
        <w:tc>
          <w:tcPr>
            <w:tcW w:type="dxa" w:w="11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796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205 </w:t>
            </w:r>
          </w:p>
        </w:tc>
        <w:tc>
          <w:tcPr>
            <w:tcW w:type="dxa" w:w="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1,001 </w:t>
            </w:r>
          </w:p>
        </w:tc>
        <w:tc>
          <w:tcPr>
            <w:tcW w:type="dxa" w:w="865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4,881 </w:t>
            </w:r>
          </w:p>
        </w:tc>
      </w:tr>
      <w:tr>
        <w:trPr>
          <w:trHeight w:hRule="exact" w:val="240"/>
        </w:trPr>
        <w:tc>
          <w:tcPr>
            <w:tcW w:type="dxa" w:w="3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Latin America and the Caribbean</w:t>
            </w:r>
          </w:p>
        </w:tc>
        <w:tc>
          <w:tcPr>
            <w:tcW w:type="dxa" w:w="10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377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107 </w:t>
            </w:r>
          </w:p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484 </w:t>
            </w:r>
          </w:p>
        </w:tc>
        <w:tc>
          <w:tcPr>
            <w:tcW w:type="dxa" w:w="11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312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114 </w:t>
            </w:r>
          </w:p>
        </w:tc>
        <w:tc>
          <w:tcPr>
            <w:tcW w:type="dxa" w:w="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426 </w:t>
            </w:r>
          </w:p>
        </w:tc>
        <w:tc>
          <w:tcPr>
            <w:tcW w:type="dxa" w:w="865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 </w:t>
            </w:r>
          </w:p>
        </w:tc>
      </w:tr>
      <w:tr>
        <w:trPr>
          <w:trHeight w:hRule="exact" w:val="240"/>
        </w:trPr>
        <w:tc>
          <w:tcPr>
            <w:tcW w:type="dxa" w:w="3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Middle East and North Africa</w:t>
            </w:r>
          </w:p>
        </w:tc>
        <w:tc>
          <w:tcPr>
            <w:tcW w:type="dxa" w:w="10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310 </w:t>
            </w:r>
          </w:p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332 </w:t>
            </w:r>
          </w:p>
        </w:tc>
        <w:tc>
          <w:tcPr>
            <w:tcW w:type="dxa" w:w="11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464 </w:t>
            </w:r>
          </w:p>
        </w:tc>
        <w:tc>
          <w:tcPr>
            <w:tcW w:type="dxa" w:w="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544 </w:t>
            </w:r>
          </w:p>
        </w:tc>
        <w:tc>
          <w:tcPr>
            <w:tcW w:type="dxa" w:w="865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(212) </w:t>
            </w:r>
          </w:p>
        </w:tc>
      </w:tr>
      <w:tr>
        <w:trPr>
          <w:trHeight w:hRule="exact" w:val="256"/>
        </w:trPr>
        <w:tc>
          <w:tcPr>
            <w:tcW w:type="dxa" w:w="3174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South Asia</w:t>
            </w:r>
          </w:p>
        </w:tc>
        <w:tc>
          <w:tcPr>
            <w:tcW w:type="dxa" w:w="1070"/>
            <w:gridSpan w:val="2"/>
            <w:tcBorders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2,464 </w:t>
            </w:r>
          </w:p>
        </w:tc>
        <w:tc>
          <w:tcPr>
            <w:tcW w:type="dxa" w:w="92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144 </w:t>
            </w:r>
          </w:p>
        </w:tc>
        <w:tc>
          <w:tcPr>
            <w:tcW w:type="dxa" w:w="59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2,608 </w:t>
            </w:r>
          </w:p>
        </w:tc>
        <w:tc>
          <w:tcPr>
            <w:tcW w:type="dxa" w:w="1110"/>
            <w:gridSpan w:val="2"/>
            <w:tcBorders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2,724 </w:t>
            </w:r>
          </w:p>
        </w:tc>
        <w:tc>
          <w:tcPr>
            <w:tcW w:type="dxa" w:w="94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124 </w:t>
            </w:r>
          </w:p>
        </w:tc>
        <w:tc>
          <w:tcPr>
            <w:tcW w:type="dxa" w:w="576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2,848 </w:t>
            </w:r>
          </w:p>
        </w:tc>
        <w:tc>
          <w:tcPr>
            <w:tcW w:type="dxa" w:w="865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69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(240) </w:t>
            </w:r>
          </w:p>
        </w:tc>
      </w:tr>
      <w:tr>
        <w:trPr>
          <w:trHeight w:hRule="exact" w:val="220"/>
        </w:trPr>
        <w:tc>
          <w:tcPr>
            <w:tcW w:type="dxa" w:w="3174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1070"/>
            <w:gridSpan w:val="2"/>
            <w:vMerge w:val="restart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$ 17,353 $ </w:t>
            </w:r>
          </w:p>
        </w:tc>
        <w:tc>
          <w:tcPr>
            <w:tcW w:type="dxa" w:w="1510"/>
            <w:gridSpan w:val="2"/>
            <w:vMerge w:val="restart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5,696 $ 23,049 </w:t>
            </w:r>
          </w:p>
        </w:tc>
        <w:tc>
          <w:tcPr>
            <w:tcW w:type="dxa" w:w="1110"/>
            <w:gridSpan w:val="2"/>
            <w:vMerge w:val="restart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$ 13,201 $ </w:t>
            </w:r>
          </w:p>
        </w:tc>
        <w:tc>
          <w:tcPr>
            <w:tcW w:type="dxa" w:w="1516"/>
            <w:gridSpan w:val="2"/>
            <w:vMerge w:val="restart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4,626 $ 17,827 </w:t>
            </w:r>
          </w:p>
        </w:tc>
        <w:tc>
          <w:tcPr>
            <w:tcW w:type="dxa" w:w="304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5,222 </w:t>
            </w:r>
          </w:p>
        </w:tc>
      </w:tr>
      <w:tr>
        <w:trPr>
          <w:trHeight w:hRule="exact" w:val="260"/>
        </w:trPr>
        <w:tc>
          <w:tcPr>
            <w:tcW w:type="dxa" w:w="3174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30"/>
            <w:gridSpan w:val="2"/>
            <w:vMerge/>
            <w:tcBorders>
              <w:top w:sz="8.0" w:val="single" w:color="#B6B6B6"/>
              <w:bottom w:sz="8.0" w:val="single" w:color="#B6B6B6"/>
            </w:tcBorders>
          </w:tcPr>
          <w:p/>
        </w:tc>
        <w:tc>
          <w:tcPr>
            <w:tcW w:type="dxa" w:w="1730"/>
            <w:gridSpan w:val="2"/>
            <w:vMerge/>
            <w:tcBorders>
              <w:top w:sz="8.0" w:val="single" w:color="#B6B6B6"/>
              <w:bottom w:sz="8.0" w:val="single" w:color="#B6B6B6"/>
            </w:tcBorders>
          </w:tcPr>
          <w:p/>
        </w:tc>
        <w:tc>
          <w:tcPr>
            <w:tcW w:type="dxa" w:w="1730"/>
            <w:gridSpan w:val="2"/>
            <w:vMerge/>
            <w:tcBorders>
              <w:top w:sz="8.0" w:val="single" w:color="#B6B6B6"/>
              <w:bottom w:sz="8.0" w:val="single" w:color="#B6B6B6"/>
            </w:tcBorders>
          </w:tcPr>
          <w:p/>
        </w:tc>
        <w:tc>
          <w:tcPr>
            <w:tcW w:type="dxa" w:w="1730"/>
            <w:gridSpan w:val="2"/>
            <w:vMerge/>
            <w:tcBorders>
              <w:top w:sz="8.0" w:val="single" w:color="#B6B6B6"/>
              <w:bottom w:sz="8.0" w:val="single" w:color="#B6B6B6"/>
            </w:tcBorders>
          </w:tcPr>
          <w:p/>
        </w:tc>
        <w:tc>
          <w:tcPr>
            <w:tcW w:type="dxa" w:w="304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32" w:after="0"/>
        <w:ind w:left="14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Excludes PSW related disbursements - $81 million (FY24 YTD - $98 million).</w:t>
      </w:r>
    </w:p>
    <w:p>
      <w:pPr>
        <w:autoSpaceDN w:val="0"/>
        <w:autoSpaceDE w:val="0"/>
        <w:widowControl/>
        <w:spacing w:line="240" w:lineRule="exact" w:before="192" w:after="0"/>
        <w:ind w:left="9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March 31, 2025, 50% of loans outstanding were on regular terms (75 basis points SDR equivalent service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charge) (Table 9). For a summary of financial terms for IDA’s lending products, refer to IDA’s MD&amp;A for the fiscal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year ended June 30, 2024, Section V: Development Activities, Products and Programs.</w:t>
      </w:r>
    </w:p>
    <w:p>
      <w:pPr>
        <w:autoSpaceDN w:val="0"/>
        <w:autoSpaceDE w:val="0"/>
        <w:widowControl/>
        <w:spacing w:line="240" w:lineRule="exact" w:before="120" w:after="0"/>
        <w:ind w:left="9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increase in IDA’s revenue on loans in FY25 YTD, compared to FY24 YTD was primarily due to the higher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average loan balance by $14.4 billion.</w:t>
      </w:r>
    </w:p>
    <w:p>
      <w:pPr>
        <w:autoSpaceDN w:val="0"/>
        <w:autoSpaceDE w:val="0"/>
        <w:widowControl/>
        <w:spacing w:line="178" w:lineRule="exact" w:before="150" w:after="134"/>
        <w:ind w:left="9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Table 9: Revenue and Loan Balances by Product Category</w:t>
      </w:r>
    </w:p>
    <w:p>
      <w:pPr>
        <w:sectPr>
          <w:pgSz w:w="12240" w:h="15840"/>
          <w:pgMar w:top="256" w:right="1370" w:bottom="210" w:left="13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142" w:right="0" w:firstLine="0"/>
        <w:jc w:val="left"/>
      </w:pPr>
      <w:r>
        <w:rPr>
          <w:rFonts w:ascii="Arial" w:hAnsi="Arial" w:eastAsia="Arial"/>
          <w:b w:val="0"/>
          <w:i/>
          <w:color w:val="808080"/>
          <w:sz w:val="16"/>
        </w:rPr>
        <w:t>In millions of U.S. dollars</w:t>
      </w:r>
    </w:p>
    <w:p>
      <w:pPr>
        <w:sectPr>
          <w:type w:val="continuous"/>
          <w:pgSz w:w="12240" w:h="15840"/>
          <w:pgMar w:top="256" w:right="1370" w:bottom="210" w:left="1350" w:header="720" w:footer="720" w:gutter="0"/>
          <w:cols w:num="2" w:equalWidth="0">
            <w:col w:w="3128" w:space="0"/>
            <w:col w:w="639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5.9999999999995" w:type="dxa"/>
      </w:tblPr>
      <w:tblGrid>
        <w:gridCol w:w="4760"/>
        <w:gridCol w:w="4760"/>
      </w:tblGrid>
      <w:tr>
        <w:trPr>
          <w:trHeight w:hRule="exact" w:val="190"/>
        </w:trPr>
        <w:tc>
          <w:tcPr>
            <w:tcW w:type="dxa" w:w="2376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Balance as of March 31,</w:t>
            </w:r>
          </w:p>
        </w:tc>
        <w:tc>
          <w:tcPr>
            <w:tcW w:type="dxa" w:w="273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9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March 31,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"/>
        <w:ind w:left="0" w:right="0"/>
      </w:pPr>
    </w:p>
    <w:p>
      <w:pPr>
        <w:sectPr>
          <w:type w:val="nextColumn"/>
          <w:pgSz w:w="12240" w:h="15840"/>
          <w:pgMar w:top="256" w:right="1370" w:bottom="210" w:left="1350" w:header="720" w:footer="720" w:gutter="0"/>
          <w:cols w:num="2" w:equalWidth="0">
            <w:col w:w="3128" w:space="0"/>
            <w:col w:w="639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904"/>
        <w:gridCol w:w="1904"/>
        <w:gridCol w:w="1904"/>
        <w:gridCol w:w="1904"/>
        <w:gridCol w:w="1904"/>
      </w:tblGrid>
      <w:tr>
        <w:trPr>
          <w:trHeight w:hRule="exact" w:val="208"/>
        </w:trPr>
        <w:tc>
          <w:tcPr>
            <w:tcW w:type="dxa" w:w="291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Category</w:t>
            </w:r>
          </w:p>
        </w:tc>
        <w:tc>
          <w:tcPr>
            <w:tcW w:type="dxa" w:w="294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2025</w:t>
            </w:r>
          </w:p>
        </w:tc>
        <w:tc>
          <w:tcPr>
            <w:tcW w:type="dxa" w:w="80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2024</w:t>
            </w:r>
          </w:p>
        </w:tc>
        <w:tc>
          <w:tcPr>
            <w:tcW w:type="dxa" w:w="174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5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2025</w:t>
            </w:r>
          </w:p>
        </w:tc>
        <w:tc>
          <w:tcPr>
            <w:tcW w:type="dxa" w:w="99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2024</w:t>
            </w:r>
          </w:p>
        </w:tc>
      </w:tr>
    </w:tbl>
    <w:p>
      <w:pPr>
        <w:autoSpaceDN w:val="0"/>
        <w:autoSpaceDE w:val="0"/>
        <w:widowControl/>
        <w:spacing w:line="180" w:lineRule="exact" w:before="28" w:after="0"/>
        <w:ind w:left="1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Loans</w:t>
      </w:r>
    </w:p>
    <w:p>
      <w:pPr>
        <w:autoSpaceDN w:val="0"/>
        <w:autoSpaceDE w:val="0"/>
        <w:widowControl/>
        <w:spacing w:line="180" w:lineRule="exact" w:before="60" w:after="30"/>
        <w:ind w:left="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Concessional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rPr>
          <w:trHeight w:hRule="exact" w:val="200"/>
        </w:trPr>
        <w:tc>
          <w:tcPr>
            <w:tcW w:type="dxa" w:w="4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Regular</w:t>
            </w:r>
          </w:p>
        </w:tc>
        <w:tc>
          <w:tcPr>
            <w:tcW w:type="dxa" w:w="396"/>
            <w:vMerge w:val="restart"/>
            <w:tcBorders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108,643 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$ 106,734 </w:t>
            </w:r>
          </w:p>
        </w:tc>
        <w:tc>
          <w:tcPr>
            <w:tcW w:type="dxa" w:w="560"/>
            <w:vMerge w:val="restart"/>
            <w:tcBorders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626 </w:t>
            </w:r>
          </w:p>
        </w:tc>
        <w:tc>
          <w:tcPr>
            <w:tcW w:type="dxa" w:w="660"/>
            <w:vMerge w:val="restart"/>
            <w:tcBorders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3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601 </w:t>
            </w:r>
          </w:p>
        </w:tc>
      </w:tr>
      <w:tr>
        <w:trPr>
          <w:trHeight w:hRule="exact" w:val="240"/>
        </w:trPr>
        <w:tc>
          <w:tcPr>
            <w:tcW w:type="dxa" w:w="4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Blend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76,869 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72,498 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968 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876 </w:t>
            </w:r>
          </w:p>
        </w:tc>
      </w:tr>
      <w:tr>
        <w:trPr>
          <w:trHeight w:hRule="exact" w:val="240"/>
        </w:trPr>
        <w:tc>
          <w:tcPr>
            <w:tcW w:type="dxa" w:w="4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Hard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1,237 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1,251 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 </w:t>
            </w:r>
          </w:p>
        </w:tc>
      </w:tr>
      <w:tr>
        <w:trPr>
          <w:trHeight w:hRule="exact" w:val="240"/>
        </w:trPr>
        <w:tc>
          <w:tcPr>
            <w:tcW w:type="dxa" w:w="4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SML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6,739 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4,179 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NA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NA</w:t>
            </w:r>
          </w:p>
        </w:tc>
      </w:tr>
      <w:tr>
        <w:trPr>
          <w:trHeight w:hRule="exact" w:val="240"/>
        </w:trPr>
        <w:tc>
          <w:tcPr>
            <w:tcW w:type="dxa" w:w="4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50-year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3,363 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2,111 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NA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NA</w:t>
            </w:r>
          </w:p>
        </w:tc>
      </w:tr>
      <w:tr>
        <w:trPr>
          <w:trHeight w:hRule="exact" w:val="240"/>
        </w:trPr>
        <w:tc>
          <w:tcPr>
            <w:tcW w:type="dxa" w:w="4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Non-concessional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18,049 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11,128 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560 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401 </w:t>
            </w:r>
          </w:p>
        </w:tc>
      </w:tr>
      <w:tr>
        <w:trPr>
          <w:trHeight w:hRule="exact" w:val="282"/>
        </w:trPr>
        <w:tc>
          <w:tcPr>
            <w:tcW w:type="dxa" w:w="4274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87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631 </w:t>
            </w:r>
          </w:p>
        </w:tc>
        <w:tc>
          <w:tcPr>
            <w:tcW w:type="dxa" w:w="111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297 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70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 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81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</w:tr>
      <w:tr>
        <w:trPr>
          <w:trHeight w:hRule="exact" w:val="220"/>
        </w:trPr>
        <w:tc>
          <w:tcPr>
            <w:tcW w:type="dxa" w:w="4274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96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7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215,531 </w:t>
            </w:r>
          </w:p>
        </w:tc>
        <w:tc>
          <w:tcPr>
            <w:tcW w:type="dxa" w:w="111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$ 198,198 </w:t>
            </w:r>
          </w:p>
        </w:tc>
        <w:tc>
          <w:tcPr>
            <w:tcW w:type="dxa" w:w="56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2,208 </w:t>
            </w:r>
          </w:p>
        </w:tc>
        <w:tc>
          <w:tcPr>
            <w:tcW w:type="dxa" w:w="66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1,922 </w:t>
            </w:r>
          </w:p>
        </w:tc>
      </w:tr>
    </w:tbl>
    <w:p>
      <w:pPr>
        <w:autoSpaceDN w:val="0"/>
        <w:tabs>
          <w:tab w:pos="322" w:val="left"/>
        </w:tabs>
        <w:autoSpaceDE w:val="0"/>
        <w:widowControl/>
        <w:spacing w:line="192" w:lineRule="exact" w:before="278" w:after="0"/>
        <w:ind w:left="14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Excludes interest rate swap income or expense from loan related derivatives - $12 million of revenue in FY25 YTD ($14 million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of revenue in FY24 YTD).</w:t>
      </w:r>
    </w:p>
    <w:p>
      <w:pPr>
        <w:autoSpaceDN w:val="0"/>
        <w:autoSpaceDE w:val="0"/>
        <w:widowControl/>
        <w:spacing w:line="178" w:lineRule="exact" w:before="62" w:after="0"/>
        <w:ind w:left="14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Effective FY18, Hard-term loans are no longer offered.</w:t>
      </w:r>
    </w:p>
    <w:p>
      <w:pPr>
        <w:autoSpaceDN w:val="0"/>
        <w:tabs>
          <w:tab w:pos="322" w:val="left"/>
        </w:tabs>
        <w:autoSpaceDE w:val="0"/>
        <w:widowControl/>
        <w:spacing w:line="192" w:lineRule="exact" w:before="50" w:after="0"/>
        <w:ind w:left="14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In addition, $18 million of commitment charges were earned in FY25 YTD on undisbursed balances of non-concessional loans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($19 million in FY24 YTD).</w:t>
      </w:r>
    </w:p>
    <w:p>
      <w:pPr>
        <w:autoSpaceDN w:val="0"/>
        <w:autoSpaceDE w:val="0"/>
        <w:widowControl/>
        <w:spacing w:line="180" w:lineRule="exact" w:before="62" w:after="0"/>
        <w:ind w:left="14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d. Represents loans under the PSW and others.</w:t>
      </w:r>
    </w:p>
    <w:p>
      <w:pPr>
        <w:autoSpaceDN w:val="0"/>
        <w:autoSpaceDE w:val="0"/>
        <w:widowControl/>
        <w:spacing w:line="222" w:lineRule="exact" w:before="210" w:after="0"/>
        <w:ind w:left="9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Climate Resilient Debt Clause (CRDC)</w:t>
      </w:r>
    </w:p>
    <w:p>
      <w:pPr>
        <w:autoSpaceDN w:val="0"/>
        <w:autoSpaceDE w:val="0"/>
        <w:widowControl/>
        <w:spacing w:line="240" w:lineRule="exact" w:before="122" w:after="0"/>
        <w:ind w:left="9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offers a climate resilient debt clause (CRDCs) for eligible new and existing loans (with minimum remaining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maturity of five years), for certain borrowers</w:t>
      </w:r>
      <w:r>
        <w:rPr>
          <w:rFonts w:ascii="TimesNewRoman" w:hAnsi="TimesNewRoman" w:eastAsia="TimesNewRoman"/>
          <w:b w:val="0"/>
          <w:i w:val="0"/>
          <w:color w:val="000000"/>
          <w:sz w:val="13"/>
        </w:rPr>
        <w:t>6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. CRDCs allow eligible borrowing countries to defer payments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principal and/or interest (and other loan charges) for up to two years after an eligible event. After the deferral period,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borrower will restart payments of the deferred amounts according to a modified amortization schedule that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maintains the original weighted average maturity of the loan and does not extend the final maturity date. The eligible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events when the clause was first offered were tropical cyclones and earthquakes. In October 2024, the Board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approved an extension of the covered events to include all natural catastrophes, including droughts, floods,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public health emergencies caused by a biological event. Total loans outstanding as of March 31, 2025 for the 27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countries (including Blend countries) that are eligible for CRDCs was $4.9 billion. </w:t>
      </w:r>
    </w:p>
    <w:p>
      <w:pPr>
        <w:autoSpaceDN w:val="0"/>
        <w:autoSpaceDE w:val="0"/>
        <w:widowControl/>
        <w:spacing w:line="234" w:lineRule="exact" w:before="24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3"/>
        </w:rPr>
        <w:t>6</w:t>
      </w:r>
      <w:r>
        <w:rPr>
          <w:rFonts w:ascii="Arial" w:hAnsi="Arial" w:eastAsia="Arial"/>
          <w:b w:val="0"/>
          <w:i/>
          <w:color w:val="000000"/>
          <w:sz w:val="14"/>
        </w:rPr>
        <w:t>Eligible borrowers are IDA Small State Economies, members of the Small States Forum, and Small Island Developing States as defined by the United</w:t>
      </w:r>
    </w:p>
    <w:p>
      <w:pPr>
        <w:autoSpaceDN w:val="0"/>
        <w:autoSpaceDE w:val="0"/>
        <w:widowControl/>
        <w:spacing w:line="156" w:lineRule="exact" w:before="48" w:after="0"/>
        <w:ind w:left="9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>Nations.</w:t>
      </w:r>
    </w:p>
    <w:p>
      <w:pPr>
        <w:autoSpaceDN w:val="0"/>
        <w:tabs>
          <w:tab w:pos="668" w:val="left"/>
        </w:tabs>
        <w:autoSpaceDE w:val="0"/>
        <w:widowControl/>
        <w:spacing w:line="224" w:lineRule="exact" w:before="546" w:after="0"/>
        <w:ind w:left="1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March 31, 2025</w:t>
      </w:r>
    </w:p>
    <w:p>
      <w:pPr>
        <w:sectPr>
          <w:type w:val="continuous"/>
          <w:pgSz w:w="12240" w:h="15840"/>
          <w:pgMar w:top="256" w:right="1370" w:bottom="210" w:left="13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86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IV: Financial Results</w:t>
            </w:r>
          </w:p>
        </w:tc>
      </w:tr>
    </w:tbl>
    <w:p>
      <w:pPr>
        <w:autoSpaceDN w:val="0"/>
        <w:autoSpaceDE w:val="0"/>
        <w:widowControl/>
        <w:spacing w:line="220" w:lineRule="exact" w:before="312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Provision for losses on loans and other exposures</w:t>
      </w:r>
    </w:p>
    <w:p>
      <w:pPr>
        <w:autoSpaceDN w:val="0"/>
        <w:autoSpaceDE w:val="0"/>
        <w:widowControl/>
        <w:spacing w:line="240" w:lineRule="exact" w:before="124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FY25 YTD, IDA recorded a provision expense for losses on loans and other exposures of $276 million, compared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$577 million expense in FY24 YTD. The decrease was primarily due to the lower increase in loan exposure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FY25 YTD compared to FY24 YTD, and the reduction in average loss given default (severity) was due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change in the eligibility of a borrower from IDA-only to blend status. The assumptions are reassessed quarterly.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adjusted net income purposes, the provision expense for losses on loans and other exposures excludes the provision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debt relief under Heavily Indebted Poor Countries (HIPC) / Multilateral Debt Relief Initiative (MDRI) and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provision for grant advances, since these are funded by contributions from members. </w:t>
      </w:r>
    </w:p>
    <w:p>
      <w:pPr>
        <w:autoSpaceDN w:val="0"/>
        <w:autoSpaceDE w:val="0"/>
        <w:widowControl/>
        <w:spacing w:line="244" w:lineRule="exact" w:before="130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Results from Investing Activities</w:t>
      </w:r>
    </w:p>
    <w:p>
      <w:pPr>
        <w:autoSpaceDN w:val="0"/>
        <w:autoSpaceDE w:val="0"/>
        <w:widowControl/>
        <w:spacing w:line="220" w:lineRule="exact" w:before="146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Investment Portfolio</w:t>
      </w:r>
    </w:p>
    <w:p>
      <w:pPr>
        <w:autoSpaceDN w:val="0"/>
        <w:autoSpaceDE w:val="0"/>
        <w:widowControl/>
        <w:spacing w:line="240" w:lineRule="exact" w:before="124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net investment portfolio was $44.5 billion as of March 31, 2025, an increase of $10.9 billion from June 30,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2024. The increase was mainly driven by net cash inflows from new issuances of debt, partially offset by net cash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outflows from loan and grant disbursements during the period. See Notes to the Condensed Quarterly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Statements for the period ended March 31, 2025, Note C – Investments.</w:t>
      </w:r>
    </w:p>
    <w:p>
      <w:pPr>
        <w:autoSpaceDN w:val="0"/>
        <w:autoSpaceDE w:val="0"/>
        <w:widowControl/>
        <w:spacing w:line="220" w:lineRule="exact" w:before="136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Investment interest revenue, net of derivatives</w:t>
      </w:r>
    </w:p>
    <w:p>
      <w:pPr>
        <w:autoSpaceDN w:val="0"/>
        <w:autoSpaceDE w:val="0"/>
        <w:widowControl/>
        <w:spacing w:line="240" w:lineRule="exact" w:before="124" w:after="9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FY25 YTD, IDA’s investment interest revenue, including related derivatives, was $1,136 million, 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of $165 million compared with the same period in FY24 YTD. The increase was mainly driven by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higher average investment balance by $6.3 billion in FY25 YTD, compared to FY24 YTD.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</w:tblGrid>
      <w:tr>
        <w:trPr>
          <w:trHeight w:hRule="exact" w:val="272"/>
        </w:trPr>
        <w:tc>
          <w:tcPr>
            <w:tcW w:type="dxa" w:w="28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Figure 4: Net Investment Portfolio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44.5</w:t>
            </w:r>
          </w:p>
        </w:tc>
        <w:tc>
          <w:tcPr>
            <w:tcW w:type="dxa" w:w="50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2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Figure 5: Investment interest revenue, net of derivatives</w:t>
            </w:r>
          </w:p>
        </w:tc>
      </w:tr>
      <w:tr>
        <w:trPr>
          <w:trHeight w:hRule="exact" w:val="360"/>
        </w:trPr>
        <w:tc>
          <w:tcPr>
            <w:tcW w:type="dxa" w:w="28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billions of U.S. dollars</w:t>
            </w:r>
          </w:p>
        </w:tc>
        <w:tc>
          <w:tcPr>
            <w:tcW w:type="dxa" w:w="674"/>
            <w:vMerge/>
            <w:tcBorders/>
          </w:tcPr>
          <w:p/>
        </w:tc>
        <w:tc>
          <w:tcPr>
            <w:tcW w:type="dxa" w:w="674"/>
            <w:vMerge/>
            <w:tcBorders/>
          </w:tcPr>
          <w:p/>
        </w:tc>
        <w:tc>
          <w:tcPr>
            <w:tcW w:type="dxa" w:w="50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2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millions of U.S. dollars, YTD</w:t>
            </w:r>
          </w:p>
        </w:tc>
      </w:tr>
      <w:tr>
        <w:trPr>
          <w:trHeight w:hRule="exact" w:val="340"/>
        </w:trPr>
        <w:tc>
          <w:tcPr>
            <w:tcW w:type="dxa" w:w="28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2" w:after="0"/>
              <w:ind w:left="2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</w:t>
            </w:r>
          </w:p>
        </w:tc>
        <w:tc>
          <w:tcPr>
            <w:tcW w:type="dxa" w:w="674"/>
            <w:vMerge/>
            <w:tcBorders/>
          </w:tcPr>
          <w:p/>
        </w:tc>
        <w:tc>
          <w:tcPr>
            <w:tcW w:type="dxa" w:w="674"/>
            <w:vMerge/>
            <w:tcBorders/>
          </w:tcPr>
          <w:p/>
        </w:tc>
        <w:tc>
          <w:tcPr>
            <w:tcW w:type="dxa" w:w="16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2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1,200</w:t>
            </w:r>
          </w:p>
        </w:tc>
        <w:tc>
          <w:tcPr>
            <w:tcW w:type="dxa" w:w="341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65300" cy="8509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5300" cy="850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84"/>
        </w:trPr>
        <w:tc>
          <w:tcPr>
            <w:tcW w:type="dxa" w:w="8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37.9</w:t>
            </w:r>
          </w:p>
        </w:tc>
        <w:tc>
          <w:tcPr>
            <w:tcW w:type="dxa" w:w="73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39.6</w:t>
            </w:r>
          </w:p>
        </w:tc>
        <w:tc>
          <w:tcPr>
            <w:tcW w:type="dxa" w:w="91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30.7</w:t>
            </w:r>
          </w:p>
        </w:tc>
        <w:tc>
          <w:tcPr>
            <w:tcW w:type="dxa" w:w="674"/>
            <w:vMerge/>
            <w:tcBorders/>
          </w:tcPr>
          <w:p/>
        </w:tc>
        <w:tc>
          <w:tcPr>
            <w:tcW w:type="dxa" w:w="674"/>
            <w:vMerge/>
            <w:tcBorders/>
          </w:tcPr>
          <w:p/>
        </w:tc>
        <w:tc>
          <w:tcPr>
            <w:tcW w:type="dxa" w:w="674"/>
            <w:vMerge/>
            <w:tcBorders/>
          </w:tcPr>
          <w:p/>
        </w:tc>
        <w:tc>
          <w:tcPr>
            <w:tcW w:type="dxa" w:w="3370"/>
            <w:gridSpan w:val="5"/>
            <w:vMerge/>
            <w:tcBorders/>
          </w:tcPr>
          <w:p/>
        </w:tc>
      </w:tr>
      <w:tr>
        <w:trPr>
          <w:trHeight w:hRule="exact" w:val="356"/>
        </w:trPr>
        <w:tc>
          <w:tcPr>
            <w:tcW w:type="dxa" w:w="674"/>
            <w:vMerge/>
            <w:tcBorders/>
          </w:tcPr>
          <w:p/>
        </w:tc>
        <w:tc>
          <w:tcPr>
            <w:tcW w:type="dxa" w:w="674"/>
            <w:vMerge/>
            <w:tcBorders/>
          </w:tcPr>
          <w:p/>
        </w:tc>
        <w:tc>
          <w:tcPr>
            <w:tcW w:type="dxa" w:w="1348"/>
            <w:gridSpan w:val="2"/>
            <w:vMerge/>
            <w:tcBorders/>
          </w:tcPr>
          <w:p/>
        </w:tc>
        <w:tc>
          <w:tcPr>
            <w:tcW w:type="dxa" w:w="1348"/>
            <w:gridSpan w:val="2"/>
            <w:vMerge/>
            <w:tcBorders/>
          </w:tcPr>
          <w:p/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33.6</w:t>
            </w:r>
          </w:p>
        </w:tc>
        <w:tc>
          <w:tcPr>
            <w:tcW w:type="dxa" w:w="674"/>
            <w:vMerge/>
            <w:tcBorders/>
          </w:tcPr>
          <w:p/>
        </w:tc>
        <w:tc>
          <w:tcPr>
            <w:tcW w:type="dxa" w:w="16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900</w:t>
            </w:r>
          </w:p>
        </w:tc>
        <w:tc>
          <w:tcPr>
            <w:tcW w:type="dxa" w:w="3370"/>
            <w:gridSpan w:val="5"/>
            <w:vMerge/>
            <w:tcBorders/>
          </w:tcPr>
          <w:p/>
        </w:tc>
      </w:tr>
      <w:tr>
        <w:trPr>
          <w:trHeight w:hRule="exact" w:val="64"/>
        </w:trPr>
        <w:tc>
          <w:tcPr>
            <w:tcW w:type="dxa" w:w="28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674"/>
            <w:vMerge/>
            <w:tcBorders/>
          </w:tcPr>
          <w:p/>
        </w:tc>
        <w:tc>
          <w:tcPr>
            <w:tcW w:type="dxa" w:w="674"/>
            <w:vMerge/>
            <w:tcBorders/>
          </w:tcPr>
          <w:p/>
        </w:tc>
        <w:tc>
          <w:tcPr>
            <w:tcW w:type="dxa" w:w="674"/>
            <w:vMerge/>
            <w:tcBorders/>
          </w:tcPr>
          <w:p/>
        </w:tc>
        <w:tc>
          <w:tcPr>
            <w:tcW w:type="dxa" w:w="3370"/>
            <w:gridSpan w:val="5"/>
            <w:vMerge/>
            <w:tcBorders/>
          </w:tcPr>
          <w:p/>
        </w:tc>
      </w:tr>
      <w:tr>
        <w:trPr>
          <w:trHeight w:hRule="exact" w:val="156"/>
        </w:trPr>
        <w:tc>
          <w:tcPr>
            <w:tcW w:type="dxa" w:w="4044"/>
            <w:gridSpan w:val="6"/>
            <w:vMerge/>
            <w:tcBorders/>
          </w:tcPr>
          <w:p/>
        </w:tc>
        <w:tc>
          <w:tcPr>
            <w:tcW w:type="dxa" w:w="720"/>
            <w:vMerge w:val="restart"/>
            <w:tcBorders>
              <w:bottom w:sz="6.004811763763428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vMerge w:val="restart"/>
            <w:tcBorders>
              <w:bottom w:sz="6.004811763763428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1008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300</w:t>
            </w:r>
          </w:p>
        </w:tc>
        <w:tc>
          <w:tcPr>
            <w:tcW w:type="dxa" w:w="3370"/>
            <w:gridSpan w:val="5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28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2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674"/>
            <w:vMerge/>
            <w:tcBorders>
              <w:bottom w:sz="6.004811763763428" w:val="single" w:color="#898A89"/>
            </w:tcBorders>
          </w:tcPr>
          <w:p/>
        </w:tc>
        <w:tc>
          <w:tcPr>
            <w:tcW w:type="dxa" w:w="674"/>
            <w:vMerge/>
            <w:tcBorders>
              <w:bottom w:sz="6.004811763763428" w:val="single" w:color="#898A89"/>
            </w:tcBorders>
          </w:tcPr>
          <w:p/>
        </w:tc>
        <w:tc>
          <w:tcPr>
            <w:tcW w:type="dxa" w:w="674"/>
            <w:vMerge/>
            <w:tcBorders/>
          </w:tcPr>
          <w:p/>
        </w:tc>
        <w:tc>
          <w:tcPr>
            <w:tcW w:type="dxa" w:w="3370"/>
            <w:gridSpan w:val="5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28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2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674"/>
            <w:vMerge/>
            <w:tcBorders>
              <w:bottom w:sz="6.004811763763428" w:val="single" w:color="#898A89"/>
            </w:tcBorders>
          </w:tcPr>
          <w:p/>
        </w:tc>
        <w:tc>
          <w:tcPr>
            <w:tcW w:type="dxa" w:w="674"/>
            <w:vMerge/>
            <w:tcBorders>
              <w:bottom w:sz="6.004811763763428" w:val="single" w:color="#898A89"/>
            </w:tcBorders>
          </w:tcPr>
          <w:p/>
        </w:tc>
        <w:tc>
          <w:tcPr>
            <w:tcW w:type="dxa" w:w="674"/>
            <w:vMerge/>
            <w:tcBorders/>
          </w:tcPr>
          <w:p/>
        </w:tc>
        <w:tc>
          <w:tcPr>
            <w:tcW w:type="dxa" w:w="3370"/>
            <w:gridSpan w:val="5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28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674"/>
            <w:vMerge/>
            <w:tcBorders>
              <w:bottom w:sz="6.004811763763428" w:val="single" w:color="#898A89"/>
            </w:tcBorders>
          </w:tcPr>
          <w:p/>
        </w:tc>
        <w:tc>
          <w:tcPr>
            <w:tcW w:type="dxa" w:w="674"/>
            <w:vMerge/>
            <w:tcBorders>
              <w:bottom w:sz="6.004811763763428" w:val="single" w:color="#898A89"/>
            </w:tcBorders>
          </w:tcPr>
          <w:p/>
        </w:tc>
        <w:tc>
          <w:tcPr>
            <w:tcW w:type="dxa" w:w="50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6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88"/>
        </w:trPr>
        <w:tc>
          <w:tcPr>
            <w:tcW w:type="dxa" w:w="4044"/>
            <w:gridSpan w:val="6"/>
            <w:vMerge/>
            <w:tcBorders/>
          </w:tcPr>
          <w:p/>
        </w:tc>
        <w:tc>
          <w:tcPr>
            <w:tcW w:type="dxa" w:w="720"/>
            <w:vMerge w:val="restart"/>
            <w:tcBorders>
              <w:top w:sz="6.004811763763428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24</w:t>
            </w:r>
          </w:p>
        </w:tc>
        <w:tc>
          <w:tcPr>
            <w:tcW w:type="dxa" w:w="790"/>
            <w:vMerge w:val="restart"/>
            <w:tcBorders>
              <w:top w:sz="6.004811763763428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 25</w:t>
            </w:r>
          </w:p>
        </w:tc>
        <w:tc>
          <w:tcPr>
            <w:tcW w:type="dxa" w:w="4044"/>
            <w:gridSpan w:val="6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21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23</w:t>
            </w:r>
          </w:p>
        </w:tc>
        <w:tc>
          <w:tcPr>
            <w:tcW w:type="dxa" w:w="674"/>
            <w:vMerge/>
            <w:tcBorders>
              <w:top w:sz="6.004811763763428" w:val="single" w:color="#898A89"/>
            </w:tcBorders>
          </w:tcPr>
          <w:p/>
        </w:tc>
        <w:tc>
          <w:tcPr>
            <w:tcW w:type="dxa" w:w="674"/>
            <w:vMerge/>
            <w:tcBorders>
              <w:top w:sz="6.004811763763428" w:val="single" w:color="#898A89"/>
            </w:tcBorders>
          </w:tcPr>
          <w:p/>
        </w:tc>
        <w:tc>
          <w:tcPr>
            <w:tcW w:type="dxa" w:w="22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FY21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FY22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FY23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FY24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FY25</w:t>
            </w:r>
          </w:p>
        </w:tc>
      </w:tr>
    </w:tbl>
    <w:p>
      <w:pPr>
        <w:autoSpaceDN w:val="0"/>
        <w:autoSpaceDE w:val="0"/>
        <w:widowControl/>
        <w:spacing w:line="220" w:lineRule="exact" w:before="580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Unrealized mark-to-market gains (losses) on investments-trading portfolio, net</w:t>
      </w:r>
    </w:p>
    <w:p>
      <w:pPr>
        <w:autoSpaceDN w:val="0"/>
        <w:autoSpaceDE w:val="0"/>
        <w:widowControl/>
        <w:spacing w:line="240" w:lineRule="exact" w:before="124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IDA's investments-trading portfolio, excluding IDA's share of returns from PEBP and PCRF assets, had unrealized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mark-to-market gains of $160 million in FY25 YTD, compared to $154 million of unrealized mark-to-market gains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FY24 YTD. The gains in FY25 YTD and FY24 YTD were mainly driven by the gains from EUR denominated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bonds due to the decrease in yields. </w:t>
      </w:r>
    </w:p>
    <w:p>
      <w:pPr>
        <w:autoSpaceDN w:val="0"/>
        <w:autoSpaceDE w:val="0"/>
        <w:widowControl/>
        <w:spacing w:line="244" w:lineRule="exact" w:before="130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Results from Borrowing Activities</w:t>
      </w:r>
    </w:p>
    <w:p>
      <w:pPr>
        <w:autoSpaceDN w:val="0"/>
        <w:autoSpaceDE w:val="0"/>
        <w:widowControl/>
        <w:spacing w:line="222" w:lineRule="exact" w:before="148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Market Borrowings Reported at Fair Value: 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March 31, 2025, the value of the market borrowings reported at fair value including related derivatives was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$44.0 billion, an increase of $15.5 billion compared to June 30, 2024 ($28.5 billion). The increase was mainly due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net new debt issuances during the period. </w:t>
      </w:r>
    </w:p>
    <w:p>
      <w:pPr>
        <w:autoSpaceDN w:val="0"/>
        <w:tabs>
          <w:tab w:pos="9088" w:val="left"/>
        </w:tabs>
        <w:autoSpaceDE w:val="0"/>
        <w:widowControl/>
        <w:spacing w:line="224" w:lineRule="exact" w:before="2716" w:after="0"/>
        <w:ind w:left="20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March 31,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15</w:t>
      </w:r>
    </w:p>
    <w:p>
      <w:pPr>
        <w:sectPr>
          <w:pgSz w:w="12240" w:h="15840"/>
          <w:pgMar w:top="256" w:right="1370" w:bottom="21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86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IV: Financial Results</w:t>
            </w:r>
          </w:p>
        </w:tc>
      </w:tr>
    </w:tbl>
    <w:p>
      <w:pPr>
        <w:autoSpaceDN w:val="0"/>
        <w:autoSpaceDE w:val="0"/>
        <w:widowControl/>
        <w:spacing w:line="222" w:lineRule="exact" w:before="31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Borrowings Reported at Amortized Cost:</w:t>
      </w:r>
    </w:p>
    <w:p>
      <w:pPr>
        <w:autoSpaceDN w:val="0"/>
        <w:autoSpaceDE w:val="0"/>
        <w:widowControl/>
        <w:spacing w:line="240" w:lineRule="exact" w:before="12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March 31, 2025, the market borrowings recorded at amortized cost (fixed rate debt) were $14.8 billion, 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of $3.3 billion from June 30, 2024 ($11.5 billion). The increase was mainly due to net new debt issuances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period. </w:t>
      </w:r>
    </w:p>
    <w:p>
      <w:pPr>
        <w:autoSpaceDN w:val="0"/>
        <w:autoSpaceDE w:val="0"/>
        <w:widowControl/>
        <w:spacing w:line="240" w:lineRule="exact" w:before="12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Concessional Partner loans from members recorded at amortized cost were $7.2 billion as of March 31, 2025, 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of $0.2 billion from June 30, 2024 ($7.0 billion). </w:t>
      </w:r>
    </w:p>
    <w:p>
      <w:pPr>
        <w:autoSpaceDN w:val="0"/>
        <w:autoSpaceDE w:val="0"/>
        <w:widowControl/>
        <w:spacing w:line="240" w:lineRule="exact" w:before="12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FY25 YTD, IDA's borrowing expenses, including related derivatives, were $1.7 billion, an increase of $0.5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billion compared with the same period in FY24 YTD. The increase in borrowing expenses was primarily due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higher average balance in FY25 YTD, compared to FY24 YTD.</w:t>
      </w:r>
    </w:p>
    <w:p>
      <w:pPr>
        <w:autoSpaceDN w:val="0"/>
        <w:autoSpaceDE w:val="0"/>
        <w:widowControl/>
        <w:spacing w:line="240" w:lineRule="exact" w:before="120" w:after="15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See Notes to the Condensed Quarterly Financial Statements for the period ended March 31, 2025, Note E –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Borrowings.</w:t>
      </w:r>
    </w:p>
    <w:p>
      <w:pPr>
        <w:sectPr>
          <w:pgSz w:w="12240" w:h="15840"/>
          <w:pgMar w:top="256" w:right="1370" w:bottom="21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4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Figure 6: Borrowing Portfolio </w:t>
      </w:r>
      <w:r>
        <w:rPr>
          <w:rFonts w:ascii="Arial" w:hAnsi="Arial" w:eastAsia="Arial"/>
          <w:b w:val="0"/>
          <w:i/>
          <w:color w:val="000000"/>
          <w:sz w:val="16"/>
        </w:rPr>
        <w:t>In billions of U.S. dollars</w:t>
      </w:r>
    </w:p>
    <w:p>
      <w:pPr>
        <w:sectPr>
          <w:type w:val="continuous"/>
          <w:pgSz w:w="12240" w:h="15840"/>
          <w:pgMar w:top="256" w:right="1370" w:bottom="210" w:left="1436" w:header="720" w:footer="720" w:gutter="0"/>
          <w:cols w:num="2" w:equalWidth="0">
            <w:col w:w="3656" w:space="0"/>
            <w:col w:w="5778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228"/>
        <w:ind w:left="1388" w:right="1728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Figure 7: Borrowing expenses, net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dollars, YTD</w:t>
      </w:r>
    </w:p>
    <w:p>
      <w:pPr>
        <w:sectPr>
          <w:type w:val="nextColumn"/>
          <w:pgSz w:w="12240" w:h="15840"/>
          <w:pgMar w:top="256" w:right="1370" w:bottom="210" w:left="1436" w:header="720" w:footer="720" w:gutter="0"/>
          <w:cols w:num="2" w:equalWidth="0">
            <w:col w:w="3656" w:space="0"/>
            <w:col w:w="577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629"/>
        <w:gridCol w:w="629"/>
        <w:gridCol w:w="629"/>
        <w:gridCol w:w="629"/>
        <w:gridCol w:w="629"/>
        <w:gridCol w:w="629"/>
        <w:gridCol w:w="629"/>
        <w:gridCol w:w="629"/>
        <w:gridCol w:w="629"/>
        <w:gridCol w:w="629"/>
        <w:gridCol w:w="629"/>
        <w:gridCol w:w="629"/>
        <w:gridCol w:w="629"/>
        <w:gridCol w:w="629"/>
        <w:gridCol w:w="629"/>
      </w:tblGrid>
      <w:tr>
        <w:trPr>
          <w:trHeight w:hRule="exact" w:val="178"/>
        </w:trPr>
        <w:tc>
          <w:tcPr>
            <w:tcW w:type="dxa" w:w="4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78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4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Market borrowings at fair value</w:t>
            </w:r>
          </w:p>
        </w:tc>
        <w:tc>
          <w:tcPr>
            <w:tcW w:type="dxa" w:w="1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2,000</w:t>
            </w:r>
          </w:p>
        </w:tc>
        <w:tc>
          <w:tcPr>
            <w:tcW w:type="dxa" w:w="345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52600" cy="9652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965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46"/>
        </w:trPr>
        <w:tc>
          <w:tcPr>
            <w:tcW w:type="dxa" w:w="4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78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4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Market borrowings at amortized cost</w:t>
            </w:r>
          </w:p>
        </w:tc>
        <w:tc>
          <w:tcPr>
            <w:tcW w:type="dxa" w:w="15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145"/>
            <w:gridSpan w:val="5"/>
            <w:vMerge/>
            <w:tcBorders/>
          </w:tcPr>
          <w:p/>
        </w:tc>
      </w:tr>
      <w:tr>
        <w:trPr>
          <w:trHeight w:hRule="exact" w:val="173"/>
        </w:trPr>
        <w:tc>
          <w:tcPr>
            <w:tcW w:type="dxa" w:w="4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788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Concessional partner loans at amortized cost</w:t>
            </w:r>
          </w:p>
        </w:tc>
        <w:tc>
          <w:tcPr>
            <w:tcW w:type="dxa" w:w="15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145"/>
            <w:gridSpan w:val="5"/>
            <w:vMerge/>
            <w:tcBorders/>
          </w:tcPr>
          <w:p/>
        </w:tc>
      </w:tr>
      <w:tr>
        <w:trPr>
          <w:trHeight w:hRule="exact" w:val="134"/>
        </w:trPr>
        <w:tc>
          <w:tcPr>
            <w:tcW w:type="dxa" w:w="4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70</w:t>
            </w:r>
          </w:p>
        </w:tc>
        <w:tc>
          <w:tcPr>
            <w:tcW w:type="dxa" w:w="5032"/>
            <w:gridSpan w:val="8"/>
            <w:vMerge/>
            <w:tcBorders/>
          </w:tcPr>
          <w:p/>
        </w:tc>
        <w:tc>
          <w:tcPr>
            <w:tcW w:type="dxa" w:w="15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1,500</w:t>
            </w:r>
          </w:p>
        </w:tc>
        <w:tc>
          <w:tcPr>
            <w:tcW w:type="dxa" w:w="3145"/>
            <w:gridSpan w:val="5"/>
            <w:vMerge/>
            <w:tcBorders/>
          </w:tcPr>
          <w:p/>
        </w:tc>
      </w:tr>
      <w:tr>
        <w:trPr>
          <w:trHeight w:hRule="exact" w:val="136"/>
        </w:trPr>
        <w:tc>
          <w:tcPr>
            <w:tcW w:type="dxa" w:w="629"/>
            <w:vMerge/>
            <w:tcBorders/>
          </w:tcPr>
          <w:p/>
        </w:tc>
        <w:tc>
          <w:tcPr>
            <w:tcW w:type="dxa" w:w="3788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8" w:after="0"/>
              <w:ind w:left="0" w:right="2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7.2</w:t>
            </w:r>
          </w:p>
        </w:tc>
        <w:tc>
          <w:tcPr>
            <w:tcW w:type="dxa" w:w="629"/>
            <w:vMerge/>
            <w:tcBorders/>
          </w:tcPr>
          <w:p/>
        </w:tc>
        <w:tc>
          <w:tcPr>
            <w:tcW w:type="dxa" w:w="3145"/>
            <w:gridSpan w:val="5"/>
            <w:vMerge/>
            <w:tcBorders/>
          </w:tcPr>
          <w:p/>
        </w:tc>
      </w:tr>
      <w:tr>
        <w:trPr>
          <w:trHeight w:hRule="exact" w:val="136"/>
        </w:trPr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60</w:t>
            </w:r>
          </w:p>
        </w:tc>
        <w:tc>
          <w:tcPr>
            <w:tcW w:type="dxa" w:w="5032"/>
            <w:gridSpan w:val="8"/>
            <w:vMerge/>
            <w:tcBorders/>
          </w:tcPr>
          <w:p/>
        </w:tc>
        <w:tc>
          <w:tcPr>
            <w:tcW w:type="dxa" w:w="15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145"/>
            <w:gridSpan w:val="5"/>
            <w:vMerge/>
            <w:tcBorders/>
          </w:tcPr>
          <w:p/>
        </w:tc>
      </w:tr>
      <w:tr>
        <w:trPr>
          <w:trHeight w:hRule="exact" w:val="48"/>
        </w:trPr>
        <w:tc>
          <w:tcPr>
            <w:tcW w:type="dxa" w:w="4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32"/>
            <w:gridSpan w:val="8"/>
            <w:vMerge/>
            <w:tcBorders/>
          </w:tcPr>
          <w:p/>
        </w:tc>
        <w:tc>
          <w:tcPr>
            <w:tcW w:type="dxa" w:w="15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1,000</w:t>
            </w:r>
          </w:p>
        </w:tc>
        <w:tc>
          <w:tcPr>
            <w:tcW w:type="dxa" w:w="3145"/>
            <w:gridSpan w:val="5"/>
            <w:vMerge/>
            <w:tcBorders/>
          </w:tcPr>
          <w:p/>
        </w:tc>
      </w:tr>
      <w:tr>
        <w:trPr>
          <w:trHeight w:hRule="exact" w:val="42"/>
        </w:trPr>
        <w:tc>
          <w:tcPr>
            <w:tcW w:type="dxa" w:w="629"/>
            <w:vMerge/>
            <w:tcBorders/>
          </w:tcPr>
          <w:p/>
        </w:tc>
        <w:tc>
          <w:tcPr>
            <w:tcW w:type="dxa" w:w="3788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22.0000000000005" w:type="dxa"/>
            </w:tblPr>
            <w:tblGrid>
              <w:gridCol w:w="3788"/>
            </w:tblGrid>
            <w:tr>
              <w:trPr>
                <w:trHeight w:hRule="exact" w:val="176"/>
              </w:trPr>
              <w:tc>
                <w:tcPr>
                  <w:tcW w:type="dxa" w:w="376"/>
                  <w:tcBorders/>
                  <w:shd w:fill="91919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14.8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29"/>
            <w:vMerge/>
            <w:tcBorders/>
          </w:tcPr>
          <w:p/>
        </w:tc>
        <w:tc>
          <w:tcPr>
            <w:tcW w:type="dxa" w:w="3145"/>
            <w:gridSpan w:val="5"/>
            <w:vMerge/>
            <w:tcBorders/>
          </w:tcPr>
          <w:p/>
        </w:tc>
      </w:tr>
      <w:tr>
        <w:trPr>
          <w:trHeight w:hRule="exact" w:val="169"/>
        </w:trPr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50</w:t>
            </w:r>
          </w:p>
        </w:tc>
        <w:tc>
          <w:tcPr>
            <w:tcW w:type="dxa" w:w="5032"/>
            <w:gridSpan w:val="8"/>
            <w:vMerge/>
            <w:tcBorders/>
          </w:tcPr>
          <w:p/>
        </w:tc>
        <w:tc>
          <w:tcPr>
            <w:tcW w:type="dxa" w:w="629"/>
            <w:vMerge/>
            <w:tcBorders/>
          </w:tcPr>
          <w:p/>
        </w:tc>
        <w:tc>
          <w:tcPr>
            <w:tcW w:type="dxa" w:w="3145"/>
            <w:gridSpan w:val="5"/>
            <w:vMerge/>
            <w:tcBorders/>
          </w:tcPr>
          <w:p/>
        </w:tc>
      </w:tr>
      <w:tr>
        <w:trPr>
          <w:trHeight w:hRule="exact" w:val="55"/>
        </w:trPr>
        <w:tc>
          <w:tcPr>
            <w:tcW w:type="dxa" w:w="4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788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0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7.0</w:t>
            </w:r>
          </w:p>
        </w:tc>
        <w:tc>
          <w:tcPr>
            <w:tcW w:type="dxa" w:w="155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145"/>
            <w:gridSpan w:val="5"/>
            <w:vMerge/>
            <w:tcBorders/>
          </w:tcPr>
          <w:p/>
        </w:tc>
      </w:tr>
      <w:tr>
        <w:trPr>
          <w:trHeight w:hRule="exact" w:val="114"/>
        </w:trPr>
        <w:tc>
          <w:tcPr>
            <w:tcW w:type="dxa" w:w="4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40</w:t>
            </w:r>
          </w:p>
        </w:tc>
        <w:tc>
          <w:tcPr>
            <w:tcW w:type="dxa" w:w="5032"/>
            <w:gridSpan w:val="8"/>
            <w:vMerge/>
            <w:tcBorders/>
          </w:tcPr>
          <w:p/>
        </w:tc>
        <w:tc>
          <w:tcPr>
            <w:tcW w:type="dxa" w:w="15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145"/>
            <w:gridSpan w:val="5"/>
            <w:vMerge/>
            <w:tcBorders/>
          </w:tcPr>
          <w:p/>
        </w:tc>
      </w:tr>
      <w:tr>
        <w:trPr>
          <w:trHeight w:hRule="exact" w:val="66"/>
        </w:trPr>
        <w:tc>
          <w:tcPr>
            <w:tcW w:type="dxa" w:w="629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7.7</w:t>
            </w:r>
          </w:p>
        </w:tc>
        <w:tc>
          <w:tcPr>
            <w:tcW w:type="dxa" w:w="7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96" w:after="0"/>
              <w:ind w:left="432" w:right="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7.0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6.2</w:t>
            </w:r>
          </w:p>
        </w:tc>
        <w:tc>
          <w:tcPr>
            <w:tcW w:type="dxa" w:w="7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7.2</w:t>
            </w:r>
          </w:p>
        </w:tc>
        <w:tc>
          <w:tcPr>
            <w:tcW w:type="dxa" w:w="7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8.0000000000001" w:type="dxa"/>
            </w:tblPr>
            <w:tblGrid>
              <w:gridCol w:w="754"/>
            </w:tblGrid>
            <w:tr>
              <w:trPr>
                <w:trHeight w:hRule="exact" w:val="170"/>
              </w:trPr>
              <w:tc>
                <w:tcPr>
                  <w:tcW w:type="dxa" w:w="376"/>
                  <w:tcBorders/>
                  <w:shd w:fill="91919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11.5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46"/>
            <w:vMerge w:val="restart"/>
            <w:tcBorders>
              <w:bottom w:sz="6.006068229675293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0.0" w:type="dxa"/>
            </w:tblPr>
            <w:tblGrid>
              <w:gridCol w:w="946"/>
            </w:tblGrid>
            <w:tr>
              <w:trPr>
                <w:trHeight w:hRule="exact" w:val="564"/>
              </w:trPr>
              <w:tc>
                <w:tcPr>
                  <w:tcW w:type="dxa" w:w="376"/>
                  <w:tcBorders/>
                  <w:shd w:fill="48494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44.0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29"/>
            <w:vMerge/>
            <w:tcBorders/>
          </w:tcPr>
          <w:p/>
        </w:tc>
        <w:tc>
          <w:tcPr>
            <w:tcW w:type="dxa" w:w="3145"/>
            <w:gridSpan w:val="5"/>
            <w:vMerge/>
            <w:tcBorders/>
          </w:tcPr>
          <w:p/>
        </w:tc>
      </w:tr>
      <w:tr>
        <w:trPr>
          <w:trHeight w:hRule="exact" w:val="193"/>
        </w:trPr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30</w:t>
            </w:r>
          </w:p>
        </w:tc>
        <w:tc>
          <w:tcPr>
            <w:tcW w:type="dxa" w:w="629"/>
            <w:vMerge/>
            <w:tcBorders/>
          </w:tcPr>
          <w:p/>
        </w:tc>
        <w:tc>
          <w:tcPr>
            <w:tcW w:type="dxa" w:w="1258"/>
            <w:gridSpan w:val="2"/>
            <w:vMerge/>
            <w:tcBorders/>
          </w:tcPr>
          <w:p/>
        </w:tc>
        <w:tc>
          <w:tcPr>
            <w:tcW w:type="dxa" w:w="1258"/>
            <w:gridSpan w:val="2"/>
            <w:vMerge/>
            <w:tcBorders/>
          </w:tcPr>
          <w:p/>
        </w:tc>
        <w:tc>
          <w:tcPr>
            <w:tcW w:type="dxa" w:w="1258"/>
            <w:gridSpan w:val="2"/>
            <w:vMerge/>
            <w:tcBorders/>
          </w:tcPr>
          <w:p/>
        </w:tc>
        <w:tc>
          <w:tcPr>
            <w:tcW w:type="dxa" w:w="629"/>
            <w:vMerge/>
            <w:tcBorders>
              <w:bottom w:sz="6.006068229675293" w:val="single" w:color="#898A89"/>
            </w:tcBorders>
          </w:tcPr>
          <w:p/>
        </w:tc>
        <w:tc>
          <w:tcPr>
            <w:tcW w:type="dxa" w:w="15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2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500</w:t>
            </w:r>
          </w:p>
        </w:tc>
        <w:tc>
          <w:tcPr>
            <w:tcW w:type="dxa" w:w="3145"/>
            <w:gridSpan w:val="5"/>
            <w:vMerge/>
            <w:tcBorders/>
          </w:tcPr>
          <w:p/>
        </w:tc>
      </w:tr>
      <w:tr>
        <w:trPr>
          <w:trHeight w:hRule="exact" w:val="137"/>
        </w:trPr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20</w:t>
            </w:r>
          </w:p>
        </w:tc>
        <w:tc>
          <w:tcPr>
            <w:tcW w:type="dxa" w:w="629"/>
            <w:vMerge/>
            <w:tcBorders/>
          </w:tcPr>
          <w:p/>
        </w:tc>
        <w:tc>
          <w:tcPr>
            <w:tcW w:type="dxa" w:w="1258"/>
            <w:gridSpan w:val="2"/>
            <w:vMerge/>
            <w:tcBorders/>
          </w:tcPr>
          <w:p/>
        </w:tc>
        <w:tc>
          <w:tcPr>
            <w:tcW w:type="dxa" w:w="7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8.0000000000001" w:type="dxa"/>
            </w:tblPr>
            <w:tblGrid>
              <w:gridCol w:w="754"/>
            </w:tblGrid>
            <w:tr>
              <w:trPr>
                <w:trHeight w:hRule="exact" w:val="132"/>
              </w:trPr>
              <w:tc>
                <w:tcPr>
                  <w:tcW w:type="dxa" w:w="376"/>
                  <w:tcBorders/>
                  <w:shd w:fill="91919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8.6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58"/>
            <w:gridSpan w:val="2"/>
            <w:vMerge/>
            <w:tcBorders/>
          </w:tcPr>
          <w:p/>
        </w:tc>
        <w:tc>
          <w:tcPr>
            <w:tcW w:type="dxa" w:w="629"/>
            <w:vMerge/>
            <w:tcBorders>
              <w:bottom w:sz="6.006068229675293" w:val="single" w:color="#898A89"/>
            </w:tcBorders>
          </w:tcPr>
          <w:p/>
        </w:tc>
        <w:tc>
          <w:tcPr>
            <w:tcW w:type="dxa" w:w="629"/>
            <w:vMerge/>
            <w:tcBorders/>
          </w:tcPr>
          <w:p/>
        </w:tc>
        <w:tc>
          <w:tcPr>
            <w:tcW w:type="dxa" w:w="3145"/>
            <w:gridSpan w:val="5"/>
            <w:vMerge/>
            <w:tcBorders/>
          </w:tcPr>
          <w:p/>
        </w:tc>
      </w:tr>
      <w:tr>
        <w:trPr>
          <w:trHeight w:hRule="exact" w:val="84"/>
        </w:trPr>
        <w:tc>
          <w:tcPr>
            <w:tcW w:type="dxa" w:w="4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vMerge w:val="restart"/>
            <w:tcBorders>
              <w:bottom w:sz="6.0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4.00000000000006" w:type="dxa"/>
            </w:tblPr>
            <w:tblGrid>
              <w:gridCol w:w="580"/>
            </w:tblGrid>
            <w:tr>
              <w:trPr>
                <w:trHeight w:hRule="exact" w:val="306"/>
              </w:trPr>
              <w:tc>
                <w:tcPr>
                  <w:tcW w:type="dxa" w:w="376"/>
                  <w:tcBorders/>
                  <w:shd w:fill="48494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3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20.6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7.99999999999983" w:type="dxa"/>
            </w:tblPr>
            <w:tblGrid>
              <w:gridCol w:w="754"/>
            </w:tblGrid>
            <w:tr>
              <w:trPr>
                <w:trHeight w:hRule="exact" w:val="230"/>
              </w:trPr>
              <w:tc>
                <w:tcPr>
                  <w:tcW w:type="dxa" w:w="376"/>
                  <w:tcBorders/>
                  <w:shd w:fill="48494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21.9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4"/>
            <w:gridSpan w:val="2"/>
            <w:vMerge w:val="restart"/>
            <w:tcBorders>
              <w:bottom w:sz="6.006068229675293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8.0000000000001" w:type="dxa"/>
            </w:tblPr>
            <w:tblGrid>
              <w:gridCol w:w="754"/>
            </w:tblGrid>
            <w:tr>
              <w:trPr>
                <w:trHeight w:hRule="exact" w:val="386"/>
              </w:trPr>
              <w:tc>
                <w:tcPr>
                  <w:tcW w:type="dxa" w:w="376"/>
                  <w:tcBorders/>
                  <w:shd w:fill="48494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3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19.6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4"/>
            <w:gridSpan w:val="2"/>
            <w:vMerge w:val="restart"/>
            <w:tcBorders>
              <w:bottom w:sz="6.006068229675293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8.0000000000001" w:type="dxa"/>
            </w:tblPr>
            <w:tblGrid>
              <w:gridCol w:w="754"/>
            </w:tblGrid>
            <w:tr>
              <w:trPr>
                <w:trHeight w:hRule="exact" w:val="370"/>
              </w:trPr>
              <w:tc>
                <w:tcPr>
                  <w:tcW w:type="dxa" w:w="376"/>
                  <w:tcBorders/>
                  <w:shd w:fill="48494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28.5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29"/>
            <w:vMerge/>
            <w:tcBorders>
              <w:bottom w:sz="6.006068229675293" w:val="single" w:color="#898A89"/>
            </w:tcBorders>
          </w:tcPr>
          <w:p/>
        </w:tc>
        <w:tc>
          <w:tcPr>
            <w:tcW w:type="dxa" w:w="1550"/>
            <w:vMerge w:val="restart"/>
            <w:tcBorders>
              <w:bottom w:sz="6.0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450"/>
            <w:gridSpan w:val="5"/>
            <w:vMerge w:val="restart"/>
            <w:tcBorders>
              <w:bottom w:sz="6.0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8"/>
        </w:trPr>
        <w:tc>
          <w:tcPr>
            <w:tcW w:type="dxa" w:w="494"/>
            <w:tcBorders>
              <w:bottom w:sz="6.0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10</w:t>
            </w:r>
          </w:p>
        </w:tc>
        <w:tc>
          <w:tcPr>
            <w:tcW w:type="dxa" w:w="629"/>
            <w:vMerge/>
            <w:tcBorders>
              <w:bottom w:sz="6.0" w:val="single" w:color="#898A89"/>
            </w:tcBorders>
          </w:tcPr>
          <w:p/>
        </w:tc>
        <w:tc>
          <w:tcPr>
            <w:tcW w:type="dxa" w:w="1258"/>
            <w:gridSpan w:val="2"/>
            <w:vMerge/>
            <w:tcBorders/>
          </w:tcPr>
          <w:p/>
        </w:tc>
        <w:tc>
          <w:tcPr>
            <w:tcW w:type="dxa" w:w="1258"/>
            <w:gridSpan w:val="2"/>
            <w:vMerge/>
            <w:tcBorders>
              <w:bottom w:sz="6.006068229675293" w:val="single" w:color="#898A89"/>
            </w:tcBorders>
          </w:tcPr>
          <w:p/>
        </w:tc>
        <w:tc>
          <w:tcPr>
            <w:tcW w:type="dxa" w:w="1258"/>
            <w:gridSpan w:val="2"/>
            <w:vMerge/>
            <w:tcBorders>
              <w:bottom w:sz="6.006068229675293" w:val="single" w:color="#898A89"/>
            </w:tcBorders>
          </w:tcPr>
          <w:p/>
        </w:tc>
        <w:tc>
          <w:tcPr>
            <w:tcW w:type="dxa" w:w="629"/>
            <w:vMerge/>
            <w:tcBorders>
              <w:bottom w:sz="6.006068229675293" w:val="single" w:color="#898A89"/>
            </w:tcBorders>
          </w:tcPr>
          <w:p/>
        </w:tc>
        <w:tc>
          <w:tcPr>
            <w:tcW w:type="dxa" w:w="629"/>
            <w:vMerge/>
            <w:tcBorders>
              <w:bottom w:sz="6.0" w:val="single" w:color="#898A89"/>
            </w:tcBorders>
          </w:tcPr>
          <w:p/>
        </w:tc>
        <w:tc>
          <w:tcPr>
            <w:tcW w:type="dxa" w:w="3145"/>
            <w:gridSpan w:val="5"/>
            <w:vMerge/>
            <w:tcBorders>
              <w:bottom w:sz="6.0" w:val="single" w:color="#898A89"/>
            </w:tcBorders>
          </w:tcPr>
          <w:p/>
        </w:tc>
      </w:tr>
      <w:tr>
        <w:trPr>
          <w:trHeight w:hRule="exact" w:val="76"/>
        </w:trPr>
        <w:tc>
          <w:tcPr>
            <w:tcW w:type="dxa" w:w="494"/>
            <w:tcBorders>
              <w:top w:sz="6.0" w:val="single" w:color="#898A89"/>
              <w:bottom w:sz="6.006068229675293" w:val="single" w:color="#898A8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top w:sz="6.0" w:val="single" w:color="#898A89"/>
              <w:bottom w:sz="6.006068229675293" w:val="single" w:color="#898A8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4"/>
            <w:gridSpan w:val="2"/>
            <w:tcBorders>
              <w:bottom w:sz="6.006068229675293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58"/>
            <w:gridSpan w:val="2"/>
            <w:vMerge/>
            <w:tcBorders>
              <w:bottom w:sz="6.006068229675293" w:val="single" w:color="#898A89"/>
            </w:tcBorders>
          </w:tcPr>
          <w:p/>
        </w:tc>
        <w:tc>
          <w:tcPr>
            <w:tcW w:type="dxa" w:w="1258"/>
            <w:gridSpan w:val="2"/>
            <w:vMerge/>
            <w:tcBorders>
              <w:bottom w:sz="6.006068229675293" w:val="single" w:color="#898A89"/>
            </w:tcBorders>
          </w:tcPr>
          <w:p/>
        </w:tc>
        <w:tc>
          <w:tcPr>
            <w:tcW w:type="dxa" w:w="629"/>
            <w:vMerge/>
            <w:tcBorders>
              <w:bottom w:sz="6.006068229675293" w:val="single" w:color="#898A89"/>
            </w:tcBorders>
          </w:tcPr>
          <w:p/>
        </w:tc>
        <w:tc>
          <w:tcPr>
            <w:tcW w:type="dxa" w:w="1550"/>
            <w:tcBorders>
              <w:top w:sz="6.0" w:val="single" w:color="#898A89"/>
              <w:bottom w:sz="6.006068229675293" w:val="single" w:color="#898A8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50"/>
            <w:gridSpan w:val="5"/>
            <w:tcBorders>
              <w:top w:sz="6.0" w:val="single" w:color="#898A89"/>
              <w:bottom w:sz="6.006068229675293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8"/>
        </w:trPr>
        <w:tc>
          <w:tcPr>
            <w:tcW w:type="dxa" w:w="494"/>
            <w:tcBorders>
              <w:top w:sz="6.006068229675293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726"/>
            <w:gridSpan w:val="2"/>
            <w:tcBorders>
              <w:top w:sz="6.006068229675293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Jun 21</w:t>
            </w:r>
          </w:p>
        </w:tc>
        <w:tc>
          <w:tcPr>
            <w:tcW w:type="dxa" w:w="760"/>
            <w:gridSpan w:val="2"/>
            <w:tcBorders>
              <w:top w:sz="6.006068229675293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Jun 22</w:t>
            </w:r>
          </w:p>
        </w:tc>
        <w:tc>
          <w:tcPr>
            <w:tcW w:type="dxa" w:w="760"/>
            <w:gridSpan w:val="2"/>
            <w:tcBorders>
              <w:top w:sz="6.006068229675293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Jun 23</w:t>
            </w:r>
          </w:p>
        </w:tc>
        <w:tc>
          <w:tcPr>
            <w:tcW w:type="dxa" w:w="596"/>
            <w:tcBorders>
              <w:top w:sz="6.006068229675293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Jun 24</w:t>
            </w:r>
          </w:p>
        </w:tc>
        <w:tc>
          <w:tcPr>
            <w:tcW w:type="dxa" w:w="946"/>
            <w:tcBorders>
              <w:top w:sz="6.006068229675293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Mar 25</w:t>
            </w:r>
          </w:p>
        </w:tc>
        <w:tc>
          <w:tcPr>
            <w:tcW w:type="dxa" w:w="1550"/>
            <w:tcBorders>
              <w:top w:sz="6.006068229675293" w:val="single" w:color="#898A8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8"/>
            <w:tcBorders>
              <w:top w:sz="6.006068229675293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FY21</w:t>
            </w:r>
          </w:p>
        </w:tc>
        <w:tc>
          <w:tcPr>
            <w:tcW w:type="dxa" w:w="680"/>
            <w:tcBorders>
              <w:top w:sz="6.006068229675293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FY22</w:t>
            </w:r>
          </w:p>
        </w:tc>
        <w:tc>
          <w:tcPr>
            <w:tcW w:type="dxa" w:w="700"/>
            <w:tcBorders>
              <w:top w:sz="6.006068229675293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FY23</w:t>
            </w:r>
          </w:p>
        </w:tc>
        <w:tc>
          <w:tcPr>
            <w:tcW w:type="dxa" w:w="680"/>
            <w:tcBorders>
              <w:top w:sz="6.006068229675293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FY24</w:t>
            </w:r>
          </w:p>
        </w:tc>
        <w:tc>
          <w:tcPr>
            <w:tcW w:type="dxa" w:w="722"/>
            <w:tcBorders>
              <w:top w:sz="6.006068229675293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FY25</w:t>
            </w:r>
          </w:p>
        </w:tc>
      </w:tr>
    </w:tbl>
    <w:p>
      <w:pPr>
        <w:autoSpaceDN w:val="0"/>
        <w:autoSpaceDE w:val="0"/>
        <w:widowControl/>
        <w:spacing w:line="244" w:lineRule="exact" w:before="630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Transfers from Affiliated Organizations</w:t>
      </w:r>
    </w:p>
    <w:p>
      <w:pPr>
        <w:autoSpaceDN w:val="0"/>
        <w:autoSpaceDE w:val="0"/>
        <w:widowControl/>
        <w:spacing w:line="240" w:lineRule="exact" w:before="13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Since 1964, IBRD has made transfers to IDA, upon approval by the Board of Governors. Currently, IBRD uses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formula-based approach to form the basis of the annual recommended transfer to IDA, which is based on IBRD's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financial results. On September 18, 2024, IBRD’s Board of Governors approved a transfer of $515 million, which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was received by IDA on September 30, 2024. </w:t>
      </w:r>
    </w:p>
    <w:p>
      <w:pPr>
        <w:autoSpaceDN w:val="0"/>
        <w:autoSpaceDE w:val="0"/>
        <w:widowControl/>
        <w:spacing w:line="244" w:lineRule="exact" w:before="250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Net Non-Interest Expenses</w:t>
      </w:r>
    </w:p>
    <w:p>
      <w:pPr>
        <w:autoSpaceDN w:val="0"/>
        <w:autoSpaceDE w:val="0"/>
        <w:widowControl/>
        <w:spacing w:line="240" w:lineRule="exact" w:before="13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net non-interest expenses are primarily comprised of administrative expenses, net of revenue from externally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funded activities. IBRD and IDA's administrative budget is a single resource envelope that funds the combined work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programs of both entities. The allocation of administrative expenses between IBRD and IDA is based on an agreed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cost and revenue sharing methodology, approved by their Boards. The allocation is primarily driven by the relative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level of activities relating to lending, knowledge services and other services between the two institutions.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administrative expenses shown in the table below include costs related to IDA-executed trust funds and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externally funded activities.</w:t>
      </w:r>
    </w:p>
    <w:p>
      <w:pPr>
        <w:autoSpaceDN w:val="0"/>
        <w:tabs>
          <w:tab w:pos="582" w:val="left"/>
        </w:tabs>
        <w:autoSpaceDE w:val="0"/>
        <w:widowControl/>
        <w:spacing w:line="224" w:lineRule="exact" w:before="340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March 31, 2025</w:t>
      </w:r>
    </w:p>
    <w:p>
      <w:pPr>
        <w:sectPr>
          <w:type w:val="continuous"/>
          <w:pgSz w:w="12240" w:h="15840"/>
          <w:pgMar w:top="256" w:right="1370" w:bottom="21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6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IV: Financial Results</w:t>
            </w:r>
          </w:p>
        </w:tc>
      </w:tr>
    </w:tbl>
    <w:p>
      <w:pPr>
        <w:autoSpaceDN w:val="0"/>
        <w:autoSpaceDE w:val="0"/>
        <w:widowControl/>
        <w:spacing w:line="252" w:lineRule="exact" w:before="252" w:after="0"/>
        <w:ind w:left="10" w:right="5472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Figure 8: Net Non-Interest Expenses (GAAP basis)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dollars, YTD</w:t>
      </w:r>
    </w:p>
    <w:p>
      <w:pPr>
        <w:autoSpaceDN w:val="0"/>
        <w:autoSpaceDE w:val="0"/>
        <w:widowControl/>
        <w:spacing w:line="180" w:lineRule="exact" w:before="358" w:after="0"/>
        <w:ind w:left="210" w:right="0" w:firstLine="0"/>
        <w:jc w:val="left"/>
      </w:pPr>
      <w:r>
        <w:rPr>
          <w:rFonts w:ascii="ArialMT" w:hAnsi="ArialMT" w:eastAsia="ArialMT"/>
          <w:b w:val="0"/>
          <w:i w:val="0"/>
          <w:color w:val="595959"/>
          <w:sz w:val="16"/>
        </w:rPr>
        <w:t>1,600</w:t>
      </w:r>
    </w:p>
    <w:p>
      <w:pPr>
        <w:autoSpaceDN w:val="0"/>
        <w:tabs>
          <w:tab w:pos="850" w:val="left"/>
        </w:tabs>
        <w:autoSpaceDE w:val="0"/>
        <w:widowControl/>
        <w:spacing w:line="240" w:lineRule="auto" w:before="72" w:after="0"/>
        <w:ind w:left="210" w:right="0" w:firstLine="0"/>
        <w:jc w:val="left"/>
      </w:pPr>
      <w:r>
        <w:rPr>
          <w:rFonts w:ascii="ArialMT" w:hAnsi="ArialMT" w:eastAsia="ArialMT"/>
          <w:b w:val="0"/>
          <w:i w:val="0"/>
          <w:color w:val="595959"/>
          <w:sz w:val="16"/>
        </w:rPr>
        <w:t>1,200</w:t>
      </w:r>
      <w:r>
        <w:tab/>
      </w:r>
      <w:r>
        <w:drawing>
          <wp:inline xmlns:a="http://schemas.openxmlformats.org/drawingml/2006/main" xmlns:pic="http://schemas.openxmlformats.org/drawingml/2006/picture">
            <wp:extent cx="2184400" cy="127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78" w:lineRule="exact" w:before="88" w:after="0"/>
        <w:ind w:left="344" w:right="0" w:firstLine="0"/>
        <w:jc w:val="left"/>
      </w:pPr>
      <w:r>
        <w:rPr>
          <w:rFonts w:ascii="ArialMT" w:hAnsi="ArialMT" w:eastAsia="ArialMT"/>
          <w:b w:val="0"/>
          <w:i w:val="0"/>
          <w:color w:val="595959"/>
          <w:sz w:val="16"/>
        </w:rPr>
        <w:t>800</w:t>
      </w:r>
    </w:p>
    <w:p>
      <w:pPr>
        <w:autoSpaceDN w:val="0"/>
        <w:autoSpaceDE w:val="0"/>
        <w:widowControl/>
        <w:spacing w:line="178" w:lineRule="exact" w:before="152" w:after="0"/>
        <w:ind w:left="344" w:right="0" w:firstLine="0"/>
        <w:jc w:val="left"/>
      </w:pPr>
      <w:r>
        <w:rPr>
          <w:rFonts w:ascii="ArialMT" w:hAnsi="ArialMT" w:eastAsia="ArialMT"/>
          <w:b w:val="0"/>
          <w:i w:val="0"/>
          <w:color w:val="595959"/>
          <w:sz w:val="16"/>
        </w:rPr>
        <w:t>400</w:t>
      </w:r>
    </w:p>
    <w:p>
      <w:pPr>
        <w:autoSpaceDN w:val="0"/>
        <w:autoSpaceDE w:val="0"/>
        <w:widowControl/>
        <w:spacing w:line="178" w:lineRule="exact" w:before="152" w:after="16"/>
        <w:ind w:left="522" w:right="0" w:firstLine="0"/>
        <w:jc w:val="left"/>
      </w:pPr>
      <w:r>
        <w:rPr>
          <w:rFonts w:ascii="ArialMT" w:hAnsi="ArialMT" w:eastAsia="ArialMT"/>
          <w:b w:val="0"/>
          <w:i w:val="0"/>
          <w:color w:val="595959"/>
          <w:sz w:val="16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7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54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FY21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FY22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FY23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FY24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FY25</w:t>
            </w:r>
          </w:p>
        </w:tc>
      </w:tr>
    </w:tbl>
    <w:p>
      <w:pPr>
        <w:autoSpaceDN w:val="0"/>
        <w:autoSpaceDE w:val="0"/>
        <w:widowControl/>
        <w:spacing w:line="240" w:lineRule="exact" w:before="31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increase in net non-interest expenses from FY24 YTD to FY25 YTD, on both a U.S. GAAP basis and on 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adjusted net income basis, was primarily driven by higher staff costs and higher consultant and contractual services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FY25 YTD (Table 10). </w:t>
      </w:r>
    </w:p>
    <w:p>
      <w:pPr>
        <w:autoSpaceDN w:val="0"/>
        <w:autoSpaceDE w:val="0"/>
        <w:widowControl/>
        <w:spacing w:line="252" w:lineRule="exact" w:before="76" w:after="70"/>
        <w:ind w:left="10" w:right="6624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Table 10: Net Non-Interest Expense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0"/>
        <w:gridCol w:w="2360"/>
        <w:gridCol w:w="2360"/>
        <w:gridCol w:w="2360"/>
      </w:tblGrid>
      <w:tr>
        <w:trPr>
          <w:trHeight w:hRule="exact" w:val="272"/>
        </w:trPr>
        <w:tc>
          <w:tcPr>
            <w:tcW w:type="dxa" w:w="473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For the nine months ended March 31,</w:t>
            </w:r>
          </w:p>
        </w:tc>
        <w:tc>
          <w:tcPr>
            <w:tcW w:type="dxa" w:w="274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2025</w:t>
            </w:r>
          </w:p>
        </w:tc>
        <w:tc>
          <w:tcPr>
            <w:tcW w:type="dxa" w:w="96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2024</w:t>
            </w:r>
          </w:p>
        </w:tc>
        <w:tc>
          <w:tcPr>
            <w:tcW w:type="dxa" w:w="936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Variance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Administrative expenses: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188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Staff costs</w:t>
            </w:r>
          </w:p>
        </w:tc>
        <w:tc>
          <w:tcPr>
            <w:tcW w:type="dxa" w:w="2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1,068 $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997 $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62"/>
        <w:ind w:left="0" w:right="0"/>
      </w:pPr>
    </w:p>
    <w:p>
      <w:pPr>
        <w:sectPr>
          <w:pgSz w:w="12240" w:h="15840"/>
          <w:pgMar w:top="256" w:right="1370" w:bottom="216" w:left="1430" w:header="720" w:footer="720" w:gutter="0"/>
          <w:cols/>
          <w:docGrid w:linePitch="360"/>
        </w:sectPr>
      </w:pPr>
    </w:p>
    <w:p>
      <w:pPr>
        <w:autoSpaceDN w:val="0"/>
        <w:tabs>
          <w:tab w:pos="422" w:val="left"/>
        </w:tabs>
        <w:autoSpaceDE w:val="0"/>
        <w:widowControl/>
        <w:spacing w:line="232" w:lineRule="exact" w:before="0" w:after="0"/>
        <w:ind w:left="242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Travel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Consultant and contractual services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Pension and other post-retirement benefits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Communications and technology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Premises and equipment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Other expenses </w:t>
      </w:r>
      <w:r>
        <w:br/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Total administrative expenses</w:t>
      </w:r>
    </w:p>
    <w:p>
      <w:pPr>
        <w:sectPr>
          <w:type w:val="continuous"/>
          <w:pgSz w:w="12240" w:h="15840"/>
          <w:pgMar w:top="256" w:right="1370" w:bottom="216" w:left="1430" w:header="720" w:footer="720" w:gutter="0"/>
          <w:cols w:num="2" w:equalWidth="0">
            <w:col w:w="4662" w:space="0"/>
            <w:col w:w="4778" w:space="0"/>
          </w:cols>
          <w:docGrid w:linePitch="360"/>
        </w:sectPr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97.9999999999995" w:type="dxa"/>
      </w:tblPr>
      <w:tblGrid>
        <w:gridCol w:w="2360"/>
        <w:gridCol w:w="2360"/>
        <w:gridCol w:w="2360"/>
        <w:gridCol w:w="2360"/>
      </w:tblGrid>
      <w:tr>
        <w:trPr>
          <w:trHeight w:hRule="exact" w:val="214"/>
        </w:trPr>
        <w:tc>
          <w:tcPr>
            <w:tcW w:type="dxa" w:w="410"/>
            <w:vMerge w:val="restart"/>
            <w:tcBorders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132 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4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121 </w:t>
            </w:r>
          </w:p>
        </w:tc>
        <w:tc>
          <w:tcPr>
            <w:tcW w:type="dxa" w:w="6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</w:tr>
      <w:tr>
        <w:trPr>
          <w:trHeight w:hRule="exact" w:val="240"/>
        </w:trPr>
        <w:tc>
          <w:tcPr>
            <w:tcW w:type="dxa" w:w="2360"/>
            <w:vMerge/>
            <w:tcBorders>
              <w:bottom w:sz="8.0" w:val="single" w:color="#B6B6B6"/>
            </w:tcBorders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396 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346 </w:t>
            </w:r>
          </w:p>
        </w:tc>
        <w:tc>
          <w:tcPr>
            <w:tcW w:type="dxa" w:w="6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 </w:t>
            </w:r>
          </w:p>
        </w:tc>
      </w:tr>
      <w:tr>
        <w:trPr>
          <w:trHeight w:hRule="exact" w:val="240"/>
        </w:trPr>
        <w:tc>
          <w:tcPr>
            <w:tcW w:type="dxa" w:w="2360"/>
            <w:vMerge/>
            <w:tcBorders>
              <w:bottom w:sz="8.0" w:val="single" w:color="#B6B6B6"/>
            </w:tcBorders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 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 </w:t>
            </w:r>
          </w:p>
        </w:tc>
        <w:tc>
          <w:tcPr>
            <w:tcW w:type="dxa" w:w="6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</w:tr>
      <w:tr>
        <w:trPr>
          <w:trHeight w:hRule="exact" w:val="240"/>
        </w:trPr>
        <w:tc>
          <w:tcPr>
            <w:tcW w:type="dxa" w:w="2360"/>
            <w:vMerge/>
            <w:tcBorders>
              <w:bottom w:sz="8.0" w:val="single" w:color="#B6B6B6"/>
            </w:tcBorders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83 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 </w:t>
            </w:r>
          </w:p>
        </w:tc>
        <w:tc>
          <w:tcPr>
            <w:tcW w:type="dxa" w:w="6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</w:tr>
      <w:tr>
        <w:trPr>
          <w:trHeight w:hRule="exact" w:val="240"/>
        </w:trPr>
        <w:tc>
          <w:tcPr>
            <w:tcW w:type="dxa" w:w="2360"/>
            <w:vMerge/>
            <w:tcBorders>
              <w:bottom w:sz="8.0" w:val="single" w:color="#B6B6B6"/>
            </w:tcBorders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103 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100 </w:t>
            </w:r>
          </w:p>
        </w:tc>
        <w:tc>
          <w:tcPr>
            <w:tcW w:type="dxa" w:w="6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50"/>
        </w:trPr>
        <w:tc>
          <w:tcPr>
            <w:tcW w:type="dxa" w:w="2360"/>
            <w:vMerge/>
            <w:tcBorders>
              <w:bottom w:sz="8.0" w:val="single" w:color="#B6B6B6"/>
            </w:tcBorders>
          </w:tcPr>
          <w:p/>
        </w:tc>
        <w:tc>
          <w:tcPr>
            <w:tcW w:type="dxa" w:w="1100"/>
            <w:tcBorders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 </w:t>
            </w:r>
          </w:p>
        </w:tc>
        <w:tc>
          <w:tcPr>
            <w:tcW w:type="dxa" w:w="1160"/>
            <w:tcBorders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 </w:t>
            </w:r>
          </w:p>
        </w:tc>
        <w:tc>
          <w:tcPr>
            <w:tcW w:type="dxa" w:w="636"/>
            <w:tcBorders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</w:tr>
      <w:tr>
        <w:trPr>
          <w:trHeight w:hRule="exact" w:val="206"/>
        </w:trPr>
        <w:tc>
          <w:tcPr>
            <w:tcW w:type="dxa" w:w="410"/>
            <w:tcBorders>
              <w:top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>
              <w:top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1,921 $ </w:t>
            </w:r>
          </w:p>
        </w:tc>
        <w:tc>
          <w:tcPr>
            <w:tcW w:type="dxa" w:w="1160"/>
            <w:tcBorders>
              <w:top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1,736 $ </w:t>
            </w:r>
          </w:p>
        </w:tc>
        <w:tc>
          <w:tcPr>
            <w:tcW w:type="dxa" w:w="636"/>
            <w:tcBorders>
              <w:top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185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50"/>
        <w:ind w:left="0" w:right="0"/>
      </w:pPr>
    </w:p>
    <w:p>
      <w:pPr>
        <w:sectPr>
          <w:type w:val="nextColumn"/>
          <w:pgSz w:w="12240" w:h="15840"/>
          <w:pgMar w:top="256" w:right="1370" w:bottom="216" w:left="1430" w:header="720" w:footer="720" w:gutter="0"/>
          <w:cols w:num="2" w:equalWidth="0">
            <w:col w:w="4662" w:space="0"/>
            <w:col w:w="477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360"/>
        <w:gridCol w:w="2360"/>
        <w:gridCol w:w="2360"/>
        <w:gridCol w:w="2360"/>
      </w:tblGrid>
      <w:tr>
        <w:trPr>
          <w:trHeight w:hRule="exact" w:val="260"/>
        </w:trPr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Contributions to special programs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</w:tbl>
    <w:p>
      <w:pPr>
        <w:autoSpaceDN w:val="0"/>
        <w:autoSpaceDE w:val="0"/>
        <w:widowControl/>
        <w:spacing w:line="178" w:lineRule="exact" w:before="242" w:after="6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Revenue from externally funded activities:</w:t>
      </w:r>
    </w:p>
    <w:p>
      <w:pPr>
        <w:sectPr>
          <w:type w:val="continuous"/>
          <w:pgSz w:w="12240" w:h="15840"/>
          <w:pgMar w:top="256" w:right="1370" w:bottom="216" w:left="1430" w:header="720" w:footer="720" w:gutter="0"/>
          <w:cols/>
          <w:docGrid w:linePitch="360"/>
        </w:sectPr>
      </w:pPr>
    </w:p>
    <w:p>
      <w:pPr>
        <w:autoSpaceDN w:val="0"/>
        <w:tabs>
          <w:tab w:pos="242" w:val="left"/>
          <w:tab w:pos="422" w:val="left"/>
        </w:tabs>
        <w:autoSpaceDE w:val="0"/>
        <w:widowControl/>
        <w:spacing w:line="224" w:lineRule="exact" w:before="0" w:after="0"/>
        <w:ind w:left="62" w:right="576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Reimbursable revenue – Bank-executed activities for trust funds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Other revenue </w:t>
      </w:r>
      <w:r>
        <w:br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 xml:space="preserve">Total revenue from externally funded activities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</w:rPr>
        <w:t>Total Net Non-Interest Expenses (Table 3) - GAAP basis</w:t>
      </w:r>
    </w:p>
    <w:p>
      <w:pPr>
        <w:sectPr>
          <w:type w:val="continuous"/>
          <w:pgSz w:w="12240" w:h="15840"/>
          <w:pgMar w:top="256" w:right="1370" w:bottom="216" w:left="1430" w:header="720" w:footer="720" w:gutter="0"/>
          <w:cols w:num="2" w:equalWidth="0">
            <w:col w:w="5418" w:space="0"/>
            <w:col w:w="4022" w:space="0"/>
          </w:cols>
          <w:docGrid w:linePitch="360"/>
        </w:sectPr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2.0000000000005" w:type="dxa"/>
      </w:tblPr>
      <w:tblGrid>
        <w:gridCol w:w="2360"/>
        <w:gridCol w:w="2360"/>
        <w:gridCol w:w="2360"/>
        <w:gridCol w:w="2360"/>
      </w:tblGrid>
      <w:tr>
        <w:trPr>
          <w:trHeight w:hRule="exact" w:val="214"/>
        </w:trPr>
        <w:tc>
          <w:tcPr>
            <w:tcW w:type="dxa" w:w="410"/>
            <w:vMerge w:val="restart"/>
            <w:tcBorders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(521) </w:t>
            </w:r>
          </w:p>
        </w:tc>
        <w:tc>
          <w:tcPr>
            <w:tcW w:type="dxa" w:w="1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4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(465) </w:t>
            </w:r>
          </w:p>
        </w:tc>
        <w:tc>
          <w:tcPr>
            <w:tcW w:type="dxa" w:w="63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(56) </w:t>
            </w:r>
          </w:p>
        </w:tc>
      </w:tr>
      <w:tr>
        <w:trPr>
          <w:trHeight w:hRule="exact" w:val="250"/>
        </w:trPr>
        <w:tc>
          <w:tcPr>
            <w:tcW w:type="dxa" w:w="2360"/>
            <w:vMerge/>
            <w:tcBorders>
              <w:bottom w:sz="8.0" w:val="single" w:color="#B6B6B6"/>
            </w:tcBorders>
          </w:tcPr>
          <w:p/>
        </w:tc>
        <w:tc>
          <w:tcPr>
            <w:tcW w:type="dxa" w:w="1100"/>
            <w:tcBorders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(230) </w:t>
            </w:r>
          </w:p>
        </w:tc>
        <w:tc>
          <w:tcPr>
            <w:tcW w:type="dxa" w:w="1160"/>
            <w:tcBorders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(237) </w:t>
            </w:r>
          </w:p>
        </w:tc>
        <w:tc>
          <w:tcPr>
            <w:tcW w:type="dxa" w:w="636"/>
            <w:tcBorders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</w:tr>
      <w:tr>
        <w:trPr>
          <w:trHeight w:hRule="exact" w:val="240"/>
        </w:trPr>
        <w:tc>
          <w:tcPr>
            <w:tcW w:type="dxa" w:w="410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(751) $ </w:t>
            </w:r>
          </w:p>
        </w:tc>
        <w:tc>
          <w:tcPr>
            <w:tcW w:type="dxa" w:w="1160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(702) $ </w:t>
            </w:r>
          </w:p>
        </w:tc>
        <w:tc>
          <w:tcPr>
            <w:tcW w:type="dxa" w:w="636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(49) </w:t>
            </w:r>
          </w:p>
        </w:tc>
      </w:tr>
      <w:tr>
        <w:trPr>
          <w:trHeight w:hRule="exact" w:val="200"/>
        </w:trPr>
        <w:tc>
          <w:tcPr>
            <w:tcW w:type="dxa" w:w="410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1,190 $ </w:t>
            </w:r>
          </w:p>
        </w:tc>
        <w:tc>
          <w:tcPr>
            <w:tcW w:type="dxa" w:w="1160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1,054 $ </w:t>
            </w:r>
          </w:p>
        </w:tc>
        <w:tc>
          <w:tcPr>
            <w:tcW w:type="dxa" w:w="636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136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32"/>
        <w:ind w:left="0" w:right="0"/>
      </w:pPr>
    </w:p>
    <w:p>
      <w:pPr>
        <w:sectPr>
          <w:type w:val="nextColumn"/>
          <w:pgSz w:w="12240" w:h="15840"/>
          <w:pgMar w:top="256" w:right="1370" w:bottom="216" w:left="1430" w:header="720" w:footer="720" w:gutter="0"/>
          <w:cols w:num="2" w:equalWidth="0">
            <w:col w:w="5418" w:space="0"/>
            <w:col w:w="4022" w:space="0"/>
          </w:cols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4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Adjustments to arrive at Net non-interest expenses - adjusted net income basis</w:t>
      </w:r>
    </w:p>
    <w:p>
      <w:pPr>
        <w:sectPr>
          <w:type w:val="continuous"/>
          <w:pgSz w:w="12240" w:h="15840"/>
          <w:pgMar w:top="256" w:right="1370" w:bottom="216" w:left="1430" w:header="720" w:footer="720" w:gutter="0"/>
          <w:cols/>
          <w:docGrid w:linePitch="360"/>
        </w:sectPr>
      </w:pPr>
    </w:p>
    <w:p>
      <w:pPr>
        <w:autoSpaceDN w:val="0"/>
        <w:tabs>
          <w:tab w:pos="298" w:val="left"/>
        </w:tabs>
        <w:autoSpaceDE w:val="0"/>
        <w:widowControl/>
        <w:spacing w:line="220" w:lineRule="exact" w:before="0" w:after="0"/>
        <w:ind w:left="62" w:right="864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Pension, RAMP and EFO adjustments </w:t>
      </w:r>
      <w:r>
        <w:rPr>
          <w:w w:val="103.99999618530273"/>
          <w:rFonts w:ascii="ArialMT" w:hAnsi="ArialMT" w:eastAsia="ArialMT"/>
          <w:b w:val="0"/>
          <w:i w:val="0"/>
          <w:color w:val="000000"/>
          <w:sz w:val="10"/>
        </w:rPr>
        <w:t xml:space="preserve">b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</w:rPr>
        <w:t>Net non-interest expenses - adjusted net income basis</w:t>
      </w:r>
    </w:p>
    <w:p>
      <w:pPr>
        <w:sectPr>
          <w:type w:val="continuous"/>
          <w:pgSz w:w="12240" w:h="15840"/>
          <w:pgMar w:top="256" w:right="1370" w:bottom="216" w:left="1430" w:header="720" w:footer="720" w:gutter="0"/>
          <w:cols w:num="2" w:equalWidth="0">
            <w:col w:w="5132" w:space="0"/>
            <w:col w:w="4308" w:space="0"/>
          </w:cols>
          <w:docGrid w:linePitch="360"/>
        </w:sectPr>
      </w:pPr>
    </w:p>
    <w:p>
      <w:pPr>
        <w:autoSpaceDN w:val="0"/>
        <w:autoSpaceDE w:val="0"/>
        <w:widowControl/>
        <w:spacing w:line="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27.9999999999995" w:type="dxa"/>
      </w:tblPr>
      <w:tblGrid>
        <w:gridCol w:w="2360"/>
        <w:gridCol w:w="2360"/>
        <w:gridCol w:w="2360"/>
        <w:gridCol w:w="2360"/>
      </w:tblGrid>
      <w:tr>
        <w:trPr>
          <w:trHeight w:hRule="exact" w:val="224"/>
        </w:trPr>
        <w:tc>
          <w:tcPr>
            <w:tcW w:type="dxa" w:w="410"/>
            <w:tcBorders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143 </w:t>
            </w:r>
          </w:p>
        </w:tc>
        <w:tc>
          <w:tcPr>
            <w:tcW w:type="dxa" w:w="1160"/>
            <w:tcBorders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4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165 </w:t>
            </w:r>
          </w:p>
        </w:tc>
        <w:tc>
          <w:tcPr>
            <w:tcW w:type="dxa" w:w="636"/>
            <w:tcBorders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(22) </w:t>
            </w:r>
          </w:p>
        </w:tc>
      </w:tr>
      <w:tr>
        <w:trPr>
          <w:trHeight w:hRule="exact" w:val="200"/>
        </w:trPr>
        <w:tc>
          <w:tcPr>
            <w:tcW w:type="dxa" w:w="410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1,333 $ </w:t>
            </w:r>
          </w:p>
        </w:tc>
        <w:tc>
          <w:tcPr>
            <w:tcW w:type="dxa" w:w="1160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1,219 $ </w:t>
            </w:r>
          </w:p>
        </w:tc>
        <w:tc>
          <w:tcPr>
            <w:tcW w:type="dxa" w:w="636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114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0"/>
        <w:ind w:left="0" w:right="0"/>
      </w:pPr>
    </w:p>
    <w:p>
      <w:pPr>
        <w:sectPr>
          <w:type w:val="nextColumn"/>
          <w:pgSz w:w="12240" w:h="15840"/>
          <w:pgMar w:top="256" w:right="1370" w:bottom="216" w:left="1430" w:header="720" w:footer="720" w:gutter="0"/>
          <w:cols w:num="2" w:equalWidth="0">
            <w:col w:w="5132" w:space="0"/>
            <w:col w:w="4308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12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Included in Non-interest expenses – Other in the Condensed Statements of Income. </w:t>
      </w:r>
    </w:p>
    <w:p>
      <w:pPr>
        <w:autoSpaceDN w:val="0"/>
        <w:autoSpaceDE w:val="0"/>
        <w:widowControl/>
        <w:spacing w:line="178" w:lineRule="exact" w:before="4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Adjustments are included in the Pension and other adjustments line in Table 3.</w:t>
      </w:r>
    </w:p>
    <w:p>
      <w:pPr>
        <w:autoSpaceDN w:val="0"/>
        <w:autoSpaceDE w:val="0"/>
        <w:widowControl/>
        <w:spacing w:line="240" w:lineRule="exact" w:before="252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FY25 YTD, IDA’s net other revenue was $55 million compared to $7 million net other revenue in FY24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YTD. The change was due to increased guarantee fee income, and conversion of previously approved Project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Preparation Advances (PPA) grants into loans. Converted PPA grants are included in loans outstanding provided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borrower, and correspondingly, prior grant expenses are reversed. 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2522" w:after="0"/>
        <w:ind w:left="21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March 31,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17</w:t>
      </w:r>
    </w:p>
    <w:p>
      <w:pPr>
        <w:sectPr>
          <w:type w:val="continuous"/>
          <w:pgSz w:w="12240" w:h="15840"/>
          <w:pgMar w:top="256" w:right="1370" w:bottom="21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6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IV: Financial Results</w:t>
            </w:r>
          </w:p>
        </w:tc>
      </w:tr>
    </w:tbl>
    <w:p>
      <w:pPr>
        <w:autoSpaceDN w:val="0"/>
        <w:autoSpaceDE w:val="0"/>
        <w:widowControl/>
        <w:spacing w:line="178" w:lineRule="exact" w:before="32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Table 11: Other Revenue (Expenses), net</w:t>
      </w:r>
    </w:p>
    <w:p>
      <w:pPr>
        <w:autoSpaceDN w:val="0"/>
        <w:autoSpaceDE w:val="0"/>
        <w:widowControl/>
        <w:spacing w:line="178" w:lineRule="exact" w:before="74" w:after="7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72"/>
        </w:trPr>
        <w:tc>
          <w:tcPr>
            <w:tcW w:type="dxa" w:w="603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For the nine months ended March 31,</w:t>
            </w:r>
          </w:p>
        </w:tc>
        <w:tc>
          <w:tcPr>
            <w:tcW w:type="dxa" w:w="44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4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2025</w:t>
            </w:r>
          </w:p>
        </w:tc>
        <w:tc>
          <w:tcPr>
            <w:tcW w:type="dxa" w:w="102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2024</w:t>
            </w:r>
          </w:p>
        </w:tc>
        <w:tc>
          <w:tcPr>
            <w:tcW w:type="dxa" w:w="81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Variance</w:t>
            </w:r>
          </w:p>
        </w:tc>
      </w:tr>
      <w:tr>
        <w:trPr>
          <w:trHeight w:hRule="exact" w:val="224"/>
        </w:trPr>
        <w:tc>
          <w:tcPr>
            <w:tcW w:type="dxa" w:w="6030"/>
            <w:tcBorders>
              <w:top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PPA grants and others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440"/>
            <w:vMerge w:val="restart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8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2 $ </w:t>
            </w:r>
          </w:p>
        </w:tc>
        <w:tc>
          <w:tcPr>
            <w:tcW w:type="dxa" w:w="1020"/>
            <w:tcBorders>
              <w:top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(34) $ </w:t>
            </w:r>
          </w:p>
        </w:tc>
        <w:tc>
          <w:tcPr>
            <w:tcW w:type="dxa" w:w="810"/>
            <w:tcBorders>
              <w:top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 </w:t>
            </w:r>
          </w:p>
        </w:tc>
      </w:tr>
      <w:tr>
        <w:trPr>
          <w:trHeight w:hRule="exact" w:val="240"/>
        </w:trPr>
        <w:tc>
          <w:tcPr>
            <w:tcW w:type="dxa" w:w="60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Guarantee fees and others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888"/>
            <w:vMerge/>
            <w:tcBorders>
              <w:top w:sz="8.0" w:val="single" w:color="#B6B6B6"/>
              <w:bottom w:sz="8.0" w:val="single" w:color="#B6B6B6"/>
            </w:tcBorders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 </w:t>
            </w:r>
          </w:p>
        </w:tc>
        <w:tc>
          <w:tcPr>
            <w:tcW w:type="dxa" w:w="8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</w:tr>
      <w:tr>
        <w:trPr>
          <w:trHeight w:hRule="exact" w:val="270"/>
        </w:trPr>
        <w:tc>
          <w:tcPr>
            <w:tcW w:type="dxa" w:w="6030"/>
            <w:tcBorders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Commitment charges</w:t>
            </w:r>
          </w:p>
        </w:tc>
        <w:tc>
          <w:tcPr>
            <w:tcW w:type="dxa" w:w="1888"/>
            <w:vMerge/>
            <w:tcBorders>
              <w:top w:sz="8.0" w:val="single" w:color="#B6B6B6"/>
              <w:bottom w:sz="8.0" w:val="single" w:color="#B6B6B6"/>
            </w:tcBorders>
          </w:tcPr>
          <w:p/>
        </w:tc>
        <w:tc>
          <w:tcPr>
            <w:tcW w:type="dxa" w:w="108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102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810"/>
            <w:tcBorders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(1) </w:t>
            </w:r>
          </w:p>
        </w:tc>
      </w:tr>
      <w:tr>
        <w:trPr>
          <w:trHeight w:hRule="exact" w:val="220"/>
        </w:trPr>
        <w:tc>
          <w:tcPr>
            <w:tcW w:type="dxa" w:w="6030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Other revenue (expenses), net (Table 3)</w:t>
            </w:r>
          </w:p>
        </w:tc>
        <w:tc>
          <w:tcPr>
            <w:tcW w:type="dxa" w:w="440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80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1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55 $ </w:t>
            </w:r>
          </w:p>
        </w:tc>
        <w:tc>
          <w:tcPr>
            <w:tcW w:type="dxa" w:w="102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2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7 $ </w:t>
            </w:r>
          </w:p>
        </w:tc>
        <w:tc>
          <w:tcPr>
            <w:tcW w:type="dxa" w:w="810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48 </w:t>
            </w:r>
          </w:p>
        </w:tc>
      </w:tr>
    </w:tbl>
    <w:p>
      <w:pPr>
        <w:autoSpaceDN w:val="0"/>
        <w:autoSpaceDE w:val="0"/>
        <w:widowControl/>
        <w:spacing w:line="192" w:lineRule="exact" w:before="340" w:after="0"/>
        <w:ind w:left="10" w:right="3168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 Included in Non-interest expenses – Other in the Condensed Statements of Income. </w:t>
      </w:r>
      <w:r>
        <w:rPr>
          <w:rFonts w:ascii="Arial" w:hAnsi="Arial" w:eastAsia="Arial"/>
          <w:b w:val="0"/>
          <w:i/>
          <w:color w:val="000000"/>
          <w:sz w:val="16"/>
        </w:rPr>
        <w:t>b.  Included in Non-interest revenue – Other in the Condensed Statements of Income.</w:t>
      </w:r>
    </w:p>
    <w:p>
      <w:pPr>
        <w:autoSpaceDN w:val="0"/>
        <w:autoSpaceDE w:val="0"/>
        <w:widowControl/>
        <w:spacing w:line="244" w:lineRule="exact" w:before="42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Unrealized mark-to-market gains (losses) on non-trading portfolios, net</w:t>
      </w:r>
    </w:p>
    <w:p>
      <w:pPr>
        <w:autoSpaceDN w:val="0"/>
        <w:autoSpaceDE w:val="0"/>
        <w:widowControl/>
        <w:spacing w:line="240" w:lineRule="exact" w:before="128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FY25 YTD, the non-trading portfolios had $331 million unrealized mark-to-market gains compared to $215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 of unrealized mark-to-market gains in FY24 YTD. The increase was mainly driven by higher unrealized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mark-to-market gains from the derivatives held for the Capital Value Protection Program (CVP), managed as part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Asset-Liability management (ALM), as a result of a more prominent increase in interest rates for long tenors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FY25 YTD compared to FY24 YTD.</w:t>
      </w:r>
    </w:p>
    <w:p>
      <w:pPr>
        <w:autoSpaceDN w:val="0"/>
        <w:autoSpaceDE w:val="0"/>
        <w:widowControl/>
        <w:spacing w:line="192" w:lineRule="exact" w:before="258" w:after="68"/>
        <w:ind w:left="10" w:right="3168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Table 12: Unrealized Mark-to-Market (losses) gains on non-trading portfolios, net </w:t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72"/>
        </w:trPr>
        <w:tc>
          <w:tcPr>
            <w:tcW w:type="dxa" w:w="594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For the nine months ended March 31,</w:t>
            </w:r>
          </w:p>
        </w:tc>
        <w:tc>
          <w:tcPr>
            <w:tcW w:type="dxa" w:w="51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2025</w:t>
            </w:r>
          </w:p>
        </w:tc>
        <w:tc>
          <w:tcPr>
            <w:tcW w:type="dxa" w:w="96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2024</w:t>
            </w:r>
          </w:p>
        </w:tc>
        <w:tc>
          <w:tcPr>
            <w:tcW w:type="dxa" w:w="77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Variance</w:t>
            </w:r>
          </w:p>
        </w:tc>
      </w:tr>
      <w:tr>
        <w:trPr>
          <w:trHeight w:hRule="exact" w:val="226"/>
        </w:trPr>
        <w:tc>
          <w:tcPr>
            <w:tcW w:type="dxa" w:w="594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Asset-liability management (ALM)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510"/>
            <w:vMerge w:val="restart"/>
            <w:tcBorders>
              <w:top w:sz="8.0" w:val="single" w:color="#B6B6B6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319 $ </w:t>
            </w:r>
          </w:p>
        </w:tc>
        <w:tc>
          <w:tcPr>
            <w:tcW w:type="dxa" w:w="96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226 $ </w:t>
            </w:r>
          </w:p>
        </w:tc>
        <w:tc>
          <w:tcPr>
            <w:tcW w:type="dxa" w:w="77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93 </w:t>
            </w:r>
          </w:p>
        </w:tc>
      </w:tr>
      <w:tr>
        <w:trPr>
          <w:trHeight w:hRule="exact" w:val="240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 portfolio</w:t>
            </w:r>
          </w:p>
        </w:tc>
        <w:tc>
          <w:tcPr>
            <w:tcW w:type="dxa" w:w="1888"/>
            <w:vMerge/>
            <w:tcBorders>
              <w:top w:sz="8.0" w:val="single" w:color="#B6B6B6"/>
              <w:bottom w:sz="8.0" w:val="single" w:color="#000000"/>
            </w:tcBorders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</w:tr>
      <w:tr>
        <w:trPr>
          <w:trHeight w:hRule="exact" w:val="240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 portfolio</w:t>
            </w:r>
          </w:p>
        </w:tc>
        <w:tc>
          <w:tcPr>
            <w:tcW w:type="dxa" w:w="1888"/>
            <w:vMerge/>
            <w:tcBorders>
              <w:top w:sz="8.0" w:val="single" w:color="#B6B6B6"/>
              <w:bottom w:sz="8.0" w:val="single" w:color="#000000"/>
            </w:tcBorders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(21) </w:t>
            </w:r>
          </w:p>
        </w:tc>
      </w:tr>
      <w:tr>
        <w:trPr>
          <w:trHeight w:hRule="exact" w:val="240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Loan-related derivatives</w:t>
            </w:r>
          </w:p>
        </w:tc>
        <w:tc>
          <w:tcPr>
            <w:tcW w:type="dxa" w:w="1888"/>
            <w:vMerge/>
            <w:tcBorders>
              <w:top w:sz="8.0" w:val="single" w:color="#B6B6B6"/>
              <w:bottom w:sz="8.0" w:val="single" w:color="#000000"/>
            </w:tcBorders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(6)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(13)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</w:tr>
      <w:tr>
        <w:trPr>
          <w:trHeight w:hRule="exact" w:val="254"/>
        </w:trPr>
        <w:tc>
          <w:tcPr>
            <w:tcW w:type="dxa" w:w="59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888"/>
            <w:vMerge/>
            <w:tcBorders>
              <w:top w:sz="8.0" w:val="single" w:color="#B6B6B6"/>
              <w:bottom w:sz="8.0" w:val="single" w:color="#000000"/>
            </w:tcBorders>
          </w:tcPr>
          <w:p/>
        </w:tc>
        <w:tc>
          <w:tcPr>
            <w:tcW w:type="dxa" w:w="12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  <w:tc>
          <w:tcPr>
            <w:tcW w:type="dxa" w:w="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(25) </w:t>
            </w:r>
          </w:p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 </w:t>
            </w:r>
          </w:p>
        </w:tc>
      </w:tr>
      <w:tr>
        <w:trPr>
          <w:trHeight w:hRule="exact" w:val="220"/>
        </w:trPr>
        <w:tc>
          <w:tcPr>
            <w:tcW w:type="dxa" w:w="59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5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8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331 $ </w:t>
            </w:r>
          </w:p>
        </w:tc>
        <w:tc>
          <w:tcPr>
            <w:tcW w:type="dxa" w:w="9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215 $ </w:t>
            </w:r>
          </w:p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116 </w:t>
            </w:r>
          </w:p>
        </w:tc>
      </w:tr>
      <w:tr>
        <w:trPr>
          <w:trHeight w:hRule="exact" w:val="246"/>
        </w:trPr>
        <w:tc>
          <w:tcPr>
            <w:tcW w:type="dxa" w:w="5940"/>
            <w:tcBorders>
              <w:top w:sz="8.0" w:val="single" w:color="#000000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top w:sz="8.0" w:val="single" w:color="#000000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top w:sz="8.0" w:val="single" w:color="#000000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top w:sz="8.0" w:val="single" w:color="#000000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tcBorders>
              <w:top w:sz="8.0" w:val="single" w:color="#000000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2" w:lineRule="exact" w:before="58" w:after="0"/>
        <w:ind w:left="10" w:right="230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Includes unrealized mark-to-market gains (losses) on the CVP portfolio and other ALM portfolios. </w:t>
      </w:r>
      <w:r>
        <w:rPr>
          <w:rFonts w:ascii="Arial" w:hAnsi="Arial" w:eastAsia="Arial"/>
          <w:b w:val="0"/>
          <w:i/>
          <w:color w:val="000000"/>
          <w:sz w:val="16"/>
        </w:rPr>
        <w:t>b. Represents unrealized mark-to-market gains (losses) on PSW associated instruments.</w:t>
      </w:r>
    </w:p>
    <w:p>
      <w:pPr>
        <w:autoSpaceDN w:val="0"/>
        <w:autoSpaceDE w:val="0"/>
        <w:widowControl/>
        <w:spacing w:line="244" w:lineRule="exact" w:before="42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Non-functional currency translation adjustment gains (losses), net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Non-functional currency translation adjustment gains or losses represent unrealized exchange rate gains or losses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resulting from the economic hedging of exchange rate risk related to future donor contributions, borrowings, and all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other assets and liabilities held on IDA’s Balance Sheets, that are denominated in currencies other than the SDR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its component currencies. The translation adjustment gains in FY25 YTD and losses FY24 YTD were primarily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driven by the hedging of exchange rate risk related to future donor contributions. Certain members pledge their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future equity contributions in non-SDR currencies. These future cash flows are economically hedged using currency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forwards. The economic offset is inherent in the future contribution inflows. The payable portion of the currency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forward contracts are denominated in non-functional currencies. The depreciation or appreciation of these currencies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against the U.S. dollar results in exchange rate gains or losses which are recorded in the income statements.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translation adjustment gains on non-functional currencies were $35 million in FY25 YTD, compared to translation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adjustment losses of $2 million in FY24 YTD. The translation adjustment gains in FY25 YTD were primarily driven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by the depreciation of certain non-functional currencies against the U.S dollar. The translation losses in FY24 YTD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were primarily driven by the appreciation of certain non-functional currencies against the U.S. dollar. </w:t>
      </w:r>
    </w:p>
    <w:p>
      <w:pPr>
        <w:autoSpaceDN w:val="0"/>
        <w:tabs>
          <w:tab w:pos="588" w:val="left"/>
        </w:tabs>
        <w:autoSpaceDE w:val="0"/>
        <w:widowControl/>
        <w:spacing w:line="224" w:lineRule="exact" w:before="261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March 31, 2025</w:t>
      </w:r>
    </w:p>
    <w:p>
      <w:pPr>
        <w:sectPr>
          <w:pgSz w:w="12240" w:h="15840"/>
          <w:pgMar w:top="256" w:right="1370" w:bottom="21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6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V: Risk Management</w:t>
            </w:r>
          </w:p>
        </w:tc>
      </w:tr>
    </w:tbl>
    <w:p>
      <w:pPr>
        <w:autoSpaceDN w:val="0"/>
        <w:autoSpaceDE w:val="0"/>
        <w:widowControl/>
        <w:spacing w:line="314" w:lineRule="exact" w:before="356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Section V: Risk Management</w:t>
      </w:r>
    </w:p>
    <w:p>
      <w:pPr>
        <w:autoSpaceDN w:val="0"/>
        <w:autoSpaceDE w:val="0"/>
        <w:widowControl/>
        <w:spacing w:line="268" w:lineRule="exact" w:before="2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Risk Governance 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risk management processes and practices continually evolve to reflect changes in activities in response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market, credit, product, operational, and other developments. The Board, particularly the Audit Committee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members, periodically reviews trends in IDA’s risk profiles and performance, and any major developments in risk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management policies and controls.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believes that effective risk management is critical for IDA’s overall operations. Accordingly, the risk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management governance structure is designed to manage the principal risks IDA assumes in its activities.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Risk Oversight and Coverage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Vice President and WBG Chief Risk Officer (CRO) oversees both financial and operational risks. These risks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include (i) country credit risks in the core sovereign lending business, (ii) market and counterparty risks including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liquidity and model risks, and (iii) operational risks relating to people, processes, and systems, or from external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events.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risk of IDA’s operations not meeting the expected development outcomes (development outcome risks)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lending activities is monitored at the corporate level by Operations Policy and Country Services (OPCS).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Where fraud and corruption risks may impact IDA-financed projects, OPCS, the Regions and Practice Groups,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Integrity Vice Presidency jointly address such issues.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a detailed discussion of the risk governance and risk oversight and coverage, see IDA's MD&amp;A for the fiscal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year ended June 30, 2024, Section IX: Risk Management.</w:t>
      </w:r>
    </w:p>
    <w:p>
      <w:pPr>
        <w:autoSpaceDN w:val="0"/>
        <w:autoSpaceDE w:val="0"/>
        <w:widowControl/>
        <w:spacing w:line="268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Management of IDA’s Risks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assumes financial risks in order to achieve its development and strategic objectives. IDA’s financial risk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framework is designed to enable and support the institution in achieving its goals in a financially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sustainable manner. IDA manages credit, market, and operational risks in its financial activities, which include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lending, borrowing, and investing. The primary financial risk to IDA is the country credit risk inherent in its loan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guarantee portfolio. IDA is also exposed to risks in its liquid asset and derivative portfolios, where the major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risks are interest rate, exchange rate, commercial counterparty, and liquidity risks. IDA’s operational risk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framework is based on a structured and uniform approach to identify, assess, and monitor key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operational risks across business units.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Capital Adequacy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uses a solvency-based capital adequacy model, which mandates that IDA hold capital for credit risk, market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risk and operational risk covering all activities and assets on its books. IDA's main measure of capital adequacy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Deployable Strategic Capital (DSC), which represents the capital available to support future commitments, over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above the current portfolio. IDA is required, based on a Board-approved policy, to keep the DSC at no lower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than zero. The DSC is calculated as the amount by which Total Resources Available (TRA) exceed Total Resources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Required (TRR) and a Conservation Buffer (CB). TRA represents IDA’s available equity plus accumulated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provision for losses on loans and other exposures. The TRR is the minimum capital required to cover expected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unexpected losses in connection with all of IDA’s operations and assets. The Conservation Buffer is calculated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10% of TRA.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April 2024, the Board approved enhancements to the DSC, as part of the review of IDA’s Capital Adequacy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Framework (CAF), to increase the efficiency of IDA’s capital utilization while continuing to protect IDA’s triple-A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rating and long-term financial sustainability. The review built on IDA’s experience with implementing the hybrid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financial model since its introduction in 2018. The main  adjustment to DSC included reclassifying two items from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TRR to TRA (as a subtraction to equity) to more accurately reflect equity available for leveraging and risk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absorption. These two reclassified items that now decrease TRA are: a) the present value adjustment of IDA’s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concessional loan portfolio based on the prevailing interest rates and b) the balance of development grants approved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but not yet expensed.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addition, the TRA has been refined to include the expected encashment of donor contributions in IDA’s 3-year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risk horizon, and exclude pension-related adjustments and other restricted assets. The TRR now also includes a 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646" w:after="0"/>
        <w:ind w:left="21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March 31,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19</w:t>
      </w:r>
    </w:p>
    <w:p>
      <w:pPr>
        <w:sectPr>
          <w:pgSz w:w="12240" w:h="15840"/>
          <w:pgMar w:top="256" w:right="1370" w:bottom="21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6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V: Risk Management</w:t>
            </w:r>
          </w:p>
        </w:tc>
      </w:tr>
    </w:tbl>
    <w:p>
      <w:pPr>
        <w:autoSpaceDN w:val="0"/>
        <w:autoSpaceDE w:val="0"/>
        <w:widowControl/>
        <w:spacing w:line="240" w:lineRule="exact" w:before="296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capital charge required for interest rate risk on the expected net disbursements of concessional loans in IDA’s 3-year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risk horizon (capital charge required for credit risk on the outstanding balances was already incorporated).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addition, the capital charges for the components of the PSW have also been updated based on actual transaction data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since the creation of the PSW in 2018. These changes were implemented beginning with the reporting for June 30,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2024. </w:t>
      </w:r>
    </w:p>
    <w:p>
      <w:pPr>
        <w:autoSpaceDN w:val="0"/>
        <w:autoSpaceDE w:val="0"/>
        <w:widowControl/>
        <w:spacing w:line="224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March 31, 2025, the DSC ratio was 32.8% (34.8% as of June 30, 2024). See Table 13. The decrease in DSC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ratio was mainly due to a larger percentage increase in TRR compared to the percentage increase in TRA. </w:t>
      </w:r>
    </w:p>
    <w:p>
      <w:pPr>
        <w:autoSpaceDN w:val="0"/>
        <w:autoSpaceDE w:val="0"/>
        <w:widowControl/>
        <w:spacing w:line="178" w:lineRule="exact" w:before="23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Table 13: Deployable Strategic Capital Ratio</w:t>
      </w:r>
    </w:p>
    <w:p>
      <w:pPr>
        <w:autoSpaceDN w:val="0"/>
        <w:autoSpaceDE w:val="0"/>
        <w:widowControl/>
        <w:spacing w:line="178" w:lineRule="exact" w:before="74" w:after="66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billions of U.S. dollars except ratios in percentages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322"/>
        </w:trPr>
        <w:tc>
          <w:tcPr>
            <w:tcW w:type="dxa" w:w="4130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 xml:space="preserve">As of </w:t>
            </w:r>
          </w:p>
        </w:tc>
        <w:tc>
          <w:tcPr>
            <w:tcW w:type="dxa" w:w="256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4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Mar-25</w:t>
            </w:r>
          </w:p>
        </w:tc>
        <w:tc>
          <w:tcPr>
            <w:tcW w:type="dxa" w:w="2316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3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Jun-24</w:t>
            </w:r>
          </w:p>
        </w:tc>
        <w:tc>
          <w:tcPr>
            <w:tcW w:type="dxa" w:w="1034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Change</w:t>
            </w:r>
          </w:p>
        </w:tc>
      </w:tr>
      <w:tr>
        <w:trPr>
          <w:trHeight w:hRule="exact" w:val="266"/>
        </w:trPr>
        <w:tc>
          <w:tcPr>
            <w:tcW w:type="dxa" w:w="4130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Resources Available (TRA)</w:t>
            </w:r>
          </w:p>
        </w:tc>
        <w:tc>
          <w:tcPr>
            <w:tcW w:type="dxa" w:w="256"/>
            <w:vMerge w:val="restart"/>
            <w:tcBorders>
              <w:top w:sz="8.0" w:val="single" w:color="#7F7F7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644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158.9 </w:t>
            </w:r>
          </w:p>
        </w:tc>
        <w:tc>
          <w:tcPr>
            <w:tcW w:type="dxa" w:w="2316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4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149.5 </w:t>
            </w:r>
          </w:p>
        </w:tc>
        <w:tc>
          <w:tcPr>
            <w:tcW w:type="dxa" w:w="1034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9.4 </w:t>
            </w:r>
          </w:p>
        </w:tc>
      </w:tr>
      <w:tr>
        <w:trPr>
          <w:trHeight w:hRule="exact" w:val="360"/>
        </w:trPr>
        <w:tc>
          <w:tcPr>
            <w:tcW w:type="dxa" w:w="4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Resources Required (TRR)</w:t>
            </w:r>
          </w:p>
        </w:tc>
        <w:tc>
          <w:tcPr>
            <w:tcW w:type="dxa" w:w="1888"/>
            <w:vMerge/>
            <w:tcBorders>
              <w:top w:sz="8.0" w:val="single" w:color="#7F7F7F"/>
              <w:bottom w:sz="4.0" w:val="single" w:color="#000000"/>
            </w:tcBorders>
          </w:tcPr>
          <w:p/>
        </w:tc>
        <w:tc>
          <w:tcPr>
            <w:tcW w:type="dxa" w:w="1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90.9 </w:t>
            </w:r>
          </w:p>
        </w:tc>
        <w:tc>
          <w:tcPr>
            <w:tcW w:type="dxa" w:w="2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4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82.5 </w:t>
            </w:r>
          </w:p>
        </w:tc>
        <w:tc>
          <w:tcPr>
            <w:tcW w:type="dxa" w:w="1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8.4 </w:t>
            </w:r>
          </w:p>
        </w:tc>
      </w:tr>
      <w:tr>
        <w:trPr>
          <w:trHeight w:hRule="exact" w:val="408"/>
        </w:trPr>
        <w:tc>
          <w:tcPr>
            <w:tcW w:type="dxa" w:w="41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Conservation Buffer (CB)</w:t>
            </w:r>
          </w:p>
        </w:tc>
        <w:tc>
          <w:tcPr>
            <w:tcW w:type="dxa" w:w="1888"/>
            <w:vMerge/>
            <w:tcBorders>
              <w:top w:sz="8.0" w:val="single" w:color="#7F7F7F"/>
              <w:bottom w:sz="4.0" w:val="single" w:color="#000000"/>
            </w:tcBorders>
          </w:tcPr>
          <w:p/>
        </w:tc>
        <w:tc>
          <w:tcPr>
            <w:tcW w:type="dxa" w:w="164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8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15.9 </w:t>
            </w:r>
          </w:p>
        </w:tc>
        <w:tc>
          <w:tcPr>
            <w:tcW w:type="dxa" w:w="231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8" w:after="0"/>
              <w:ind w:left="0" w:right="4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15.0 </w:t>
            </w:r>
          </w:p>
        </w:tc>
        <w:tc>
          <w:tcPr>
            <w:tcW w:type="dxa" w:w="103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0.9 </w:t>
            </w:r>
          </w:p>
        </w:tc>
      </w:tr>
      <w:tr>
        <w:trPr>
          <w:trHeight w:hRule="exact" w:val="344"/>
        </w:trPr>
        <w:tc>
          <w:tcPr>
            <w:tcW w:type="dxa" w:w="413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Deployable Strategic Capital (DSC = TRA-TRR-CB)</w:t>
            </w:r>
          </w:p>
        </w:tc>
        <w:tc>
          <w:tcPr>
            <w:tcW w:type="dxa" w:w="256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64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52.1 </w:t>
            </w:r>
          </w:p>
        </w:tc>
        <w:tc>
          <w:tcPr>
            <w:tcW w:type="dxa" w:w="2316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4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52.0 </w:t>
            </w:r>
          </w:p>
        </w:tc>
        <w:tc>
          <w:tcPr>
            <w:tcW w:type="dxa" w:w="103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0.1 </w:t>
            </w:r>
          </w:p>
        </w:tc>
      </w:tr>
      <w:tr>
        <w:trPr>
          <w:trHeight w:hRule="exact" w:val="346"/>
        </w:trPr>
        <w:tc>
          <w:tcPr>
            <w:tcW w:type="dxa" w:w="4130"/>
            <w:tcBorders>
              <w:top w:sz="4.0" w:val="single" w:color="#000000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Deployable Strategic Capital as a percentage of TRA</w:t>
            </w:r>
          </w:p>
        </w:tc>
        <w:tc>
          <w:tcPr>
            <w:tcW w:type="dxa" w:w="256"/>
            <w:tcBorders>
              <w:top w:sz="4.0" w:val="single" w:color="#000000"/>
              <w:bottom w:sz="8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4"/>
            <w:tcBorders>
              <w:top w:sz="4.0" w:val="single" w:color="#000000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2" w:after="0"/>
              <w:ind w:left="0" w:right="2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32.8 %</w:t>
            </w:r>
          </w:p>
        </w:tc>
        <w:tc>
          <w:tcPr>
            <w:tcW w:type="dxa" w:w="2316"/>
            <w:tcBorders>
              <w:top w:sz="4.0" w:val="single" w:color="#000000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2" w:after="0"/>
              <w:ind w:left="0" w:right="3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34.8 %</w:t>
            </w:r>
          </w:p>
        </w:tc>
        <w:tc>
          <w:tcPr>
            <w:tcW w:type="dxa" w:w="1034"/>
            <w:tcBorders>
              <w:top w:sz="4.0" w:val="single" w:color="#000000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2" w:after="0"/>
              <w:ind w:left="0" w:right="2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(2.0) %</w:t>
            </w:r>
          </w:p>
        </w:tc>
      </w:tr>
    </w:tbl>
    <w:p>
      <w:pPr>
        <w:autoSpaceDN w:val="0"/>
        <w:autoSpaceDE w:val="0"/>
        <w:widowControl/>
        <w:spacing w:line="244" w:lineRule="exact" w:before="478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Asset - Liability Management (ALM)</w:t>
      </w:r>
    </w:p>
    <w:p>
      <w:pPr>
        <w:autoSpaceDN w:val="0"/>
        <w:autoSpaceDE w:val="0"/>
        <w:widowControl/>
        <w:spacing w:line="240" w:lineRule="exact" w:before="128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Since FY22, IDA’s interim ALM policy allows, under specific criteria, funding fixed rate loans with long-term fixed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rate market debt and CPLs (both reported at amortized cost), as part of IDA’s interest rate risk management to align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interest rate and maturities of the debt with those of the loan portfolio. For more details, see Notes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Condensed Quarterly Financial Statements for the period ended March 31, 2025, Note E – Borrowings.</w:t>
      </w:r>
    </w:p>
    <w:p>
      <w:pPr>
        <w:autoSpaceDN w:val="0"/>
        <w:autoSpaceDE w:val="0"/>
        <w:widowControl/>
        <w:spacing w:line="222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Capital Value Protection Program</w:t>
      </w:r>
    </w:p>
    <w:p>
      <w:pPr>
        <w:autoSpaceDN w:val="0"/>
        <w:autoSpaceDE w:val="0"/>
        <w:widowControl/>
        <w:spacing w:line="240" w:lineRule="exact" w:before="12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part of IDA’s ALM policies, IDA executed pay fixed, receive floating forward-starting swaps with a notional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$15.0 billion under a Board-approved Capital Value Protection Program. The objective of the program is to partially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reduce the sensitivity of IDA’s capital adequacy model to changes in long-term interest rates and allow for more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resources to be available for lending under the capital adequacy framework. For more details, see Notes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Condensed Quarterly Financial Statements for the period ended March 31, 2025, Note F – Derivative Instruments.</w:t>
      </w:r>
    </w:p>
    <w:p>
      <w:pPr>
        <w:autoSpaceDN w:val="0"/>
        <w:autoSpaceDE w:val="0"/>
        <w:widowControl/>
        <w:spacing w:line="244" w:lineRule="exact" w:before="13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Management of Credit and Market Risks</w:t>
      </w:r>
    </w:p>
    <w:p>
      <w:pPr>
        <w:autoSpaceDN w:val="0"/>
        <w:autoSpaceDE w:val="0"/>
        <w:widowControl/>
        <w:spacing w:line="222" w:lineRule="exact" w:before="144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Credit Risk</w:t>
      </w:r>
    </w:p>
    <w:p>
      <w:pPr>
        <w:autoSpaceDN w:val="0"/>
        <w:autoSpaceDE w:val="0"/>
        <w:widowControl/>
        <w:spacing w:line="240" w:lineRule="exact" w:before="12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faces two types of credit risk: country credit risk and counterparty credit risk. Country credit risk is the risk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loss due to a country not meeting its contractual obligations, and counterparty credit risk is the risk of loss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attributable to a counterparty not honoring its contractual obligations. IDA is exposed to commercial as well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noncommercial counterparty credit risk. </w:t>
      </w:r>
    </w:p>
    <w:p>
      <w:pPr>
        <w:autoSpaceDN w:val="0"/>
        <w:autoSpaceDE w:val="0"/>
        <w:widowControl/>
        <w:spacing w:line="222" w:lineRule="exact" w:before="14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Country Credit Risk</w:t>
      </w:r>
    </w:p>
    <w:p>
      <w:pPr>
        <w:autoSpaceDN w:val="0"/>
        <w:autoSpaceDE w:val="0"/>
        <w:widowControl/>
        <w:spacing w:line="240" w:lineRule="exact" w:before="118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lending management framework encompasses the long-standing PBA mechanism and allocation framework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agreed at each replenishment, complemented by additional considerations required when accessing debt markets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ensure adherence to risk management (capital adequacy) requirements.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regularly assesses the country credit risk of all its borrowers. IDA produces credit risk ratings for all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borrowing countries, which reflect country economic, financial, and political circumstances, and also considers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environmental, social and governance (ESG) risk factors. Based on these risk ratings, to manage overall portfolio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risk, the allocation outcomes of the PBA and other mechanisms are reviewed to ensure that they are compatible with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Deployable Strategic Capital Framework and Single Borrower Limit (SBL).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SBL has been set at $47.5 billion (25% of $190.3 billion of equity as of June 30, 2024) for FY25, a marginal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compared to $46.0 billion for FY24. Currently, the maximum country exposure levels compatible with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overall capital adequacy target are lower than the SBL for all IDA borrowing countries. As a consequence,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SBL is currently not a constraining factor.</w:t>
      </w:r>
    </w:p>
    <w:p>
      <w:pPr>
        <w:autoSpaceDN w:val="0"/>
        <w:tabs>
          <w:tab w:pos="588" w:val="left"/>
        </w:tabs>
        <w:autoSpaceDE w:val="0"/>
        <w:widowControl/>
        <w:spacing w:line="224" w:lineRule="exact" w:before="62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March 31, 2025</w:t>
      </w:r>
    </w:p>
    <w:p>
      <w:pPr>
        <w:sectPr>
          <w:pgSz w:w="12240" w:h="15840"/>
          <w:pgMar w:top="256" w:right="1370" w:bottom="21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86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V: Risk Management</w:t>
            </w:r>
          </w:p>
        </w:tc>
      </w:tr>
    </w:tbl>
    <w:p>
      <w:pPr>
        <w:autoSpaceDN w:val="0"/>
        <w:autoSpaceDE w:val="0"/>
        <w:widowControl/>
        <w:spacing w:line="240" w:lineRule="exact" w:before="296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March 31, 2025, the ten countries with the highest exposures accounted for 61% of IDA’s total exposure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(Figure 9). Monitoring these exposures relative to the SBL requires consideration of the repayment profiles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existing loans, as well as disbursement profiles and projected new loans and guarantees.</w:t>
      </w:r>
    </w:p>
    <w:p>
      <w:pPr>
        <w:autoSpaceDN w:val="0"/>
        <w:autoSpaceDE w:val="0"/>
        <w:widowControl/>
        <w:spacing w:line="178" w:lineRule="exact" w:before="150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Figure 9: Country Exposures as of March 31, 2025</w:t>
      </w:r>
    </w:p>
    <w:p>
      <w:pPr>
        <w:autoSpaceDN w:val="0"/>
        <w:autoSpaceDE w:val="0"/>
        <w:widowControl/>
        <w:spacing w:line="178" w:lineRule="exact" w:before="74" w:after="0"/>
        <w:ind w:left="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billions of U.S. dollars</w:t>
      </w:r>
    </w:p>
    <w:p>
      <w:pPr>
        <w:autoSpaceDN w:val="0"/>
        <w:autoSpaceDE w:val="0"/>
        <w:widowControl/>
        <w:spacing w:line="222" w:lineRule="exact" w:before="292" w:after="210"/>
        <w:ind w:left="0" w:right="3492" w:firstLine="0"/>
        <w:jc w:val="right"/>
      </w:pPr>
      <w:r>
        <w:rPr>
          <w:rFonts w:ascii="Arial" w:hAnsi="Arial" w:eastAsia="Arial"/>
          <w:b/>
          <w:i w:val="0"/>
          <w:color w:val="595959"/>
          <w:sz w:val="20"/>
        </w:rPr>
        <w:t>Top Ten Country Exposures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>
        <w:trPr>
          <w:trHeight w:hRule="exact" w:val="350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Bangladesh</w:t>
            </w:r>
          </w:p>
        </w:tc>
        <w:tc>
          <w:tcPr>
            <w:tcW w:type="dxa" w:w="8080"/>
            <w:gridSpan w:val="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3.99999999999977" w:type="dxa"/>
            </w:tblPr>
            <w:tblGrid>
              <w:gridCol w:w="8080"/>
            </w:tblGrid>
            <w:tr>
              <w:trPr>
                <w:trHeight w:hRule="exact" w:val="326"/>
              </w:trPr>
              <w:tc>
                <w:tcPr>
                  <w:tcW w:type="dxa" w:w="7694"/>
                  <w:tcBorders>
                    <w:start w:sz="6.000010967254639" w:val="single" w:color="#898A89"/>
                    <w:bottom w:sz="6.000010967254639" w:val="single" w:color="#898A8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158" w:val="left"/>
                      <w:tab w:pos="3628" w:val="left"/>
                      <w:tab w:pos="3898" w:val="left"/>
                      <w:tab w:pos="3974" w:val="left"/>
                      <w:tab w:pos="4198" w:val="left"/>
                      <w:tab w:pos="4648" w:val="left"/>
                      <w:tab w:pos="5624" w:val="left"/>
                      <w:tab w:pos="5968" w:val="left"/>
                      <w:tab w:pos="6988" w:val="left"/>
                    </w:tabs>
                    <w:autoSpaceDE w:val="0"/>
                    <w:widowControl/>
                    <w:spacing w:line="324" w:lineRule="exact" w:before="0" w:after="0"/>
                    <w:ind w:left="1724" w:right="288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21.2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18.3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17.3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14.5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13.2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12.6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12.3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11.5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7.1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5.8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8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0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Pakistan</w:t>
            </w:r>
          </w:p>
        </w:tc>
        <w:tc>
          <w:tcPr>
            <w:tcW w:type="dxa" w:w="8712"/>
            <w:gridSpan w:val="12"/>
            <w:vMerge/>
            <w:tcBorders/>
          </w:tcPr>
          <w:p/>
        </w:tc>
      </w:tr>
      <w:tr>
        <w:trPr>
          <w:trHeight w:hRule="exact" w:val="330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2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Nigeria</w:t>
            </w:r>
          </w:p>
        </w:tc>
        <w:tc>
          <w:tcPr>
            <w:tcW w:type="dxa" w:w="8712"/>
            <w:gridSpan w:val="12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2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India</w:t>
            </w:r>
          </w:p>
        </w:tc>
        <w:tc>
          <w:tcPr>
            <w:tcW w:type="dxa" w:w="8712"/>
            <w:gridSpan w:val="12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4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Ethiopia</w:t>
            </w:r>
          </w:p>
        </w:tc>
        <w:tc>
          <w:tcPr>
            <w:tcW w:type="dxa" w:w="8712"/>
            <w:gridSpan w:val="12"/>
            <w:vMerge/>
            <w:tcBorders/>
          </w:tcPr>
          <w:p/>
        </w:tc>
      </w:tr>
      <w:tr>
        <w:trPr>
          <w:trHeight w:hRule="exact" w:val="330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0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Tanzania</w:t>
            </w:r>
          </w:p>
        </w:tc>
        <w:tc>
          <w:tcPr>
            <w:tcW w:type="dxa" w:w="8712"/>
            <w:gridSpan w:val="12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0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Kenya</w:t>
            </w:r>
          </w:p>
        </w:tc>
        <w:tc>
          <w:tcPr>
            <w:tcW w:type="dxa" w:w="8712"/>
            <w:gridSpan w:val="12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2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Viet Nam</w:t>
            </w:r>
          </w:p>
        </w:tc>
        <w:tc>
          <w:tcPr>
            <w:tcW w:type="dxa" w:w="8712"/>
            <w:gridSpan w:val="12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4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Ghana</w:t>
            </w:r>
          </w:p>
        </w:tc>
        <w:tc>
          <w:tcPr>
            <w:tcW w:type="dxa" w:w="8712"/>
            <w:gridSpan w:val="12"/>
            <w:vMerge/>
            <w:tcBorders/>
          </w:tcPr>
          <w:p/>
        </w:tc>
      </w:tr>
      <w:tr>
        <w:trPr>
          <w:trHeight w:hRule="exact" w:val="444"/>
        </w:trPr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6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Ukraine</w:t>
            </w:r>
          </w:p>
        </w:tc>
        <w:tc>
          <w:tcPr>
            <w:tcW w:type="dxa" w:w="8712"/>
            <w:gridSpan w:val="12"/>
            <w:vMerge/>
            <w:tcBorders/>
          </w:tcPr>
          <w:p/>
        </w:tc>
      </w:tr>
      <w:tr>
        <w:trPr>
          <w:trHeight w:hRule="exact" w:val="306"/>
        </w:trPr>
        <w:tc>
          <w:tcPr>
            <w:tcW w:type="dxa" w:w="726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</w:t>
            </w:r>
          </w:p>
        </w:tc>
        <w:tc>
          <w:tcPr>
            <w:tcW w:type="dxa" w:w="1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6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4</w:t>
            </w:r>
          </w:p>
        </w:tc>
        <w:tc>
          <w:tcPr>
            <w:tcW w:type="dxa" w:w="4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6</w:t>
            </w:r>
          </w:p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8</w:t>
            </w:r>
          </w:p>
        </w:tc>
        <w:tc>
          <w:tcPr>
            <w:tcW w:type="dxa" w:w="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4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10</w:t>
            </w:r>
          </w:p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12</w:t>
            </w:r>
          </w:p>
        </w:tc>
        <w:tc>
          <w:tcPr>
            <w:tcW w:type="dxa" w:w="4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14</w:t>
            </w:r>
          </w:p>
        </w:tc>
        <w:tc>
          <w:tcPr>
            <w:tcW w:type="dxa" w:w="9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16</w:t>
            </w:r>
          </w:p>
        </w:tc>
        <w:tc>
          <w:tcPr>
            <w:tcW w:type="dxa" w:w="3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18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3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20</w:t>
            </w:r>
          </w:p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22</w:t>
            </w:r>
          </w:p>
        </w:tc>
      </w:tr>
    </w:tbl>
    <w:p>
      <w:pPr>
        <w:autoSpaceDN w:val="0"/>
        <w:autoSpaceDE w:val="0"/>
        <w:widowControl/>
        <w:spacing w:line="222" w:lineRule="exact" w:before="33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Expected Losses, Overdue Payments, and Non-Performing Loans</w:t>
      </w:r>
    </w:p>
    <w:p>
      <w:pPr>
        <w:autoSpaceDN w:val="0"/>
        <w:autoSpaceDE w:val="0"/>
        <w:widowControl/>
        <w:spacing w:line="240" w:lineRule="exact" w:before="12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When a borrower fails to make payments on any principal, interest, or other charges due to IDA, IDA may suspend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disbursements immediately on all loans and grants to that borrower. IDA’s current practice is to exercise this option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using a gradual approach. These practices also apply to member countries eligible to borrow from both IDA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IBRD, and whose payments on IBRD loans may become overdue. It is IDA’s practice not to reschedule service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charges, interest or principal payments on its loans or participate in debt rescheduling agreements with respect to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loans. As of March 31, 2025, none of the IDA sovereign borrowing countries in the accrual portfolio had overdue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payments beyond three months.</w:t>
      </w:r>
    </w:p>
    <w:p>
      <w:pPr>
        <w:autoSpaceDN w:val="0"/>
        <w:autoSpaceDE w:val="0"/>
        <w:widowControl/>
        <w:spacing w:line="224" w:lineRule="exact" w:before="136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 May 12, 2025, the Syrian Arab Republic, with the assistance of 2 countries, cleared all of its overdue principal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and charges due to IDA.</w:t>
      </w:r>
    </w:p>
    <w:p>
      <w:pPr>
        <w:autoSpaceDN w:val="0"/>
        <w:autoSpaceDE w:val="0"/>
        <w:widowControl/>
        <w:spacing w:line="222" w:lineRule="exact" w:before="226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Accumulated Provision for Losses on Loans and Other Exposures</w:t>
      </w:r>
    </w:p>
    <w:p>
      <w:pPr>
        <w:autoSpaceDN w:val="0"/>
        <w:autoSpaceDE w:val="0"/>
        <w:widowControl/>
        <w:spacing w:line="240" w:lineRule="exact" w:before="94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March 31, 2025, IDA had $215.5 billion of loans outstanding, of which loans in nonaccrual status represent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0.4%. IDA’s accumulated provision for losses on loans and other exposures was $5.9 billion, which represents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provisioning rate of 2.0% of the underlying exposures as of March 31, 2025 ($5.6 billion as of June 30, 2024, 2.0%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the underlying exposure). See Notes to the Condensed Quarterly Financial Statements for the period ended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March 31, 2025, Note D – Loans and Other Exposures.</w:t>
      </w:r>
    </w:p>
    <w:p>
      <w:pPr>
        <w:autoSpaceDN w:val="0"/>
        <w:autoSpaceDE w:val="0"/>
        <w:widowControl/>
        <w:spacing w:line="222" w:lineRule="exact" w:before="138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Commercial Counterparty Credit Risk Exposure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Commercial counterparty credit risk is the risk that counterparties fail to meet their payment obligations under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terms of the contract or other financial instruments. Effective management of counterparty credit risk is vital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success of IDA’s funding, investment, and asset/liability management activities. The monitoring and management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these risks is continuous as the market environment evolves.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a result of IDA’s use of mark-to-market collateral arrangements for swap transactions, its residual commercial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counterparty credit risk exposure is concentrated in the investment portfolio comprised of instruments issued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sovereign governments and non-sovereign holdings (including Agencies, Asset-backed securities, Corporates,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Time Deposits). Total commercial counterparty credit exposure, net of collateral held, was $46.0 billion as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March 31, 2025. As of March 31, 2025, 72% of IDA’s investment portfolio is rated AA or above, reflecting IDA’s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preference for highly rated securities and counterparties across all categories of financial instruments (Table 14</w:t>
      </w:r>
      <w:r>
        <w:rPr>
          <w:rFonts w:ascii="TimesNewRoman" w:hAnsi="TimesNewRoman" w:eastAsia="TimesNewRoman"/>
          <w:b/>
          <w:i w:val="0"/>
          <w:color w:val="000000"/>
          <w:sz w:val="20"/>
        </w:rPr>
        <w:t>)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. </w:t>
      </w:r>
    </w:p>
    <w:p>
      <w:pPr>
        <w:autoSpaceDN w:val="0"/>
        <w:tabs>
          <w:tab w:pos="9088" w:val="left"/>
        </w:tabs>
        <w:autoSpaceDE w:val="0"/>
        <w:widowControl/>
        <w:spacing w:line="224" w:lineRule="exact" w:before="660" w:after="0"/>
        <w:ind w:left="20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March 31,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21</w:t>
      </w:r>
    </w:p>
    <w:p>
      <w:pPr>
        <w:sectPr>
          <w:pgSz w:w="12240" w:h="15840"/>
          <w:pgMar w:top="256" w:right="1370" w:bottom="21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6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V: Risk Management</w:t>
            </w:r>
          </w:p>
        </w:tc>
      </w:tr>
    </w:tbl>
    <w:p>
      <w:pPr>
        <w:autoSpaceDN w:val="0"/>
        <w:autoSpaceDE w:val="0"/>
        <w:widowControl/>
        <w:spacing w:line="240" w:lineRule="exact" w:before="296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 contractual value, notional amounts and related credit risk exposure amounts by instrument, see Notes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Condensed Quarterly Financial Statements for the period ended March 31, 2025, Note F – Derivative Instruments.</w:t>
      </w:r>
    </w:p>
    <w:p>
      <w:pPr>
        <w:autoSpaceDN w:val="0"/>
        <w:autoSpaceDE w:val="0"/>
        <w:widowControl/>
        <w:spacing w:line="178" w:lineRule="exact" w:before="15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Table 14: Commercial Credit Exposure, Net of Collateral Held, by Counterparty Rating</w:t>
      </w:r>
    </w:p>
    <w:p>
      <w:pPr>
        <w:autoSpaceDN w:val="0"/>
        <w:autoSpaceDE w:val="0"/>
        <w:widowControl/>
        <w:spacing w:line="178" w:lineRule="exact" w:before="74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dollars, except rates in percentages</w:t>
      </w:r>
    </w:p>
    <w:p>
      <w:pPr>
        <w:autoSpaceDN w:val="0"/>
        <w:autoSpaceDE w:val="0"/>
        <w:widowControl/>
        <w:spacing w:line="178" w:lineRule="exact" w:before="194" w:after="20"/>
        <w:ind w:left="0" w:right="2250" w:firstLine="0"/>
        <w:jc w:val="right"/>
      </w:pPr>
      <w:r>
        <w:rPr>
          <w:rFonts w:ascii="Arial" w:hAnsi="Arial" w:eastAsia="Arial"/>
          <w:b w:val="0"/>
          <w:i/>
          <w:color w:val="808080"/>
          <w:sz w:val="16"/>
        </w:rPr>
        <w:t>As of March 31,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240"/>
        </w:trPr>
        <w:tc>
          <w:tcPr>
            <w:tcW w:type="dxa" w:w="3526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Counterparty Rating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808080"/>
                <w:sz w:val="10"/>
              </w:rPr>
              <w:t>a</w:t>
            </w:r>
          </w:p>
        </w:tc>
        <w:tc>
          <w:tcPr>
            <w:tcW w:type="dxa" w:w="2258"/>
            <w:gridSpan w:val="3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Sovereigns</w:t>
            </w: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Non-Sovereigns</w:t>
            </w:r>
          </w:p>
        </w:tc>
        <w:tc>
          <w:tcPr>
            <w:tcW w:type="dxa" w:w="3550"/>
            <w:gridSpan w:val="4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Net Swap Exposure</w:t>
            </w: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Total Exposure</w:t>
            </w: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% of Total</w:t>
            </w:r>
          </w:p>
        </w:tc>
      </w:tr>
      <w:tr>
        <w:trPr>
          <w:trHeight w:hRule="exact" w:val="224"/>
        </w:trPr>
        <w:tc>
          <w:tcPr>
            <w:tcW w:type="dxa" w:w="3526"/>
            <w:vMerge w:val="restart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187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AAA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BBB or lower/unrated</w:t>
            </w:r>
          </w:p>
        </w:tc>
        <w:tc>
          <w:tcPr>
            <w:tcW w:type="dxa" w:w="304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2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6,858 $ </w:t>
            </w:r>
          </w:p>
        </w:tc>
        <w:tc>
          <w:tcPr>
            <w:tcW w:type="dxa" w:w="1500"/>
            <w:gridSpan w:val="2"/>
            <w:tcBorders>
              <w:top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4,604 $ </w:t>
            </w:r>
          </w:p>
        </w:tc>
        <w:tc>
          <w:tcPr>
            <w:tcW w:type="dxa" w:w="126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11,462 </w:t>
            </w:r>
          </w:p>
        </w:tc>
        <w:tc>
          <w:tcPr>
            <w:tcW w:type="dxa" w:w="684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25 %</w:t>
            </w:r>
          </w:p>
        </w:tc>
      </w:tr>
      <w:tr>
        <w:trPr>
          <w:trHeight w:hRule="exact" w:val="240"/>
        </w:trPr>
        <w:tc>
          <w:tcPr>
            <w:tcW w:type="dxa" w:w="1180"/>
            <w:vMerge/>
            <w:tcBorders>
              <w:top w:sz="8.0" w:val="single" w:color="#B6B6B6"/>
              <w:bottom w:sz="8.0" w:val="single" w:color="#B6B6B6"/>
            </w:tcBorders>
          </w:tcPr>
          <w:p/>
        </w:tc>
        <w:tc>
          <w:tcPr>
            <w:tcW w:type="dxa" w:w="14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6,892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2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14,502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229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21,623 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47 </w:t>
            </w:r>
          </w:p>
        </w:tc>
      </w:tr>
      <w:tr>
        <w:trPr>
          <w:trHeight w:hRule="exact" w:val="240"/>
        </w:trPr>
        <w:tc>
          <w:tcPr>
            <w:tcW w:type="dxa" w:w="1180"/>
            <w:vMerge/>
            <w:tcBorders>
              <w:top w:sz="8.0" w:val="single" w:color="#B6B6B6"/>
              <w:bottom w:sz="8.0" w:val="single" w:color="#B6B6B6"/>
            </w:tcBorders>
          </w:tcPr>
          <w:p/>
        </w:tc>
        <w:tc>
          <w:tcPr>
            <w:tcW w:type="dxa" w:w="14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4,341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3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8,075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268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12,684 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27 </w:t>
            </w:r>
          </w:p>
        </w:tc>
      </w:tr>
      <w:tr>
        <w:trPr>
          <w:trHeight w:hRule="exact" w:val="256"/>
        </w:trPr>
        <w:tc>
          <w:tcPr>
            <w:tcW w:type="dxa" w:w="1180"/>
            <w:vMerge/>
            <w:tcBorders>
              <w:top w:sz="8.0" w:val="single" w:color="#B6B6B6"/>
              <w:bottom w:sz="8.0" w:val="single" w:color="#B6B6B6"/>
            </w:tcBorders>
          </w:tcPr>
          <w:p/>
        </w:tc>
        <w:tc>
          <w:tcPr>
            <w:tcW w:type="dxa" w:w="1424"/>
            <w:gridSpan w:val="2"/>
            <w:tcBorders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 </w:t>
            </w:r>
          </w:p>
        </w:tc>
        <w:tc>
          <w:tcPr>
            <w:tcW w:type="dxa" w:w="1500"/>
            <w:gridSpan w:val="2"/>
            <w:tcBorders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7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169 </w:t>
            </w:r>
          </w:p>
        </w:tc>
        <w:tc>
          <w:tcPr>
            <w:tcW w:type="dxa" w:w="126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4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251 </w:t>
            </w:r>
          </w:p>
        </w:tc>
        <w:tc>
          <w:tcPr>
            <w:tcW w:type="dxa" w:w="684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 </w:t>
            </w:r>
          </w:p>
        </w:tc>
      </w:tr>
      <w:tr>
        <w:trPr>
          <w:trHeight w:hRule="exact" w:val="220"/>
        </w:trPr>
        <w:tc>
          <w:tcPr>
            <w:tcW w:type="dxa" w:w="3526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04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2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18,173 $ </w:t>
            </w:r>
          </w:p>
        </w:tc>
        <w:tc>
          <w:tcPr>
            <w:tcW w:type="dxa" w:w="1500"/>
            <w:gridSpan w:val="2"/>
            <w:tcBorders>
              <w:top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27,350 $ </w:t>
            </w:r>
          </w:p>
        </w:tc>
        <w:tc>
          <w:tcPr>
            <w:tcW w:type="dxa" w:w="126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497 $ </w:t>
            </w:r>
          </w:p>
        </w:tc>
        <w:tc>
          <w:tcPr>
            <w:tcW w:type="dxa" w:w="94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46,020 </w:t>
            </w:r>
          </w:p>
        </w:tc>
        <w:tc>
          <w:tcPr>
            <w:tcW w:type="dxa" w:w="684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</w:tr>
    </w:tbl>
    <w:p>
      <w:pPr>
        <w:autoSpaceDN w:val="0"/>
        <w:autoSpaceDE w:val="0"/>
        <w:widowControl/>
        <w:spacing w:line="178" w:lineRule="exact" w:before="502" w:after="20"/>
        <w:ind w:left="0" w:right="2254" w:firstLine="0"/>
        <w:jc w:val="right"/>
      </w:pPr>
      <w:r>
        <w:rPr>
          <w:rFonts w:ascii="Arial" w:hAnsi="Arial" w:eastAsia="Arial"/>
          <w:b w:val="0"/>
          <w:i/>
          <w:color w:val="808080"/>
          <w:sz w:val="16"/>
        </w:rPr>
        <w:t>As of 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240"/>
        </w:trPr>
        <w:tc>
          <w:tcPr>
            <w:tcW w:type="dxa" w:w="357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Counterparty Rating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808080"/>
                <w:sz w:val="10"/>
              </w:rPr>
              <w:t>a</w:t>
            </w:r>
          </w:p>
        </w:tc>
        <w:tc>
          <w:tcPr>
            <w:tcW w:type="dxa" w:w="920"/>
            <w:gridSpan w:val="2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Sovereigns</w:t>
            </w:r>
          </w:p>
        </w:tc>
        <w:tc>
          <w:tcPr>
            <w:tcW w:type="dxa" w:w="4890"/>
            <w:gridSpan w:val="5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Non-Sovereigns</w:t>
            </w: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Net Swap Exposure</w:t>
            </w: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Total Exposure</w:t>
            </w: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% of Total</w:t>
            </w:r>
          </w:p>
        </w:tc>
      </w:tr>
      <w:tr>
        <w:trPr>
          <w:trHeight w:hRule="exact" w:val="224"/>
        </w:trPr>
        <w:tc>
          <w:tcPr>
            <w:tcW w:type="dxa" w:w="3570"/>
            <w:vMerge w:val="restart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316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AAA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BBB</w:t>
            </w:r>
          </w:p>
        </w:tc>
        <w:tc>
          <w:tcPr>
            <w:tcW w:type="dxa" w:w="30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20"/>
            <w:gridSpan w:val="2"/>
            <w:tcBorders>
              <w:top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6,815 $ </w:t>
            </w:r>
          </w:p>
        </w:tc>
        <w:tc>
          <w:tcPr>
            <w:tcW w:type="dxa" w:w="152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2,774 $ </w:t>
            </w:r>
          </w:p>
        </w:tc>
        <w:tc>
          <w:tcPr>
            <w:tcW w:type="dxa" w:w="124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6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9,589 </w:t>
            </w:r>
          </w:p>
        </w:tc>
        <w:tc>
          <w:tcPr>
            <w:tcW w:type="dxa" w:w="69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28 %</w:t>
            </w:r>
          </w:p>
        </w:tc>
      </w:tr>
      <w:tr>
        <w:trPr>
          <w:trHeight w:hRule="exact" w:val="240"/>
        </w:trPr>
        <w:tc>
          <w:tcPr>
            <w:tcW w:type="dxa" w:w="1180"/>
            <w:vMerge/>
            <w:tcBorders>
              <w:top w:sz="8.0" w:val="single" w:color="#B6B6B6"/>
              <w:bottom w:sz="8.0" w:val="single" w:color="#B6B6B6"/>
            </w:tcBorders>
          </w:tcPr>
          <w:p/>
        </w:tc>
        <w:tc>
          <w:tcPr>
            <w:tcW w:type="dxa" w:w="1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7,411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3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9,528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160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17,099 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49 </w:t>
            </w:r>
          </w:p>
        </w:tc>
      </w:tr>
      <w:tr>
        <w:trPr>
          <w:trHeight w:hRule="exact" w:val="240"/>
        </w:trPr>
        <w:tc>
          <w:tcPr>
            <w:tcW w:type="dxa" w:w="1180"/>
            <w:vMerge/>
            <w:tcBorders>
              <w:top w:sz="8.0" w:val="single" w:color="#B6B6B6"/>
              <w:bottom w:sz="8.0" w:val="single" w:color="#B6B6B6"/>
            </w:tcBorders>
          </w:tcPr>
          <w:p/>
        </w:tc>
        <w:tc>
          <w:tcPr>
            <w:tcW w:type="dxa" w:w="1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3,200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3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4,622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291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6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8,113 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23 </w:t>
            </w:r>
          </w:p>
        </w:tc>
      </w:tr>
      <w:tr>
        <w:trPr>
          <w:trHeight w:hRule="exact" w:val="256"/>
        </w:trPr>
        <w:tc>
          <w:tcPr>
            <w:tcW w:type="dxa" w:w="1180"/>
            <w:vMerge/>
            <w:tcBorders>
              <w:top w:sz="8.0" w:val="single" w:color="#B6B6B6"/>
              <w:bottom w:sz="8.0" w:val="single" w:color="#B6B6B6"/>
            </w:tcBorders>
          </w:tcPr>
          <w:p/>
        </w:tc>
        <w:tc>
          <w:tcPr>
            <w:tcW w:type="dxa" w:w="1420"/>
            <w:gridSpan w:val="3"/>
            <w:tcBorders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52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124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4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6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69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*</w:t>
            </w:r>
          </w:p>
        </w:tc>
      </w:tr>
      <w:tr>
        <w:trPr>
          <w:trHeight w:hRule="exact" w:val="220"/>
        </w:trPr>
        <w:tc>
          <w:tcPr>
            <w:tcW w:type="dxa" w:w="357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0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20"/>
            <w:gridSpan w:val="2"/>
            <w:tcBorders>
              <w:top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17,426 $ </w:t>
            </w:r>
          </w:p>
        </w:tc>
        <w:tc>
          <w:tcPr>
            <w:tcW w:type="dxa" w:w="152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16,931 $ </w:t>
            </w:r>
          </w:p>
        </w:tc>
        <w:tc>
          <w:tcPr>
            <w:tcW w:type="dxa" w:w="124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0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451 $ </w:t>
            </w:r>
          </w:p>
        </w:tc>
        <w:tc>
          <w:tcPr>
            <w:tcW w:type="dxa" w:w="94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34,808 </w:t>
            </w:r>
          </w:p>
        </w:tc>
        <w:tc>
          <w:tcPr>
            <w:tcW w:type="dxa" w:w="69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</w:tr>
    </w:tbl>
    <w:p>
      <w:pPr>
        <w:autoSpaceDN w:val="0"/>
        <w:autoSpaceDE w:val="0"/>
        <w:widowControl/>
        <w:spacing w:line="192" w:lineRule="exact" w:before="260" w:after="0"/>
        <w:ind w:left="242" w:right="78" w:hanging="180"/>
        <w:jc w:val="both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Average rating is calculated using available ratings from the three major rating agencies; however, if ratings are not available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from each of the three rating agencies, IDA uses the average of the ratings available from any of such rating agencies or a </w:t>
      </w:r>
      <w:r>
        <w:rPr>
          <w:rFonts w:ascii="Arial" w:hAnsi="Arial" w:eastAsia="Arial"/>
          <w:b w:val="0"/>
          <w:i/>
          <w:color w:val="000000"/>
          <w:sz w:val="16"/>
        </w:rPr>
        <w:t>single rating to the extent that an instrument or issuer (as applicable) is rated by only one rating agency.</w:t>
      </w:r>
    </w:p>
    <w:p>
      <w:pPr>
        <w:autoSpaceDN w:val="0"/>
        <w:autoSpaceDE w:val="0"/>
        <w:widowControl/>
        <w:spacing w:line="180" w:lineRule="exact" w:before="9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* Indicates percentage less than 0.5%.</w:t>
      </w:r>
    </w:p>
    <w:p>
      <w:pPr>
        <w:autoSpaceDN w:val="0"/>
        <w:autoSpaceDE w:val="0"/>
        <w:widowControl/>
        <w:spacing w:line="222" w:lineRule="exact" w:before="20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Market Risk</w:t>
      </w:r>
    </w:p>
    <w:p>
      <w:pPr>
        <w:autoSpaceDN w:val="0"/>
        <w:autoSpaceDE w:val="0"/>
        <w:widowControl/>
        <w:spacing w:line="240" w:lineRule="exact" w:before="12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is exposed to changes in interest and exchange rates and uses derivatives to manage its exposure to market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risks. Derivatives are used to align the interest and currency composition of its assets (loan and investment trading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portfolios) with that of its liabilities (borrowing portfolio) and equity, with the exception of the long-term fixed rate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market debt that is used to fund fixed rate loans. The loan, investment and borrowing portfolios are largely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maintained in SDR and its component currencies.</w:t>
      </w:r>
    </w:p>
    <w:p>
      <w:pPr>
        <w:autoSpaceDN w:val="0"/>
        <w:autoSpaceDE w:val="0"/>
        <w:widowControl/>
        <w:spacing w:line="222" w:lineRule="exact" w:before="14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Interest Rate Risk</w:t>
      </w:r>
    </w:p>
    <w:p>
      <w:pPr>
        <w:autoSpaceDN w:val="0"/>
        <w:autoSpaceDE w:val="0"/>
        <w:widowControl/>
        <w:spacing w:line="240" w:lineRule="exact" w:before="11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is exposed to interest rate risk due to mismatches between its assets (loan and investment portfolios) and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liabilities (borrowing portfolio) both in terms of maturity and instrument type. Given IDA’s lengthy repayment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profile, the remaining weighted average maturity of IDA’s loans is relatively long (12 years), compared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investment portfolio. This long maturity, combined with volatility in market interest rates, results in significant year-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on-year variability in the fair value of loans. However, since the loan portfolio is not reported at fair value under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U.S. GAAP, the impact of this variability on IDA’s Balance Sheet is not fully evident. IDA’s investment-trading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 (liquid asset portfolio) has a relatively low sensitivity to interest rates with a duration of 4 months as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March 31, 2025.</w:t>
      </w:r>
    </w:p>
    <w:p>
      <w:pPr>
        <w:autoSpaceDN w:val="0"/>
        <w:tabs>
          <w:tab w:pos="588" w:val="left"/>
        </w:tabs>
        <w:autoSpaceDE w:val="0"/>
        <w:widowControl/>
        <w:spacing w:line="224" w:lineRule="exact" w:before="381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March 31, 2025</w:t>
      </w:r>
    </w:p>
    <w:p>
      <w:pPr>
        <w:sectPr>
          <w:pgSz w:w="12240" w:h="15840"/>
          <w:pgMar w:top="256" w:right="1370" w:bottom="21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86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V: Risk Management</w:t>
            </w:r>
          </w:p>
        </w:tc>
      </w:tr>
    </w:tbl>
    <w:p>
      <w:pPr>
        <w:autoSpaceDN w:val="0"/>
        <w:autoSpaceDE w:val="0"/>
        <w:widowControl/>
        <w:spacing w:line="222" w:lineRule="exact" w:before="31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its integrated financing model, IDA employs the following strategies to manage interest rate risk: </w:t>
      </w:r>
    </w:p>
    <w:p>
      <w:pPr>
        <w:autoSpaceDN w:val="0"/>
        <w:autoSpaceDE w:val="0"/>
        <w:widowControl/>
        <w:spacing w:line="222" w:lineRule="exact" w:before="138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capital adequacy policies factor in the sensitivity to interest rates. </w:t>
      </w:r>
    </w:p>
    <w:p>
      <w:pPr>
        <w:autoSpaceDN w:val="0"/>
        <w:autoSpaceDE w:val="0"/>
        <w:widowControl/>
        <w:spacing w:line="222" w:lineRule="exact" w:before="78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Matching interest rates between assets and related funding to minimize open interest rate positions. </w:t>
      </w:r>
    </w:p>
    <w:p>
      <w:pPr>
        <w:autoSpaceDN w:val="0"/>
        <w:tabs>
          <w:tab w:pos="190" w:val="left"/>
        </w:tabs>
        <w:autoSpaceDE w:val="0"/>
        <w:widowControl/>
        <w:spacing w:line="240" w:lineRule="exact" w:before="6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funding risk related to the mismatch between the maturity profile of the debt funding and the related assets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monitored through duration measurements and adjustments to capital requirements to cover this risk.</w:t>
      </w:r>
    </w:p>
    <w:p>
      <w:pPr>
        <w:autoSpaceDN w:val="0"/>
        <w:autoSpaceDE w:val="0"/>
        <w:widowControl/>
        <w:spacing w:line="222" w:lineRule="exact" w:before="138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Exchange Rate Risk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Changes in exchange rates affect the capital adequacy of IDA when the currency of the equity supporting the loan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 and other assets is different from that of the risk exposure. Accordingly, the primary objective of IDA’s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currency risk management is to protect IDA’s financial capacity from exchange rate movements, as measured by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capital adequacy framework. To achieve this, IDA’s balance sheet is managed in multiple currencies: SDR and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currencies comprising the SDR basket. The exchange rate risk management methodology encompasses the hedging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of currency risk arising from the various inflows and outflows inherent in IDA’s business model.</w:t>
      </w:r>
    </w:p>
    <w:p>
      <w:pPr>
        <w:autoSpaceDN w:val="0"/>
        <w:autoSpaceDE w:val="0"/>
        <w:widowControl/>
        <w:spacing w:line="240" w:lineRule="exact" w:before="12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uses currency forward contracts to convert future inflows from members’ receivables provided in national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currencies into the five currencies of the SDR basket, thereby aligning the currency composition of member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contributions with the net cash outflows relating to loans and grants, which are primarily denominated in the SDR. </w:t>
      </w:r>
    </w:p>
    <w:p>
      <w:pPr>
        <w:autoSpaceDN w:val="0"/>
        <w:autoSpaceDE w:val="0"/>
        <w:widowControl/>
        <w:spacing w:line="240" w:lineRule="exact" w:before="12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payable leg of the currency forward contracts economically hedging member equity contribution pledges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denominated in non-functional currencies. IDA pays the market counterparty in a non-SDR currency. Accordingly,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depreciation or appreciation of the non-SDR currencies against the U.S. dollar results in exchange rate gains 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losses, which are reported in the Statements of Income. The translation adjustment on future inflows from members,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even though they are not recorded in the balance sheet, is the economic offset to the translation adjustment on non-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functional currencies of currency forward contracts.</w:t>
      </w:r>
    </w:p>
    <w:p>
      <w:pPr>
        <w:autoSpaceDN w:val="0"/>
        <w:autoSpaceDE w:val="0"/>
        <w:widowControl/>
        <w:spacing w:line="222" w:lineRule="exact" w:before="138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Liquidity Risk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Liquidity risk arises in the general funding of IDA’s activities and in managing its financial position. It includes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risk of IDA being unable to fund its portfolio of assets at appropriate maturities and rates, and the risk of being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unable to liquidate a position in a timely manner at a reasonable price. 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aggregate liquid asset holdings are kept above a specified prudential minimum to safeguard against cash flow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interruptions. The prudential minimum is equal to 80% of 24 months of projected net outflows. For FY25,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prudential minimum has been set at $29.5 billion. As of March 31, 2025, IDA’s liquid assets were $44.4 billion,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150% of the FY25 prudential minimum.</w:t>
      </w:r>
    </w:p>
    <w:p>
      <w:pPr>
        <w:autoSpaceDN w:val="0"/>
        <w:autoSpaceDE w:val="0"/>
        <w:widowControl/>
        <w:spacing w:line="240" w:lineRule="exact" w:before="12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will hold liquidity above the prudential minimum to ensure sufficient liquidity under a wide range of shock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scenarios as well as to give it flexibility in timing its borrowing transactions and to meet working capital needs. </w:t>
      </w:r>
    </w:p>
    <w:p>
      <w:pPr>
        <w:autoSpaceDN w:val="0"/>
        <w:autoSpaceDE w:val="0"/>
        <w:widowControl/>
        <w:spacing w:line="220" w:lineRule="exact" w:before="136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Operational Risk</w:t>
      </w:r>
    </w:p>
    <w:p>
      <w:pPr>
        <w:autoSpaceDN w:val="0"/>
        <w:autoSpaceDE w:val="0"/>
        <w:widowControl/>
        <w:spacing w:line="240" w:lineRule="exact" w:before="12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Operational risk is defined as the risk of financial loss, or damage to IDA’s reputation resulting from inadequate 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failed internal processes, people, and systems, or from external events. 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recognizes the importance of operational risk management activities, which are embedded in its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operations. As part of its business activities, IDA is exposed to a range of operational risks including physical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security, staff health and safety, information security and data privacy, business continuity, and third party risks.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approach to identifying and managing operational risk includes a dedicated program for these risks and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robust process that includes identifying, assessing, and prioritizing operational risks, monitoring, and reporting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relevant key risk indicators, aggregating, and analyzing internal and external events, and identifying emerging risks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that may affect business units and developing risk response and mitigating actions.</w:t>
      </w:r>
    </w:p>
    <w:p>
      <w:pPr>
        <w:autoSpaceDN w:val="0"/>
        <w:tabs>
          <w:tab w:pos="9088" w:val="left"/>
        </w:tabs>
        <w:autoSpaceDE w:val="0"/>
        <w:widowControl/>
        <w:spacing w:line="224" w:lineRule="exact" w:before="2690" w:after="0"/>
        <w:ind w:left="20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March 31, 2025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23</w:t>
      </w:r>
    </w:p>
    <w:p>
      <w:pPr>
        <w:sectPr>
          <w:pgSz w:w="12240" w:h="15840"/>
          <w:pgMar w:top="256" w:right="1370" w:bottom="21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19"/>
        <w:gridCol w:w="4719"/>
      </w:tblGrid>
      <w:tr>
        <w:trPr>
          <w:trHeight w:hRule="exact" w:val="284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VI: Governance</w:t>
            </w:r>
          </w:p>
        </w:tc>
      </w:tr>
    </w:tbl>
    <w:p>
      <w:pPr>
        <w:autoSpaceDN w:val="0"/>
        <w:autoSpaceDE w:val="0"/>
        <w:widowControl/>
        <w:spacing w:line="362" w:lineRule="exact" w:before="262" w:after="0"/>
        <w:ind w:left="10" w:right="0" w:firstLine="52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Section VI: Governance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Senior Management Changes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Lakshmi Shyam-Sunder, WBG Chief Risk Officer and Vice President, retired in January 2025. Dennis McLaughlin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was appointed to this role effective January 2, 2025.</w:t>
      </w:r>
    </w:p>
    <w:p>
      <w:pPr>
        <w:autoSpaceDN w:val="0"/>
        <w:tabs>
          <w:tab w:pos="588" w:val="left"/>
        </w:tabs>
        <w:autoSpaceDE w:val="0"/>
        <w:widowControl/>
        <w:spacing w:line="224" w:lineRule="exact" w:before="126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March 31, 2025</w:t>
      </w:r>
    </w:p>
    <w:p>
      <w:pPr>
        <w:sectPr>
          <w:pgSz w:w="12240" w:h="15840"/>
          <w:pgMar w:top="280" w:right="1372" w:bottom="21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INTERNATIONAL DEVELOPMENT ASSOCIATION (IDA)</w:t>
      </w:r>
    </w:p>
    <w:p>
      <w:pPr>
        <w:autoSpaceDN w:val="0"/>
        <w:autoSpaceDE w:val="0"/>
        <w:widowControl/>
        <w:spacing w:line="314" w:lineRule="exact" w:before="50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CONTENTS</w:t>
      </w:r>
    </w:p>
    <w:p>
      <w:pPr>
        <w:autoSpaceDN w:val="0"/>
        <w:autoSpaceDE w:val="0"/>
        <w:widowControl/>
        <w:spacing w:line="224" w:lineRule="exact" w:before="156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March 31, 2025</w:t>
      </w:r>
    </w:p>
    <w:p>
      <w:pPr>
        <w:autoSpaceDN w:val="0"/>
        <w:autoSpaceDE w:val="0"/>
        <w:widowControl/>
        <w:spacing w:line="314" w:lineRule="exact" w:before="48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CONDENSED QUARTERLY FINANCIAL STATEMENTS </w:t>
      </w:r>
    </w:p>
    <w:p>
      <w:pPr>
        <w:autoSpaceDN w:val="0"/>
        <w:tabs>
          <w:tab w:pos="9084" w:val="left"/>
        </w:tabs>
        <w:autoSpaceDE w:val="0"/>
        <w:widowControl/>
        <w:spacing w:line="246" w:lineRule="exact" w:before="1344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C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ONDENSED </w:t>
      </w:r>
      <w:r>
        <w:rPr>
          <w:rFonts w:ascii="Arial" w:hAnsi="Arial" w:eastAsia="Arial"/>
          <w:b/>
          <w:i w:val="0"/>
          <w:color w:val="000000"/>
          <w:sz w:val="22"/>
        </w:rPr>
        <w:t>B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ALANCE </w:t>
      </w:r>
      <w:r>
        <w:rPr>
          <w:rFonts w:ascii="Arial" w:hAnsi="Arial" w:eastAsia="Arial"/>
          <w:b/>
          <w:i w:val="0"/>
          <w:color w:val="000000"/>
          <w:sz w:val="22"/>
        </w:rPr>
        <w:t>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HEETS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26</w:t>
      </w:r>
    </w:p>
    <w:p>
      <w:pPr>
        <w:autoSpaceDN w:val="0"/>
        <w:tabs>
          <w:tab w:pos="9084" w:val="left"/>
        </w:tabs>
        <w:autoSpaceDE w:val="0"/>
        <w:widowControl/>
        <w:spacing w:line="246" w:lineRule="exact" w:before="158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C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ONDENSED </w:t>
      </w:r>
      <w:r>
        <w:rPr>
          <w:rFonts w:ascii="Arial" w:hAnsi="Arial" w:eastAsia="Arial"/>
          <w:b/>
          <w:i w:val="0"/>
          <w:color w:val="000000"/>
          <w:sz w:val="22"/>
        </w:rPr>
        <w:t>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TATEMENTS OF </w:t>
      </w:r>
      <w:r>
        <w:rPr>
          <w:rFonts w:ascii="Arial" w:hAnsi="Arial" w:eastAsia="Arial"/>
          <w:b/>
          <w:i w:val="0"/>
          <w:color w:val="000000"/>
          <w:sz w:val="22"/>
        </w:rPr>
        <w:t>I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NCOME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28</w:t>
      </w:r>
    </w:p>
    <w:p>
      <w:pPr>
        <w:autoSpaceDN w:val="0"/>
        <w:tabs>
          <w:tab w:pos="9084" w:val="left"/>
        </w:tabs>
        <w:autoSpaceDE w:val="0"/>
        <w:widowControl/>
        <w:spacing w:line="246" w:lineRule="exact" w:before="160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C</w:t>
      </w:r>
      <w:r>
        <w:rPr>
          <w:rFonts w:ascii="Arial" w:hAnsi="Arial" w:eastAsia="Arial"/>
          <w:b/>
          <w:i w:val="0"/>
          <w:color w:val="000000"/>
          <w:sz w:val="20"/>
        </w:rPr>
        <w:t>ONDENSED</w:t>
      </w:r>
      <w:r>
        <w:rPr>
          <w:rFonts w:ascii="Arial" w:hAnsi="Arial" w:eastAsia="Arial"/>
          <w:b/>
          <w:i w:val="0"/>
          <w:color w:val="000000"/>
          <w:sz w:val="22"/>
        </w:rPr>
        <w:t>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TATEMENTS OF </w:t>
      </w:r>
      <w:r>
        <w:rPr>
          <w:rFonts w:ascii="Arial" w:hAnsi="Arial" w:eastAsia="Arial"/>
          <w:b/>
          <w:i w:val="0"/>
          <w:color w:val="000000"/>
          <w:sz w:val="22"/>
        </w:rPr>
        <w:t>C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OMPREHENSIVE </w:t>
      </w:r>
      <w:r>
        <w:rPr>
          <w:rFonts w:ascii="Arial" w:hAnsi="Arial" w:eastAsia="Arial"/>
          <w:b/>
          <w:i w:val="0"/>
          <w:color w:val="000000"/>
          <w:sz w:val="22"/>
        </w:rPr>
        <w:t>I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NCOME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29</w:t>
      </w:r>
    </w:p>
    <w:p>
      <w:pPr>
        <w:autoSpaceDN w:val="0"/>
        <w:tabs>
          <w:tab w:pos="9084" w:val="left"/>
        </w:tabs>
        <w:autoSpaceDE w:val="0"/>
        <w:widowControl/>
        <w:spacing w:line="246" w:lineRule="exact" w:before="158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C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ONDENSED </w:t>
      </w:r>
      <w:r>
        <w:rPr>
          <w:rFonts w:ascii="Arial" w:hAnsi="Arial" w:eastAsia="Arial"/>
          <w:b/>
          <w:i w:val="0"/>
          <w:color w:val="000000"/>
          <w:sz w:val="22"/>
        </w:rPr>
        <w:t>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TATEMENTS OF </w:t>
      </w:r>
      <w:r>
        <w:rPr>
          <w:rFonts w:ascii="Arial" w:hAnsi="Arial" w:eastAsia="Arial"/>
          <w:b/>
          <w:i w:val="0"/>
          <w:color w:val="000000"/>
          <w:sz w:val="22"/>
        </w:rPr>
        <w:t>C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HANGES IN </w:t>
      </w:r>
      <w:r>
        <w:rPr>
          <w:rFonts w:ascii="Arial" w:hAnsi="Arial" w:eastAsia="Arial"/>
          <w:b/>
          <w:i w:val="0"/>
          <w:color w:val="000000"/>
          <w:sz w:val="22"/>
        </w:rPr>
        <w:t>A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CCUMULATED </w:t>
      </w:r>
      <w:r>
        <w:rPr>
          <w:rFonts w:ascii="Arial" w:hAnsi="Arial" w:eastAsia="Arial"/>
          <w:b/>
          <w:i w:val="0"/>
          <w:color w:val="000000"/>
          <w:sz w:val="22"/>
        </w:rPr>
        <w:t>D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EFICIT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29</w:t>
      </w:r>
    </w:p>
    <w:p>
      <w:pPr>
        <w:autoSpaceDN w:val="0"/>
        <w:tabs>
          <w:tab w:pos="9084" w:val="left"/>
        </w:tabs>
        <w:autoSpaceDE w:val="0"/>
        <w:widowControl/>
        <w:spacing w:line="246" w:lineRule="exact" w:before="160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C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ONDENSED </w:t>
      </w:r>
      <w:r>
        <w:rPr>
          <w:rFonts w:ascii="Arial" w:hAnsi="Arial" w:eastAsia="Arial"/>
          <w:b/>
          <w:i w:val="0"/>
          <w:color w:val="000000"/>
          <w:sz w:val="22"/>
        </w:rPr>
        <w:t>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TATEMENTS OF </w:t>
      </w:r>
      <w:r>
        <w:rPr>
          <w:rFonts w:ascii="Arial" w:hAnsi="Arial" w:eastAsia="Arial"/>
          <w:b/>
          <w:i w:val="0"/>
          <w:color w:val="000000"/>
          <w:sz w:val="22"/>
        </w:rPr>
        <w:t>C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ASH </w:t>
      </w:r>
      <w:r>
        <w:rPr>
          <w:rFonts w:ascii="Arial" w:hAnsi="Arial" w:eastAsia="Arial"/>
          <w:b/>
          <w:i w:val="0"/>
          <w:color w:val="000000"/>
          <w:sz w:val="22"/>
        </w:rPr>
        <w:t>F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LOWS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30</w:t>
      </w:r>
    </w:p>
    <w:p>
      <w:pPr>
        <w:autoSpaceDN w:val="0"/>
        <w:tabs>
          <w:tab w:pos="9084" w:val="left"/>
        </w:tabs>
        <w:autoSpaceDE w:val="0"/>
        <w:widowControl/>
        <w:spacing w:line="246" w:lineRule="exact" w:before="158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OTES TO </w:t>
      </w:r>
      <w:r>
        <w:rPr>
          <w:rFonts w:ascii="Arial" w:hAnsi="Arial" w:eastAsia="Arial"/>
          <w:b/>
          <w:i w:val="0"/>
          <w:color w:val="000000"/>
          <w:sz w:val="22"/>
        </w:rPr>
        <w:t>C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ONDENSED </w:t>
      </w:r>
      <w:r>
        <w:rPr>
          <w:rFonts w:ascii="Arial" w:hAnsi="Arial" w:eastAsia="Arial"/>
          <w:b/>
          <w:i w:val="0"/>
          <w:color w:val="000000"/>
          <w:sz w:val="22"/>
        </w:rPr>
        <w:t>Q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UARTERLY </w:t>
      </w:r>
      <w:r>
        <w:rPr>
          <w:rFonts w:ascii="Arial" w:hAnsi="Arial" w:eastAsia="Arial"/>
          <w:b/>
          <w:i w:val="0"/>
          <w:color w:val="000000"/>
          <w:sz w:val="22"/>
        </w:rPr>
        <w:t>F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INANCIAL </w:t>
      </w:r>
      <w:r>
        <w:rPr>
          <w:rFonts w:ascii="Arial" w:hAnsi="Arial" w:eastAsia="Arial"/>
          <w:b/>
          <w:i w:val="0"/>
          <w:color w:val="000000"/>
          <w:sz w:val="22"/>
        </w:rPr>
        <w:t>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TATEMENTS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31</w:t>
      </w:r>
    </w:p>
    <w:p>
      <w:pPr>
        <w:autoSpaceDN w:val="0"/>
        <w:tabs>
          <w:tab w:pos="9084" w:val="left"/>
        </w:tabs>
        <w:autoSpaceDE w:val="0"/>
        <w:widowControl/>
        <w:spacing w:line="246" w:lineRule="exact" w:before="160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I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NDEPENDENT </w:t>
      </w:r>
      <w:r>
        <w:rPr>
          <w:rFonts w:ascii="Arial" w:hAnsi="Arial" w:eastAsia="Arial"/>
          <w:b/>
          <w:i w:val="0"/>
          <w:color w:val="000000"/>
          <w:sz w:val="22"/>
        </w:rPr>
        <w:t>A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UDITOR'S </w:t>
      </w:r>
      <w:r>
        <w:rPr>
          <w:rFonts w:ascii="Arial" w:hAnsi="Arial" w:eastAsia="Arial"/>
          <w:b/>
          <w:i w:val="0"/>
          <w:color w:val="000000"/>
          <w:sz w:val="22"/>
        </w:rPr>
        <w:t>R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EVIEW </w:t>
      </w:r>
      <w:r>
        <w:rPr>
          <w:rFonts w:ascii="Arial" w:hAnsi="Arial" w:eastAsia="Arial"/>
          <w:b/>
          <w:i w:val="0"/>
          <w:color w:val="000000"/>
          <w:sz w:val="22"/>
        </w:rPr>
        <w:t>R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EPORT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54</w:t>
      </w:r>
    </w:p>
    <w:p>
      <w:pPr>
        <w:autoSpaceDN w:val="0"/>
        <w:autoSpaceDE w:val="0"/>
        <w:widowControl/>
        <w:spacing w:line="224" w:lineRule="exact" w:before="772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IDA Quarterly Financial Statements: March 31, 2025 (Unaudited)     25</w:t>
      </w:r>
    </w:p>
    <w:p>
      <w:pPr>
        <w:sectPr>
          <w:pgSz w:w="12240" w:h="15840"/>
          <w:pgMar w:top="516" w:right="1420" w:bottom="2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CONDENSED BALANCE SHEETS</w:t>
      </w:r>
    </w:p>
    <w:p>
      <w:pPr>
        <w:autoSpaceDN w:val="0"/>
        <w:autoSpaceDE w:val="0"/>
        <w:widowControl/>
        <w:spacing w:line="202" w:lineRule="exact" w:before="336" w:after="318"/>
        <w:ind w:left="5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16.0" w:type="dxa"/>
      </w:tblPr>
      <w:tblGrid>
        <w:gridCol w:w="4708"/>
        <w:gridCol w:w="4708"/>
      </w:tblGrid>
      <w:tr>
        <w:trPr>
          <w:trHeight w:hRule="exact" w:val="506"/>
        </w:trPr>
        <w:tc>
          <w:tcPr>
            <w:tcW w:type="dxa" w:w="178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4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March 31, 2025 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(Unaudited)</w:t>
            </w:r>
          </w:p>
        </w:tc>
        <w:tc>
          <w:tcPr>
            <w:tcW w:type="dxa" w:w="16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4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June 30, 2024 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(Unaudited)</w:t>
            </w:r>
          </w:p>
        </w:tc>
      </w:tr>
    </w:tbl>
    <w:p>
      <w:pPr>
        <w:autoSpaceDN w:val="0"/>
        <w:autoSpaceDE w:val="0"/>
        <w:widowControl/>
        <w:spacing w:line="202" w:lineRule="exact" w:before="24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Assets</w:t>
      </w:r>
    </w:p>
    <w:p>
      <w:pPr>
        <w:autoSpaceDN w:val="0"/>
        <w:autoSpaceDE w:val="0"/>
        <w:widowControl/>
        <w:spacing w:line="200" w:lineRule="exact" w:before="54" w:after="2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Due from banks—Notes C and J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354"/>
        <w:gridCol w:w="2354"/>
        <w:gridCol w:w="2354"/>
        <w:gridCol w:w="2354"/>
      </w:tblGrid>
      <w:tr>
        <w:trPr>
          <w:trHeight w:hRule="exact" w:val="246"/>
        </w:trPr>
        <w:tc>
          <w:tcPr>
            <w:tcW w:type="dxa" w:w="5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Unrestricted cash</w:t>
            </w:r>
          </w:p>
        </w:tc>
        <w:tc>
          <w:tcPr>
            <w:tcW w:type="dxa" w:w="8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5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929 $ </w:t>
            </w:r>
          </w:p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563 </w:t>
            </w:r>
          </w:p>
        </w:tc>
      </w:tr>
      <w:tr>
        <w:trPr>
          <w:trHeight w:hRule="exact" w:val="266"/>
        </w:trPr>
        <w:tc>
          <w:tcPr>
            <w:tcW w:type="dxa" w:w="58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Restricted cash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7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7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23 </w:t>
            </w:r>
          </w:p>
        </w:tc>
        <w:tc>
          <w:tcPr>
            <w:tcW w:type="dxa" w:w="9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23 </w:t>
            </w:r>
          </w:p>
        </w:tc>
      </w:tr>
      <w:tr>
        <w:trPr>
          <w:trHeight w:hRule="exact" w:val="254"/>
        </w:trPr>
        <w:tc>
          <w:tcPr>
            <w:tcW w:type="dxa" w:w="58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7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952 </w:t>
            </w:r>
          </w:p>
        </w:tc>
        <w:tc>
          <w:tcPr>
            <w:tcW w:type="dxa" w:w="9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586 </w:t>
            </w:r>
          </w:p>
        </w:tc>
      </w:tr>
    </w:tbl>
    <w:p>
      <w:pPr>
        <w:autoSpaceDN w:val="0"/>
        <w:autoSpaceDE w:val="0"/>
        <w:widowControl/>
        <w:spacing w:line="216" w:lineRule="exact" w:before="344" w:after="8"/>
        <w:ind w:left="0" w:right="3600" w:firstLine="0"/>
        <w:jc w:val="center"/>
      </w:pPr>
      <w:r>
        <w:rPr>
          <w:rFonts w:ascii="Arial" w:hAnsi="Arial" w:eastAsia="Arial"/>
          <w:b/>
          <w:i/>
          <w:color w:val="000000"/>
          <w:sz w:val="18"/>
        </w:rPr>
        <w:t xml:space="preserve">Investments (including securities transferred under repurchase or </w:t>
      </w:r>
      <w:r>
        <w:rPr>
          <w:rFonts w:ascii="Arial" w:hAnsi="Arial" w:eastAsia="Arial"/>
          <w:b/>
          <w:i/>
          <w:color w:val="000000"/>
          <w:sz w:val="18"/>
        </w:rPr>
        <w:t xml:space="preserve">securities lending agreements of $186 million —March 31, 2025;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139"/>
        <w:gridCol w:w="3139"/>
        <w:gridCol w:w="3139"/>
      </w:tblGrid>
      <w:tr>
        <w:trPr>
          <w:trHeight w:hRule="exact" w:val="376"/>
        </w:trPr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2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$69 million—June 30, 2024) —Notes C, H and J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5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45,154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34,377 </w:t>
            </w:r>
          </w:p>
        </w:tc>
      </w:tr>
      <w:tr>
        <w:trPr>
          <w:trHeight w:hRule="exact" w:val="580"/>
        </w:trPr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Securities Purchased Under Resale Agreements—Notes C and J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0" w:after="0"/>
              <w:ind w:left="0" w:right="5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166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58 </w:t>
            </w:r>
          </w:p>
        </w:tc>
      </w:tr>
      <w:tr>
        <w:trPr>
          <w:trHeight w:hRule="exact" w:val="560"/>
        </w:trPr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9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Derivative assets, net—Notes F, H and J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90" w:after="0"/>
              <w:ind w:left="0" w:right="5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497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9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363 </w:t>
            </w:r>
          </w:p>
        </w:tc>
      </w:tr>
      <w:tr>
        <w:trPr>
          <w:trHeight w:hRule="exact" w:val="462"/>
        </w:trPr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Receivable from affiliated organization—Note H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0" w:after="0"/>
              <w:ind w:left="0" w:right="5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1,666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1,395 </w:t>
            </w:r>
          </w:p>
        </w:tc>
      </w:tr>
    </w:tbl>
    <w:p>
      <w:pPr>
        <w:autoSpaceDN w:val="0"/>
        <w:autoSpaceDE w:val="0"/>
        <w:widowControl/>
        <w:spacing w:line="200" w:lineRule="exact" w:before="294" w:after="26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Loans outstanding—Notes D, H and J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39"/>
        <w:gridCol w:w="3139"/>
        <w:gridCol w:w="3139"/>
      </w:tblGrid>
      <w:tr>
        <w:trPr>
          <w:trHeight w:hRule="exact" w:val="266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 loans approved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291,542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278,107 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216" w:lineRule="exact" w:before="20" w:after="8"/>
        <w:ind w:left="152" w:right="360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Less: Undisbursed balance (including signed loan commitments of    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$67,039 million—March 31, 2025; $68,851 million—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139"/>
        <w:gridCol w:w="3139"/>
        <w:gridCol w:w="3139"/>
      </w:tblGrid>
      <w:tr>
        <w:trPr>
          <w:trHeight w:hRule="exact" w:val="238"/>
        </w:trPr>
        <w:tc>
          <w:tcPr>
            <w:tcW w:type="dxa" w:w="56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June 30, 2024) </w:t>
            </w:r>
          </w:p>
        </w:tc>
        <w:tc>
          <w:tcPr>
            <w:tcW w:type="dxa" w:w="182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(76,011) </w:t>
            </w:r>
          </w:p>
        </w:tc>
        <w:tc>
          <w:tcPr>
            <w:tcW w:type="dxa" w:w="16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(75,559) </w:t>
            </w:r>
          </w:p>
        </w:tc>
      </w:tr>
      <w:tr>
        <w:trPr>
          <w:trHeight w:hRule="exact" w:val="254"/>
        </w:trPr>
        <w:tc>
          <w:tcPr>
            <w:tcW w:type="dxa" w:w="56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5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Loans outstanding</w:t>
            </w:r>
          </w:p>
        </w:tc>
        <w:tc>
          <w:tcPr>
            <w:tcW w:type="dxa" w:w="182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215,531 </w:t>
            </w:r>
          </w:p>
        </w:tc>
        <w:tc>
          <w:tcPr>
            <w:tcW w:type="dxa" w:w="16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202,548 </w:t>
            </w:r>
          </w:p>
        </w:tc>
      </w:tr>
    </w:tbl>
    <w:p>
      <w:pPr>
        <w:autoSpaceDN w:val="0"/>
        <w:autoSpaceDE w:val="0"/>
        <w:widowControl/>
        <w:spacing w:line="200" w:lineRule="exact" w:before="26" w:after="26"/>
        <w:ind w:left="1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Less: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354"/>
        <w:gridCol w:w="2354"/>
        <w:gridCol w:w="2354"/>
        <w:gridCol w:w="2354"/>
      </w:tblGrid>
      <w:tr>
        <w:trPr>
          <w:trHeight w:hRule="exact" w:val="248"/>
        </w:trPr>
        <w:tc>
          <w:tcPr>
            <w:tcW w:type="dxa" w:w="5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4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Accumulated provision for loan losses</w:t>
            </w:r>
          </w:p>
        </w:tc>
        <w:tc>
          <w:tcPr>
            <w:tcW w:type="dxa" w:w="6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(4,426)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(4,065) </w:t>
            </w:r>
          </w:p>
        </w:tc>
      </w:tr>
      <w:tr>
        <w:trPr>
          <w:trHeight w:hRule="exact" w:val="266"/>
        </w:trPr>
        <w:tc>
          <w:tcPr>
            <w:tcW w:type="dxa" w:w="58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4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Deferred loan income 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7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5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(40) </w:t>
            </w:r>
          </w:p>
        </w:tc>
        <w:tc>
          <w:tcPr>
            <w:tcW w:type="dxa" w:w="1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(26) </w:t>
            </w:r>
          </w:p>
        </w:tc>
      </w:tr>
      <w:tr>
        <w:trPr>
          <w:trHeight w:hRule="exact" w:val="254"/>
        </w:trPr>
        <w:tc>
          <w:tcPr>
            <w:tcW w:type="dxa" w:w="58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7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loans outstanding</w:t>
            </w:r>
          </w:p>
        </w:tc>
        <w:tc>
          <w:tcPr>
            <w:tcW w:type="dxa" w:w="6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4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211,065 </w:t>
            </w:r>
          </w:p>
        </w:tc>
        <w:tc>
          <w:tcPr>
            <w:tcW w:type="dxa" w:w="1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198,457 </w:t>
            </w:r>
          </w:p>
        </w:tc>
      </w:tr>
      <w:tr>
        <w:trPr>
          <w:trHeight w:hRule="exact" w:val="886"/>
        </w:trPr>
        <w:tc>
          <w:tcPr>
            <w:tcW w:type="dxa" w:w="58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3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Other assets—Notes C, D, G and H</w:t>
            </w:r>
          </w:p>
        </w:tc>
        <w:tc>
          <w:tcPr>
            <w:tcW w:type="dxa" w:w="6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7,086 </w:t>
            </w:r>
          </w:p>
        </w:tc>
        <w:tc>
          <w:tcPr>
            <w:tcW w:type="dxa" w:w="1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6,114 </w:t>
            </w:r>
          </w:p>
        </w:tc>
      </w:tr>
      <w:tr>
        <w:trPr>
          <w:trHeight w:hRule="exact" w:val="234"/>
        </w:trPr>
        <w:tc>
          <w:tcPr>
            <w:tcW w:type="dxa" w:w="58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assets</w:t>
            </w:r>
          </w:p>
        </w:tc>
        <w:tc>
          <w:tcPr>
            <w:tcW w:type="dxa" w:w="6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4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266,586 $ </w:t>
            </w:r>
          </w:p>
        </w:tc>
        <w:tc>
          <w:tcPr>
            <w:tcW w:type="dxa" w:w="1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241,350 </w:t>
            </w:r>
          </w:p>
        </w:tc>
      </w:tr>
      <w:tr>
        <w:trPr>
          <w:trHeight w:hRule="exact" w:val="52"/>
        </w:trPr>
        <w:tc>
          <w:tcPr>
            <w:tcW w:type="dxa" w:w="58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440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26     IDA Quarterly Financial Statements: March 31, 2025 (Unaudited)</w:t>
      </w:r>
    </w:p>
    <w:p>
      <w:pPr>
        <w:sectPr>
          <w:pgSz w:w="12240" w:h="15840"/>
          <w:pgMar w:top="516" w:right="1384" w:bottom="2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76.0" w:type="dxa"/>
      </w:tblPr>
      <w:tblGrid>
        <w:gridCol w:w="4708"/>
        <w:gridCol w:w="4708"/>
      </w:tblGrid>
      <w:tr>
        <w:trPr>
          <w:trHeight w:hRule="exact" w:val="446"/>
        </w:trPr>
        <w:tc>
          <w:tcPr>
            <w:tcW w:type="dxa" w:w="1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March 31, 2025 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(Unaudited)</w:t>
            </w:r>
          </w:p>
        </w:tc>
        <w:tc>
          <w:tcPr>
            <w:tcW w:type="dxa" w:w="163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June 30, 2024 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(Unaudited)</w:t>
            </w:r>
          </w:p>
        </w:tc>
      </w:tr>
    </w:tbl>
    <w:p>
      <w:pPr>
        <w:autoSpaceDN w:val="0"/>
        <w:autoSpaceDE w:val="0"/>
        <w:widowControl/>
        <w:spacing w:line="202" w:lineRule="exact" w:before="24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Liabilities</w:t>
      </w:r>
    </w:p>
    <w:p>
      <w:pPr>
        <w:autoSpaceDN w:val="0"/>
        <w:autoSpaceDE w:val="0"/>
        <w:widowControl/>
        <w:spacing w:line="200" w:lineRule="exact" w:before="54" w:after="26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Borrowings—Notes E and J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354"/>
        <w:gridCol w:w="2354"/>
        <w:gridCol w:w="2354"/>
        <w:gridCol w:w="2354"/>
      </w:tblGrid>
      <w:tr>
        <w:trPr>
          <w:trHeight w:hRule="exact" w:val="254"/>
        </w:trPr>
        <w:tc>
          <w:tcPr>
            <w:tcW w:type="dxa" w:w="5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Market borrowings, at fair value</w:t>
            </w:r>
          </w:p>
        </w:tc>
        <w:tc>
          <w:tcPr>
            <w:tcW w:type="dxa" w:w="6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3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42,483 $ </w:t>
            </w:r>
          </w:p>
        </w:tc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26,425 </w:t>
            </w:r>
          </w:p>
        </w:tc>
      </w:tr>
      <w:tr>
        <w:trPr>
          <w:trHeight w:hRule="exact" w:val="240"/>
        </w:trPr>
        <w:tc>
          <w:tcPr>
            <w:tcW w:type="dxa" w:w="5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Market borrowings, at amortized cost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6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14,843 </w:t>
            </w:r>
          </w:p>
        </w:tc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11,494 </w:t>
            </w:r>
          </w:p>
        </w:tc>
      </w:tr>
      <w:tr>
        <w:trPr>
          <w:trHeight w:hRule="exact" w:val="274"/>
        </w:trPr>
        <w:tc>
          <w:tcPr>
            <w:tcW w:type="dxa" w:w="58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Concessional partner loans, at amortized cost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7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6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7,184 </w:t>
            </w:r>
          </w:p>
        </w:tc>
        <w:tc>
          <w:tcPr>
            <w:tcW w:type="dxa" w:w="10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7,004 </w:t>
            </w:r>
          </w:p>
        </w:tc>
      </w:tr>
      <w:tr>
        <w:trPr>
          <w:trHeight w:hRule="exact" w:val="256"/>
        </w:trPr>
        <w:tc>
          <w:tcPr>
            <w:tcW w:type="dxa" w:w="58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6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64,510 </w:t>
            </w:r>
          </w:p>
        </w:tc>
        <w:tc>
          <w:tcPr>
            <w:tcW w:type="dxa" w:w="10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44,923 </w:t>
            </w:r>
          </w:p>
        </w:tc>
      </w:tr>
    </w:tbl>
    <w:p>
      <w:pPr>
        <w:autoSpaceDN w:val="0"/>
        <w:tabs>
          <w:tab w:pos="142" w:val="left"/>
        </w:tabs>
        <w:autoSpaceDE w:val="0"/>
        <w:widowControl/>
        <w:spacing w:line="216" w:lineRule="exact" w:before="252" w:after="8"/>
        <w:ind w:left="52" w:right="3456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 xml:space="preserve">Securities sold under repurchase agreements, securities lent under </w:t>
      </w:r>
      <w:r>
        <w:rPr>
          <w:rFonts w:ascii="Arial" w:hAnsi="Arial" w:eastAsia="Arial"/>
          <w:b/>
          <w:i/>
          <w:color w:val="000000"/>
          <w:sz w:val="18"/>
        </w:rPr>
        <w:t xml:space="preserve">securities lending agreements, and payable for cash collateral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139"/>
        <w:gridCol w:w="3139"/>
        <w:gridCol w:w="3139"/>
      </w:tblGrid>
      <w:tr>
        <w:trPr>
          <w:trHeight w:hRule="exact" w:val="358"/>
        </w:trPr>
        <w:tc>
          <w:tcPr>
            <w:tcW w:type="dxa" w:w="5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received—Notes C and J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189 </w:t>
            </w:r>
          </w:p>
        </w:tc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71 </w:t>
            </w:r>
          </w:p>
        </w:tc>
      </w:tr>
      <w:tr>
        <w:trPr>
          <w:trHeight w:hRule="exact" w:val="520"/>
        </w:trPr>
        <w:tc>
          <w:tcPr>
            <w:tcW w:type="dxa" w:w="5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Derivative liabilities, net—Notes F, H and J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405 </w:t>
            </w:r>
          </w:p>
        </w:tc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667 </w:t>
            </w:r>
          </w:p>
        </w:tc>
      </w:tr>
      <w:tr>
        <w:trPr>
          <w:trHeight w:hRule="exact" w:val="540"/>
        </w:trPr>
        <w:tc>
          <w:tcPr>
            <w:tcW w:type="dxa" w:w="5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Payable for development grants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1,247 </w:t>
            </w:r>
          </w:p>
        </w:tc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1,706 </w:t>
            </w:r>
          </w:p>
        </w:tc>
      </w:tr>
      <w:tr>
        <w:trPr>
          <w:trHeight w:hRule="exact" w:val="540"/>
        </w:trPr>
        <w:tc>
          <w:tcPr>
            <w:tcW w:type="dxa" w:w="5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Payable to affiliated organization—Note H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563 </w:t>
            </w:r>
          </w:p>
        </w:tc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279 </w:t>
            </w:r>
          </w:p>
        </w:tc>
      </w:tr>
      <w:tr>
        <w:trPr>
          <w:trHeight w:hRule="exact" w:val="410"/>
        </w:trPr>
        <w:tc>
          <w:tcPr>
            <w:tcW w:type="dxa" w:w="59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Other liabilities—Notes C and D</w:t>
            </w:r>
          </w:p>
        </w:tc>
        <w:tc>
          <w:tcPr>
            <w:tcW w:type="dxa" w:w="1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4,222 </w:t>
            </w:r>
          </w:p>
        </w:tc>
        <w:tc>
          <w:tcPr>
            <w:tcW w:type="dxa" w:w="163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3,403 </w:t>
            </w:r>
          </w:p>
        </w:tc>
      </w:tr>
      <w:tr>
        <w:trPr>
          <w:trHeight w:hRule="exact" w:val="256"/>
        </w:trPr>
        <w:tc>
          <w:tcPr>
            <w:tcW w:type="dxa" w:w="59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liabilities</w:t>
            </w:r>
          </w:p>
        </w:tc>
        <w:tc>
          <w:tcPr>
            <w:tcW w:type="dxa" w:w="1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71,136 </w:t>
            </w:r>
          </w:p>
        </w:tc>
        <w:tc>
          <w:tcPr>
            <w:tcW w:type="dxa" w:w="163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51,049 </w:t>
            </w:r>
          </w:p>
        </w:tc>
      </w:tr>
    </w:tbl>
    <w:p>
      <w:pPr>
        <w:autoSpaceDN w:val="0"/>
        <w:autoSpaceDE w:val="0"/>
        <w:widowControl/>
        <w:spacing w:line="202" w:lineRule="exact" w:before="338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Equity</w:t>
      </w:r>
    </w:p>
    <w:p>
      <w:pPr>
        <w:autoSpaceDN w:val="0"/>
        <w:autoSpaceDE w:val="0"/>
        <w:widowControl/>
        <w:spacing w:line="200" w:lineRule="exact" w:before="54" w:after="2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Members' subscriptions and contributions—Note 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39"/>
        <w:gridCol w:w="3139"/>
        <w:gridCol w:w="3139"/>
      </w:tblGrid>
      <w:tr>
        <w:trPr>
          <w:trHeight w:hRule="exact" w:val="254"/>
        </w:trPr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Subscriptions and contributions committed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313,049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310,983 </w:t>
            </w:r>
          </w:p>
        </w:tc>
      </w:tr>
    </w:tbl>
    <w:p>
      <w:pPr>
        <w:autoSpaceDN w:val="0"/>
        <w:autoSpaceDE w:val="0"/>
        <w:widowControl/>
        <w:spacing w:line="200" w:lineRule="exact" w:before="28" w:after="28"/>
        <w:ind w:left="2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354"/>
        <w:gridCol w:w="2354"/>
        <w:gridCol w:w="2354"/>
        <w:gridCol w:w="2354"/>
      </w:tblGrid>
      <w:tr>
        <w:trPr>
          <w:trHeight w:hRule="exact" w:val="242"/>
        </w:trPr>
        <w:tc>
          <w:tcPr>
            <w:tcW w:type="dxa" w:w="6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4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Subscriptions and contributions receivable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5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(22,472)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(26,690) </w:t>
            </w:r>
          </w:p>
        </w:tc>
      </w:tr>
      <w:tr>
        <w:trPr>
          <w:trHeight w:hRule="exact" w:val="270"/>
        </w:trPr>
        <w:tc>
          <w:tcPr>
            <w:tcW w:type="dxa" w:w="65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Cumulative discounts/credits on subscriptions and contributions, net </w:t>
            </w:r>
          </w:p>
        </w:tc>
        <w:tc>
          <w:tcPr>
            <w:tcW w:type="dxa" w:w="17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(4,249) </w:t>
            </w:r>
          </w:p>
        </w:tc>
        <w:tc>
          <w:tcPr>
            <w:tcW w:type="dxa" w:w="11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(4,220) </w:t>
            </w:r>
          </w:p>
        </w:tc>
      </w:tr>
      <w:tr>
        <w:trPr>
          <w:trHeight w:hRule="exact" w:val="390"/>
        </w:trPr>
        <w:tc>
          <w:tcPr>
            <w:tcW w:type="dxa" w:w="656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7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Subscriptions and contributions paid-in</w:t>
            </w:r>
          </w:p>
        </w:tc>
        <w:tc>
          <w:tcPr>
            <w:tcW w:type="dxa" w:w="17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4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286,328 </w:t>
            </w:r>
          </w:p>
        </w:tc>
        <w:tc>
          <w:tcPr>
            <w:tcW w:type="dxa" w:w="11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280,073 </w:t>
            </w:r>
          </w:p>
        </w:tc>
      </w:tr>
      <w:tr>
        <w:trPr>
          <w:trHeight w:hRule="exact" w:val="720"/>
        </w:trPr>
        <w:tc>
          <w:tcPr>
            <w:tcW w:type="dxa" w:w="6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6" w:val="left"/>
              </w:tabs>
              <w:autoSpaceDE w:val="0"/>
              <w:widowControl/>
              <w:spacing w:line="180" w:lineRule="exact" w:before="196" w:after="0"/>
              <w:ind w:left="32" w:right="576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 xml:space="preserve">Nonnegotiable, non-interest-bearing demand obligations on account </w:t>
            </w: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of members' subscriptions and contributions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54" w:after="0"/>
              <w:ind w:left="0" w:right="5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(11,433)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5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(12,553) </w:t>
            </w:r>
          </w:p>
        </w:tc>
      </w:tr>
      <w:tr>
        <w:trPr>
          <w:trHeight w:hRule="exact" w:val="540"/>
        </w:trPr>
        <w:tc>
          <w:tcPr>
            <w:tcW w:type="dxa" w:w="6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Deferred amounts to maintain value of currency holdings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4" w:after="0"/>
              <w:ind w:left="0" w:right="5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(248)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(248) </w:t>
            </w:r>
          </w:p>
        </w:tc>
      </w:tr>
      <w:tr>
        <w:trPr>
          <w:trHeight w:hRule="exact" w:val="540"/>
        </w:trPr>
        <w:tc>
          <w:tcPr>
            <w:tcW w:type="dxa" w:w="6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Accumulated deficit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4" w:after="0"/>
              <w:ind w:left="0" w:right="5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(70,159)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(66,379) </w:t>
            </w:r>
          </w:p>
        </w:tc>
      </w:tr>
      <w:tr>
        <w:trPr>
          <w:trHeight w:hRule="exact" w:val="660"/>
        </w:trPr>
        <w:tc>
          <w:tcPr>
            <w:tcW w:type="dxa" w:w="65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Accumulated other comprehensive loss—Note I</w:t>
            </w:r>
          </w:p>
        </w:tc>
        <w:tc>
          <w:tcPr>
            <w:tcW w:type="dxa" w:w="17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(9,038) </w:t>
            </w:r>
          </w:p>
        </w:tc>
        <w:tc>
          <w:tcPr>
            <w:tcW w:type="dxa" w:w="11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(10,592) </w:t>
            </w:r>
          </w:p>
        </w:tc>
      </w:tr>
      <w:tr>
        <w:trPr>
          <w:trHeight w:hRule="exact" w:val="254"/>
        </w:trPr>
        <w:tc>
          <w:tcPr>
            <w:tcW w:type="dxa" w:w="65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equity</w:t>
            </w:r>
          </w:p>
        </w:tc>
        <w:tc>
          <w:tcPr>
            <w:tcW w:type="dxa" w:w="17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4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195,450 </w:t>
            </w:r>
          </w:p>
        </w:tc>
        <w:tc>
          <w:tcPr>
            <w:tcW w:type="dxa" w:w="11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190,301 </w:t>
            </w:r>
          </w:p>
        </w:tc>
      </w:tr>
      <w:tr>
        <w:trPr>
          <w:trHeight w:hRule="exact" w:val="552"/>
        </w:trPr>
        <w:tc>
          <w:tcPr>
            <w:tcW w:type="dxa" w:w="59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3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liabilities and equity</w:t>
            </w:r>
          </w:p>
        </w:tc>
        <w:tc>
          <w:tcPr>
            <w:tcW w:type="dxa" w:w="6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7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30" w:after="0"/>
              <w:ind w:left="4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266,586 $ </w:t>
            </w:r>
          </w:p>
        </w:tc>
        <w:tc>
          <w:tcPr>
            <w:tcW w:type="dxa" w:w="11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241,350 </w:t>
            </w:r>
          </w:p>
        </w:tc>
      </w:tr>
      <w:tr>
        <w:trPr>
          <w:trHeight w:hRule="exact" w:val="50"/>
        </w:trPr>
        <w:tc>
          <w:tcPr>
            <w:tcW w:type="dxa" w:w="59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2" w:lineRule="exact" w:before="832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18"/>
        </w:rPr>
        <w:t>The Notes to Condensed Quarterly Financial Statements are an integral part of these Statements.</w:t>
      </w:r>
    </w:p>
    <w:p>
      <w:pPr>
        <w:autoSpaceDN w:val="0"/>
        <w:autoSpaceDE w:val="0"/>
        <w:widowControl/>
        <w:spacing w:line="224" w:lineRule="exact" w:before="1526" w:after="0"/>
        <w:ind w:left="0" w:right="56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IDA Quarterly Financial Statements: March 31, 2025 (Unaudited)     27</w:t>
      </w:r>
    </w:p>
    <w:p>
      <w:pPr>
        <w:sectPr>
          <w:pgSz w:w="12240" w:h="15840"/>
          <w:pgMar w:top="836" w:right="1384" w:bottom="2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CONDENSED STATEMENTS OF INCOME</w:t>
      </w:r>
    </w:p>
    <w:p>
      <w:pPr>
        <w:autoSpaceDN w:val="0"/>
        <w:autoSpaceDE w:val="0"/>
        <w:widowControl/>
        <w:spacing w:line="224" w:lineRule="exact" w:before="276" w:after="48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64.0" w:type="dxa"/>
      </w:tblPr>
      <w:tblGrid>
        <w:gridCol w:w="2342"/>
        <w:gridCol w:w="2342"/>
        <w:gridCol w:w="2342"/>
        <w:gridCol w:w="2342"/>
      </w:tblGrid>
      <w:tr>
        <w:trPr>
          <w:trHeight w:hRule="exact" w:val="708"/>
        </w:trPr>
        <w:tc>
          <w:tcPr>
            <w:tcW w:type="dxa" w:w="186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Three Months Ended 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March 31,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(Unaudited)</w:t>
            </w:r>
          </w:p>
        </w:tc>
        <w:tc>
          <w:tcPr>
            <w:tcW w:type="dxa" w:w="199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32" w:after="0"/>
              <w:ind w:left="144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Nine Months Ended 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March 31,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(Unaudited)</w:t>
            </w:r>
          </w:p>
        </w:tc>
      </w:tr>
      <w:tr>
        <w:trPr>
          <w:trHeight w:hRule="exact" w:val="256"/>
        </w:trPr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2025</w:t>
            </w:r>
          </w:p>
        </w:tc>
        <w:tc>
          <w:tcPr>
            <w:tcW w:type="dxa" w:w="10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23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10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23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2025</w:t>
            </w:r>
          </w:p>
        </w:tc>
        <w:tc>
          <w:tcPr>
            <w:tcW w:type="dxa" w:w="98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22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</w:tr>
    </w:tbl>
    <w:p>
      <w:pPr>
        <w:autoSpaceDN w:val="0"/>
        <w:autoSpaceDE w:val="0"/>
        <w:widowControl/>
        <w:spacing w:line="202" w:lineRule="exact" w:before="264" w:after="26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Interest 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252"/>
        </w:trPr>
        <w:tc>
          <w:tcPr>
            <w:tcW w:type="dxa" w:w="5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Loans, net—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D</w:t>
            </w:r>
          </w:p>
        </w:tc>
        <w:tc>
          <w:tcPr>
            <w:tcW w:type="dxa" w:w="2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772 </w:t>
            </w:r>
          </w:p>
        </w:tc>
        <w:tc>
          <w:tcPr>
            <w:tcW w:type="dxa" w:w="3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670 </w:t>
            </w:r>
          </w:p>
        </w:tc>
        <w:tc>
          <w:tcPr>
            <w:tcW w:type="dxa" w:w="9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$ 2,220 </w:t>
            </w:r>
          </w:p>
        </w:tc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$ 1,936 </w:t>
            </w:r>
          </w:p>
        </w:tc>
      </w:tr>
      <w:tr>
        <w:trPr>
          <w:trHeight w:hRule="exact" w:val="240"/>
        </w:trPr>
        <w:tc>
          <w:tcPr>
            <w:tcW w:type="dxa" w:w="5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Investments, net—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Notes C, F and H</w:t>
            </w:r>
          </w:p>
        </w:tc>
        <w:tc>
          <w:tcPr>
            <w:tcW w:type="dxa" w:w="1339"/>
            <w:vMerge/>
            <w:tcBorders>
              <w:bottom w:sz="8.0" w:val="single" w:color="#000000"/>
            </w:tcBorders>
          </w:tcPr>
          <w:p/>
        </w:tc>
        <w:tc>
          <w:tcPr>
            <w:tcW w:type="dxa" w:w="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353 </w:t>
            </w:r>
          </w:p>
        </w:tc>
        <w:tc>
          <w:tcPr>
            <w:tcW w:type="dxa" w:w="1339"/>
            <w:vMerge/>
            <w:tcBorders>
              <w:bottom w:sz="8.0" w:val="single" w:color="#000000"/>
            </w:tcBorders>
          </w:tcPr>
          <w:p/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318 </w:t>
            </w:r>
          </w:p>
        </w:tc>
        <w:tc>
          <w:tcPr>
            <w:tcW w:type="dxa" w:w="9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1,136 </w:t>
            </w:r>
          </w:p>
        </w:tc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971 </w:t>
            </w:r>
          </w:p>
        </w:tc>
      </w:tr>
      <w:tr>
        <w:trPr>
          <w:trHeight w:hRule="exact" w:val="420"/>
        </w:trPr>
        <w:tc>
          <w:tcPr>
            <w:tcW w:type="dxa" w:w="5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Asset-liability management derivatives, net—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F</w:t>
            </w:r>
          </w:p>
        </w:tc>
        <w:tc>
          <w:tcPr>
            <w:tcW w:type="dxa" w:w="1339"/>
            <w:vMerge/>
            <w:tcBorders>
              <w:bottom w:sz="8.0" w:val="single" w:color="#000000"/>
            </w:tcBorders>
          </w:tcPr>
          <w:p/>
        </w:tc>
        <w:tc>
          <w:tcPr>
            <w:tcW w:type="dxa" w:w="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1339"/>
            <w:vMerge/>
            <w:tcBorders>
              <w:bottom w:sz="8.0" w:val="single" w:color="#000000"/>
            </w:tcBorders>
          </w:tcPr>
          <w:p/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 </w:t>
            </w:r>
          </w:p>
        </w:tc>
        <w:tc>
          <w:tcPr>
            <w:tcW w:type="dxa" w:w="9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53 </w:t>
            </w:r>
          </w:p>
        </w:tc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47 </w:t>
            </w:r>
          </w:p>
        </w:tc>
      </w:tr>
      <w:tr>
        <w:trPr>
          <w:trHeight w:hRule="exact" w:val="680"/>
        </w:trPr>
        <w:tc>
          <w:tcPr>
            <w:tcW w:type="dxa" w:w="54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Borrowing expenses, net—Note E</w:t>
            </w:r>
          </w:p>
        </w:tc>
        <w:tc>
          <w:tcPr>
            <w:tcW w:type="dxa" w:w="1339"/>
            <w:vMerge/>
            <w:tcBorders>
              <w:bottom w:sz="8.0" w:val="single" w:color="#000000"/>
            </w:tcBorders>
          </w:tcPr>
          <w:p/>
        </w:tc>
        <w:tc>
          <w:tcPr>
            <w:tcW w:type="dxa" w:w="7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(560) </w:t>
            </w:r>
          </w:p>
        </w:tc>
        <w:tc>
          <w:tcPr>
            <w:tcW w:type="dxa" w:w="1339"/>
            <w:vMerge/>
            <w:tcBorders>
              <w:bottom w:sz="8.0" w:val="single" w:color="#000000"/>
            </w:tcBorders>
          </w:tcPr>
          <w:p/>
        </w:tc>
        <w:tc>
          <w:tcPr>
            <w:tcW w:type="dxa" w:w="6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(426) </w:t>
            </w:r>
          </w:p>
        </w:tc>
        <w:tc>
          <w:tcPr>
            <w:tcW w:type="dxa" w:w="98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(1,650) </w:t>
            </w:r>
          </w:p>
        </w:tc>
        <w:tc>
          <w:tcPr>
            <w:tcW w:type="dxa" w:w="8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(1,173) </w:t>
            </w:r>
          </w:p>
        </w:tc>
      </w:tr>
      <w:tr>
        <w:trPr>
          <w:trHeight w:hRule="exact" w:val="271"/>
        </w:trPr>
        <w:tc>
          <w:tcPr>
            <w:tcW w:type="dxa" w:w="54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Interest revenue, net of borrowing expenses</w:t>
            </w:r>
          </w:p>
        </w:tc>
        <w:tc>
          <w:tcPr>
            <w:tcW w:type="dxa" w:w="2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581 </w:t>
            </w:r>
          </w:p>
        </w:tc>
        <w:tc>
          <w:tcPr>
            <w:tcW w:type="dxa" w:w="3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579 </w:t>
            </w:r>
          </w:p>
        </w:tc>
        <w:tc>
          <w:tcPr>
            <w:tcW w:type="dxa" w:w="98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1,759 </w:t>
            </w:r>
          </w:p>
        </w:tc>
        <w:tc>
          <w:tcPr>
            <w:tcW w:type="dxa" w:w="8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1,781 </w:t>
            </w:r>
          </w:p>
        </w:tc>
      </w:tr>
    </w:tbl>
    <w:p>
      <w:pPr>
        <w:autoSpaceDN w:val="0"/>
        <w:autoSpaceDE w:val="0"/>
        <w:widowControl/>
        <w:spacing w:line="202" w:lineRule="exact" w:before="272" w:after="6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 xml:space="preserve">Provision for losses on loans and other exposures, release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1874"/>
        <w:gridCol w:w="1874"/>
        <w:gridCol w:w="1874"/>
        <w:gridCol w:w="1874"/>
        <w:gridCol w:w="1874"/>
      </w:tblGrid>
      <w:tr>
        <w:trPr>
          <w:trHeight w:hRule="exact" w:val="270"/>
        </w:trPr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8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(charge)—Note D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3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47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(34)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(276)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(577) </w:t>
            </w:r>
          </w:p>
        </w:tc>
      </w:tr>
    </w:tbl>
    <w:p>
      <w:pPr>
        <w:autoSpaceDN w:val="0"/>
        <w:autoSpaceDE w:val="0"/>
        <w:widowControl/>
        <w:spacing w:line="202" w:lineRule="exact" w:before="248" w:after="2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Non-interest 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874"/>
        <w:gridCol w:w="1874"/>
        <w:gridCol w:w="1874"/>
        <w:gridCol w:w="1874"/>
        <w:gridCol w:w="1874"/>
      </w:tblGrid>
      <w:tr>
        <w:trPr>
          <w:trHeight w:hRule="exact" w:val="240"/>
        </w:trPr>
        <w:tc>
          <w:tcPr>
            <w:tcW w:type="dxa" w:w="5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Revenue from externally funded activities—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H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260 </w:t>
            </w:r>
          </w:p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260 </w:t>
            </w:r>
          </w:p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751 </w:t>
            </w:r>
          </w:p>
        </w:tc>
        <w:tc>
          <w:tcPr>
            <w:tcW w:type="dxa" w:w="9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702 </w:t>
            </w:r>
          </w:p>
        </w:tc>
      </w:tr>
      <w:tr>
        <w:trPr>
          <w:trHeight w:hRule="exact" w:val="260"/>
        </w:trPr>
        <w:tc>
          <w:tcPr>
            <w:tcW w:type="dxa" w:w="5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Commitment charges—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D</w:t>
            </w:r>
          </w:p>
        </w:tc>
        <w:tc>
          <w:tcPr>
            <w:tcW w:type="dxa" w:w="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10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 </w:t>
            </w:r>
          </w:p>
        </w:tc>
        <w:tc>
          <w:tcPr>
            <w:tcW w:type="dxa" w:w="9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 </w:t>
            </w:r>
          </w:p>
        </w:tc>
      </w:tr>
      <w:tr>
        <w:trPr>
          <w:trHeight w:hRule="exact" w:val="266"/>
        </w:trPr>
        <w:tc>
          <w:tcPr>
            <w:tcW w:type="dxa" w:w="5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</w:t>
            </w:r>
          </w:p>
        </w:tc>
        <w:tc>
          <w:tcPr>
            <w:tcW w:type="dxa" w:w="86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10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16 </w:t>
            </w:r>
          </w:p>
        </w:tc>
        <w:tc>
          <w:tcPr>
            <w:tcW w:type="dxa" w:w="10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35 </w:t>
            </w:r>
          </w:p>
        </w:tc>
        <w:tc>
          <w:tcPr>
            <w:tcW w:type="dxa" w:w="98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22 </w:t>
            </w:r>
          </w:p>
        </w:tc>
      </w:tr>
      <w:tr>
        <w:trPr>
          <w:trHeight w:hRule="exact" w:val="254"/>
        </w:trPr>
        <w:tc>
          <w:tcPr>
            <w:tcW w:type="dxa" w:w="5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8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271 </w:t>
            </w:r>
          </w:p>
        </w:tc>
        <w:tc>
          <w:tcPr>
            <w:tcW w:type="dxa" w:w="10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282 </w:t>
            </w:r>
          </w:p>
        </w:tc>
        <w:tc>
          <w:tcPr>
            <w:tcW w:type="dxa" w:w="10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804 </w:t>
            </w:r>
          </w:p>
        </w:tc>
        <w:tc>
          <w:tcPr>
            <w:tcW w:type="dxa" w:w="98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743 </w:t>
            </w:r>
          </w:p>
        </w:tc>
      </w:tr>
    </w:tbl>
    <w:p>
      <w:pPr>
        <w:autoSpaceDN w:val="0"/>
        <w:autoSpaceDE w:val="0"/>
        <w:widowControl/>
        <w:spacing w:line="202" w:lineRule="exact" w:before="340" w:after="2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Non-interest expenses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339"/>
        <w:gridCol w:w="1339"/>
        <w:gridCol w:w="1339"/>
        <w:gridCol w:w="1339"/>
        <w:gridCol w:w="1339"/>
        <w:gridCol w:w="1339"/>
        <w:gridCol w:w="1339"/>
      </w:tblGrid>
      <w:tr>
        <w:trPr>
          <w:trHeight w:hRule="exact" w:val="250"/>
        </w:trPr>
        <w:tc>
          <w:tcPr>
            <w:tcW w:type="dxa" w:w="5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Administrative—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H</w:t>
            </w:r>
          </w:p>
        </w:tc>
        <w:tc>
          <w:tcPr>
            <w:tcW w:type="dxa" w:w="236"/>
            <w:vMerge w:val="restart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(651) </w:t>
            </w:r>
          </w:p>
        </w:tc>
        <w:tc>
          <w:tcPr>
            <w:tcW w:type="dxa" w:w="310"/>
            <w:vMerge w:val="restart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(591) </w:t>
            </w:r>
          </w:p>
        </w:tc>
        <w:tc>
          <w:tcPr>
            <w:tcW w:type="dxa" w:w="9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(1,921) </w:t>
            </w:r>
          </w:p>
        </w:tc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(1,736) </w:t>
            </w:r>
          </w:p>
        </w:tc>
      </w:tr>
      <w:tr>
        <w:trPr>
          <w:trHeight w:hRule="exact" w:val="260"/>
        </w:trPr>
        <w:tc>
          <w:tcPr>
            <w:tcW w:type="dxa" w:w="54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</w:t>
            </w:r>
          </w:p>
        </w:tc>
        <w:tc>
          <w:tcPr>
            <w:tcW w:type="dxa" w:w="1339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(4) </w:t>
            </w:r>
          </w:p>
        </w:tc>
        <w:tc>
          <w:tcPr>
            <w:tcW w:type="dxa" w:w="1339"/>
            <w:vMerge/>
            <w:tcBorders>
              <w:bottom w:sz="8.0" w:val="single" w:color="#000000"/>
            </w:tcBorders>
          </w:tcPr>
          <w:p/>
        </w:tc>
        <w:tc>
          <w:tcPr>
            <w:tcW w:type="dxa" w:w="6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(12) </w:t>
            </w:r>
          </w:p>
        </w:tc>
        <w:tc>
          <w:tcPr>
            <w:tcW w:type="dxa" w:w="98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(18) </w:t>
            </w:r>
          </w:p>
        </w:tc>
        <w:tc>
          <w:tcPr>
            <w:tcW w:type="dxa" w:w="8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(54) </w:t>
            </w:r>
          </w:p>
        </w:tc>
      </w:tr>
      <w:tr>
        <w:trPr>
          <w:trHeight w:hRule="exact" w:val="256"/>
        </w:trPr>
        <w:tc>
          <w:tcPr>
            <w:tcW w:type="dxa" w:w="54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2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(655) </w:t>
            </w:r>
          </w:p>
        </w:tc>
        <w:tc>
          <w:tcPr>
            <w:tcW w:type="dxa" w:w="3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(603) </w:t>
            </w:r>
          </w:p>
        </w:tc>
        <w:tc>
          <w:tcPr>
            <w:tcW w:type="dxa" w:w="98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(1,939) </w:t>
            </w:r>
          </w:p>
        </w:tc>
        <w:tc>
          <w:tcPr>
            <w:tcW w:type="dxa" w:w="8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(1,790) </w:t>
            </w:r>
          </w:p>
        </w:tc>
      </w:tr>
      <w:tr>
        <w:trPr>
          <w:trHeight w:hRule="exact" w:val="624"/>
        </w:trPr>
        <w:tc>
          <w:tcPr>
            <w:tcW w:type="dxa" w:w="54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7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Transfers from affiliated organizations and others—Note H</w:t>
            </w:r>
          </w:p>
        </w:tc>
        <w:tc>
          <w:tcPr>
            <w:tcW w:type="dxa" w:w="23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70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3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70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98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70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515 </w:t>
            </w:r>
          </w:p>
        </w:tc>
        <w:tc>
          <w:tcPr>
            <w:tcW w:type="dxa" w:w="8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70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291 </w:t>
            </w:r>
          </w:p>
        </w:tc>
      </w:tr>
      <w:tr>
        <w:trPr>
          <w:trHeight w:hRule="exact" w:val="520"/>
        </w:trPr>
        <w:tc>
          <w:tcPr>
            <w:tcW w:type="dxa" w:w="5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Development grants—Note G</w:t>
            </w:r>
          </w:p>
        </w:tc>
        <w:tc>
          <w:tcPr>
            <w:tcW w:type="dxa" w:w="133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(1,329) </w:t>
            </w:r>
          </w:p>
        </w:tc>
        <w:tc>
          <w:tcPr>
            <w:tcW w:type="dxa" w:w="133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(850) </w:t>
            </w:r>
          </w:p>
        </w:tc>
        <w:tc>
          <w:tcPr>
            <w:tcW w:type="dxa" w:w="9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(5,227) </w:t>
            </w:r>
          </w:p>
        </w:tc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6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(3,549) </w:t>
            </w:r>
          </w:p>
        </w:tc>
      </w:tr>
      <w:tr>
        <w:trPr>
          <w:trHeight w:hRule="exact" w:val="720"/>
        </w:trPr>
        <w:tc>
          <w:tcPr>
            <w:tcW w:type="dxa" w:w="5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" w:val="left"/>
              </w:tabs>
              <w:autoSpaceDE w:val="0"/>
              <w:widowControl/>
              <w:spacing w:line="180" w:lineRule="exact" w:before="17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 xml:space="preserve">Non-functional currency translation adjustment (losses) gains, </w:t>
            </w: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net</w:t>
            </w:r>
          </w:p>
        </w:tc>
        <w:tc>
          <w:tcPr>
            <w:tcW w:type="dxa" w:w="133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(120) </w:t>
            </w:r>
          </w:p>
        </w:tc>
        <w:tc>
          <w:tcPr>
            <w:tcW w:type="dxa" w:w="133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204 </w:t>
            </w:r>
          </w:p>
        </w:tc>
        <w:tc>
          <w:tcPr>
            <w:tcW w:type="dxa" w:w="9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36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35 </w:t>
            </w:r>
          </w:p>
        </w:tc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36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(2) </w:t>
            </w:r>
          </w:p>
        </w:tc>
      </w:tr>
      <w:tr>
        <w:trPr>
          <w:trHeight w:hRule="exact" w:val="720"/>
        </w:trPr>
        <w:tc>
          <w:tcPr>
            <w:tcW w:type="dxa" w:w="54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" w:val="left"/>
              </w:tabs>
              <w:autoSpaceDE w:val="0"/>
              <w:widowControl/>
              <w:spacing w:line="180" w:lineRule="exact" w:before="206" w:after="0"/>
              <w:ind w:left="32" w:right="432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 xml:space="preserve">Unrealized mark-to-market gains on Investments-Trading </w:t>
            </w: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portfolio, net—Notes F and J</w:t>
            </w:r>
          </w:p>
        </w:tc>
        <w:tc>
          <w:tcPr>
            <w:tcW w:type="dxa" w:w="133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6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61 </w:t>
            </w:r>
          </w:p>
        </w:tc>
        <w:tc>
          <w:tcPr>
            <w:tcW w:type="dxa" w:w="133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6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61 </w:t>
            </w:r>
          </w:p>
        </w:tc>
        <w:tc>
          <w:tcPr>
            <w:tcW w:type="dxa" w:w="9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6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218 </w:t>
            </w:r>
          </w:p>
        </w:tc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6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263 </w:t>
            </w:r>
          </w:p>
        </w:tc>
      </w:tr>
      <w:tr>
        <w:trPr>
          <w:trHeight w:hRule="exact" w:val="566"/>
        </w:trPr>
        <w:tc>
          <w:tcPr>
            <w:tcW w:type="dxa" w:w="54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" w:val="left"/>
              </w:tabs>
              <w:autoSpaceDE w:val="0"/>
              <w:widowControl/>
              <w:spacing w:line="180" w:lineRule="exact" w:before="176" w:after="0"/>
              <w:ind w:left="20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Unrealized mark-to-market gains on non-trading portfolios, net</w:t>
            </w: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—Notes F and J</w:t>
            </w:r>
          </w:p>
        </w:tc>
        <w:tc>
          <w:tcPr>
            <w:tcW w:type="dxa" w:w="133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271 </w:t>
            </w:r>
          </w:p>
        </w:tc>
        <w:tc>
          <w:tcPr>
            <w:tcW w:type="dxa" w:w="133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36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53 </w:t>
            </w:r>
          </w:p>
        </w:tc>
        <w:tc>
          <w:tcPr>
            <w:tcW w:type="dxa" w:w="98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36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331 </w:t>
            </w:r>
          </w:p>
        </w:tc>
        <w:tc>
          <w:tcPr>
            <w:tcW w:type="dxa" w:w="8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36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215 </w:t>
            </w:r>
          </w:p>
        </w:tc>
      </w:tr>
      <w:tr>
        <w:trPr>
          <w:trHeight w:hRule="exact" w:val="234"/>
        </w:trPr>
        <w:tc>
          <w:tcPr>
            <w:tcW w:type="dxa" w:w="54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Net loss</w:t>
            </w:r>
          </w:p>
        </w:tc>
        <w:tc>
          <w:tcPr>
            <w:tcW w:type="dxa" w:w="2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(873) </w:t>
            </w:r>
          </w:p>
        </w:tc>
        <w:tc>
          <w:tcPr>
            <w:tcW w:type="dxa" w:w="3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6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(308) </w:t>
            </w:r>
          </w:p>
        </w:tc>
        <w:tc>
          <w:tcPr>
            <w:tcW w:type="dxa" w:w="98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(3,780) </w:t>
            </w:r>
          </w:p>
        </w:tc>
        <w:tc>
          <w:tcPr>
            <w:tcW w:type="dxa" w:w="8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(2,625) </w:t>
            </w:r>
          </w:p>
        </w:tc>
      </w:tr>
      <w:tr>
        <w:trPr>
          <w:trHeight w:hRule="exact" w:val="52"/>
        </w:trPr>
        <w:tc>
          <w:tcPr>
            <w:tcW w:type="dxa" w:w="54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80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18"/>
        </w:rPr>
        <w:t>The Notes to Condensed Quarterly Financial Statements are an integral part of these Statements.</w:t>
      </w:r>
    </w:p>
    <w:p>
      <w:pPr>
        <w:autoSpaceDN w:val="0"/>
        <w:autoSpaceDE w:val="0"/>
        <w:widowControl/>
        <w:spacing w:line="224" w:lineRule="exact" w:before="183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28     IDA Quarterly Financial Statements: March 31, 2025 (Unaudited)</w:t>
      </w:r>
    </w:p>
    <w:p>
      <w:pPr>
        <w:sectPr>
          <w:pgSz w:w="12240" w:h="15840"/>
          <w:pgMar w:top="516" w:right="1430" w:bottom="2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408" w:lineRule="exact" w:before="0" w:after="274"/>
        <w:ind w:left="0" w:right="144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CONDENSED STATEMENTS OF COMPREHENSIVE INCOME </w:t>
      </w:r>
      <w:r>
        <w:rPr>
          <w:rFonts w:ascii="Arial" w:hAnsi="Arial" w:eastAsia="Arial"/>
          <w:b w:val="0"/>
          <w:i/>
          <w:color w:val="000000"/>
          <w:sz w:val="20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62"/>
        </w:trPr>
        <w:tc>
          <w:tcPr>
            <w:tcW w:type="dxa" w:w="54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9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Three Months Ended </w:t>
            </w:r>
          </w:p>
        </w:tc>
        <w:tc>
          <w:tcPr>
            <w:tcW w:type="dxa" w:w="2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28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Nine Months Ended </w:t>
            </w:r>
          </w:p>
        </w:tc>
      </w:tr>
      <w:tr>
        <w:trPr>
          <w:trHeight w:hRule="exact" w:val="220"/>
        </w:trPr>
        <w:tc>
          <w:tcPr>
            <w:tcW w:type="dxa" w:w="1177"/>
            <w:vMerge/>
            <w:tcBorders>
              <w:bottom w:sz="8.0" w:val="single" w:color="#000000"/>
            </w:tcBorders>
          </w:tcPr>
          <w:p/>
        </w:tc>
        <w:tc>
          <w:tcPr>
            <w:tcW w:type="dxa" w:w="189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March 31, </w:t>
            </w:r>
          </w:p>
        </w:tc>
        <w:tc>
          <w:tcPr>
            <w:tcW w:type="dxa" w:w="2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51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March 31, </w:t>
            </w:r>
          </w:p>
        </w:tc>
      </w:tr>
      <w:tr>
        <w:trPr>
          <w:trHeight w:hRule="exact" w:val="240"/>
        </w:trPr>
        <w:tc>
          <w:tcPr>
            <w:tcW w:type="dxa" w:w="1177"/>
            <w:vMerge/>
            <w:tcBorders>
              <w:bottom w:sz="8.0" w:val="single" w:color="#000000"/>
            </w:tcBorders>
          </w:tcPr>
          <w:p/>
        </w:tc>
        <w:tc>
          <w:tcPr>
            <w:tcW w:type="dxa" w:w="1896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(Unaudited)</w:t>
            </w:r>
          </w:p>
        </w:tc>
        <w:tc>
          <w:tcPr>
            <w:tcW w:type="dxa" w:w="204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0" w:right="49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(Unaudited)</w:t>
            </w:r>
          </w:p>
        </w:tc>
      </w:tr>
      <w:tr>
        <w:trPr>
          <w:trHeight w:hRule="exact" w:val="256"/>
        </w:trPr>
        <w:tc>
          <w:tcPr>
            <w:tcW w:type="dxa" w:w="54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56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25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2025</w:t>
            </w:r>
          </w:p>
        </w:tc>
        <w:tc>
          <w:tcPr>
            <w:tcW w:type="dxa" w:w="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28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2025</w:t>
            </w:r>
          </w:p>
        </w:tc>
        <w:tc>
          <w:tcPr>
            <w:tcW w:type="dxa" w:w="98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</w:tr>
      <w:tr>
        <w:trPr>
          <w:trHeight w:hRule="exact" w:val="690"/>
        </w:trPr>
        <w:tc>
          <w:tcPr>
            <w:tcW w:type="dxa" w:w="54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Net loss </w:t>
            </w:r>
          </w:p>
        </w:tc>
        <w:tc>
          <w:tcPr>
            <w:tcW w:type="dxa" w:w="3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7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(873) </w:t>
            </w:r>
          </w:p>
        </w:tc>
        <w:tc>
          <w:tcPr>
            <w:tcW w:type="dxa" w:w="2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6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0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(308) </w:t>
            </w:r>
          </w:p>
        </w:tc>
        <w:tc>
          <w:tcPr>
            <w:tcW w:type="dxa" w:w="115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0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(3,780) </w:t>
            </w:r>
          </w:p>
        </w:tc>
        <w:tc>
          <w:tcPr>
            <w:tcW w:type="dxa" w:w="8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(2,625) </w:t>
            </w:r>
          </w:p>
        </w:tc>
      </w:tr>
    </w:tbl>
    <w:p>
      <w:pPr>
        <w:autoSpaceDN w:val="0"/>
        <w:autoSpaceDE w:val="0"/>
        <w:widowControl/>
        <w:spacing w:line="202" w:lineRule="exact" w:before="84" w:after="98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Other comprehensive income (loss)—</w:t>
      </w:r>
      <w:r>
        <w:rPr>
          <w:rFonts w:ascii="Arial" w:hAnsi="Arial" w:eastAsia="Arial"/>
          <w:b/>
          <w:i/>
          <w:color w:val="000000"/>
          <w:sz w:val="18"/>
        </w:rPr>
        <w:t>Note 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86"/>
        </w:trPr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Currency translation adjustments on functional currencies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3,065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(2,141)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1,498 </w:t>
            </w:r>
          </w:p>
        </w:tc>
        <w:tc>
          <w:tcPr>
            <w:tcW w:type="dxa" w:w="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(635) </w:t>
            </w:r>
          </w:p>
        </w:tc>
      </w:tr>
    </w:tbl>
    <w:p>
      <w:pPr>
        <w:autoSpaceDN w:val="0"/>
        <w:autoSpaceDE w:val="0"/>
        <w:widowControl/>
        <w:spacing w:line="200" w:lineRule="exact" w:before="24" w:after="8"/>
        <w:ind w:left="2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Net Change in Debit Valuation Adjustment (DVA) on Fair Value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rHeight w:hRule="exact" w:val="238"/>
        </w:trPr>
        <w:tc>
          <w:tcPr>
            <w:tcW w:type="dxa" w:w="54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option elected liabilities</w:t>
            </w:r>
          </w:p>
        </w:tc>
        <w:tc>
          <w:tcPr>
            <w:tcW w:type="dxa" w:w="27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9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(28)</w:t>
            </w:r>
          </w:p>
        </w:tc>
        <w:tc>
          <w:tcPr>
            <w:tcW w:type="dxa" w:w="11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56 </w:t>
            </w:r>
          </w:p>
        </w:tc>
        <w:tc>
          <w:tcPr>
            <w:tcW w:type="dxa" w:w="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 </w:t>
            </w:r>
          </w:p>
        </w:tc>
      </w:tr>
      <w:tr>
        <w:trPr>
          <w:trHeight w:hRule="exact" w:val="254"/>
        </w:trPr>
        <w:tc>
          <w:tcPr>
            <w:tcW w:type="dxa" w:w="54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Total other comprehensive income (loss) 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3,075 </w:t>
            </w:r>
          </w:p>
        </w:tc>
        <w:tc>
          <w:tcPr>
            <w:tcW w:type="dxa" w:w="9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(2,169) </w:t>
            </w:r>
          </w:p>
        </w:tc>
        <w:tc>
          <w:tcPr>
            <w:tcW w:type="dxa" w:w="11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1,554 </w:t>
            </w:r>
          </w:p>
        </w:tc>
        <w:tc>
          <w:tcPr>
            <w:tcW w:type="dxa" w:w="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(622) </w:t>
            </w:r>
          </w:p>
        </w:tc>
      </w:tr>
      <w:tr>
        <w:trPr>
          <w:trHeight w:hRule="exact" w:val="416"/>
        </w:trPr>
        <w:tc>
          <w:tcPr>
            <w:tcW w:type="dxa" w:w="54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comprehensive income (loss)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2,202 </w:t>
            </w:r>
          </w:p>
        </w:tc>
        <w:tc>
          <w:tcPr>
            <w:tcW w:type="dxa" w:w="9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(2,477) </w:t>
            </w:r>
          </w:p>
        </w:tc>
        <w:tc>
          <w:tcPr>
            <w:tcW w:type="dxa" w:w="11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$ (2,226)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$ (3,247)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</w:t>
            </w:r>
          </w:p>
        </w:tc>
      </w:tr>
      <w:tr>
        <w:trPr>
          <w:trHeight w:hRule="exact" w:val="50"/>
        </w:trPr>
        <w:tc>
          <w:tcPr>
            <w:tcW w:type="dxa" w:w="54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6852" w:val="left"/>
          <w:tab w:pos="7172" w:val="left"/>
          <w:tab w:pos="7242" w:val="left"/>
        </w:tabs>
        <w:autoSpaceDE w:val="0"/>
        <w:widowControl/>
        <w:spacing w:line="314" w:lineRule="exact" w:before="980" w:after="2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CONDENSED STATEMENTS OF CHANGES IN ACCUMULATED DEFICIT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Expressed in millions of U.S. dollars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18"/>
        </w:rPr>
        <w:t xml:space="preserve">Nine Months Ended </w:t>
      </w:r>
      <w:r>
        <w:tab/>
      </w:r>
      <w:r>
        <w:tab/>
      </w:r>
      <w:r>
        <w:tab/>
      </w:r>
      <w:r>
        <w:rPr>
          <w:rFonts w:ascii="Arial" w:hAnsi="Arial" w:eastAsia="Arial"/>
          <w:b w:val="0"/>
          <w:i/>
          <w:color w:val="000000"/>
          <w:sz w:val="18"/>
        </w:rPr>
        <w:t xml:space="preserve">March 31,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/>
          <w:color w:val="000000"/>
          <w:sz w:val="18"/>
        </w:rPr>
        <w:t>(Unaudited)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83"/>
        <w:gridCol w:w="1883"/>
        <w:gridCol w:w="1883"/>
        <w:gridCol w:w="1883"/>
        <w:gridCol w:w="1883"/>
      </w:tblGrid>
      <w:tr>
        <w:trPr>
          <w:trHeight w:hRule="exact" w:val="254"/>
        </w:trPr>
        <w:tc>
          <w:tcPr>
            <w:tcW w:type="dxa" w:w="59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29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2025</w:t>
            </w:r>
          </w:p>
        </w:tc>
        <w:tc>
          <w:tcPr>
            <w:tcW w:type="dxa" w:w="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" w:after="0"/>
              <w:ind w:left="29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</w:tr>
      <w:tr>
        <w:trPr>
          <w:trHeight w:hRule="exact" w:val="618"/>
        </w:trPr>
        <w:tc>
          <w:tcPr>
            <w:tcW w:type="dxa" w:w="59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Accumulated deficit at beginning of the fiscal year</w:t>
            </w:r>
          </w:p>
        </w:tc>
        <w:tc>
          <w:tcPr>
            <w:tcW w:type="dxa" w:w="3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3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0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(66,379) </w:t>
            </w:r>
          </w:p>
        </w:tc>
        <w:tc>
          <w:tcPr>
            <w:tcW w:type="dxa" w:w="47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0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3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0" w:after="0"/>
              <w:ind w:left="1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(62,806) </w:t>
            </w:r>
          </w:p>
        </w:tc>
      </w:tr>
      <w:tr>
        <w:trPr>
          <w:trHeight w:hRule="exact" w:val="282"/>
        </w:trPr>
        <w:tc>
          <w:tcPr>
            <w:tcW w:type="dxa" w:w="59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loss</w:t>
            </w:r>
          </w:p>
        </w:tc>
        <w:tc>
          <w:tcPr>
            <w:tcW w:type="dxa" w:w="188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1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(3,780) </w:t>
            </w:r>
          </w:p>
        </w:tc>
        <w:tc>
          <w:tcPr>
            <w:tcW w:type="dxa" w:w="188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16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2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(2,625) </w:t>
            </w:r>
          </w:p>
        </w:tc>
      </w:tr>
      <w:tr>
        <w:trPr>
          <w:trHeight w:hRule="exact" w:val="356"/>
        </w:trPr>
        <w:tc>
          <w:tcPr>
            <w:tcW w:type="dxa" w:w="59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Accumulated deficit at end of the period</w:t>
            </w:r>
          </w:p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3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4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(70,159) </w:t>
            </w:r>
          </w:p>
        </w:tc>
        <w:tc>
          <w:tcPr>
            <w:tcW w:type="dxa" w:w="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4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3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4" w:after="0"/>
              <w:ind w:left="1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(65,431) </w:t>
            </w:r>
          </w:p>
        </w:tc>
      </w:tr>
    </w:tbl>
    <w:p>
      <w:pPr>
        <w:autoSpaceDN w:val="0"/>
        <w:autoSpaceDE w:val="0"/>
        <w:widowControl/>
        <w:spacing w:line="200" w:lineRule="exact" w:before="79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18"/>
        </w:rPr>
        <w:t>The Notes to Condensed Quarterly Financial Statements are an integral part of these Statements.</w:t>
      </w:r>
    </w:p>
    <w:p>
      <w:pPr>
        <w:autoSpaceDN w:val="0"/>
        <w:autoSpaceDE w:val="0"/>
        <w:widowControl/>
        <w:spacing w:line="224" w:lineRule="exact" w:before="4330" w:after="0"/>
        <w:ind w:left="0" w:right="56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IDA Quarterly Financial Statements: March 31, 2025 (Unaudited)     29</w:t>
      </w:r>
    </w:p>
    <w:p>
      <w:pPr>
        <w:sectPr>
          <w:pgSz w:w="12240" w:h="15840"/>
          <w:pgMar w:top="516" w:right="1384" w:bottom="2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CONDENSED STATEMENTS OF CASH FLOWS</w:t>
      </w:r>
    </w:p>
    <w:p>
      <w:pPr>
        <w:autoSpaceDN w:val="0"/>
        <w:autoSpaceDE w:val="0"/>
        <w:widowControl/>
        <w:spacing w:line="224" w:lineRule="exact" w:before="276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Expressed in millions of U.S. dollars </w:t>
      </w:r>
    </w:p>
    <w:p>
      <w:pPr>
        <w:autoSpaceDN w:val="0"/>
        <w:autoSpaceDE w:val="0"/>
        <w:widowControl/>
        <w:spacing w:line="202" w:lineRule="exact" w:before="76" w:after="0"/>
        <w:ind w:left="0" w:right="302" w:firstLine="0"/>
        <w:jc w:val="right"/>
      </w:pPr>
      <w:r>
        <w:rPr>
          <w:rFonts w:ascii="Arial" w:hAnsi="Arial" w:eastAsia="Arial"/>
          <w:b w:val="0"/>
          <w:i/>
          <w:color w:val="000000"/>
          <w:sz w:val="18"/>
        </w:rPr>
        <w:t>Nine Months Ended</w:t>
      </w:r>
    </w:p>
    <w:p>
      <w:pPr>
        <w:autoSpaceDN w:val="0"/>
        <w:autoSpaceDE w:val="0"/>
        <w:widowControl/>
        <w:spacing w:line="200" w:lineRule="exact" w:before="50" w:after="24"/>
        <w:ind w:left="0" w:right="196" w:firstLine="0"/>
        <w:jc w:val="right"/>
      </w:pPr>
      <w:r>
        <w:rPr>
          <w:rFonts w:ascii="Arial" w:hAnsi="Arial" w:eastAsia="Arial"/>
          <w:b w:val="0"/>
          <w:i/>
          <w:color w:val="000000"/>
          <w:sz w:val="18"/>
        </w:rPr>
        <w:t>March 31, (Unaudited)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28.0" w:type="dxa"/>
      </w:tblPr>
      <w:tblGrid>
        <w:gridCol w:w="4682"/>
        <w:gridCol w:w="4682"/>
      </w:tblGrid>
      <w:tr>
        <w:trPr>
          <w:trHeight w:hRule="exact" w:val="254"/>
        </w:trPr>
        <w:tc>
          <w:tcPr>
            <w:tcW w:type="dxa" w:w="9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2025</w:t>
            </w:r>
          </w:p>
        </w:tc>
        <w:tc>
          <w:tcPr>
            <w:tcW w:type="dxa" w:w="11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28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</w:tr>
    </w:tbl>
    <w:p>
      <w:pPr>
        <w:autoSpaceDN w:val="0"/>
        <w:autoSpaceDE w:val="0"/>
        <w:widowControl/>
        <w:spacing w:line="200" w:lineRule="exact" w:before="16" w:after="0"/>
        <w:ind w:left="10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Cash flows from investing activities</w:t>
      </w:r>
    </w:p>
    <w:p>
      <w:pPr>
        <w:autoSpaceDN w:val="0"/>
        <w:autoSpaceDE w:val="0"/>
        <w:widowControl/>
        <w:spacing w:line="202" w:lineRule="exact" w:before="54" w:after="26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Loans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3121"/>
        <w:gridCol w:w="3121"/>
        <w:gridCol w:w="3121"/>
      </w:tblGrid>
      <w:tr>
        <w:trPr>
          <w:trHeight w:hRule="exact" w:val="252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Disbursements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(17,205)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(13,248) </w:t>
            </w:r>
          </w:p>
        </w:tc>
      </w:tr>
      <w:tr>
        <w:trPr>
          <w:trHeight w:hRule="exact" w:val="258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Principal repayments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6,375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5,849 </w:t>
            </w:r>
          </w:p>
        </w:tc>
      </w:tr>
    </w:tbl>
    <w:p>
      <w:pPr>
        <w:autoSpaceDN w:val="0"/>
        <w:autoSpaceDE w:val="0"/>
        <w:widowControl/>
        <w:spacing w:line="200" w:lineRule="exact" w:before="28" w:after="28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Non-trading securities—Investments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121"/>
        <w:gridCol w:w="3121"/>
        <w:gridCol w:w="3121"/>
      </w:tblGrid>
      <w:tr>
        <w:trPr>
          <w:trHeight w:hRule="exact" w:val="256"/>
        </w:trPr>
        <w:tc>
          <w:tcPr>
            <w:tcW w:type="dxa" w:w="700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Repayments</w:t>
            </w:r>
          </w:p>
        </w:tc>
        <w:tc>
          <w:tcPr>
            <w:tcW w:type="dxa" w:w="123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2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61 </w:t>
            </w:r>
          </w:p>
        </w:tc>
        <w:tc>
          <w:tcPr>
            <w:tcW w:type="dxa" w:w="8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77 </w:t>
            </w:r>
          </w:p>
        </w:tc>
      </w:tr>
      <w:tr>
        <w:trPr>
          <w:trHeight w:hRule="exact" w:val="270"/>
        </w:trPr>
        <w:tc>
          <w:tcPr>
            <w:tcW w:type="dxa" w:w="700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4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cash used in investing activities</w:t>
            </w:r>
          </w:p>
        </w:tc>
        <w:tc>
          <w:tcPr>
            <w:tcW w:type="dxa" w:w="123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(10,769) </w:t>
            </w:r>
          </w:p>
        </w:tc>
        <w:tc>
          <w:tcPr>
            <w:tcW w:type="dxa" w:w="8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(7,322) </w:t>
            </w:r>
          </w:p>
        </w:tc>
      </w:tr>
    </w:tbl>
    <w:p>
      <w:pPr>
        <w:autoSpaceDN w:val="0"/>
        <w:autoSpaceDE w:val="0"/>
        <w:widowControl/>
        <w:spacing w:line="202" w:lineRule="exact" w:before="70" w:after="26"/>
        <w:ind w:left="10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Cash flows from financing activities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121"/>
        <w:gridCol w:w="3121"/>
        <w:gridCol w:w="3121"/>
      </w:tblGrid>
      <w:tr>
        <w:trPr>
          <w:trHeight w:hRule="exact" w:val="256"/>
        </w:trPr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Members' subscriptions and contributions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2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7,375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6,023 </w:t>
            </w:r>
          </w:p>
        </w:tc>
      </w:tr>
    </w:tbl>
    <w:p>
      <w:pPr>
        <w:autoSpaceDN w:val="0"/>
        <w:autoSpaceDE w:val="0"/>
        <w:widowControl/>
        <w:spacing w:line="202" w:lineRule="exact" w:before="26" w:after="28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Medium and long-term borrowings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121"/>
        <w:gridCol w:w="3121"/>
        <w:gridCol w:w="3121"/>
      </w:tblGrid>
      <w:tr>
        <w:trPr>
          <w:trHeight w:hRule="exact" w:val="250"/>
        </w:trPr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New issues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12,130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6,878 </w:t>
            </w:r>
          </w:p>
        </w:tc>
      </w:tr>
      <w:tr>
        <w:trPr>
          <w:trHeight w:hRule="exact" w:val="260"/>
        </w:trPr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Retirements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(2,033)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(82) </w:t>
            </w:r>
          </w:p>
        </w:tc>
      </w:tr>
    </w:tbl>
    <w:p>
      <w:pPr>
        <w:autoSpaceDN w:val="0"/>
        <w:autoSpaceDE w:val="0"/>
        <w:widowControl/>
        <w:spacing w:line="200" w:lineRule="exact" w:before="26" w:after="26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Short-term borrowings (original maturities greater than 90 days)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121"/>
        <w:gridCol w:w="3121"/>
        <w:gridCol w:w="3121"/>
      </w:tblGrid>
      <w:tr>
        <w:trPr>
          <w:trHeight w:hRule="exact" w:val="248"/>
        </w:trPr>
        <w:tc>
          <w:tcPr>
            <w:tcW w:type="dxa" w:w="7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3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New issues</w:t>
            </w:r>
          </w:p>
        </w:tc>
        <w:tc>
          <w:tcPr>
            <w:tcW w:type="dxa" w:w="12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20,531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5,922 </w:t>
            </w:r>
          </w:p>
        </w:tc>
      </w:tr>
      <w:tr>
        <w:trPr>
          <w:trHeight w:hRule="exact" w:val="260"/>
        </w:trPr>
        <w:tc>
          <w:tcPr>
            <w:tcW w:type="dxa" w:w="7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3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Retirements</w:t>
            </w:r>
          </w:p>
        </w:tc>
        <w:tc>
          <w:tcPr>
            <w:tcW w:type="dxa" w:w="12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(14,027)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(6,019) </w:t>
            </w:r>
          </w:p>
        </w:tc>
      </w:tr>
      <w:tr>
        <w:trPr>
          <w:trHeight w:hRule="exact" w:val="240"/>
        </w:trPr>
        <w:tc>
          <w:tcPr>
            <w:tcW w:type="dxa" w:w="7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short-term borrowings (original maturities less than 90 days)</w:t>
            </w:r>
          </w:p>
        </w:tc>
        <w:tc>
          <w:tcPr>
            <w:tcW w:type="dxa" w:w="12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1,667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158 </w:t>
            </w:r>
          </w:p>
        </w:tc>
      </w:tr>
      <w:tr>
        <w:trPr>
          <w:trHeight w:hRule="exact" w:val="276"/>
        </w:trPr>
        <w:tc>
          <w:tcPr>
            <w:tcW w:type="dxa" w:w="708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derivatives-borrowings</w:t>
            </w:r>
          </w:p>
        </w:tc>
        <w:tc>
          <w:tcPr>
            <w:tcW w:type="dxa" w:w="121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 </w:t>
            </w:r>
          </w:p>
        </w:tc>
      </w:tr>
      <w:tr>
        <w:trPr>
          <w:trHeight w:hRule="exact" w:val="270"/>
        </w:trPr>
        <w:tc>
          <w:tcPr>
            <w:tcW w:type="dxa" w:w="708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5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cash provided by financing activities</w:t>
            </w:r>
          </w:p>
        </w:tc>
        <w:tc>
          <w:tcPr>
            <w:tcW w:type="dxa" w:w="121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25,648 </w:t>
            </w:r>
          </w:p>
        </w:tc>
        <w:tc>
          <w:tcPr>
            <w:tcW w:type="dxa" w:w="9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12,889 </w:t>
            </w:r>
          </w:p>
        </w:tc>
      </w:tr>
    </w:tbl>
    <w:p>
      <w:pPr>
        <w:autoSpaceDN w:val="0"/>
        <w:autoSpaceDE w:val="0"/>
        <w:widowControl/>
        <w:spacing w:line="202" w:lineRule="exact" w:before="84" w:after="28"/>
        <w:ind w:left="10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Cash flows from operating activities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121"/>
        <w:gridCol w:w="3121"/>
        <w:gridCol w:w="3121"/>
      </w:tblGrid>
      <w:tr>
        <w:trPr>
          <w:trHeight w:hRule="exact" w:val="252"/>
        </w:trPr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loss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(3,780)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(2,625) </w:t>
            </w:r>
          </w:p>
        </w:tc>
      </w:tr>
    </w:tbl>
    <w:p>
      <w:pPr>
        <w:autoSpaceDN w:val="0"/>
        <w:autoSpaceDE w:val="0"/>
        <w:widowControl/>
        <w:spacing w:line="202" w:lineRule="exact" w:before="28" w:after="28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Adjustments to reconcile net loss to net cash used in operating activities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121"/>
        <w:gridCol w:w="3121"/>
        <w:gridCol w:w="3121"/>
      </w:tblGrid>
      <w:tr>
        <w:trPr>
          <w:trHeight w:hRule="exact" w:val="25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Provision for losses on loans and other exposures, charge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3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276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577 </w:t>
            </w:r>
          </w:p>
        </w:tc>
      </w:tr>
      <w:tr>
        <w:trPr>
          <w:trHeight w:hRule="exact" w:val="24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Non-functional currency translation adjustment (gains) losses, net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(35)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 </w:t>
            </w:r>
          </w:p>
        </w:tc>
      </w:tr>
      <w:tr>
        <w:trPr>
          <w:trHeight w:hRule="exact" w:val="26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Unrealized mark-to-market gains on non-trading portfolios, net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(331)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(215) </w:t>
            </w:r>
          </w:p>
        </w:tc>
      </w:tr>
      <w:tr>
        <w:trPr>
          <w:trHeight w:hRule="exact" w:val="26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 non-interest (income) expenses, net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(3)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34 </w:t>
            </w:r>
          </w:p>
        </w:tc>
      </w:tr>
      <w:tr>
        <w:trPr>
          <w:trHeight w:hRule="exact" w:val="262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Amortization and capitalized interest on loans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3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330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242 </w:t>
            </w:r>
          </w:p>
        </w:tc>
      </w:tr>
    </w:tbl>
    <w:p>
      <w:pPr>
        <w:autoSpaceDN w:val="0"/>
        <w:autoSpaceDE w:val="0"/>
        <w:widowControl/>
        <w:spacing w:line="202" w:lineRule="exact" w:before="28" w:after="28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Changes in: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121"/>
        <w:gridCol w:w="3121"/>
        <w:gridCol w:w="3121"/>
      </w:tblGrid>
      <w:tr>
        <w:trPr>
          <w:trHeight w:hRule="exact" w:val="240"/>
        </w:trPr>
        <w:tc>
          <w:tcPr>
            <w:tcW w:type="dxa" w:w="7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4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Investment portfolio</w:t>
            </w:r>
          </w:p>
        </w:tc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(10,329)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(2,031) </w:t>
            </w:r>
          </w:p>
        </w:tc>
      </w:tr>
      <w:tr>
        <w:trPr>
          <w:trHeight w:hRule="exact" w:val="270"/>
        </w:trPr>
        <w:tc>
          <w:tcPr>
            <w:tcW w:type="dxa" w:w="718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4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 assets and liabilities</w:t>
            </w:r>
          </w:p>
        </w:tc>
        <w:tc>
          <w:tcPr>
            <w:tcW w:type="dxa" w:w="123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(642) </w:t>
            </w:r>
          </w:p>
        </w:tc>
        <w:tc>
          <w:tcPr>
            <w:tcW w:type="dxa" w:w="8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(1,271) </w:t>
            </w:r>
          </w:p>
        </w:tc>
      </w:tr>
      <w:tr>
        <w:trPr>
          <w:trHeight w:hRule="exact" w:val="256"/>
        </w:trPr>
        <w:tc>
          <w:tcPr>
            <w:tcW w:type="dxa" w:w="718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6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cash used in operating activities</w:t>
            </w:r>
          </w:p>
        </w:tc>
        <w:tc>
          <w:tcPr>
            <w:tcW w:type="dxa" w:w="123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(14,514) </w:t>
            </w:r>
          </w:p>
        </w:tc>
        <w:tc>
          <w:tcPr>
            <w:tcW w:type="dxa" w:w="8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(5,287) </w:t>
            </w:r>
          </w:p>
        </w:tc>
      </w:tr>
      <w:tr>
        <w:trPr>
          <w:trHeight w:hRule="exact" w:val="314"/>
        </w:trPr>
        <w:tc>
          <w:tcPr>
            <w:tcW w:type="dxa" w:w="718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Effect of exchange rate changes on unrestricted and restricted cash</w:t>
            </w:r>
          </w:p>
        </w:tc>
        <w:tc>
          <w:tcPr>
            <w:tcW w:type="dxa" w:w="123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0" w:right="2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8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(8) </w:t>
            </w:r>
          </w:p>
        </w:tc>
      </w:tr>
      <w:tr>
        <w:trPr>
          <w:trHeight w:hRule="exact" w:val="240"/>
        </w:trPr>
        <w:tc>
          <w:tcPr>
            <w:tcW w:type="dxa" w:w="718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Net increase in unrestricted and restricted cash</w:t>
            </w:r>
          </w:p>
        </w:tc>
        <w:tc>
          <w:tcPr>
            <w:tcW w:type="dxa" w:w="123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2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366 </w:t>
            </w:r>
          </w:p>
        </w:tc>
        <w:tc>
          <w:tcPr>
            <w:tcW w:type="dxa" w:w="8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272 </w:t>
            </w:r>
          </w:p>
        </w:tc>
      </w:tr>
      <w:tr>
        <w:trPr>
          <w:trHeight w:hRule="exact" w:val="249"/>
        </w:trPr>
        <w:tc>
          <w:tcPr>
            <w:tcW w:type="dxa" w:w="718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Unrestricted and restricted cash at beginning of the fiscal year</w:t>
            </w:r>
          </w:p>
        </w:tc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2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586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689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"/>
        <w:ind w:left="0" w:right="0"/>
      </w:pPr>
    </w:p>
    <w:p>
      <w:pPr>
        <w:sectPr>
          <w:pgSz w:w="12240" w:h="15840"/>
          <w:pgMar w:top="516" w:right="1436" w:bottom="2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8" w:lineRule="exact" w:before="0" w:after="0"/>
        <w:ind w:left="104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Unrestricted and restricted cash at end of the period </w:t>
      </w:r>
      <w:r>
        <w:rPr>
          <w:rFonts w:ascii="Arial" w:hAnsi="Arial" w:eastAsia="Arial"/>
          <w:b/>
          <w:i w:val="0"/>
          <w:color w:val="000000"/>
          <w:sz w:val="18"/>
        </w:rPr>
        <w:t>Supplemental disclosure</w:t>
      </w:r>
    </w:p>
    <w:p>
      <w:pPr>
        <w:sectPr>
          <w:type w:val="continuous"/>
          <w:pgSz w:w="12240" w:h="15840"/>
          <w:pgMar w:top="516" w:right="1436" w:bottom="270" w:left="1440" w:header="720" w:footer="720" w:gutter="0"/>
          <w:cols w:num="2" w:equalWidth="0">
            <w:col w:w="5908" w:space="0"/>
            <w:col w:w="345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2341"/>
        <w:gridCol w:w="2341"/>
        <w:gridCol w:w="2341"/>
        <w:gridCol w:w="2341"/>
      </w:tblGrid>
      <w:tr>
        <w:trPr>
          <w:trHeight w:hRule="exact" w:val="190"/>
        </w:trPr>
        <w:tc>
          <w:tcPr>
            <w:tcW w:type="dxa" w:w="39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6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952 </w:t>
            </w:r>
          </w:p>
        </w:tc>
        <w:tc>
          <w:tcPr>
            <w:tcW w:type="dxa" w:w="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57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961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370"/>
        <w:ind w:left="0" w:right="0"/>
      </w:pPr>
    </w:p>
    <w:p>
      <w:pPr>
        <w:sectPr>
          <w:type w:val="nextColumn"/>
          <w:pgSz w:w="12240" w:h="15840"/>
          <w:pgMar w:top="516" w:right="1436" w:bottom="270" w:left="1440" w:header="720" w:footer="720" w:gutter="0"/>
          <w:cols w:num="2" w:equalWidth="0">
            <w:col w:w="5908" w:space="0"/>
            <w:col w:w="3456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26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Increase (Decrease) in ending balances resulting from exchange rate fluctuations: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73"/>
        <w:gridCol w:w="1873"/>
        <w:gridCol w:w="1873"/>
        <w:gridCol w:w="1873"/>
        <w:gridCol w:w="1873"/>
      </w:tblGrid>
      <w:tr>
        <w:trPr>
          <w:trHeight w:hRule="exact" w:val="248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4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Loans outstanding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1,933 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(833) </w:t>
            </w:r>
          </w:p>
        </w:tc>
      </w:tr>
      <w:tr>
        <w:trPr>
          <w:trHeight w:hRule="exact" w:val="260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4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Investment portfolio</w:t>
            </w:r>
          </w:p>
        </w:tc>
        <w:tc>
          <w:tcPr>
            <w:tcW w:type="dxa" w:w="1873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174 </w:t>
            </w:r>
          </w:p>
        </w:tc>
        <w:tc>
          <w:tcPr>
            <w:tcW w:type="dxa" w:w="1873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(164) </w:t>
            </w:r>
          </w:p>
        </w:tc>
      </w:tr>
      <w:tr>
        <w:trPr>
          <w:trHeight w:hRule="exact" w:val="240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4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Borrowing portfolio</w:t>
            </w:r>
          </w:p>
        </w:tc>
        <w:tc>
          <w:tcPr>
            <w:tcW w:type="dxa" w:w="1873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462 </w:t>
            </w:r>
          </w:p>
        </w:tc>
        <w:tc>
          <w:tcPr>
            <w:tcW w:type="dxa" w:w="1873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(205) </w:t>
            </w:r>
          </w:p>
        </w:tc>
      </w:tr>
      <w:tr>
        <w:trPr>
          <w:trHeight w:hRule="exact" w:val="260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4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Derivatives—Asset-liability management</w:t>
            </w:r>
          </w:p>
        </w:tc>
        <w:tc>
          <w:tcPr>
            <w:tcW w:type="dxa" w:w="1873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(57) </w:t>
            </w:r>
          </w:p>
        </w:tc>
        <w:tc>
          <w:tcPr>
            <w:tcW w:type="dxa" w:w="1873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123 </w:t>
            </w:r>
          </w:p>
        </w:tc>
      </w:tr>
      <w:tr>
        <w:trPr>
          <w:trHeight w:hRule="exact" w:val="440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16" w:val="left"/>
              </w:tabs>
              <w:autoSpaceDE w:val="0"/>
              <w:widowControl/>
              <w:spacing w:line="180" w:lineRule="exact" w:before="62" w:after="0"/>
              <w:ind w:left="14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Principal repayments written off under Heavily Indebted Poor Countries (HIPC)/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Multilateral Debt Relief Initiative (MDRI)</w:t>
            </w:r>
          </w:p>
        </w:tc>
        <w:tc>
          <w:tcPr>
            <w:tcW w:type="dxa" w:w="1873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1873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102 </w:t>
            </w:r>
          </w:p>
        </w:tc>
      </w:tr>
      <w:tr>
        <w:trPr>
          <w:trHeight w:hRule="exact" w:val="260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Capitalized interest and loan origination fees in total loans</w:t>
            </w:r>
          </w:p>
        </w:tc>
        <w:tc>
          <w:tcPr>
            <w:tcW w:type="dxa" w:w="1873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 </w:t>
            </w:r>
          </w:p>
        </w:tc>
        <w:tc>
          <w:tcPr>
            <w:tcW w:type="dxa" w:w="1873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 </w:t>
            </w:r>
          </w:p>
        </w:tc>
      </w:tr>
      <w:tr>
        <w:trPr>
          <w:trHeight w:hRule="exact" w:val="292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Interest paid on borrowing portfolio</w:t>
            </w:r>
          </w:p>
        </w:tc>
        <w:tc>
          <w:tcPr>
            <w:tcW w:type="dxa" w:w="1873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1,317 </w:t>
            </w:r>
          </w:p>
        </w:tc>
        <w:tc>
          <w:tcPr>
            <w:tcW w:type="dxa" w:w="1873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855 </w:t>
            </w:r>
          </w:p>
        </w:tc>
      </w:tr>
    </w:tbl>
    <w:p>
      <w:pPr>
        <w:autoSpaceDN w:val="0"/>
        <w:autoSpaceDE w:val="0"/>
        <w:widowControl/>
        <w:spacing w:line="202" w:lineRule="exact" w:before="14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18"/>
        </w:rPr>
        <w:t>The Notes to Condensed Quarterly Financial Statements are an integral part of these Statements.</w:t>
      </w:r>
    </w:p>
    <w:p>
      <w:pPr>
        <w:autoSpaceDN w:val="0"/>
        <w:autoSpaceDE w:val="0"/>
        <w:widowControl/>
        <w:spacing w:line="224" w:lineRule="exact" w:before="57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30     IDA Quarterly Financial Statements: March 31, 2025 (Unaudited)</w:t>
      </w:r>
    </w:p>
    <w:p>
      <w:pPr>
        <w:sectPr>
          <w:type w:val="continuous"/>
          <w:pgSz w:w="12240" w:h="15840"/>
          <w:pgMar w:top="516" w:right="1436" w:bottom="2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NOTES TO THE CONDENSED QUARTERLY FINANCIAL STATEMENTS</w:t>
      </w:r>
    </w:p>
    <w:p>
      <w:pPr>
        <w:autoSpaceDN w:val="0"/>
        <w:autoSpaceDE w:val="0"/>
        <w:widowControl/>
        <w:spacing w:line="244" w:lineRule="exact" w:before="264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NOTE A—SUMMARY OF SIGNIFICANT ACCOUNTING AND RELATED POLICIES</w:t>
      </w:r>
    </w:p>
    <w:p>
      <w:pPr>
        <w:autoSpaceDN w:val="0"/>
        <w:autoSpaceDE w:val="0"/>
        <w:widowControl/>
        <w:spacing w:line="244" w:lineRule="exact" w:before="14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Basis of Preparation</w:t>
      </w:r>
    </w:p>
    <w:p>
      <w:pPr>
        <w:autoSpaceDN w:val="0"/>
        <w:autoSpaceDE w:val="0"/>
        <w:widowControl/>
        <w:spacing w:line="240" w:lineRule="exact" w:before="13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These unaudited condensed quarterly financial statements and notes should be read in conjunction with the June 30,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2024 audited financial statements and notes included therein. The condensed comparative information that has been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derived from the June 30, 2024 audited financial statements has not been audited. In the opinion of management,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condensed quarterly financial statements reflect all adjustments necessary for a fair presentation of IDA’s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position and results of operations in accordance with accounting principles generally accepted in the United States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America (U.S. GAAP).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makes estimates and assumptions that affect the reported amounts of assets and liabilities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disclosures of contingent assets and liabilities at the date of the condensed quarterly financial statements and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reported amounts of revenue and expenses during the reporting periods. Due to the inherent uncertainty involved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making those estimates, actual results could differ from those estimates. Areas in which significant estimates have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been made include, but are not limited to, the provision for losses on loans and other exposures and valuation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certain financial instruments reported at fair value. The results of operations for the first nine months of the current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fiscal year are not necessarily indicative of the results that may be expected for the full year.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Certain reclassifications of the prior year’s information have been made to conform with the current year’s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presentation.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These financial statements were issued on May 14, 2025, which was also the date through which IDA’s management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evaluated subsequent events.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Accounting and Reporting Developments</w:t>
      </w:r>
    </w:p>
    <w:p>
      <w:pPr>
        <w:autoSpaceDN w:val="0"/>
        <w:autoSpaceDE w:val="0"/>
        <w:widowControl/>
        <w:spacing w:line="222" w:lineRule="exact" w:before="14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Accounting Standards Under Evaluation</w:t>
      </w:r>
    </w:p>
    <w:p>
      <w:pPr>
        <w:autoSpaceDN w:val="0"/>
        <w:autoSpaceDE w:val="0"/>
        <w:widowControl/>
        <w:spacing w:line="224" w:lineRule="exact" w:before="136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November 2024, the FASB issued ASU 2024-03,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>Income Statement—Reporting Comprehensive Income—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>Expense Disaggregation Disclosures (Subtopic 220-40)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, which requires disaggregated disclosure of income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statement expenses for public business entities. The ASU does not change the expense captions an entity presents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face of the income statement; rather, it requires disaggregation of certain expense captions into specified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categories in disclosures within the footnotes to the financial statements. In January 2025, the FASB issued ASU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2025-01,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Income Statement—Reporting Comprehensive Income—Expense Disaggregation Disclosures (Subtopic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>220-40): Clarifying the Effective Date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which clarifies the effective date of ASU 2024-03. For IDA, the ASUs will be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effective for the annual period ending June 30, 2028 (annual statements of fiscal year 2028 and interim reporting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periods thereafter). IDA is currently evaluating the impact of the ASUs on its financial statements.</w:t>
      </w:r>
    </w:p>
    <w:p>
      <w:pPr>
        <w:autoSpaceDN w:val="0"/>
        <w:autoSpaceDE w:val="0"/>
        <w:widowControl/>
        <w:spacing w:line="224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November 2023, the FASB issued ASU 2023-07,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Segment Reporting (Topic 280): Improvements to Reportable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Segment Disclosures,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which requires additional segment disclosures for public entities, including those with a single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reportable segment (such as IDA), for example, the significant segment expenses that are regularly provided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chief operating decision maker (CODM), the title and position of the CODM, as well as an explanation of how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CODM uses the reported measure of segment profit or loss. All existing annual disclosures about segment profit 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loss must be provided on an interim basis in addition to disclosure of significant segment expenses. For IDA,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ASU will be effective for the annual period ending June 30, 2025 (annual statements of fiscal year 2025 and interim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periods thereafter). IDA will adopt the ASU on the effective date with additional disclosures in the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statements.</w:t>
      </w:r>
    </w:p>
    <w:p>
      <w:pPr>
        <w:autoSpaceDN w:val="0"/>
        <w:autoSpaceDE w:val="0"/>
        <w:widowControl/>
        <w:spacing w:line="240" w:lineRule="exact" w:before="104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October 2023, the FASB issued ASU 2023-06,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Disclosure Improvements: Codification Amendments in Response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>to the SEC’s Disclosure Update and Simplification Initiative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. The new guidance is intended to align U.S. GAAP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requirements with those of the SEC and to facilitate the application of U.S. GAAP for all entities. If by June 30,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2027, the SEC has not removed the applicable SEC requirement, the related ASU amendment will not become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effective. IDA is currently evaluating the impact of the ASU on its financial statements.</w:t>
      </w:r>
    </w:p>
    <w:p>
      <w:pPr>
        <w:autoSpaceDN w:val="0"/>
        <w:autoSpaceDE w:val="0"/>
        <w:widowControl/>
        <w:spacing w:line="224" w:lineRule="exact" w:before="1574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IDA Quarterly Financial Statements: March 31, 2025 (Unaudited)     31</w:t>
      </w:r>
    </w:p>
    <w:p>
      <w:pPr>
        <w:sectPr>
          <w:pgSz w:w="12240" w:h="15840"/>
          <w:pgMar w:top="696" w:right="1370" w:bottom="2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NOTE B—MEMBERS’ SUBSCRIPTIONS AND CONTRIBUTIONS AND MEMBERSHIP</w:t>
      </w:r>
    </w:p>
    <w:p>
      <w:pPr>
        <w:autoSpaceDN w:val="0"/>
        <w:autoSpaceDE w:val="0"/>
        <w:widowControl/>
        <w:spacing w:line="222" w:lineRule="exact" w:before="13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movement in Subscriptions and contributions paid-in is summarized below: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B1: Subscriptions and contributions paid-in</w:t>
      </w:r>
    </w:p>
    <w:p>
      <w:pPr>
        <w:autoSpaceDN w:val="0"/>
        <w:autoSpaceDE w:val="0"/>
        <w:widowControl/>
        <w:spacing w:line="178" w:lineRule="exact" w:before="94" w:after="0"/>
        <w:ind w:left="11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0"/>
        <w:ind w:left="0" w:right="38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March 31,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40"/>
        </w:trPr>
        <w:tc>
          <w:tcPr>
            <w:tcW w:type="dxa" w:w="7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Beginning of the fiscal year</w:t>
            </w:r>
          </w:p>
        </w:tc>
        <w:tc>
          <w:tcPr>
            <w:tcW w:type="dxa" w:w="4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280,073 </w:t>
            </w:r>
          </w:p>
        </w:tc>
      </w:tr>
      <w:tr>
        <w:trPr>
          <w:trHeight w:hRule="exact" w:val="240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Cash contributions received</w:t>
            </w:r>
          </w:p>
        </w:tc>
        <w:tc>
          <w:tcPr>
            <w:tcW w:type="dxa" w:w="314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3,229 </w:t>
            </w:r>
          </w:p>
        </w:tc>
      </w:tr>
      <w:tr>
        <w:trPr>
          <w:trHeight w:hRule="exact" w:val="240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Demand obligations received</w:t>
            </w:r>
          </w:p>
        </w:tc>
        <w:tc>
          <w:tcPr>
            <w:tcW w:type="dxa" w:w="314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2,855 </w:t>
            </w:r>
          </w:p>
        </w:tc>
      </w:tr>
      <w:tr>
        <w:trPr>
          <w:trHeight w:hRule="exact" w:val="240"/>
        </w:trPr>
        <w:tc>
          <w:tcPr>
            <w:tcW w:type="dxa" w:w="76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Translation adjustment</w:t>
            </w:r>
          </w:p>
        </w:tc>
        <w:tc>
          <w:tcPr>
            <w:tcW w:type="dxa" w:w="314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171 </w:t>
            </w:r>
          </w:p>
        </w:tc>
      </w:tr>
      <w:tr>
        <w:trPr>
          <w:trHeight w:hRule="exact" w:val="220"/>
        </w:trPr>
        <w:tc>
          <w:tcPr>
            <w:tcW w:type="dxa" w:w="7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End of the period</w:t>
            </w:r>
          </w:p>
        </w:tc>
        <w:tc>
          <w:tcPr>
            <w:tcW w:type="dxa" w:w="4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286,328 </w:t>
            </w:r>
          </w:p>
        </w:tc>
      </w:tr>
    </w:tbl>
    <w:p>
      <w:pPr>
        <w:autoSpaceDN w:val="0"/>
        <w:autoSpaceDE w:val="0"/>
        <w:widowControl/>
        <w:spacing w:line="240" w:lineRule="exact" w:before="468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B2: Nonnegotiable, non-interest-bearing demand obligations on account of members' subscriptions and </w:t>
      </w:r>
      <w:r>
        <w:rPr>
          <w:rFonts w:ascii="TimesNewRoman" w:hAnsi="TimesNewRoman" w:eastAsia="TimesNewRoman"/>
          <w:b/>
          <w:i w:val="0"/>
          <w:color w:val="000000"/>
          <w:sz w:val="20"/>
        </w:rPr>
        <w:t>contributions</w:t>
      </w:r>
    </w:p>
    <w:p>
      <w:pPr>
        <w:autoSpaceDN w:val="0"/>
        <w:autoSpaceDE w:val="0"/>
        <w:widowControl/>
        <w:spacing w:line="178" w:lineRule="exact" w:before="94" w:after="0"/>
        <w:ind w:left="11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0"/>
        <w:ind w:left="0" w:right="38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March 31,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40"/>
        </w:trPr>
        <w:tc>
          <w:tcPr>
            <w:tcW w:type="dxa" w:w="7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Beginning of the fiscal year</w:t>
            </w:r>
          </w:p>
        </w:tc>
        <w:tc>
          <w:tcPr>
            <w:tcW w:type="dxa" w:w="4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12,553 </w:t>
            </w:r>
          </w:p>
        </w:tc>
      </w:tr>
      <w:tr>
        <w:trPr>
          <w:trHeight w:hRule="exact" w:val="240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Demand obligations received</w:t>
            </w:r>
          </w:p>
        </w:tc>
        <w:tc>
          <w:tcPr>
            <w:tcW w:type="dxa" w:w="314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2,855 </w:t>
            </w:r>
          </w:p>
        </w:tc>
      </w:tr>
      <w:tr>
        <w:trPr>
          <w:trHeight w:hRule="exact" w:val="240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Demand obligations encashed</w:t>
            </w:r>
          </w:p>
        </w:tc>
        <w:tc>
          <w:tcPr>
            <w:tcW w:type="dxa" w:w="314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(4,146) </w:t>
            </w:r>
          </w:p>
        </w:tc>
      </w:tr>
      <w:tr>
        <w:trPr>
          <w:trHeight w:hRule="exact" w:val="240"/>
        </w:trPr>
        <w:tc>
          <w:tcPr>
            <w:tcW w:type="dxa" w:w="76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Translation adjustment</w:t>
            </w:r>
          </w:p>
        </w:tc>
        <w:tc>
          <w:tcPr>
            <w:tcW w:type="dxa" w:w="314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171 </w:t>
            </w:r>
          </w:p>
        </w:tc>
      </w:tr>
      <w:tr>
        <w:trPr>
          <w:trHeight w:hRule="exact" w:val="220"/>
        </w:trPr>
        <w:tc>
          <w:tcPr>
            <w:tcW w:type="dxa" w:w="7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End of the period</w:t>
            </w:r>
          </w:p>
        </w:tc>
        <w:tc>
          <w:tcPr>
            <w:tcW w:type="dxa" w:w="4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11,433 </w:t>
            </w:r>
          </w:p>
        </w:tc>
      </w:tr>
    </w:tbl>
    <w:p>
      <w:pPr>
        <w:autoSpaceDN w:val="0"/>
        <w:autoSpaceDE w:val="0"/>
        <w:widowControl/>
        <w:spacing w:line="244" w:lineRule="exact" w:before="48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Membership</w:t>
      </w:r>
    </w:p>
    <w:p>
      <w:pPr>
        <w:autoSpaceDN w:val="0"/>
        <w:autoSpaceDE w:val="0"/>
        <w:widowControl/>
        <w:spacing w:line="248" w:lineRule="exact" w:before="12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On October 18, 2024, the Republic of Suriname became the 175</w:t>
      </w:r>
      <w:r>
        <w:rPr>
          <w:rFonts w:ascii="TimesNewRoman" w:hAnsi="TimesNewRoman" w:eastAsia="TimesNewRoman"/>
          <w:b w:val="0"/>
          <w:i w:val="0"/>
          <w:color w:val="000000"/>
          <w:sz w:val="13"/>
        </w:rPr>
        <w:t>th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member of IDA. </w:t>
      </w:r>
    </w:p>
    <w:p>
      <w:pPr>
        <w:autoSpaceDN w:val="0"/>
        <w:autoSpaceDE w:val="0"/>
        <w:widowControl/>
        <w:spacing w:line="224" w:lineRule="exact" w:before="26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NOTE C—INVESTMENTS</w:t>
      </w:r>
    </w:p>
    <w:p>
      <w:pPr>
        <w:autoSpaceDN w:val="0"/>
        <w:autoSpaceDE w:val="0"/>
        <w:widowControl/>
        <w:spacing w:line="240" w:lineRule="exact" w:before="11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investment securities held by IDA are designated as either trading or non-trading. All securities are carried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reported at fair value, or at face value, which approximates fair value.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March 31, 2025, IDA’s Investments were mainly comprised of government, agency and corporate obligations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(51%) and time deposits (49%), with all of the instruments classified as either Level 1 or Level 2 within the fair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value hierarchy. 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 summary of IDA’s Investments is as follows: 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C1: Investments composition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240"/>
        </w:trPr>
        <w:tc>
          <w:tcPr>
            <w:tcW w:type="dxa" w:w="74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0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March 31, 2025</w:t>
            </w:r>
          </w:p>
        </w:tc>
        <w:tc>
          <w:tcPr>
            <w:tcW w:type="dxa" w:w="19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1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Trading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36"/>
        </w:trPr>
        <w:tc>
          <w:tcPr>
            <w:tcW w:type="dxa" w:w="5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Government, agency and corporate obligations</w:t>
            </w:r>
          </w:p>
        </w:tc>
        <w:tc>
          <w:tcPr>
            <w:tcW w:type="dxa" w:w="5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23,047 </w:t>
            </w:r>
          </w:p>
        </w:tc>
        <w:tc>
          <w:tcPr>
            <w:tcW w:type="dxa" w:w="4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19,380 </w:t>
            </w:r>
          </w:p>
        </w:tc>
      </w:tr>
      <w:tr>
        <w:trPr>
          <w:trHeight w:hRule="exact" w:val="240"/>
        </w:trPr>
        <w:tc>
          <w:tcPr>
            <w:tcW w:type="dxa" w:w="5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Time deposits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21,905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14,715 </w:t>
            </w:r>
          </w:p>
        </w:tc>
      </w:tr>
      <w:tr>
        <w:trPr>
          <w:trHeight w:hRule="exact" w:val="244"/>
        </w:trPr>
        <w:tc>
          <w:tcPr>
            <w:tcW w:type="dxa" w:w="55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Asset-backed securities (ABS)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4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</w:tr>
      <w:tr>
        <w:trPr>
          <w:trHeight w:hRule="exact" w:val="240"/>
        </w:trPr>
        <w:tc>
          <w:tcPr>
            <w:tcW w:type="dxa" w:w="55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45,041 </w:t>
            </w:r>
          </w:p>
        </w:tc>
        <w:tc>
          <w:tcPr>
            <w:tcW w:type="dxa" w:w="4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34,206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Non-trading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40"/>
        </w:trPr>
        <w:tc>
          <w:tcPr>
            <w:tcW w:type="dxa" w:w="56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Debt security</w:t>
            </w:r>
          </w:p>
        </w:tc>
        <w:tc>
          <w:tcPr>
            <w:tcW w:type="dxa" w:w="5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113 </w:t>
            </w:r>
          </w:p>
        </w:tc>
        <w:tc>
          <w:tcPr>
            <w:tcW w:type="dxa" w:w="7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171 </w:t>
            </w:r>
          </w:p>
        </w:tc>
      </w:tr>
      <w:tr>
        <w:trPr>
          <w:trHeight w:hRule="exact" w:val="220"/>
        </w:trPr>
        <w:tc>
          <w:tcPr>
            <w:tcW w:type="dxa" w:w="56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45,154 </w:t>
            </w:r>
          </w:p>
        </w:tc>
        <w:tc>
          <w:tcPr>
            <w:tcW w:type="dxa" w:w="7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34,377 </w:t>
            </w:r>
          </w:p>
        </w:tc>
      </w:tr>
    </w:tbl>
    <w:p>
      <w:pPr>
        <w:autoSpaceDN w:val="0"/>
        <w:autoSpaceDE w:val="0"/>
        <w:widowControl/>
        <w:spacing w:line="224" w:lineRule="exact" w:before="215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32     IDA Quarterly Financial Statements: March 31, 2025 (Unaudited)</w:t>
      </w:r>
    </w:p>
    <w:p>
      <w:pPr>
        <w:sectPr>
          <w:pgSz w:w="12240" w:h="15840"/>
          <w:pgMar w:top="702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manages its investments on a net portfolio basis. As of March 31, 2025, the largest holdings from a single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counterparty within the net investment portfolio was French Government instruments (9%).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uses derivative instruments to manage currency and interest rate risk in the investment portfolio. For details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regarding these instruments, see Note F—Derivative Instruments. The following table summarizes IDA’s net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 position: 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C2: Net investment portfolio position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240"/>
        </w:trPr>
        <w:tc>
          <w:tcPr>
            <w:tcW w:type="dxa" w:w="7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March 31, 2025</w:t>
            </w:r>
          </w:p>
        </w:tc>
        <w:tc>
          <w:tcPr>
            <w:tcW w:type="dxa" w:w="15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Investments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38"/>
        </w:trPr>
        <w:tc>
          <w:tcPr>
            <w:tcW w:type="dxa" w:w="5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Trading</w:t>
            </w:r>
          </w:p>
        </w:tc>
        <w:tc>
          <w:tcPr>
            <w:tcW w:type="dxa" w:w="5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45,041 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34,206 </w:t>
            </w:r>
          </w:p>
        </w:tc>
      </w:tr>
      <w:tr>
        <w:trPr>
          <w:trHeight w:hRule="exact" w:val="240"/>
        </w:trPr>
        <w:tc>
          <w:tcPr>
            <w:tcW w:type="dxa" w:w="58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Non-trading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2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113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171 </w:t>
            </w:r>
          </w:p>
        </w:tc>
      </w:tr>
      <w:tr>
        <w:trPr>
          <w:trHeight w:hRule="exact" w:val="240"/>
        </w:trPr>
        <w:tc>
          <w:tcPr>
            <w:tcW w:type="dxa" w:w="58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45,154 </w:t>
            </w:r>
          </w:p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34,377 </w:t>
            </w:r>
          </w:p>
        </w:tc>
      </w:tr>
      <w:tr>
        <w:trPr>
          <w:trHeight w:hRule="exact" w:val="580"/>
        </w:trPr>
        <w:tc>
          <w:tcPr>
            <w:tcW w:type="dxa" w:w="58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Securities purchased under resale agreements</w:t>
            </w:r>
          </w:p>
        </w:tc>
        <w:tc>
          <w:tcPr>
            <w:tcW w:type="dxa" w:w="524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166 </w:t>
            </w:r>
          </w:p>
        </w:tc>
        <w:tc>
          <w:tcPr>
            <w:tcW w:type="dxa" w:w="4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6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 </w:t>
            </w:r>
          </w:p>
        </w:tc>
      </w:tr>
      <w:tr>
        <w:trPr>
          <w:trHeight w:hRule="exact" w:val="318"/>
        </w:trPr>
        <w:tc>
          <w:tcPr>
            <w:tcW w:type="dxa" w:w="5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sold under repurchase agreements, securities lent under securities </w:t>
            </w:r>
          </w:p>
        </w:tc>
        <w:tc>
          <w:tcPr>
            <w:tcW w:type="dxa" w:w="1888"/>
            <w:vMerge/>
            <w:tcBorders>
              <w:top w:sz="8.0" w:val="single" w:color="#000000"/>
            </w:tcBorders>
          </w:tcPr>
          <w:p/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(1,098) </w:t>
            </w:r>
          </w:p>
        </w:tc>
        <w:tc>
          <w:tcPr>
            <w:tcW w:type="dxa" w:w="1888"/>
            <w:vMerge/>
            <w:tcBorders>
              <w:top w:sz="8.0" w:val="single" w:color="#000000"/>
            </w:tcBorders>
          </w:tcPr>
          <w:p/>
        </w:tc>
        <w:tc>
          <w:tcPr>
            <w:tcW w:type="dxa" w:w="11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(964) </w:t>
            </w:r>
          </w:p>
        </w:tc>
      </w:tr>
      <w:tr>
        <w:trPr>
          <w:trHeight w:hRule="exact" w:val="258"/>
        </w:trPr>
        <w:tc>
          <w:tcPr>
            <w:tcW w:type="dxa" w:w="5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lending agreements, and payable for cash collateral received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888"/>
            <w:vMerge/>
            <w:tcBorders>
              <w:top w:sz="8.0" w:val="single" w:color="#000000"/>
            </w:tcBorders>
          </w:tcPr>
          <w:p/>
        </w:tc>
        <w:tc>
          <w:tcPr>
            <w:tcW w:type="dxa" w:w="1888"/>
            <w:vMerge/>
            <w:tcBorders/>
          </w:tcPr>
          <w:p/>
        </w:tc>
        <w:tc>
          <w:tcPr>
            <w:tcW w:type="dxa" w:w="1888"/>
            <w:vMerge/>
            <w:tcBorders>
              <w:top w:sz="8.0" w:val="single" w:color="#000000"/>
            </w:tcBorders>
          </w:tcPr>
          <w:p/>
        </w:tc>
        <w:tc>
          <w:tcPr>
            <w:tcW w:type="dxa" w:w="188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106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Derivative 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3147"/>
        <w:gridCol w:w="3147"/>
        <w:gridCol w:w="3147"/>
      </w:tblGrid>
      <w:tr>
        <w:trPr>
          <w:trHeight w:hRule="exact" w:val="228"/>
        </w:trPr>
        <w:tc>
          <w:tcPr>
            <w:tcW w:type="dxa" w:w="5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forward contracts</w:t>
            </w:r>
          </w:p>
        </w:tc>
        <w:tc>
          <w:tcPr>
            <w:tcW w:type="dxa" w:w="1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232 </w:t>
            </w:r>
          </w:p>
        </w:tc>
      </w:tr>
      <w:tr>
        <w:trPr>
          <w:trHeight w:hRule="exact" w:val="240"/>
        </w:trPr>
        <w:tc>
          <w:tcPr>
            <w:tcW w:type="dxa" w:w="5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  <w:tr>
        <w:trPr>
          <w:trHeight w:hRule="exact" w:val="250"/>
        </w:trPr>
        <w:tc>
          <w:tcPr>
            <w:tcW w:type="dxa" w:w="57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7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5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40"/>
        </w:trPr>
        <w:tc>
          <w:tcPr>
            <w:tcW w:type="dxa" w:w="57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17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115 </w:t>
            </w:r>
          </w:p>
        </w:tc>
        <w:tc>
          <w:tcPr>
            <w:tcW w:type="dxa" w:w="15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237 </w:t>
            </w:r>
          </w:p>
        </w:tc>
      </w:tr>
    </w:tbl>
    <w:p>
      <w:pPr>
        <w:autoSpaceDN w:val="0"/>
        <w:autoSpaceDE w:val="0"/>
        <w:widowControl/>
        <w:spacing w:line="180" w:lineRule="exact" w:before="256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Derivative Liabilities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38"/>
        </w:trPr>
        <w:tc>
          <w:tcPr>
            <w:tcW w:type="dxa" w:w="58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forward contracts</w:t>
            </w:r>
          </w:p>
        </w:tc>
        <w:tc>
          <w:tcPr>
            <w:tcW w:type="dxa" w:w="5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(100) </w:t>
            </w:r>
          </w:p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(20) </w:t>
            </w:r>
          </w:p>
        </w:tc>
      </w:tr>
      <w:tr>
        <w:trPr>
          <w:trHeight w:hRule="exact" w:val="240"/>
        </w:trPr>
        <w:tc>
          <w:tcPr>
            <w:tcW w:type="dxa" w:w="58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5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(100) </w:t>
            </w:r>
          </w:p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(20) </w:t>
            </w:r>
          </w:p>
        </w:tc>
      </w:tr>
      <w:tr>
        <w:trPr>
          <w:trHeight w:hRule="exact" w:val="446"/>
        </w:trPr>
        <w:tc>
          <w:tcPr>
            <w:tcW w:type="dxa" w:w="58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Cash held in investment portfolio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54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8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894 </w:t>
            </w:r>
          </w:p>
        </w:tc>
        <w:tc>
          <w:tcPr>
            <w:tcW w:type="dxa" w:w="4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8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532 </w:t>
            </w:r>
          </w:p>
        </w:tc>
      </w:tr>
      <w:tr>
        <w:trPr>
          <w:trHeight w:hRule="exact" w:val="240"/>
        </w:trPr>
        <w:tc>
          <w:tcPr>
            <w:tcW w:type="dxa" w:w="5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Receivable from investment securities traded and other assets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614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</w:tr>
      <w:tr>
        <w:trPr>
          <w:trHeight w:hRule="exact" w:val="260"/>
        </w:trPr>
        <w:tc>
          <w:tcPr>
            <w:tcW w:type="dxa" w:w="58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Payable for investment securities purchased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e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(1,258)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(648) </w:t>
            </w:r>
          </w:p>
        </w:tc>
      </w:tr>
      <w:tr>
        <w:trPr>
          <w:trHeight w:hRule="exact" w:val="220"/>
        </w:trPr>
        <w:tc>
          <w:tcPr>
            <w:tcW w:type="dxa" w:w="58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Investment Portfolio</w:t>
            </w:r>
          </w:p>
        </w:tc>
        <w:tc>
          <w:tcPr>
            <w:tcW w:type="dxa" w:w="5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44,487 </w:t>
            </w:r>
          </w:p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33,581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282" w:after="0"/>
        <w:ind w:left="62" w:right="576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As of March 31, 2025, this amount includes cash collateral of $909 million received from counterparties under derivative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agreements ($893 million - June 30, 2024).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These relate to to-be-announced (TBA) Securities, swaptions, exchange traded options and futures contracts.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These amounts are included in Unrestricted cash under Due from banks on the Condensed Balance Sheets.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d. These amounts are included in Other assets on the Condensed Balance Sheets.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50" w:after="0"/>
        <w:ind w:left="62" w:right="86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e. These amounts are included in Other liabilities on the Condensed Balance Sheets. As of March 31, 2025, short sales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amounted to $170 million ($59 million - June 30, 2024).</w:t>
      </w:r>
    </w:p>
    <w:p>
      <w:pPr>
        <w:autoSpaceDN w:val="0"/>
        <w:autoSpaceDE w:val="0"/>
        <w:widowControl/>
        <w:spacing w:line="240" w:lineRule="exact" w:before="19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March 31, 2025, IDA’s non-trading investment portfolio (principal amount due on a debt security with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International Finance Corporation - IFC) was $124 million ($185 million—June 30, 2024). For details regarding this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instrument, see Note H - Transactions with Affiliated Organizations.</w:t>
      </w:r>
    </w:p>
    <w:p>
      <w:pPr>
        <w:autoSpaceDN w:val="0"/>
        <w:autoSpaceDE w:val="0"/>
        <w:widowControl/>
        <w:spacing w:line="224" w:lineRule="exact" w:before="3244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IDA Quarterly Financial Statements: March 31, 2025 (Unaudited)     33</w:t>
      </w:r>
    </w:p>
    <w:p>
      <w:pPr>
        <w:sectPr>
          <w:pgSz w:w="12240" w:h="15840"/>
          <w:pgMar w:top="700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6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Commercial Credit Risk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 purposes of risk management, IDA is a party to a variety of financial transactions, certain of which involve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elements of credit risk. Credit risk exposure represents the maximum potential loss due to possible nonperformance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by obligors and counterparties under the terms of the contracts. For all securities, IDA limits trading to a list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authorized dealers and counterparties. In addition, credit limits have been established for counterparties by type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instrument and maturity category.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Swap Agreements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Credit risk is mitigated through a credit approval process, volume limits, monitoring procedures and the use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mark-to-market collateral arrangements. IDA may require collateral in the form of cash or other approved liquid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securities from individual counterparties to mitigate its credit exposure.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has entered into master derivative agreements, which contain legally enforceable close-out netting provisions.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These agreements may further reduce the gross credit risk exposure related to the swaps. Credit risk with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assets subject to a master derivatives arrangement is further reduced under these agreements to the extent that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payments and receipts with the counterparty are netted at settlement. The reduction in exposure as a result of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netting provisions can vary due to the impact of changes in market conditions on existing and new transactions.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extent of the reduction in exposure may therefore change substantially within a short period of time following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balance sheet date. For more information on netting and offsetting provisions, see Note F—Derivative Instruments.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is a summary of the collateral received by IDA in relation to swap transactions.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C3: Collateral received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240"/>
        </w:trPr>
        <w:tc>
          <w:tcPr>
            <w:tcW w:type="dxa" w:w="73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0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March 31, 2025</w:t>
            </w:r>
          </w:p>
        </w:tc>
        <w:tc>
          <w:tcPr>
            <w:tcW w:type="dxa" w:w="20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Collateral received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36"/>
        </w:trPr>
        <w:tc>
          <w:tcPr>
            <w:tcW w:type="dxa" w:w="5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Cash</w:t>
            </w:r>
          </w:p>
        </w:tc>
        <w:tc>
          <w:tcPr>
            <w:tcW w:type="dxa" w:w="6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909 </w:t>
            </w:r>
          </w:p>
        </w:tc>
        <w:tc>
          <w:tcPr>
            <w:tcW w:type="dxa" w:w="6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893 </w:t>
            </w:r>
          </w:p>
        </w:tc>
      </w:tr>
      <w:tr>
        <w:trPr>
          <w:trHeight w:hRule="exact" w:val="244"/>
        </w:trPr>
        <w:tc>
          <w:tcPr>
            <w:tcW w:type="dxa" w:w="51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Securities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105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51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collateral received</w:t>
            </w:r>
          </w:p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1,014 </w:t>
            </w:r>
          </w:p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893 </w:t>
            </w:r>
          </w:p>
        </w:tc>
      </w:tr>
      <w:tr>
        <w:trPr>
          <w:trHeight w:hRule="exact" w:val="236"/>
        </w:trPr>
        <w:tc>
          <w:tcPr>
            <w:tcW w:type="dxa" w:w="51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Collateral permitted to be repledged</w:t>
            </w:r>
          </w:p>
        </w:tc>
        <w:tc>
          <w:tcPr>
            <w:tcW w:type="dxa" w:w="6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1,014 </w:t>
            </w:r>
          </w:p>
        </w:tc>
        <w:tc>
          <w:tcPr>
            <w:tcW w:type="dxa" w:w="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893 </w:t>
            </w:r>
          </w:p>
        </w:tc>
      </w:tr>
      <w:tr>
        <w:trPr>
          <w:trHeight w:hRule="exact" w:val="244"/>
        </w:trPr>
        <w:tc>
          <w:tcPr>
            <w:tcW w:type="dxa" w:w="5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Amount of collateral repledged</w:t>
            </w:r>
          </w:p>
        </w:tc>
        <w:tc>
          <w:tcPr>
            <w:tcW w:type="dxa" w:w="6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480"/>
        </w:trPr>
        <w:tc>
          <w:tcPr>
            <w:tcW w:type="dxa" w:w="51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Amount of cash collateral invested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620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601 </w:t>
            </w:r>
          </w:p>
        </w:tc>
      </w:tr>
    </w:tbl>
    <w:p>
      <w:pPr>
        <w:autoSpaceDN w:val="0"/>
        <w:autoSpaceDE w:val="0"/>
        <w:widowControl/>
        <w:spacing w:line="222" w:lineRule="exact" w:before="18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Securities Lending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may engage in securities lending and repurchases, against adequate collateral, as well as securities borrowing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reverse repurchases (resales) of government, agency and corporate obligations, and ABS. These transactions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have been conducted under legally enforceable master netting arrangements, which allow IDA to reduce its gross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credit exposure related to these transactions. IDA presents its securities lending and repurchases, as well as resales,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 a gross basis on the Balance Sheets. As of March 31, 2025, amounts that could potentially be offset as a result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legally enforceable master netting arrangements were $37 million ($58 million—June 30, 2024).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Transfers of securities by IDA to counterparties are not accounted for as sales as the accounting criteria for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treatment as a sale have not been met. Counterparties are permitted to repledge these securities until the repurchase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date.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Securities lending agreements and repurchase agreements expose IDA to several risks, including counterparty risk,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reinvestment risk, and risk of a collateral gap (increase or decrease in the fair value of collateral pledged). IDA has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procedures in place to ensure that trading activity and balances under these agreements are below predefined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counterparty and maturity limits, and to actively monitor net counterparty exposure, after collateral, using daily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market values. Whenever the collateral pledged by IDA related to its borrowings under securities lending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agreements and repurchase agreements declines in value, the transaction is re-priced as appropriate by returning cash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or pledging additional collateral.</w:t>
      </w:r>
    </w:p>
    <w:p>
      <w:pPr>
        <w:autoSpaceDN w:val="0"/>
        <w:autoSpaceDE w:val="0"/>
        <w:widowControl/>
        <w:spacing w:line="224" w:lineRule="exact" w:before="133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34     IDA Quarterly Financial Statements: March 31, 2025 (Unaudited)</w:t>
      </w:r>
    </w:p>
    <w:p>
      <w:pPr>
        <w:sectPr>
          <w:pgSz w:w="12240" w:h="15840"/>
          <w:pgMar w:top="696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March 31, 2025, the liabilities relating to securities transferred under repurchase or securities lending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agreements amounted to $189 million ($71 million—June 30, 2024), and there were no unsettled trades relating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these agreements (Nil—June 30, 2024). There were no replacement trades entered into in anticipation of maturing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trades of a similar amount (Nil—June 30, 2024). As of March 31, 2025 and June 30, 2024, the remaining contractual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maturity of these agreements was less than 30 days. The securities transferred were mainly comprised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government and agency obligations.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the case of resale agreements, IDA receives collateral in the form of liquid securities and is permitted to repledge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these securities. While these transactions are legally considered to be true purchases and sales, the securities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received are not recorded on IDA’s Condensed Balance Sheets as the accounting criteria for treatment as a sale have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not been met. As of March 31, 2025, and June 30, 2024, there were no unsettled trades pertaining to securities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purchased under resale agreements. For resale agreements, IDA received securities with a fair value of $168 million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March 31, 2025 ($59 million—June 30, 2024). As of March 31, 2025 and June 30, 2024, none of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securities had been transferred under repurchase or security lending agreements.</w:t>
      </w:r>
    </w:p>
    <w:p>
      <w:pPr>
        <w:autoSpaceDN w:val="0"/>
        <w:autoSpaceDE w:val="0"/>
        <w:widowControl/>
        <w:spacing w:line="224" w:lineRule="exact" w:before="26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NOTE D—LOANS AND OTHER EXPOSURES</w:t>
      </w:r>
    </w:p>
    <w:p>
      <w:pPr>
        <w:autoSpaceDN w:val="0"/>
        <w:autoSpaceDE w:val="0"/>
        <w:widowControl/>
        <w:spacing w:line="240" w:lineRule="exact" w:before="114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loans and other exposures are generally made to, or guaranteed by, member countries of IDA. Loans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carried at amortized cost. Other exposures include signed loan commitments, Deferred Drawdown Options (DDO),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irrevocable commitments, grant advances, project preparation advances and guarantees. Based on IDA’s internal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credit quality indicators, the loans outstanding are in the High and Medium risk classes.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excludes the interest and service charges receivable balance from the amortized cost basis and the related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disclosures. As of March 31, 2025, accrued interest income and service charges on loans of $924 million ($715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million—June 30, 2024) are presented in Other assets on the Condensed Balance Sheets. 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March 31, 2025, 0.4% of IDA’s loans were in nonaccrual status and related to three borrowers. The total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accumulated provision for losses on loans in accrual status and nonaccrual status was 2.1% of total loans as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March 31, 2025. 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Credit Quality of Sovereign Loans</w:t>
      </w:r>
    </w:p>
    <w:p>
      <w:pPr>
        <w:autoSpaceDN w:val="0"/>
        <w:autoSpaceDE w:val="0"/>
        <w:widowControl/>
        <w:spacing w:line="240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Based on an evaluation of IDA’s exposures, management has determined that IDA has one portfolio segment –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Sovereign Exposures. IDA’s loans constitute the majority of the Sovereign Exposures portfolio segment.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country risk ratings are an assessment of its borrowers’ ability and willingness to repay IDA on time and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full. These ratings are internal credit quality indicators. Individual country risk ratings are derived on the basis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both quantitative and qualitative analyses. The components considered in the analysis can be grouped broadly into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eight categories: political risks; external debt and liquidity; fiscal policy and public debt burden; balance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payments risks; economic structure and growth prospects; monetary and exchange rate policy; financial sector risks;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corporate sector debt and vulnerabilities. The analysis also takes into account Environmental, Social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Governance (ESG) factors. For the purpose of analyzing their risk characteristics, these exposures are grouped into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three classes in accordance with assigned borrower risk ratings, which relate to the likelihood of loss: Low, Medium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High risk classes, as well as exposures in nonaccrual status. 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borrower country risk ratings are key determinants in the provision for loan losses. Country risk ratings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borrowers in accrual status are grouped in pools with similar credit ratings for calculation of the expected credit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losses. Exposures for certain countries in accrual status may be individually assessed on the basis that they do not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share common risk characteristics with an existing pool of exposures. All exposures for countries in nonaccrual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status are individually assessed. Country risk ratings are determined in review meetings that take place several times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 year. All countries are reviewed at least once a year, or more frequently if circumstances warrant, to determine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appropriate ratings.</w:t>
      </w:r>
    </w:p>
    <w:p>
      <w:pPr>
        <w:autoSpaceDN w:val="0"/>
        <w:autoSpaceDE w:val="0"/>
        <w:widowControl/>
        <w:spacing w:line="240" w:lineRule="exact" w:before="12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 assessment was also performed to determine whether a qualitative adjustment was needed on the loan loss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provision as of March 31, 2025, including consideration of global and macroeconomic events. Management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concluded that a qualitative adjustment beyond the regular application of IDA’s loan loss provision framework was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not warranted.</w:t>
      </w:r>
    </w:p>
    <w:p>
      <w:pPr>
        <w:autoSpaceDN w:val="0"/>
        <w:autoSpaceDE w:val="0"/>
        <w:widowControl/>
        <w:spacing w:line="224" w:lineRule="exact" w:before="1070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IDA Quarterly Financial Statements: March 31, 2025 (Unaudited)     35</w:t>
      </w:r>
    </w:p>
    <w:p>
      <w:pPr>
        <w:sectPr>
          <w:pgSz w:w="12240" w:h="15840"/>
          <w:pgMar w:top="700" w:right="1370" w:bottom="2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6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Overdue Amounts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March 31, 2025, there were no principal and charges under sovereign loans in accrual status that were overdue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by more than three months.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considers loans to be past due when a borrower fails to make payment on any principal, interest or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charges due to IDA on the due dates provided in the contractual loan agreement.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tables provide an aging of loans outstanding: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D1: Loans-Aging structure</w:t>
      </w:r>
    </w:p>
    <w:p>
      <w:pPr>
        <w:autoSpaceDN w:val="0"/>
        <w:autoSpaceDE w:val="0"/>
        <w:widowControl/>
        <w:spacing w:line="178" w:lineRule="exact" w:before="9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0"/>
        <w:ind w:left="0" w:right="320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March 31, 2025</w:t>
      </w:r>
    </w:p>
    <w:p>
      <w:pPr>
        <w:autoSpaceDN w:val="0"/>
        <w:autoSpaceDE w:val="0"/>
        <w:widowControl/>
        <w:spacing w:line="180" w:lineRule="exact" w:before="64" w:after="6"/>
        <w:ind w:left="0" w:right="198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Total Past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16"/>
        </w:trPr>
        <w:tc>
          <w:tcPr>
            <w:tcW w:type="dxa" w:w="16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Days past due</w:t>
            </w:r>
          </w:p>
        </w:tc>
        <w:tc>
          <w:tcPr>
            <w:tcW w:type="dxa" w:w="12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3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Up to 45</w:t>
            </w:r>
          </w:p>
        </w:tc>
        <w:tc>
          <w:tcPr>
            <w:tcW w:type="dxa" w:w="9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46-60</w:t>
            </w:r>
          </w:p>
        </w:tc>
        <w:tc>
          <w:tcPr>
            <w:tcW w:type="dxa" w:w="9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61-90</w:t>
            </w:r>
          </w:p>
        </w:tc>
        <w:tc>
          <w:tcPr>
            <w:tcW w:type="dxa" w:w="9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91-180</w:t>
            </w:r>
          </w:p>
        </w:tc>
        <w:tc>
          <w:tcPr>
            <w:tcW w:type="dxa" w:w="9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Over 180</w:t>
            </w:r>
          </w:p>
        </w:tc>
        <w:tc>
          <w:tcPr>
            <w:tcW w:type="dxa" w:w="9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Due</w:t>
            </w:r>
          </w:p>
        </w:tc>
        <w:tc>
          <w:tcPr>
            <w:tcW w:type="dxa" w:w="9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Current</w:t>
            </w:r>
          </w:p>
        </w:tc>
        <w:tc>
          <w:tcPr>
            <w:tcW w:type="dxa" w:w="9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80" w:lineRule="exact" w:before="30" w:after="2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Risk Class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</w:tblGrid>
      <w:tr>
        <w:trPr>
          <w:trHeight w:hRule="exact" w:val="204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3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60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14,715 </w:t>
            </w:r>
          </w:p>
        </w:tc>
        <w:tc>
          <w:tcPr>
            <w:tcW w:type="dxa" w:w="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14,715 </w:t>
            </w:r>
          </w:p>
        </w:tc>
      </w:tr>
      <w:tr>
        <w:trPr>
          <w:trHeight w:hRule="exact" w:val="260"/>
        </w:trPr>
        <w:tc>
          <w:tcPr>
            <w:tcW w:type="dxa" w:w="20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High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4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4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 </w:t>
            </w:r>
          </w:p>
        </w:tc>
        <w:tc>
          <w:tcPr>
            <w:tcW w:type="dxa" w:w="91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199,905 </w:t>
            </w:r>
          </w:p>
        </w:tc>
        <w:tc>
          <w:tcPr>
            <w:tcW w:type="dxa" w:w="98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199,949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</w:tr>
      <w:tr>
        <w:trPr>
          <w:trHeight w:hRule="exact" w:val="240"/>
        </w:trPr>
        <w:tc>
          <w:tcPr>
            <w:tcW w:type="dxa" w:w="20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 </w:t>
            </w:r>
          </w:p>
        </w:tc>
        <w:tc>
          <w:tcPr>
            <w:tcW w:type="dxa" w:w="4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 </w:t>
            </w:r>
          </w:p>
        </w:tc>
        <w:tc>
          <w:tcPr>
            <w:tcW w:type="dxa" w:w="91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214,620 </w:t>
            </w:r>
          </w:p>
        </w:tc>
        <w:tc>
          <w:tcPr>
            <w:tcW w:type="dxa" w:w="98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214,664 </w:t>
            </w:r>
          </w:p>
        </w:tc>
      </w:tr>
      <w:tr>
        <w:trPr>
          <w:trHeight w:hRule="exact" w:val="240"/>
        </w:trPr>
        <w:tc>
          <w:tcPr>
            <w:tcW w:type="dxa" w:w="20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4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  <w:tc>
          <w:tcPr>
            <w:tcW w:type="dxa" w:w="3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510 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528 </w:t>
            </w:r>
          </w:p>
        </w:tc>
        <w:tc>
          <w:tcPr>
            <w:tcW w:type="dxa" w:w="91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339 </w:t>
            </w:r>
          </w:p>
        </w:tc>
        <w:tc>
          <w:tcPr>
            <w:tcW w:type="dxa" w:w="98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867 </w:t>
            </w:r>
          </w:p>
        </w:tc>
      </w:tr>
      <w:tr>
        <w:trPr>
          <w:trHeight w:hRule="exact" w:val="220"/>
        </w:trPr>
        <w:tc>
          <w:tcPr>
            <w:tcW w:type="dxa" w:w="20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 </w:t>
            </w:r>
          </w:p>
        </w:tc>
        <w:tc>
          <w:tcPr>
            <w:tcW w:type="dxa" w:w="4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  <w:tc>
          <w:tcPr>
            <w:tcW w:type="dxa" w:w="3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510 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572 </w:t>
            </w:r>
          </w:p>
        </w:tc>
        <w:tc>
          <w:tcPr>
            <w:tcW w:type="dxa" w:w="916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$ 214,959 </w:t>
            </w:r>
          </w:p>
        </w:tc>
        <w:tc>
          <w:tcPr>
            <w:tcW w:type="dxa" w:w="984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$ 215,531 </w:t>
            </w:r>
          </w:p>
        </w:tc>
      </w:tr>
      <w:tr>
        <w:trPr>
          <w:trHeight w:hRule="exact" w:val="260"/>
        </w:trPr>
        <w:tc>
          <w:tcPr>
            <w:tcW w:type="dxa" w:w="20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0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10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2" w:lineRule="exact" w:before="318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D1.1: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0"/>
        <w:ind w:left="0" w:right="325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2024</w:t>
      </w:r>
    </w:p>
    <w:p>
      <w:pPr>
        <w:autoSpaceDN w:val="0"/>
        <w:autoSpaceDE w:val="0"/>
        <w:widowControl/>
        <w:spacing w:line="178" w:lineRule="exact" w:before="64" w:after="8"/>
        <w:ind w:left="0" w:right="198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Total Past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14"/>
        </w:trPr>
        <w:tc>
          <w:tcPr>
            <w:tcW w:type="dxa" w:w="16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Days past due</w:t>
            </w:r>
          </w:p>
        </w:tc>
        <w:tc>
          <w:tcPr>
            <w:tcW w:type="dxa" w:w="12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3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Up to 45</w:t>
            </w:r>
          </w:p>
        </w:tc>
        <w:tc>
          <w:tcPr>
            <w:tcW w:type="dxa" w:w="9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46-60</w:t>
            </w:r>
          </w:p>
        </w:tc>
        <w:tc>
          <w:tcPr>
            <w:tcW w:type="dxa" w:w="9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61-90</w:t>
            </w:r>
          </w:p>
        </w:tc>
        <w:tc>
          <w:tcPr>
            <w:tcW w:type="dxa" w:w="9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91-180</w:t>
            </w:r>
          </w:p>
        </w:tc>
        <w:tc>
          <w:tcPr>
            <w:tcW w:type="dxa" w:w="9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Over 180</w:t>
            </w:r>
          </w:p>
        </w:tc>
        <w:tc>
          <w:tcPr>
            <w:tcW w:type="dxa" w:w="9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Due</w:t>
            </w:r>
          </w:p>
        </w:tc>
        <w:tc>
          <w:tcPr>
            <w:tcW w:type="dxa" w:w="9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Current</w:t>
            </w:r>
          </w:p>
        </w:tc>
        <w:tc>
          <w:tcPr>
            <w:tcW w:type="dxa" w:w="9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2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Risk Class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</w:tblGrid>
      <w:tr>
        <w:trPr>
          <w:trHeight w:hRule="exact" w:val="240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3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16,266 </w:t>
            </w:r>
          </w:p>
        </w:tc>
        <w:tc>
          <w:tcPr>
            <w:tcW w:type="dxa" w:w="8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16,266 </w:t>
            </w:r>
          </w:p>
        </w:tc>
      </w:tr>
      <w:tr>
        <w:trPr>
          <w:trHeight w:hRule="exact" w:val="264"/>
        </w:trPr>
        <w:tc>
          <w:tcPr>
            <w:tcW w:type="dxa" w:w="20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High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4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4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4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 </w:t>
            </w:r>
          </w:p>
        </w:tc>
        <w:tc>
          <w:tcPr>
            <w:tcW w:type="dxa" w:w="1830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185,404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185,423 </w:t>
            </w:r>
          </w:p>
        </w:tc>
      </w:tr>
      <w:tr>
        <w:trPr>
          <w:trHeight w:hRule="exact" w:val="240"/>
        </w:trPr>
        <w:tc>
          <w:tcPr>
            <w:tcW w:type="dxa" w:w="20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 </w:t>
            </w:r>
          </w:p>
        </w:tc>
        <w:tc>
          <w:tcPr>
            <w:tcW w:type="dxa" w:w="4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4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 </w:t>
            </w:r>
          </w:p>
        </w:tc>
        <w:tc>
          <w:tcPr>
            <w:tcW w:type="dxa" w:w="938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201,670 </w:t>
            </w:r>
          </w:p>
        </w:tc>
        <w:tc>
          <w:tcPr>
            <w:tcW w:type="dxa" w:w="892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201,689 </w:t>
            </w:r>
          </w:p>
        </w:tc>
      </w:tr>
      <w:tr>
        <w:trPr>
          <w:trHeight w:hRule="exact" w:val="240"/>
        </w:trPr>
        <w:tc>
          <w:tcPr>
            <w:tcW w:type="dxa" w:w="20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4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478 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497 </w:t>
            </w:r>
          </w:p>
        </w:tc>
        <w:tc>
          <w:tcPr>
            <w:tcW w:type="dxa" w:w="938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362 </w:t>
            </w:r>
          </w:p>
        </w:tc>
        <w:tc>
          <w:tcPr>
            <w:tcW w:type="dxa" w:w="892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859 </w:t>
            </w:r>
          </w:p>
        </w:tc>
      </w:tr>
      <w:tr>
        <w:trPr>
          <w:trHeight w:hRule="exact" w:val="220"/>
        </w:trPr>
        <w:tc>
          <w:tcPr>
            <w:tcW w:type="dxa" w:w="20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 </w:t>
            </w:r>
          </w:p>
        </w:tc>
        <w:tc>
          <w:tcPr>
            <w:tcW w:type="dxa" w:w="4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*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478 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516 </w:t>
            </w:r>
          </w:p>
        </w:tc>
        <w:tc>
          <w:tcPr>
            <w:tcW w:type="dxa" w:w="938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$ 202,032 </w:t>
            </w:r>
          </w:p>
        </w:tc>
        <w:tc>
          <w:tcPr>
            <w:tcW w:type="dxa" w:w="892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$ 202,548 </w:t>
            </w:r>
          </w:p>
        </w:tc>
      </w:tr>
    </w:tbl>
    <w:p>
      <w:pPr>
        <w:autoSpaceDN w:val="0"/>
        <w:autoSpaceDE w:val="0"/>
        <w:widowControl/>
        <w:spacing w:line="178" w:lineRule="exact" w:before="29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Includes Private Sector Window (PSW) related loans of $269 million ($236 million - June 30, 2024).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* Indicates amount less than $0.5 million.</w:t>
      </w:r>
    </w:p>
    <w:p>
      <w:pPr>
        <w:autoSpaceDN w:val="0"/>
        <w:autoSpaceDE w:val="0"/>
        <w:widowControl/>
        <w:spacing w:line="220" w:lineRule="exact" w:before="268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D2: Loans in nonaccrual status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</w:tblGrid>
      <w:tr>
        <w:trPr>
          <w:trHeight w:hRule="exact" w:val="254"/>
        </w:trPr>
        <w:tc>
          <w:tcPr>
            <w:tcW w:type="dxa" w:w="2886"/>
            <w:gridSpan w:val="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6" w:after="0"/>
              <w:ind w:left="0" w:right="14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Nonaccrual </w:t>
            </w:r>
          </w:p>
        </w:tc>
        <w:tc>
          <w:tcPr>
            <w:tcW w:type="dxa" w:w="1034"/>
            <w:gridSpan w:val="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6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Recorded </w:t>
            </w:r>
          </w:p>
        </w:tc>
        <w:tc>
          <w:tcPr>
            <w:tcW w:type="dxa" w:w="106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25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Average </w:t>
            </w:r>
          </w:p>
        </w:tc>
        <w:tc>
          <w:tcPr>
            <w:tcW w:type="dxa" w:w="109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Accumulated </w:t>
            </w:r>
          </w:p>
        </w:tc>
        <w:tc>
          <w:tcPr>
            <w:tcW w:type="dxa" w:w="119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Accumulated </w:t>
            </w:r>
          </w:p>
        </w:tc>
        <w:tc>
          <w:tcPr>
            <w:tcW w:type="dxa" w:w="1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1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Overdue amounts</w:t>
            </w:r>
          </w:p>
        </w:tc>
      </w:tr>
      <w:tr>
        <w:trPr>
          <w:trHeight w:hRule="exact" w:val="182"/>
        </w:trPr>
        <w:tc>
          <w:tcPr>
            <w:tcW w:type="dxa" w:w="1348"/>
            <w:gridSpan w:val="2"/>
            <w:vMerge/>
            <w:tcBorders>
              <w:top w:sz="8.0" w:val="single" w:color="#000000"/>
            </w:tcBorders>
          </w:tcPr>
          <w:p/>
        </w:tc>
        <w:tc>
          <w:tcPr>
            <w:tcW w:type="dxa" w:w="1348"/>
            <w:gridSpan w:val="2"/>
            <w:vMerge/>
            <w:tcBorders>
              <w:top w:sz="8.0" w:val="single" w:color="#000000"/>
            </w:tcBorders>
          </w:tcPr>
          <w:p/>
        </w:tc>
        <w:tc>
          <w:tcPr>
            <w:tcW w:type="dxa" w:w="10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2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recorded </w:t>
            </w:r>
          </w:p>
        </w:tc>
        <w:tc>
          <w:tcPr>
            <w:tcW w:type="dxa" w:w="10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provision for </w:t>
            </w:r>
          </w:p>
        </w:tc>
        <w:tc>
          <w:tcPr>
            <w:tcW w:type="dxa" w:w="11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provision for </w:t>
            </w:r>
          </w:p>
        </w:tc>
        <w:tc>
          <w:tcPr>
            <w:tcW w:type="dxa" w:w="19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2" w:after="0"/>
              <w:ind w:left="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Principal</w:t>
            </w:r>
          </w:p>
        </w:tc>
        <w:tc>
          <w:tcPr>
            <w:tcW w:type="dxa" w:w="103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Interest and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Charges</w:t>
            </w:r>
          </w:p>
        </w:tc>
      </w:tr>
      <w:tr>
        <w:trPr>
          <w:trHeight w:hRule="exact" w:val="240"/>
        </w:trPr>
        <w:tc>
          <w:tcPr>
            <w:tcW w:type="dxa" w:w="1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Borrower</w:t>
            </w:r>
          </w:p>
        </w:tc>
        <w:tc>
          <w:tcPr>
            <w:tcW w:type="dxa" w:w="15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0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since</w:t>
            </w:r>
          </w:p>
        </w:tc>
        <w:tc>
          <w:tcPr>
            <w:tcW w:type="dxa" w:w="103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investment </w:t>
            </w:r>
          </w:p>
        </w:tc>
        <w:tc>
          <w:tcPr>
            <w:tcW w:type="dxa" w:w="106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investment</w:t>
            </w:r>
          </w:p>
        </w:tc>
        <w:tc>
          <w:tcPr>
            <w:tcW w:type="dxa" w:w="109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debt relief</w:t>
            </w:r>
          </w:p>
        </w:tc>
        <w:tc>
          <w:tcPr>
            <w:tcW w:type="dxa" w:w="119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 losses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4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288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Syrian Arab Republic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June 2012</w:t>
            </w:r>
          </w:p>
        </w:tc>
        <w:tc>
          <w:tcPr>
            <w:tcW w:type="dxa" w:w="103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106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109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9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9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103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</w:tr>
      <w:tr>
        <w:trPr>
          <w:trHeight w:hRule="exact" w:val="240"/>
        </w:trPr>
        <w:tc>
          <w:tcPr>
            <w:tcW w:type="dxa" w:w="1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Eritrea</w:t>
            </w:r>
          </w:p>
        </w:tc>
        <w:tc>
          <w:tcPr>
            <w:tcW w:type="dxa" w:w="1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March 2012</w:t>
            </w:r>
          </w:p>
        </w:tc>
        <w:tc>
          <w:tcPr>
            <w:tcW w:type="dxa" w:w="10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415 </w:t>
            </w:r>
          </w:p>
        </w:tc>
        <w:tc>
          <w:tcPr>
            <w:tcW w:type="dxa" w:w="10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414 </w:t>
            </w:r>
          </w:p>
        </w:tc>
        <w:tc>
          <w:tcPr>
            <w:tcW w:type="dxa" w:w="10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271 </w:t>
            </w:r>
          </w:p>
        </w:tc>
        <w:tc>
          <w:tcPr>
            <w:tcW w:type="dxa" w:w="11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 </w:t>
            </w:r>
          </w:p>
        </w:tc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156 </w:t>
            </w:r>
          </w:p>
        </w:tc>
        <w:tc>
          <w:tcPr>
            <w:tcW w:type="dxa" w:w="10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 </w:t>
            </w:r>
          </w:p>
        </w:tc>
      </w:tr>
      <w:tr>
        <w:trPr>
          <w:trHeight w:hRule="exact" w:val="240"/>
        </w:trPr>
        <w:tc>
          <w:tcPr>
            <w:tcW w:type="dxa" w:w="1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Zimbabwe</w:t>
            </w:r>
          </w:p>
        </w:tc>
        <w:tc>
          <w:tcPr>
            <w:tcW w:type="dxa" w:w="15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October 2000</w:t>
            </w:r>
          </w:p>
        </w:tc>
        <w:tc>
          <w:tcPr>
            <w:tcW w:type="dxa" w:w="103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438 </w:t>
            </w:r>
          </w:p>
        </w:tc>
        <w:tc>
          <w:tcPr>
            <w:tcW w:type="dxa" w:w="106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437 </w:t>
            </w:r>
          </w:p>
        </w:tc>
        <w:tc>
          <w:tcPr>
            <w:tcW w:type="dxa" w:w="109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9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219 </w:t>
            </w:r>
          </w:p>
        </w:tc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358 </w:t>
            </w:r>
          </w:p>
        </w:tc>
        <w:tc>
          <w:tcPr>
            <w:tcW w:type="dxa" w:w="103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 </w:t>
            </w:r>
          </w:p>
        </w:tc>
      </w:tr>
      <w:tr>
        <w:trPr>
          <w:trHeight w:hRule="exact" w:val="220"/>
        </w:trPr>
        <w:tc>
          <w:tcPr>
            <w:tcW w:type="dxa" w:w="288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- March 31, 2025</w:t>
            </w:r>
          </w:p>
        </w:tc>
        <w:tc>
          <w:tcPr>
            <w:tcW w:type="dxa" w:w="4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867 </w:t>
            </w:r>
          </w:p>
        </w:tc>
        <w:tc>
          <w:tcPr>
            <w:tcW w:type="dxa" w:w="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865 </w:t>
            </w:r>
          </w:p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271 </w:t>
            </w:r>
          </w:p>
        </w:tc>
        <w:tc>
          <w:tcPr>
            <w:tcW w:type="dxa" w:w="5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235 </w:t>
            </w:r>
          </w:p>
        </w:tc>
        <w:tc>
          <w:tcPr>
            <w:tcW w:type="dxa" w:w="1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528 </w:t>
            </w:r>
          </w:p>
        </w:tc>
        <w:tc>
          <w:tcPr>
            <w:tcW w:type="dxa" w:w="44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118 </w:t>
            </w:r>
          </w:p>
        </w:tc>
      </w:tr>
      <w:tr>
        <w:trPr>
          <w:trHeight w:hRule="exact" w:val="240"/>
        </w:trPr>
        <w:tc>
          <w:tcPr>
            <w:tcW w:type="dxa" w:w="288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- June 30, 2024</w:t>
            </w:r>
          </w:p>
        </w:tc>
        <w:tc>
          <w:tcPr>
            <w:tcW w:type="dxa" w:w="4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859 </w:t>
            </w:r>
          </w:p>
        </w:tc>
        <w:tc>
          <w:tcPr>
            <w:tcW w:type="dxa" w:w="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866 </w:t>
            </w:r>
          </w:p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270 </w:t>
            </w:r>
          </w:p>
        </w:tc>
        <w:tc>
          <w:tcPr>
            <w:tcW w:type="dxa" w:w="5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233 </w:t>
            </w:r>
          </w:p>
        </w:tc>
        <w:tc>
          <w:tcPr>
            <w:tcW w:type="dxa" w:w="1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497 </w:t>
            </w:r>
          </w:p>
        </w:tc>
        <w:tc>
          <w:tcPr>
            <w:tcW w:type="dxa" w:w="44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112 </w:t>
            </w:r>
          </w:p>
        </w:tc>
      </w:tr>
    </w:tbl>
    <w:p>
      <w:pPr>
        <w:autoSpaceDN w:val="0"/>
        <w:autoSpaceDE w:val="0"/>
        <w:widowControl/>
        <w:spacing w:line="178" w:lineRule="exact" w:before="32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Loan loss provisions are determined after taking into account accumulated provision for debt relief.</w:t>
      </w:r>
    </w:p>
    <w:p>
      <w:pPr>
        <w:autoSpaceDN w:val="0"/>
        <w:autoSpaceDE w:val="0"/>
        <w:widowControl/>
        <w:spacing w:line="224" w:lineRule="exact" w:before="160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36     IDA Quarterly Financial Statements: March 31, 2025 (Unaudited)</w:t>
      </w:r>
    </w:p>
    <w:p>
      <w:pPr>
        <w:sectPr>
          <w:pgSz w:w="12240" w:h="15840"/>
          <w:pgMar w:top="696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three and nine months ended March 31, 2025, no new loans were placed into nonaccrual status 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restored to accrual status.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three and nine months ended March 31, 2025, service charge revenue not recognized as a result of loans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being in nonaccrual status was $2 million and $5 million, respectively ($18 million and $21 million – three and nine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months ended March 31, 2024, respectively).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three and nine months ended March 31, 2025, service charge revenue recognized on loans in nonaccrual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status upon receipt of payment was nil and less than $1 million, respectively (less than $1 million for the three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nine months ended March 31, 2024).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amounts of Catastrophe Deferred Drawdown Option (CAT DDO) outstanding and revolving that were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converted to term loans during the three and nine months ended March 31, 2025 were nil and $48 million (Nil—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three and nine months ended March 31, 2024).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considers the signature date of a loan as the best indicator of the decision point in the origination process, rather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than the disbursement date. The table below shows the outstanding balances of IDA’s loan portfolio classified by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year the loan agreement was signed.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Subsequent event</w:t>
      </w:r>
    </w:p>
    <w:p>
      <w:pPr>
        <w:autoSpaceDN w:val="0"/>
        <w:autoSpaceDE w:val="0"/>
        <w:widowControl/>
        <w:spacing w:line="240" w:lineRule="exact" w:before="130" w:after="0"/>
        <w:ind w:left="10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 May 12, 2025, the Syrian Arab Republic, with the assistance of 2 countries, cleared all of its overdue principal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and charges due to IDA.</w:t>
      </w:r>
    </w:p>
    <w:p>
      <w:pPr>
        <w:autoSpaceDN w:val="0"/>
        <w:autoSpaceDE w:val="0"/>
        <w:widowControl/>
        <w:spacing w:line="220" w:lineRule="exact" w:before="25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D3: Loan portfolio vintage disclosure</w:t>
      </w:r>
    </w:p>
    <w:p>
      <w:pPr>
        <w:autoSpaceDN w:val="0"/>
        <w:autoSpaceDE w:val="0"/>
        <w:widowControl/>
        <w:spacing w:line="178" w:lineRule="exact" w:before="9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0"/>
        <w:ind w:left="0" w:right="314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March 31,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</w:tblGrid>
      <w:tr>
        <w:trPr>
          <w:trHeight w:hRule="exact" w:val="196"/>
        </w:trPr>
        <w:tc>
          <w:tcPr>
            <w:tcW w:type="dxa" w:w="21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440"/>
            <w:gridSpan w:val="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52" w:after="0"/>
              <w:ind w:left="0" w:right="42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Fiscal Year of origination</w:t>
            </w:r>
          </w:p>
        </w:tc>
        <w:tc>
          <w:tcPr>
            <w:tcW w:type="dxa" w:w="1710"/>
            <w:gridSpan w:val="5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2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CAT </w:t>
            </w:r>
          </w:p>
        </w:tc>
        <w:tc>
          <w:tcPr>
            <w:tcW w:type="dxa" w:w="91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23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CAT </w:t>
            </w:r>
          </w:p>
        </w:tc>
        <w:tc>
          <w:tcPr>
            <w:tcW w:type="dxa" w:w="121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2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</w:tr>
      <w:tr>
        <w:trPr>
          <w:trHeight w:hRule="exact" w:val="200"/>
        </w:trPr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0"/>
            <w:gridSpan w:val="1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DDOs </w:t>
            </w:r>
          </w:p>
        </w:tc>
        <w:tc>
          <w:tcPr>
            <w:tcW w:type="dxa" w:w="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7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DDOs </w:t>
            </w:r>
          </w:p>
        </w:tc>
        <w:tc>
          <w:tcPr>
            <w:tcW w:type="dxa" w:w="12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9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Outstanding </w:t>
            </w:r>
          </w:p>
        </w:tc>
      </w:tr>
      <w:tr>
        <w:trPr>
          <w:trHeight w:hRule="exact" w:val="197"/>
        </w:trPr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0"/>
            <w:gridSpan w:val="1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disbursed </w:t>
            </w:r>
          </w:p>
        </w:tc>
        <w:tc>
          <w:tcPr>
            <w:tcW w:type="dxa" w:w="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Converted </w:t>
            </w:r>
          </w:p>
        </w:tc>
        <w:tc>
          <w:tcPr>
            <w:tcW w:type="dxa" w:w="12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7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as of </w:t>
            </w:r>
          </w:p>
        </w:tc>
      </w:tr>
      <w:tr>
        <w:trPr>
          <w:trHeight w:hRule="exact" w:val="183"/>
        </w:trPr>
        <w:tc>
          <w:tcPr>
            <w:tcW w:type="dxa" w:w="21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Risk Class</w:t>
            </w:r>
          </w:p>
        </w:tc>
        <w:tc>
          <w:tcPr>
            <w:tcW w:type="dxa" w:w="61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64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70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76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2022</w:t>
            </w:r>
          </w:p>
        </w:tc>
        <w:tc>
          <w:tcPr>
            <w:tcW w:type="dxa" w:w="73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2021</w:t>
            </w:r>
          </w:p>
        </w:tc>
        <w:tc>
          <w:tcPr>
            <w:tcW w:type="dxa" w:w="8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Prior </w:t>
            </w:r>
          </w:p>
        </w:tc>
        <w:tc>
          <w:tcPr>
            <w:tcW w:type="dxa" w:w="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and </w:t>
            </w:r>
          </w:p>
        </w:tc>
        <w:tc>
          <w:tcPr>
            <w:tcW w:type="dxa" w:w="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20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 Term </w:t>
            </w:r>
          </w:p>
        </w:tc>
        <w:tc>
          <w:tcPr>
            <w:tcW w:type="dxa" w:w="12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27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March 31, </w:t>
            </w:r>
          </w:p>
        </w:tc>
      </w:tr>
      <w:tr>
        <w:trPr>
          <w:trHeight w:hRule="exact" w:val="230"/>
        </w:trPr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Years</w:t>
            </w:r>
          </w:p>
        </w:tc>
        <w:tc>
          <w:tcPr>
            <w:tcW w:type="dxa" w:w="86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revolving</w:t>
            </w:r>
          </w:p>
        </w:tc>
        <w:tc>
          <w:tcPr>
            <w:tcW w:type="dxa" w:w="91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Loans</w:t>
            </w:r>
          </w:p>
        </w:tc>
        <w:tc>
          <w:tcPr>
            <w:tcW w:type="dxa" w:w="121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</w:tr>
      <w:tr>
        <w:trPr>
          <w:trHeight w:hRule="exact" w:val="470"/>
        </w:trPr>
        <w:tc>
          <w:tcPr>
            <w:tcW w:type="dxa" w:w="21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2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2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5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2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7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2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6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83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  <w:tc>
          <w:tcPr>
            <w:tcW w:type="dxa" w:w="7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394 </w:t>
            </w:r>
          </w:p>
        </w:tc>
        <w:tc>
          <w:tcPr>
            <w:tcW w:type="dxa" w:w="8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14,040 </w:t>
            </w:r>
          </w:p>
        </w:tc>
        <w:tc>
          <w:tcPr>
            <w:tcW w:type="dxa" w:w="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14,715 </w:t>
            </w:r>
          </w:p>
        </w:tc>
      </w:tr>
      <w:tr>
        <w:trPr>
          <w:trHeight w:hRule="exact" w:val="250"/>
        </w:trPr>
        <w:tc>
          <w:tcPr>
            <w:tcW w:type="dxa" w:w="21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High</w:t>
            </w:r>
          </w:p>
        </w:tc>
        <w:tc>
          <w:tcPr>
            <w:tcW w:type="dxa" w:w="61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8,274 </w:t>
            </w:r>
          </w:p>
        </w:tc>
        <w:tc>
          <w:tcPr>
            <w:tcW w:type="dxa" w:w="64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7,325 </w:t>
            </w:r>
          </w:p>
        </w:tc>
        <w:tc>
          <w:tcPr>
            <w:tcW w:type="dxa" w:w="7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12,502 </w:t>
            </w:r>
          </w:p>
        </w:tc>
        <w:tc>
          <w:tcPr>
            <w:tcW w:type="dxa" w:w="7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10,937 </w:t>
            </w:r>
          </w:p>
        </w:tc>
        <w:tc>
          <w:tcPr>
            <w:tcW w:type="dxa" w:w="73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14,926 </w:t>
            </w:r>
          </w:p>
        </w:tc>
        <w:tc>
          <w:tcPr>
            <w:tcW w:type="dxa" w:w="85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145,331 </w:t>
            </w:r>
          </w:p>
        </w:tc>
        <w:tc>
          <w:tcPr>
            <w:tcW w:type="dxa" w:w="86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276 </w:t>
            </w:r>
          </w:p>
        </w:tc>
        <w:tc>
          <w:tcPr>
            <w:tcW w:type="dxa" w:w="91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378 </w:t>
            </w:r>
          </w:p>
        </w:tc>
        <w:tc>
          <w:tcPr>
            <w:tcW w:type="dxa" w:w="121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199,949 </w:t>
            </w:r>
          </w:p>
        </w:tc>
      </w:tr>
      <w:tr>
        <w:trPr>
          <w:trHeight w:hRule="exact" w:val="240"/>
        </w:trPr>
        <w:tc>
          <w:tcPr>
            <w:tcW w:type="dxa" w:w="21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61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8,306 </w:t>
            </w:r>
          </w:p>
        </w:tc>
        <w:tc>
          <w:tcPr>
            <w:tcW w:type="dxa" w:w="64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7,380 </w:t>
            </w:r>
          </w:p>
        </w:tc>
        <w:tc>
          <w:tcPr>
            <w:tcW w:type="dxa" w:w="70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12,585 </w:t>
            </w:r>
          </w:p>
        </w:tc>
        <w:tc>
          <w:tcPr>
            <w:tcW w:type="dxa" w:w="7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11,048 </w:t>
            </w:r>
          </w:p>
        </w:tc>
        <w:tc>
          <w:tcPr>
            <w:tcW w:type="dxa" w:w="73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15,320 </w:t>
            </w:r>
          </w:p>
        </w:tc>
        <w:tc>
          <w:tcPr>
            <w:tcW w:type="dxa" w:w="85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159,371 </w:t>
            </w:r>
          </w:p>
        </w:tc>
        <w:tc>
          <w:tcPr>
            <w:tcW w:type="dxa" w:w="86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276 </w:t>
            </w:r>
          </w:p>
        </w:tc>
        <w:tc>
          <w:tcPr>
            <w:tcW w:type="dxa" w:w="91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378 </w:t>
            </w:r>
          </w:p>
        </w:tc>
        <w:tc>
          <w:tcPr>
            <w:tcW w:type="dxa" w:w="121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214,664 </w:t>
            </w:r>
          </w:p>
        </w:tc>
      </w:tr>
      <w:tr>
        <w:trPr>
          <w:trHeight w:hRule="exact" w:val="240"/>
        </w:trPr>
        <w:tc>
          <w:tcPr>
            <w:tcW w:type="dxa" w:w="21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61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4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0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3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867 </w:t>
            </w:r>
          </w:p>
        </w:tc>
        <w:tc>
          <w:tcPr>
            <w:tcW w:type="dxa" w:w="86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1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1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867 </w:t>
            </w:r>
          </w:p>
        </w:tc>
      </w:tr>
      <w:tr>
        <w:trPr>
          <w:trHeight w:hRule="exact" w:val="220"/>
        </w:trPr>
        <w:tc>
          <w:tcPr>
            <w:tcW w:type="dxa" w:w="21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710"/>
            <w:gridSpan w:val="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$ 8,306 $ 7,380 $ 12,585 $ 11,048 </w:t>
            </w:r>
          </w:p>
        </w:tc>
        <w:tc>
          <w:tcPr>
            <w:tcW w:type="dxa" w:w="73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$ 15,320 </w:t>
            </w:r>
          </w:p>
        </w:tc>
        <w:tc>
          <w:tcPr>
            <w:tcW w:type="dxa" w:w="1212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$ 160,238 $ </w:t>
            </w:r>
          </w:p>
        </w:tc>
        <w:tc>
          <w:tcPr>
            <w:tcW w:type="dxa" w:w="498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276 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378 </w:t>
            </w:r>
          </w:p>
        </w:tc>
        <w:tc>
          <w:tcPr>
            <w:tcW w:type="dxa" w:w="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215,531 </w:t>
            </w:r>
          </w:p>
        </w:tc>
      </w:tr>
      <w:tr>
        <w:trPr>
          <w:trHeight w:hRule="exact" w:val="510"/>
        </w:trPr>
        <w:tc>
          <w:tcPr>
            <w:tcW w:type="dxa" w:w="21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Current period gross write-</w:t>
            </w:r>
          </w:p>
        </w:tc>
        <w:tc>
          <w:tcPr>
            <w:tcW w:type="dxa" w:w="2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28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5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2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78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860"/>
            <w:gridSpan w:val="3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n.a</w:t>
            </w:r>
          </w:p>
        </w:tc>
        <w:tc>
          <w:tcPr>
            <w:tcW w:type="dxa" w:w="916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n.a</w:t>
            </w:r>
          </w:p>
        </w:tc>
        <w:tc>
          <w:tcPr>
            <w:tcW w:type="dxa" w:w="28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</w:tr>
      <w:tr>
        <w:trPr>
          <w:trHeight w:hRule="exact" w:val="514"/>
        </w:trPr>
        <w:tc>
          <w:tcPr>
            <w:tcW w:type="dxa" w:w="21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offs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 xml:space="preserve"> a</w:t>
            </w:r>
          </w:p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416"/>
            <w:gridSpan w:val="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4" w:lineRule="exact" w:before="4152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IDA Quarterly Financial Statements: March 31, 2025 (Unaudited)     37</w:t>
      </w:r>
    </w:p>
    <w:p>
      <w:pPr>
        <w:sectPr>
          <w:pgSz w:w="12240" w:h="15840"/>
          <w:pgMar w:top="700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D3.1:</w:t>
      </w:r>
    </w:p>
    <w:p>
      <w:pPr>
        <w:autoSpaceDN w:val="0"/>
        <w:autoSpaceDE w:val="0"/>
        <w:widowControl/>
        <w:spacing w:line="178" w:lineRule="exact" w:before="9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0"/>
        <w:ind w:left="0" w:right="329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</w:tblGrid>
      <w:tr>
        <w:trPr>
          <w:trHeight w:hRule="exact" w:val="200"/>
        </w:trPr>
        <w:tc>
          <w:tcPr>
            <w:tcW w:type="dxa" w:w="204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Risk Class</w:t>
            </w:r>
          </w:p>
        </w:tc>
        <w:tc>
          <w:tcPr>
            <w:tcW w:type="dxa" w:w="674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4530"/>
            <w:gridSpan w:val="15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CAT </w:t>
            </w:r>
          </w:p>
        </w:tc>
        <w:tc>
          <w:tcPr>
            <w:tcW w:type="dxa" w:w="91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3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CAT </w:t>
            </w:r>
          </w:p>
        </w:tc>
        <w:tc>
          <w:tcPr>
            <w:tcW w:type="dxa" w:w="103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3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</w:tr>
      <w:tr>
        <w:trPr>
          <w:trHeight w:hRule="exact" w:val="200"/>
        </w:trPr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670"/>
            <w:gridSpan w:val="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2" w:after="0"/>
              <w:ind w:left="62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Fiscal Year of origination</w:t>
            </w:r>
          </w:p>
        </w:tc>
        <w:tc>
          <w:tcPr>
            <w:tcW w:type="dxa" w:w="8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DDOs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disbursed </w:t>
            </w:r>
          </w:p>
        </w:tc>
        <w:tc>
          <w:tcPr>
            <w:tcW w:type="dxa" w:w="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7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DDOs </w:t>
            </w:r>
          </w:p>
        </w:tc>
        <w:tc>
          <w:tcPr>
            <w:tcW w:type="dxa" w:w="10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Outstanding </w:t>
            </w:r>
          </w:p>
        </w:tc>
      </w:tr>
      <w:tr>
        <w:trPr>
          <w:trHeight w:hRule="exact" w:val="180"/>
        </w:trPr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148"/>
            <w:gridSpan w:val="12"/>
            <w:vMerge/>
            <w:tcBorders/>
          </w:tcPr>
          <w:p/>
        </w:tc>
        <w:tc>
          <w:tcPr>
            <w:tcW w:type="dxa" w:w="1287"/>
            <w:gridSpan w:val="3"/>
            <w:vMerge/>
            <w:tcBorders/>
          </w:tcPr>
          <w:p/>
        </w:tc>
        <w:tc>
          <w:tcPr>
            <w:tcW w:type="dxa" w:w="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Converted </w:t>
            </w:r>
          </w:p>
        </w:tc>
        <w:tc>
          <w:tcPr>
            <w:tcW w:type="dxa" w:w="10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as of </w:t>
            </w:r>
          </w:p>
        </w:tc>
      </w:tr>
      <w:tr>
        <w:trPr>
          <w:trHeight w:hRule="exact" w:val="200"/>
        </w:trPr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67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9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Prior </w:t>
            </w:r>
          </w:p>
        </w:tc>
        <w:tc>
          <w:tcPr>
            <w:tcW w:type="dxa" w:w="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and </w:t>
            </w:r>
          </w:p>
        </w:tc>
        <w:tc>
          <w:tcPr>
            <w:tcW w:type="dxa" w:w="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0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 Term </w:t>
            </w:r>
          </w:p>
        </w:tc>
        <w:tc>
          <w:tcPr>
            <w:tcW w:type="dxa" w:w="10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June 30, </w:t>
            </w:r>
          </w:p>
        </w:tc>
      </w:tr>
      <w:tr>
        <w:trPr>
          <w:trHeight w:hRule="exact" w:val="226"/>
        </w:trPr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5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7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2022</w:t>
            </w:r>
          </w:p>
        </w:tc>
        <w:tc>
          <w:tcPr>
            <w:tcW w:type="dxa" w:w="7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2021</w:t>
            </w:r>
          </w:p>
        </w:tc>
        <w:tc>
          <w:tcPr>
            <w:tcW w:type="dxa" w:w="73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2020</w:t>
            </w:r>
          </w:p>
        </w:tc>
        <w:tc>
          <w:tcPr>
            <w:tcW w:type="dxa" w:w="786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Years</w:t>
            </w:r>
          </w:p>
        </w:tc>
        <w:tc>
          <w:tcPr>
            <w:tcW w:type="dxa" w:w="86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revolving</w:t>
            </w:r>
          </w:p>
        </w:tc>
        <w:tc>
          <w:tcPr>
            <w:tcW w:type="dxa" w:w="91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Loans</w:t>
            </w:r>
          </w:p>
        </w:tc>
        <w:tc>
          <w:tcPr>
            <w:tcW w:type="dxa" w:w="103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</w:tr>
      <w:tr>
        <w:trPr>
          <w:trHeight w:hRule="exact" w:val="474"/>
        </w:trPr>
        <w:tc>
          <w:tcPr>
            <w:tcW w:type="dxa" w:w="204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3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2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7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7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9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62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2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6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 </w:t>
            </w:r>
          </w:p>
        </w:tc>
        <w:tc>
          <w:tcPr>
            <w:tcW w:type="dxa" w:w="7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83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393 </w:t>
            </w:r>
          </w:p>
        </w:tc>
        <w:tc>
          <w:tcPr>
            <w:tcW w:type="dxa" w:w="7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542 </w:t>
            </w:r>
          </w:p>
        </w:tc>
        <w:tc>
          <w:tcPr>
            <w:tcW w:type="dxa" w:w="78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15,081 </w:t>
            </w:r>
          </w:p>
        </w:tc>
        <w:tc>
          <w:tcPr>
            <w:tcW w:type="dxa" w:w="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16,266 </w:t>
            </w:r>
          </w:p>
        </w:tc>
      </w:tr>
      <w:tr>
        <w:trPr>
          <w:trHeight w:hRule="exact" w:val="246"/>
        </w:trPr>
        <w:tc>
          <w:tcPr>
            <w:tcW w:type="dxa" w:w="20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High</w:t>
            </w:r>
          </w:p>
        </w:tc>
        <w:tc>
          <w:tcPr>
            <w:tcW w:type="dxa" w:w="67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5,670 </w:t>
            </w:r>
          </w:p>
        </w:tc>
        <w:tc>
          <w:tcPr>
            <w:tcW w:type="dxa" w:w="75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10,661 </w:t>
            </w:r>
          </w:p>
        </w:tc>
        <w:tc>
          <w:tcPr>
            <w:tcW w:type="dxa" w:w="7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9,487 </w:t>
            </w:r>
          </w:p>
        </w:tc>
        <w:tc>
          <w:tcPr>
            <w:tcW w:type="dxa" w:w="7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13,294 </w:t>
            </w:r>
          </w:p>
        </w:tc>
        <w:tc>
          <w:tcPr>
            <w:tcW w:type="dxa" w:w="73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10,279 </w:t>
            </w:r>
          </w:p>
        </w:tc>
        <w:tc>
          <w:tcPr>
            <w:tcW w:type="dxa" w:w="786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135,597 </w:t>
            </w:r>
          </w:p>
        </w:tc>
        <w:tc>
          <w:tcPr>
            <w:tcW w:type="dxa" w:w="86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101 </w:t>
            </w:r>
          </w:p>
        </w:tc>
        <w:tc>
          <w:tcPr>
            <w:tcW w:type="dxa" w:w="91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334 </w:t>
            </w:r>
          </w:p>
        </w:tc>
        <w:tc>
          <w:tcPr>
            <w:tcW w:type="dxa" w:w="103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185,423 </w:t>
            </w:r>
          </w:p>
        </w:tc>
      </w:tr>
      <w:tr>
        <w:trPr>
          <w:trHeight w:hRule="exact" w:val="240"/>
        </w:trPr>
        <w:tc>
          <w:tcPr>
            <w:tcW w:type="dxa" w:w="20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67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5,726 </w:t>
            </w:r>
          </w:p>
        </w:tc>
        <w:tc>
          <w:tcPr>
            <w:tcW w:type="dxa" w:w="75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10,744 </w:t>
            </w:r>
          </w:p>
        </w:tc>
        <w:tc>
          <w:tcPr>
            <w:tcW w:type="dxa" w:w="70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9,598 </w:t>
            </w:r>
          </w:p>
        </w:tc>
        <w:tc>
          <w:tcPr>
            <w:tcW w:type="dxa" w:w="70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13,687 </w:t>
            </w:r>
          </w:p>
        </w:tc>
        <w:tc>
          <w:tcPr>
            <w:tcW w:type="dxa" w:w="73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10,821 </w:t>
            </w:r>
          </w:p>
        </w:tc>
        <w:tc>
          <w:tcPr>
            <w:tcW w:type="dxa" w:w="786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150,678 </w:t>
            </w:r>
          </w:p>
        </w:tc>
        <w:tc>
          <w:tcPr>
            <w:tcW w:type="dxa" w:w="86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101 </w:t>
            </w:r>
          </w:p>
        </w:tc>
        <w:tc>
          <w:tcPr>
            <w:tcW w:type="dxa" w:w="91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334 </w:t>
            </w:r>
          </w:p>
        </w:tc>
        <w:tc>
          <w:tcPr>
            <w:tcW w:type="dxa" w:w="103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201,689 </w:t>
            </w:r>
          </w:p>
        </w:tc>
      </w:tr>
      <w:tr>
        <w:trPr>
          <w:trHeight w:hRule="exact" w:val="240"/>
        </w:trPr>
        <w:tc>
          <w:tcPr>
            <w:tcW w:type="dxa" w:w="20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67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5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0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0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08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12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859 </w:t>
            </w:r>
          </w:p>
        </w:tc>
        <w:tc>
          <w:tcPr>
            <w:tcW w:type="dxa" w:w="86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1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3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859 </w:t>
            </w:r>
          </w:p>
        </w:tc>
      </w:tr>
      <w:tr>
        <w:trPr>
          <w:trHeight w:hRule="exact" w:val="220"/>
        </w:trPr>
        <w:tc>
          <w:tcPr>
            <w:tcW w:type="dxa" w:w="20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67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$ 5,726 </w:t>
            </w:r>
          </w:p>
        </w:tc>
        <w:tc>
          <w:tcPr>
            <w:tcW w:type="dxa" w:w="1450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$ 10,744 $ 9,598 </w:t>
            </w:r>
          </w:p>
        </w:tc>
        <w:tc>
          <w:tcPr>
            <w:tcW w:type="dxa" w:w="2582"/>
            <w:gridSpan w:val="9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$ 13,687 $ 10,821 $ 151,537 $ </w:t>
            </w:r>
          </w:p>
        </w:tc>
        <w:tc>
          <w:tcPr>
            <w:tcW w:type="dxa" w:w="498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101 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334 </w:t>
            </w:r>
          </w:p>
        </w:tc>
        <w:tc>
          <w:tcPr>
            <w:tcW w:type="dxa" w:w="3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202,548 </w:t>
            </w:r>
          </w:p>
        </w:tc>
      </w:tr>
      <w:tr>
        <w:trPr>
          <w:trHeight w:hRule="exact" w:val="512"/>
        </w:trPr>
        <w:tc>
          <w:tcPr>
            <w:tcW w:type="dxa" w:w="204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Fiscal year 2024 gross </w:t>
            </w:r>
          </w:p>
        </w:tc>
        <w:tc>
          <w:tcPr>
            <w:tcW w:type="dxa" w:w="32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2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78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2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7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9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8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78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104 </w:t>
            </w:r>
          </w:p>
        </w:tc>
        <w:tc>
          <w:tcPr>
            <w:tcW w:type="dxa" w:w="860"/>
            <w:gridSpan w:val="3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n.a</w:t>
            </w:r>
          </w:p>
        </w:tc>
        <w:tc>
          <w:tcPr>
            <w:tcW w:type="dxa" w:w="916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n.a</w:t>
            </w:r>
          </w:p>
        </w:tc>
        <w:tc>
          <w:tcPr>
            <w:tcW w:type="dxa" w:w="3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104 </w:t>
            </w:r>
          </w:p>
        </w:tc>
      </w:tr>
      <w:tr>
        <w:trPr>
          <w:trHeight w:hRule="exact" w:val="512"/>
        </w:trPr>
        <w:tc>
          <w:tcPr>
            <w:tcW w:type="dxa" w:w="20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write-offs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 xml:space="preserve"> a</w:t>
            </w:r>
          </w:p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87"/>
            <w:gridSpan w:val="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78" w:lineRule="exact" w:before="2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Relates to HIPC/MDRI.</w:t>
      </w:r>
    </w:p>
    <w:p>
      <w:pPr>
        <w:autoSpaceDN w:val="0"/>
        <w:autoSpaceDE w:val="0"/>
        <w:widowControl/>
        <w:spacing w:line="244" w:lineRule="exact" w:before="20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Accumulated Provision for Losses on Loans and Other Exposures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determines the appropriate level of the accumulated provisions for losses, which reflects the expected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losses inherent in IDA’s exposures. Management reassesses the adequacy of accumulated provision on a quarterly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basis and adjustments to the accumulated provision are recorded as a charge to or release of provision in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Statements of Income.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accumulated provision for HIPC Debt Initiative and MDRI was recorded at the inception of this initiative and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based on quantitative and qualitative analyses of various factors, including estimates of Decision Point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Completion Point dates. These factors are reviewed periodically as part of the reassessment of the adequacy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accumulated provision for loan losses. Accumulated provisions are reduced as qualifying debt service becomes due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is forgiven under the HIPC Debt Initiative. </w:t>
      </w:r>
    </w:p>
    <w:p>
      <w:pPr>
        <w:autoSpaceDN w:val="0"/>
        <w:autoSpaceDE w:val="0"/>
        <w:widowControl/>
        <w:spacing w:line="224" w:lineRule="exact" w:before="616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38     IDA Quarterly Financial Statements: March 31, 2025 (Unaudited)</w:t>
      </w:r>
    </w:p>
    <w:p>
      <w:pPr>
        <w:sectPr>
          <w:pgSz w:w="12240" w:h="15840"/>
          <w:pgMar w:top="700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When the country reaches HIPC Completion Point, it becomes eligible for MDRI debt relief which is characterized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by the write-off of eligible loans. This write-off occurs at the beginning of the quarterly period following the date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which the country reaches Completion Point. MDRI provision is reduced by the amount of the eligible loans written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off.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Changes to the accumulated provision for losses on loans and other exposures are summarized below: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D4: Accumulated provisions</w:t>
      </w:r>
    </w:p>
    <w:p>
      <w:pPr>
        <w:autoSpaceDN w:val="0"/>
        <w:autoSpaceDE w:val="0"/>
        <w:widowControl/>
        <w:spacing w:line="178" w:lineRule="exact" w:before="9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0"/>
        <w:ind w:left="0" w:right="219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March 31, 2025</w:t>
      </w:r>
    </w:p>
    <w:p>
      <w:pPr>
        <w:autoSpaceDN w:val="0"/>
        <w:autoSpaceDE w:val="0"/>
        <w:widowControl/>
        <w:spacing w:line="180" w:lineRule="exact" w:before="82" w:after="6"/>
        <w:ind w:left="0" w:right="216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Debt relief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182"/>
        </w:trPr>
        <w:tc>
          <w:tcPr>
            <w:tcW w:type="dxa" w:w="50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25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  <w:tc>
          <w:tcPr>
            <w:tcW w:type="dxa" w:w="12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37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27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under </w:t>
            </w:r>
          </w:p>
        </w:tc>
        <w:tc>
          <w:tcPr>
            <w:tcW w:type="dxa" w:w="884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3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8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26"/>
        </w:trPr>
        <w:tc>
          <w:tcPr>
            <w:tcW w:type="dxa" w:w="504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outstanding</w:t>
            </w:r>
          </w:p>
        </w:tc>
        <w:tc>
          <w:tcPr>
            <w:tcW w:type="dxa" w:w="1232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commitments</w:t>
            </w:r>
          </w:p>
        </w:tc>
        <w:tc>
          <w:tcPr>
            <w:tcW w:type="dxa" w:w="10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HIPC/MDRI</w:t>
            </w:r>
          </w:p>
        </w:tc>
        <w:tc>
          <w:tcPr>
            <w:tcW w:type="dxa" w:w="1716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34"/>
        </w:trPr>
        <w:tc>
          <w:tcPr>
            <w:tcW w:type="dxa" w:w="43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Accumulated provision, beginning of the fiscal year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3,534 </w:t>
            </w:r>
          </w:p>
        </w:tc>
        <w:tc>
          <w:tcPr>
            <w:tcW w:type="dxa" w:w="4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1,316 </w:t>
            </w:r>
          </w:p>
        </w:tc>
        <w:tc>
          <w:tcPr>
            <w:tcW w:type="dxa" w:w="4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531 </w:t>
            </w:r>
          </w:p>
        </w:tc>
        <w:tc>
          <w:tcPr>
            <w:tcW w:type="dxa" w:w="3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240 </w:t>
            </w:r>
          </w:p>
        </w:tc>
        <w:tc>
          <w:tcPr>
            <w:tcW w:type="dxa" w:w="3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5,621 </w:t>
            </w:r>
          </w:p>
        </w:tc>
      </w:tr>
      <w:tr>
        <w:trPr>
          <w:trHeight w:hRule="exact" w:val="240"/>
        </w:trPr>
        <w:tc>
          <w:tcPr>
            <w:tcW w:type="dxa" w:w="4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Provision, net - charge (release)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365 </w:t>
            </w:r>
          </w:p>
        </w:tc>
        <w:tc>
          <w:tcPr>
            <w:tcW w:type="dxa" w:w="12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(37)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(34) </w:t>
            </w:r>
          </w:p>
        </w:tc>
        <w:tc>
          <w:tcPr>
            <w:tcW w:type="dxa" w:w="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(18)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276 </w:t>
            </w:r>
          </w:p>
        </w:tc>
      </w:tr>
      <w:tr>
        <w:trPr>
          <w:trHeight w:hRule="exact" w:val="240"/>
        </w:trPr>
        <w:tc>
          <w:tcPr>
            <w:tcW w:type="dxa" w:w="4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written off under HIPC/MDRI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(9) </w:t>
            </w:r>
          </w:p>
        </w:tc>
        <w:tc>
          <w:tcPr>
            <w:tcW w:type="dxa" w:w="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(9) </w:t>
            </w:r>
          </w:p>
        </w:tc>
      </w:tr>
      <w:tr>
        <w:trPr>
          <w:trHeight w:hRule="exact" w:val="246"/>
        </w:trPr>
        <w:tc>
          <w:tcPr>
            <w:tcW w:type="dxa" w:w="43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Translation adjustment</w:t>
            </w:r>
          </w:p>
        </w:tc>
        <w:tc>
          <w:tcPr>
            <w:tcW w:type="dxa" w:w="6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 </w:t>
            </w:r>
          </w:p>
        </w:tc>
        <w:tc>
          <w:tcPr>
            <w:tcW w:type="dxa" w:w="1232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  <w:tc>
          <w:tcPr>
            <w:tcW w:type="dxa" w:w="10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88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 </w:t>
            </w:r>
          </w:p>
        </w:tc>
      </w:tr>
      <w:tr>
        <w:trPr>
          <w:trHeight w:hRule="exact" w:val="230"/>
        </w:trPr>
        <w:tc>
          <w:tcPr>
            <w:tcW w:type="dxa" w:w="36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Accumulated provision, end of the period</w:t>
            </w:r>
          </w:p>
        </w:tc>
        <w:tc>
          <w:tcPr>
            <w:tcW w:type="dxa" w:w="75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3,936 </w:t>
            </w:r>
          </w:p>
        </w:tc>
        <w:tc>
          <w:tcPr>
            <w:tcW w:type="dxa" w:w="4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1,291 </w:t>
            </w:r>
          </w:p>
        </w:tc>
        <w:tc>
          <w:tcPr>
            <w:tcW w:type="dxa" w:w="4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490 </w:t>
            </w:r>
          </w:p>
        </w:tc>
        <w:tc>
          <w:tcPr>
            <w:tcW w:type="dxa" w:w="3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223 </w:t>
            </w:r>
          </w:p>
        </w:tc>
        <w:tc>
          <w:tcPr>
            <w:tcW w:type="dxa" w:w="3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5,940 </w:t>
            </w:r>
          </w:p>
        </w:tc>
      </w:tr>
    </w:tbl>
    <w:p>
      <w:pPr>
        <w:autoSpaceDN w:val="0"/>
        <w:autoSpaceDE w:val="0"/>
        <w:widowControl/>
        <w:spacing w:line="180" w:lineRule="exact" w:before="40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Including accumulated provision for losses 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rHeight w:hRule="exact" w:val="234"/>
        </w:trPr>
        <w:tc>
          <w:tcPr>
            <w:tcW w:type="dxa" w:w="4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accrual status </w:t>
            </w:r>
          </w:p>
        </w:tc>
        <w:tc>
          <w:tcPr>
            <w:tcW w:type="dxa" w:w="3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3,701 </w:t>
            </w:r>
          </w:p>
        </w:tc>
        <w:tc>
          <w:tcPr>
            <w:tcW w:type="dxa" w:w="4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219 </w:t>
            </w:r>
          </w:p>
        </w:tc>
        <w:tc>
          <w:tcPr>
            <w:tcW w:type="dxa" w:w="128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3,920 </w:t>
            </w:r>
          </w:p>
        </w:tc>
      </w:tr>
      <w:tr>
        <w:trPr>
          <w:trHeight w:hRule="exact" w:val="246"/>
        </w:trPr>
        <w:tc>
          <w:tcPr>
            <w:tcW w:type="dxa" w:w="40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nonaccrual status </w:t>
            </w:r>
          </w:p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  <w:tc>
          <w:tcPr>
            <w:tcW w:type="dxa" w:w="19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3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235 </w:t>
            </w:r>
          </w:p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  <w:tc>
          <w:tcPr>
            <w:tcW w:type="dxa" w:w="6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271 </w:t>
            </w:r>
          </w:p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  <w:tc>
          <w:tcPr>
            <w:tcW w:type="dxa" w:w="6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506 </w:t>
            </w:r>
          </w:p>
        </w:tc>
      </w:tr>
      <w:tr>
        <w:trPr>
          <w:trHeight w:hRule="exact" w:val="220"/>
        </w:trPr>
        <w:tc>
          <w:tcPr>
            <w:tcW w:type="dxa" w:w="40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9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3,936 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490 </w:t>
            </w:r>
          </w:p>
        </w:tc>
        <w:tc>
          <w:tcPr>
            <w:tcW w:type="dxa" w:w="1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4,426 </w:t>
            </w:r>
          </w:p>
        </w:tc>
      </w:tr>
    </w:tbl>
    <w:p>
      <w:pPr>
        <w:autoSpaceDN w:val="0"/>
        <w:autoSpaceDE w:val="0"/>
        <w:widowControl/>
        <w:spacing w:line="180" w:lineRule="exact" w:before="50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Loans: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6"/>
        <w:gridCol w:w="3146"/>
        <w:gridCol w:w="3146"/>
      </w:tblGrid>
      <w:tr>
        <w:trPr>
          <w:trHeight w:hRule="exact" w:val="234"/>
        </w:trPr>
        <w:tc>
          <w:tcPr>
            <w:tcW w:type="dxa" w:w="83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accrual status </w:t>
            </w:r>
          </w:p>
        </w:tc>
        <w:tc>
          <w:tcPr>
            <w:tcW w:type="dxa" w:w="2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214,664 </w:t>
            </w:r>
          </w:p>
        </w:tc>
      </w:tr>
      <w:tr>
        <w:trPr>
          <w:trHeight w:hRule="exact" w:val="246"/>
        </w:trPr>
        <w:tc>
          <w:tcPr>
            <w:tcW w:type="dxa" w:w="83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nonaccrual status </w:t>
            </w:r>
          </w:p>
        </w:tc>
        <w:tc>
          <w:tcPr>
            <w:tcW w:type="dxa" w:w="3146"/>
            <w:vMerge/>
            <w:tcBorders>
              <w:bottom w:sz="8.0" w:val="single" w:color="#000000"/>
            </w:tcBorders>
          </w:tcPr>
          <w:p/>
        </w:tc>
        <w:tc>
          <w:tcPr>
            <w:tcW w:type="dxa" w:w="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867 </w:t>
            </w:r>
          </w:p>
        </w:tc>
      </w:tr>
      <w:tr>
        <w:trPr>
          <w:trHeight w:hRule="exact" w:val="220"/>
        </w:trPr>
        <w:tc>
          <w:tcPr>
            <w:tcW w:type="dxa" w:w="83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outstanding</w:t>
            </w:r>
          </w:p>
        </w:tc>
        <w:tc>
          <w:tcPr>
            <w:tcW w:type="dxa" w:w="2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215,531 </w:t>
            </w:r>
          </w:p>
        </w:tc>
      </w:tr>
    </w:tbl>
    <w:p>
      <w:pPr>
        <w:autoSpaceDN w:val="0"/>
        <w:autoSpaceDE w:val="0"/>
        <w:widowControl/>
        <w:spacing w:line="222" w:lineRule="exact" w:before="512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D4.1: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0"/>
        <w:ind w:left="0" w:right="223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2024</w:t>
      </w:r>
    </w:p>
    <w:p>
      <w:pPr>
        <w:autoSpaceDN w:val="0"/>
        <w:autoSpaceDE w:val="0"/>
        <w:widowControl/>
        <w:spacing w:line="180" w:lineRule="exact" w:before="82" w:after="6"/>
        <w:ind w:left="0" w:right="216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Debt relief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  <w:gridCol w:w="858"/>
      </w:tblGrid>
      <w:tr>
        <w:trPr>
          <w:trHeight w:hRule="exact" w:val="192"/>
        </w:trPr>
        <w:tc>
          <w:tcPr>
            <w:tcW w:type="dxa" w:w="50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25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  <w:tc>
          <w:tcPr>
            <w:tcW w:type="dxa" w:w="12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7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27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under </w:t>
            </w:r>
          </w:p>
        </w:tc>
        <w:tc>
          <w:tcPr>
            <w:tcW w:type="dxa" w:w="884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3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8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14"/>
        </w:trPr>
        <w:tc>
          <w:tcPr>
            <w:tcW w:type="dxa" w:w="504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0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outstanding</w:t>
            </w:r>
          </w:p>
        </w:tc>
        <w:tc>
          <w:tcPr>
            <w:tcW w:type="dxa" w:w="1232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commitments</w:t>
            </w:r>
          </w:p>
        </w:tc>
        <w:tc>
          <w:tcPr>
            <w:tcW w:type="dxa" w:w="10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HIPC/MDRI</w:t>
            </w:r>
          </w:p>
        </w:tc>
        <w:tc>
          <w:tcPr>
            <w:tcW w:type="dxa" w:w="1716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  <w:tc>
          <w:tcPr>
            <w:tcW w:type="dxa" w:w="858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26"/>
        </w:trPr>
        <w:tc>
          <w:tcPr>
            <w:tcW w:type="dxa" w:w="43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Accumulated provision, beginning of the fiscal year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3,325 </w:t>
            </w:r>
          </w:p>
        </w:tc>
        <w:tc>
          <w:tcPr>
            <w:tcW w:type="dxa" w:w="4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1,320 </w:t>
            </w:r>
          </w:p>
        </w:tc>
        <w:tc>
          <w:tcPr>
            <w:tcW w:type="dxa" w:w="4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668 </w:t>
            </w:r>
          </w:p>
        </w:tc>
        <w:tc>
          <w:tcPr>
            <w:tcW w:type="dxa" w:w="3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198 </w:t>
            </w:r>
          </w:p>
        </w:tc>
        <w:tc>
          <w:tcPr>
            <w:tcW w:type="dxa" w:w="3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5,511 </w:t>
            </w:r>
          </w:p>
        </w:tc>
      </w:tr>
      <w:tr>
        <w:trPr>
          <w:trHeight w:hRule="exact" w:val="240"/>
        </w:trPr>
        <w:tc>
          <w:tcPr>
            <w:tcW w:type="dxa" w:w="4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Provision, net - charge (release)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252 </w:t>
            </w:r>
          </w:p>
        </w:tc>
        <w:tc>
          <w:tcPr>
            <w:tcW w:type="dxa" w:w="12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(31) </w:t>
            </w:r>
          </w:p>
        </w:tc>
        <w:tc>
          <w:tcPr>
            <w:tcW w:type="dxa" w:w="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275 </w:t>
            </w:r>
          </w:p>
        </w:tc>
      </w:tr>
      <w:tr>
        <w:trPr>
          <w:trHeight w:hRule="exact" w:val="240"/>
        </w:trPr>
        <w:tc>
          <w:tcPr>
            <w:tcW w:type="dxa" w:w="4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written off under HIPC/MDRI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(104) </w:t>
            </w:r>
          </w:p>
        </w:tc>
        <w:tc>
          <w:tcPr>
            <w:tcW w:type="dxa" w:w="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(104) </w:t>
            </w:r>
          </w:p>
        </w:tc>
      </w:tr>
      <w:tr>
        <w:trPr>
          <w:trHeight w:hRule="exact" w:val="254"/>
        </w:trPr>
        <w:tc>
          <w:tcPr>
            <w:tcW w:type="dxa" w:w="43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Translation adjustment</w:t>
            </w:r>
          </w:p>
        </w:tc>
        <w:tc>
          <w:tcPr>
            <w:tcW w:type="dxa" w:w="6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(43) </w:t>
            </w:r>
          </w:p>
        </w:tc>
        <w:tc>
          <w:tcPr>
            <w:tcW w:type="dxa" w:w="1232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(16) </w:t>
            </w:r>
          </w:p>
        </w:tc>
        <w:tc>
          <w:tcPr>
            <w:tcW w:type="dxa" w:w="10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  <w:tc>
          <w:tcPr>
            <w:tcW w:type="dxa" w:w="88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(61) </w:t>
            </w:r>
          </w:p>
        </w:tc>
      </w:tr>
      <w:tr>
        <w:trPr>
          <w:trHeight w:hRule="exact" w:val="231"/>
        </w:trPr>
        <w:tc>
          <w:tcPr>
            <w:tcW w:type="dxa" w:w="377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Accumulated provision, end of the fiscal year</w:t>
            </w:r>
          </w:p>
        </w:tc>
        <w:tc>
          <w:tcPr>
            <w:tcW w:type="dxa" w:w="60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3,534 </w:t>
            </w:r>
          </w:p>
        </w:tc>
        <w:tc>
          <w:tcPr>
            <w:tcW w:type="dxa" w:w="4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1,316 </w:t>
            </w:r>
          </w:p>
        </w:tc>
        <w:tc>
          <w:tcPr>
            <w:tcW w:type="dxa" w:w="4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531 </w:t>
            </w:r>
          </w:p>
        </w:tc>
        <w:tc>
          <w:tcPr>
            <w:tcW w:type="dxa" w:w="3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240 </w:t>
            </w:r>
          </w:p>
        </w:tc>
        <w:tc>
          <w:tcPr>
            <w:tcW w:type="dxa" w:w="3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5,621 </w:t>
            </w:r>
          </w:p>
        </w:tc>
      </w:tr>
    </w:tbl>
    <w:p>
      <w:pPr>
        <w:autoSpaceDN w:val="0"/>
        <w:autoSpaceDE w:val="0"/>
        <w:widowControl/>
        <w:spacing w:line="180" w:lineRule="exact" w:before="42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Including accumulated provision for losses 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rHeight w:hRule="exact" w:val="224"/>
        </w:trPr>
        <w:tc>
          <w:tcPr>
            <w:tcW w:type="dxa" w:w="4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accrual status </w:t>
            </w:r>
          </w:p>
        </w:tc>
        <w:tc>
          <w:tcPr>
            <w:tcW w:type="dxa" w:w="3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3,301 </w:t>
            </w:r>
          </w:p>
        </w:tc>
        <w:tc>
          <w:tcPr>
            <w:tcW w:type="dxa" w:w="17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 </w:t>
            </w:r>
          </w:p>
        </w:tc>
        <w:tc>
          <w:tcPr>
            <w:tcW w:type="dxa" w:w="3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3,562 </w:t>
            </w:r>
          </w:p>
        </w:tc>
      </w:tr>
      <w:tr>
        <w:trPr>
          <w:trHeight w:hRule="exact" w:val="254"/>
        </w:trPr>
        <w:tc>
          <w:tcPr>
            <w:tcW w:type="dxa" w:w="40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nonaccrual status </w:t>
            </w:r>
          </w:p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  <w:tc>
          <w:tcPr>
            <w:tcW w:type="dxa" w:w="6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233 </w:t>
            </w:r>
          </w:p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  <w:tc>
          <w:tcPr>
            <w:tcW w:type="dxa" w:w="1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270 </w:t>
            </w:r>
          </w:p>
        </w:tc>
        <w:tc>
          <w:tcPr>
            <w:tcW w:type="dxa" w:w="1348"/>
            <w:vMerge/>
            <w:tcBorders>
              <w:bottom w:sz="8.0" w:val="single" w:color="#000000"/>
            </w:tcBorders>
          </w:tcPr>
          <w:p/>
        </w:tc>
        <w:tc>
          <w:tcPr>
            <w:tcW w:type="dxa" w:w="6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503 </w:t>
            </w:r>
          </w:p>
        </w:tc>
      </w:tr>
      <w:tr>
        <w:trPr>
          <w:trHeight w:hRule="exact" w:val="220"/>
        </w:trPr>
        <w:tc>
          <w:tcPr>
            <w:tcW w:type="dxa" w:w="40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3,534 </w:t>
            </w:r>
          </w:p>
        </w:tc>
        <w:tc>
          <w:tcPr>
            <w:tcW w:type="dxa" w:w="17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531 </w:t>
            </w:r>
          </w:p>
        </w:tc>
        <w:tc>
          <w:tcPr>
            <w:tcW w:type="dxa" w:w="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4,065 </w:t>
            </w:r>
          </w:p>
        </w:tc>
      </w:tr>
    </w:tbl>
    <w:p>
      <w:pPr>
        <w:autoSpaceDN w:val="0"/>
        <w:autoSpaceDE w:val="0"/>
        <w:widowControl/>
        <w:spacing w:line="180" w:lineRule="exact" w:before="52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Loans: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6"/>
        <w:gridCol w:w="3146"/>
        <w:gridCol w:w="3146"/>
      </w:tblGrid>
      <w:tr>
        <w:trPr>
          <w:trHeight w:hRule="exact" w:val="224"/>
        </w:trPr>
        <w:tc>
          <w:tcPr>
            <w:tcW w:type="dxa" w:w="83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accrual status </w:t>
            </w:r>
          </w:p>
        </w:tc>
        <w:tc>
          <w:tcPr>
            <w:tcW w:type="dxa" w:w="2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201,689 </w:t>
            </w:r>
          </w:p>
        </w:tc>
      </w:tr>
      <w:tr>
        <w:trPr>
          <w:trHeight w:hRule="exact" w:val="254"/>
        </w:trPr>
        <w:tc>
          <w:tcPr>
            <w:tcW w:type="dxa" w:w="83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nonaccrual status </w:t>
            </w:r>
          </w:p>
        </w:tc>
        <w:tc>
          <w:tcPr>
            <w:tcW w:type="dxa" w:w="3146"/>
            <w:vMerge/>
            <w:tcBorders>
              <w:bottom w:sz="8.0" w:val="single" w:color="#000000"/>
            </w:tcBorders>
          </w:tcPr>
          <w:p/>
        </w:tc>
        <w:tc>
          <w:tcPr>
            <w:tcW w:type="dxa" w:w="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859 </w:t>
            </w:r>
          </w:p>
        </w:tc>
      </w:tr>
      <w:tr>
        <w:trPr>
          <w:trHeight w:hRule="exact" w:val="220"/>
        </w:trPr>
        <w:tc>
          <w:tcPr>
            <w:tcW w:type="dxa" w:w="83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outstanding</w:t>
            </w:r>
          </w:p>
        </w:tc>
        <w:tc>
          <w:tcPr>
            <w:tcW w:type="dxa" w:w="2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202,548 </w:t>
            </w:r>
          </w:p>
        </w:tc>
      </w:tr>
    </w:tbl>
    <w:p>
      <w:pPr>
        <w:autoSpaceDN w:val="0"/>
        <w:autoSpaceDE w:val="0"/>
        <w:widowControl/>
        <w:spacing w:line="180" w:lineRule="exact" w:before="29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These amounts primarily relate to outstanding guarantees and include exposures under PSW.</w:t>
      </w:r>
    </w:p>
    <w:p>
      <w:pPr>
        <w:autoSpaceDN w:val="0"/>
        <w:autoSpaceDE w:val="0"/>
        <w:widowControl/>
        <w:spacing w:line="224" w:lineRule="exact" w:before="2270" w:after="0"/>
        <w:ind w:left="0" w:right="6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IDA Quarterly Financial Statements: March 31, 2025 (Unaudited)     39</w:t>
      </w:r>
    </w:p>
    <w:p>
      <w:pPr>
        <w:sectPr>
          <w:pgSz w:w="12240" w:h="15840"/>
          <w:pgMar w:top="700" w:right="1372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178" w:lineRule="exact" w:before="34" w:after="28"/>
        <w:ind w:left="0" w:right="2798" w:firstLine="0"/>
        <w:jc w:val="right"/>
      </w:pPr>
      <w:r>
        <w:rPr>
          <w:rFonts w:ascii="Arial" w:hAnsi="Arial" w:eastAsia="Arial"/>
          <w:b/>
          <w:i w:val="0"/>
          <w:color w:val="000000"/>
          <w:sz w:val="16"/>
        </w:rPr>
        <w:t>Reported as Follows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40.0" w:type="dxa"/>
      </w:tblPr>
      <w:tblGrid>
        <w:gridCol w:w="4720"/>
        <w:gridCol w:w="4720"/>
      </w:tblGrid>
      <w:tr>
        <w:trPr>
          <w:trHeight w:hRule="exact" w:val="240"/>
        </w:trPr>
        <w:tc>
          <w:tcPr>
            <w:tcW w:type="dxa" w:w="2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Condensed Balance Sheets</w:t>
            </w:r>
          </w:p>
        </w:tc>
        <w:tc>
          <w:tcPr>
            <w:tcW w:type="dxa" w:w="41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72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Condensed Statements of Income</w:t>
            </w:r>
          </w:p>
        </w:tc>
      </w:tr>
    </w:tbl>
    <w:p>
      <w:pPr>
        <w:autoSpaceDN w:val="0"/>
        <w:tabs>
          <w:tab w:pos="152" w:val="left"/>
        </w:tabs>
        <w:autoSpaceDE w:val="0"/>
        <w:widowControl/>
        <w:spacing w:line="160" w:lineRule="exact" w:before="32" w:after="34"/>
        <w:ind w:left="62" w:right="720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Accumulated Provision for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</w:rPr>
        <w:t>Losses 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147"/>
        <w:gridCol w:w="3147"/>
        <w:gridCol w:w="3147"/>
      </w:tblGrid>
      <w:tr>
        <w:trPr>
          <w:trHeight w:hRule="exact" w:val="22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outstanding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5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Accumulated provision for loan losses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Provision for losses on loans and other </w:t>
            </w:r>
          </w:p>
        </w:tc>
      </w:tr>
    </w:tbl>
    <w:p>
      <w:pPr>
        <w:autoSpaceDN w:val="0"/>
        <w:autoSpaceDE w:val="0"/>
        <w:widowControl/>
        <w:spacing w:line="178" w:lineRule="exact" w:before="6" w:after="32"/>
        <w:ind w:left="0" w:right="144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>exposures, release (charge)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08"/>
        </w:trPr>
        <w:tc>
          <w:tcPr>
            <w:tcW w:type="dxa" w:w="2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Debt Relief under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Accumulated provision for loan losses</w:t>
            </w:r>
          </w:p>
        </w:tc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Provision for losses on loans and other </w:t>
            </w:r>
          </w:p>
        </w:tc>
      </w:tr>
      <w:tr>
        <w:trPr>
          <w:trHeight w:hRule="exact" w:val="226"/>
        </w:trPr>
        <w:tc>
          <w:tcPr>
            <w:tcW w:type="dxa" w:w="2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HIPC/MDRI</w:t>
            </w:r>
          </w:p>
        </w:tc>
        <w:tc>
          <w:tcPr>
            <w:tcW w:type="dxa" w:w="32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assets/ liabilities</w:t>
            </w:r>
          </w:p>
        </w:tc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5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exposures,  release (charge)</w:t>
            </w:r>
          </w:p>
        </w:tc>
      </w:tr>
      <w:tr>
        <w:trPr>
          <w:trHeight w:hRule="exact" w:val="214"/>
        </w:trPr>
        <w:tc>
          <w:tcPr>
            <w:tcW w:type="dxa" w:w="2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 commitments and Other </w:t>
            </w:r>
          </w:p>
        </w:tc>
        <w:tc>
          <w:tcPr>
            <w:tcW w:type="dxa" w:w="3147"/>
            <w:vMerge/>
            <w:tcBorders>
              <w:bottom w:sz="8.0" w:val="single" w:color="#000000"/>
            </w:tcBorders>
          </w:tcPr>
          <w:p/>
        </w:tc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Provision for losses on loans and other </w:t>
            </w:r>
          </w:p>
        </w:tc>
      </w:tr>
      <w:tr>
        <w:trPr>
          <w:trHeight w:hRule="exact" w:val="426"/>
        </w:trPr>
        <w:tc>
          <w:tcPr>
            <w:tcW w:type="dxa" w:w="22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Exposures</w:t>
            </w:r>
          </w:p>
        </w:tc>
        <w:tc>
          <w:tcPr>
            <w:tcW w:type="dxa" w:w="3147"/>
            <w:vMerge/>
            <w:tcBorders>
              <w:bottom w:sz="8.0" w:val="single" w:color="#000000"/>
            </w:tcBorders>
          </w:tcPr>
          <w:p/>
        </w:tc>
        <w:tc>
          <w:tcPr>
            <w:tcW w:type="dxa" w:w="3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5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exposures,  release (charge)</w:t>
            </w:r>
          </w:p>
        </w:tc>
      </w:tr>
    </w:tbl>
    <w:p>
      <w:pPr>
        <w:autoSpaceDN w:val="0"/>
        <w:autoSpaceDE w:val="0"/>
        <w:widowControl/>
        <w:spacing w:line="230" w:lineRule="exact" w:before="17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accumulated provision for losses on loan and other exposures as of March 31, 2025, was $5,940 million,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compared to $5,621 million as of June 30, 2024. The increase was primarily due to rating changes and the overall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increase in exposure for the nine months ended March 31, 2025.</w:t>
      </w:r>
    </w:p>
    <w:p>
      <w:pPr>
        <w:autoSpaceDN w:val="0"/>
        <w:autoSpaceDE w:val="0"/>
        <w:widowControl/>
        <w:spacing w:line="244" w:lineRule="exact" w:before="12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Loans to be written off under MDRI</w:t>
      </w:r>
    </w:p>
    <w:p>
      <w:pPr>
        <w:autoSpaceDN w:val="0"/>
        <w:autoSpaceDE w:val="0"/>
        <w:widowControl/>
        <w:spacing w:line="220" w:lineRule="exact" w:before="14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During the nine months ended March 31, 2025, there were no loans written off under the MDRI.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fiscal year ended June 30, 2024, loans eligible for debt relief under the MDRI totaling $94 million were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written off as a result of Somalia reaching the Completion Point under the HIPC debt relief initiative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December 13, 2023. </w:t>
      </w:r>
    </w:p>
    <w:p>
      <w:pPr>
        <w:autoSpaceDN w:val="0"/>
        <w:autoSpaceDE w:val="0"/>
        <w:widowControl/>
        <w:spacing w:line="244" w:lineRule="exact" w:before="13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Guarantees Provided</w:t>
      </w:r>
    </w:p>
    <w:p>
      <w:pPr>
        <w:autoSpaceDN w:val="0"/>
        <w:autoSpaceDE w:val="0"/>
        <w:widowControl/>
        <w:spacing w:line="240" w:lineRule="exact" w:before="128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Guarantees of $2,792 million were outstanding as of March 31, 2025 ($2,787 million—June 30, 2024). This amount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includes $1,180 million relating to the PSW ($1,169 million—June 30, 2024). The outstanding guarantees represents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maximum potential undiscounted future payments that IDA could be required to make under these guarantees,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are not included on the Condensed Balance Sheets. The guarantees issued by IDA have original maturities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ranging between 2 and 22 years and expire in decreasing amounts through 2044.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March 31, 2025, liabilities related to IDA’s obligations under guarantees provided include the obligation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stand ready of $134 million ($141 million—June 30, 2024), and the accumulated provision for guarantee losses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$204 million ($220 million—June 30, 2024). These have been included in Other liabilities on the Condensed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Balance Sheets.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nine months ended March 31, 2025, guarantees provided by IDA to a sovereign borrower were settled,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resulting in a payment by IDA of $212 million, ending IDA's related obligation on that guarantee ($50 million called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the nine months ended March 31, 2024). A total of $362 million is included in Loans Outstanding on the Balance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Sheet as of March 31, 2025, following payments by IDA and pursuant to the terms of the related indemnity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agreement between IDA and the borrower and the reimbursement terms agreed with the borrower.</w:t>
      </w:r>
    </w:p>
    <w:p>
      <w:pPr>
        <w:autoSpaceDN w:val="0"/>
        <w:autoSpaceDE w:val="0"/>
        <w:widowControl/>
        <w:spacing w:line="224" w:lineRule="exact" w:before="136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nine months ended March 31, 2025, less than $1 million of IDA-PSW Blended Finance Facility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guarantees under the Small Loan Guarantee Program pursuant to the risk-sharing agreement between IDA and IFC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were called ($1 million — nine months ended March 31, 2024). During the same period, $33 million of guarantees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the PSW MIGA guarantee facility agreement between IDA and MIGA were called (nil — nine months ended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March 31, 2024).</w:t>
      </w:r>
    </w:p>
    <w:p>
      <w:pPr>
        <w:autoSpaceDN w:val="0"/>
        <w:autoSpaceDE w:val="0"/>
        <w:widowControl/>
        <w:spacing w:line="244" w:lineRule="exact" w:before="11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Concentration Risk </w:t>
      </w:r>
    </w:p>
    <w:p>
      <w:pPr>
        <w:autoSpaceDN w:val="0"/>
        <w:autoSpaceDE w:val="0"/>
        <w:widowControl/>
        <w:spacing w:line="240" w:lineRule="exact" w:before="12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 revenue comprises service charges, interest and commitment charges, net of waivers. For the nine months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ended March 31, 2025, loan revenue of $231 million from India, was in excess of 10% of total loan revenue. </w:t>
      </w:r>
    </w:p>
    <w:p>
      <w:pPr>
        <w:autoSpaceDN w:val="0"/>
        <w:autoSpaceDE w:val="0"/>
        <w:widowControl/>
        <w:spacing w:line="224" w:lineRule="exact" w:before="2488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40     IDA Quarterly Financial Statements: March 31, 2025 (Unaudited)</w:t>
      </w:r>
    </w:p>
    <w:p>
      <w:pPr>
        <w:sectPr>
          <w:pgSz w:w="12240" w:h="15840"/>
          <w:pgMar w:top="716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 presents IDA’s loans outstanding and associated loan revenue by geographic region:</w:t>
      </w:r>
    </w:p>
    <w:p>
      <w:pPr>
        <w:autoSpaceDN w:val="0"/>
        <w:autoSpaceDE w:val="0"/>
        <w:widowControl/>
        <w:spacing w:line="220" w:lineRule="exact" w:before="136" w:after="46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D5: Loan revenue and outstanding loan balances by geographic region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</w:tblGrid>
      <w:tr>
        <w:trPr>
          <w:trHeight w:hRule="exact" w:val="256"/>
        </w:trPr>
        <w:tc>
          <w:tcPr>
            <w:tcW w:type="dxa" w:w="33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millions of U.S. dollars</w:t>
            </w:r>
          </w:p>
        </w:tc>
        <w:tc>
          <w:tcPr>
            <w:tcW w:type="dxa" w:w="4690"/>
            <w:gridSpan w:val="11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 of and for the nine months ended March 31,</w:t>
            </w:r>
          </w:p>
        </w:tc>
        <w:tc>
          <w:tcPr>
            <w:tcW w:type="dxa" w:w="1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70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5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2920"/>
            <w:gridSpan w:val="7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0"/>
        </w:trPr>
        <w:tc>
          <w:tcPr>
            <w:tcW w:type="dxa" w:w="33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Region</w:t>
            </w:r>
          </w:p>
        </w:tc>
        <w:tc>
          <w:tcPr>
            <w:tcW w:type="dxa" w:w="4690"/>
            <w:gridSpan w:val="11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20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  <w:tc>
          <w:tcPr>
            <w:tcW w:type="dxa" w:w="1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2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</w:tr>
      <w:tr>
        <w:trPr>
          <w:trHeight w:hRule="exact" w:val="234"/>
        </w:trPr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70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 Revenue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162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Outstanding</w:t>
            </w:r>
          </w:p>
        </w:tc>
        <w:tc>
          <w:tcPr>
            <w:tcW w:type="dxa" w:w="1758"/>
            <w:gridSpan w:val="5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 Revenue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Outstanding</w:t>
            </w:r>
          </w:p>
        </w:tc>
      </w:tr>
      <w:tr>
        <w:trPr>
          <w:trHeight w:hRule="exact" w:val="226"/>
        </w:trPr>
        <w:tc>
          <w:tcPr>
            <w:tcW w:type="dxa" w:w="33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South Asia</w:t>
            </w:r>
          </w:p>
        </w:tc>
        <w:tc>
          <w:tcPr>
            <w:tcW w:type="dxa" w:w="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9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702 </w:t>
            </w:r>
          </w:p>
        </w:tc>
        <w:tc>
          <w:tcPr>
            <w:tcW w:type="dxa" w:w="3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9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62,855 </w:t>
            </w:r>
          </w:p>
        </w:tc>
        <w:tc>
          <w:tcPr>
            <w:tcW w:type="dxa" w:w="716"/>
            <w:gridSpan w:val="5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683 </w:t>
            </w:r>
          </w:p>
        </w:tc>
        <w:tc>
          <w:tcPr>
            <w:tcW w:type="dxa" w:w="1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61,955 </w:t>
            </w:r>
          </w:p>
        </w:tc>
      </w:tr>
      <w:tr>
        <w:trPr>
          <w:trHeight w:hRule="exact" w:val="240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Eastern and Southern Africa</w:t>
            </w:r>
          </w:p>
        </w:tc>
        <w:tc>
          <w:tcPr>
            <w:tcW w:type="dxa" w:w="17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6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495 </w:t>
            </w:r>
          </w:p>
        </w:tc>
        <w:tc>
          <w:tcPr>
            <w:tcW w:type="dxa" w:w="150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62,567 </w:t>
            </w:r>
          </w:p>
        </w:tc>
        <w:tc>
          <w:tcPr>
            <w:tcW w:type="dxa" w:w="14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438 </w:t>
            </w:r>
          </w:p>
        </w:tc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57,332 </w:t>
            </w:r>
          </w:p>
        </w:tc>
      </w:tr>
      <w:tr>
        <w:trPr>
          <w:trHeight w:hRule="exact" w:val="240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Western and Central Africa</w:t>
            </w:r>
          </w:p>
        </w:tc>
        <w:tc>
          <w:tcPr>
            <w:tcW w:type="dxa" w:w="17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6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507 </w:t>
            </w:r>
          </w:p>
        </w:tc>
        <w:tc>
          <w:tcPr>
            <w:tcW w:type="dxa" w:w="150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51,424 </w:t>
            </w:r>
          </w:p>
        </w:tc>
        <w:tc>
          <w:tcPr>
            <w:tcW w:type="dxa" w:w="14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414 </w:t>
            </w:r>
          </w:p>
        </w:tc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45,332 </w:t>
            </w:r>
          </w:p>
        </w:tc>
      </w:tr>
      <w:tr>
        <w:trPr>
          <w:trHeight w:hRule="exact" w:val="240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 Asia and Pacific</w:t>
            </w:r>
          </w:p>
        </w:tc>
        <w:tc>
          <w:tcPr>
            <w:tcW w:type="dxa" w:w="17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6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180 </w:t>
            </w:r>
          </w:p>
        </w:tc>
        <w:tc>
          <w:tcPr>
            <w:tcW w:type="dxa" w:w="150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17,834 </w:t>
            </w:r>
          </w:p>
        </w:tc>
        <w:tc>
          <w:tcPr>
            <w:tcW w:type="dxa" w:w="14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183 </w:t>
            </w:r>
          </w:p>
        </w:tc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18,352 </w:t>
            </w:r>
          </w:p>
        </w:tc>
      </w:tr>
      <w:tr>
        <w:trPr>
          <w:trHeight w:hRule="exact" w:val="240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Europe and Central Asia</w:t>
            </w:r>
          </w:p>
        </w:tc>
        <w:tc>
          <w:tcPr>
            <w:tcW w:type="dxa" w:w="17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6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257 </w:t>
            </w:r>
          </w:p>
        </w:tc>
        <w:tc>
          <w:tcPr>
            <w:tcW w:type="dxa" w:w="150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14,659 </w:t>
            </w:r>
          </w:p>
        </w:tc>
        <w:tc>
          <w:tcPr>
            <w:tcW w:type="dxa" w:w="141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150 </w:t>
            </w:r>
          </w:p>
        </w:tc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9,375 </w:t>
            </w:r>
          </w:p>
        </w:tc>
      </w:tr>
      <w:tr>
        <w:trPr>
          <w:trHeight w:hRule="exact" w:val="240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Latin America and the Caribbean</w:t>
            </w:r>
          </w:p>
        </w:tc>
        <w:tc>
          <w:tcPr>
            <w:tcW w:type="dxa" w:w="17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6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 </w:t>
            </w:r>
          </w:p>
        </w:tc>
        <w:tc>
          <w:tcPr>
            <w:tcW w:type="dxa" w:w="154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3,973 </w:t>
            </w:r>
          </w:p>
        </w:tc>
        <w:tc>
          <w:tcPr>
            <w:tcW w:type="dxa" w:w="13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 </w:t>
            </w:r>
          </w:p>
        </w:tc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3,613 </w:t>
            </w:r>
          </w:p>
        </w:tc>
      </w:tr>
      <w:tr>
        <w:trPr>
          <w:trHeight w:hRule="exact" w:val="240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Middle East and North Africa</w:t>
            </w:r>
          </w:p>
        </w:tc>
        <w:tc>
          <w:tcPr>
            <w:tcW w:type="dxa" w:w="17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6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154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1,950 </w:t>
            </w:r>
          </w:p>
        </w:tc>
        <w:tc>
          <w:tcPr>
            <w:tcW w:type="dxa" w:w="13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2,042 </w:t>
            </w:r>
          </w:p>
        </w:tc>
      </w:tr>
      <w:tr>
        <w:trPr>
          <w:trHeight w:hRule="exact" w:val="254"/>
        </w:trPr>
        <w:tc>
          <w:tcPr>
            <w:tcW w:type="dxa" w:w="33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770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6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 </w:t>
            </w:r>
          </w:p>
        </w:tc>
        <w:tc>
          <w:tcPr>
            <w:tcW w:type="dxa" w:w="1546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269 </w:t>
            </w:r>
          </w:p>
        </w:tc>
        <w:tc>
          <w:tcPr>
            <w:tcW w:type="dxa" w:w="137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197 </w:t>
            </w:r>
          </w:p>
        </w:tc>
      </w:tr>
      <w:tr>
        <w:trPr>
          <w:trHeight w:hRule="exact" w:val="220"/>
        </w:trPr>
        <w:tc>
          <w:tcPr>
            <w:tcW w:type="dxa" w:w="3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2,226 </w:t>
            </w:r>
          </w:p>
        </w:tc>
        <w:tc>
          <w:tcPr>
            <w:tcW w:type="dxa" w:w="378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9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215,531 </w:t>
            </w:r>
          </w:p>
        </w:tc>
        <w:tc>
          <w:tcPr>
            <w:tcW w:type="dxa" w:w="650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72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1,941 </w:t>
            </w:r>
          </w:p>
        </w:tc>
        <w:tc>
          <w:tcPr>
            <w:tcW w:type="dxa" w:w="1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198,198 </w:t>
            </w:r>
          </w:p>
        </w:tc>
      </w:tr>
    </w:tbl>
    <w:p>
      <w:pPr>
        <w:autoSpaceDN w:val="0"/>
        <w:autoSpaceDE w:val="0"/>
        <w:widowControl/>
        <w:spacing w:line="192" w:lineRule="exact" w:before="300" w:after="0"/>
        <w:ind w:left="242" w:right="144" w:hanging="18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Excludes $12 million of interest rate swap income from loan-related derivatives for the nine months ended March 31, 2025 ($14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million of interest rate swap income - nine months ended March 31, 2024). Includes net commitment charges of $18 million for </w:t>
      </w:r>
      <w:r>
        <w:rPr>
          <w:rFonts w:ascii="Arial" w:hAnsi="Arial" w:eastAsia="Arial"/>
          <w:b w:val="0"/>
          <w:i/>
          <w:color w:val="000000"/>
          <w:sz w:val="16"/>
        </w:rPr>
        <w:t>the nine months ended March 31, 2025 ($19 million – nine months ended March 31, 2024).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Represents loans under the PSW.</w:t>
      </w:r>
    </w:p>
    <w:p>
      <w:pPr>
        <w:autoSpaceDN w:val="0"/>
        <w:autoSpaceDE w:val="0"/>
        <w:widowControl/>
        <w:spacing w:line="224" w:lineRule="exact" w:before="33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NOTE E—BORROWINGS</w:t>
      </w:r>
    </w:p>
    <w:p>
      <w:pPr>
        <w:autoSpaceDN w:val="0"/>
        <w:autoSpaceDE w:val="0"/>
        <w:widowControl/>
        <w:spacing w:line="240" w:lineRule="exact" w:before="11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borrowings comprise market borrowings (carried at amortized cost or fair value) and concessional partner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loans made by IDA members (carried at amortized cost).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March 31, 2025, and June 30, 2024, the instruments in IDA’s borrowing portfolio measured at fair value were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classified as Level 2 within the fair value hierarchy. IDA elects fair value for market debt designated to fund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liquidity or variable rate loans. Market debt not meeting the fair value election criteria are reported at amortized cost.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uses derivative contracts to manage the currency risk and the interest rate risk in the market borrowings carried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at fair value. For details regarding the derivatives used, see Note F—Derivative Instruments.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 summary of IDA’s borrowings is as follows (for details on principal due upon maturity, see Note J—Fair Value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Disclosures):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E1: Market borrowings and borrowing-related derivatives, at fair value</w:t>
      </w:r>
    </w:p>
    <w:p>
      <w:pPr>
        <w:autoSpaceDN w:val="0"/>
        <w:autoSpaceDE w:val="0"/>
        <w:widowControl/>
        <w:spacing w:line="178" w:lineRule="exact" w:before="94" w:after="20"/>
        <w:ind w:left="15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26"/>
        </w:trPr>
        <w:tc>
          <w:tcPr>
            <w:tcW w:type="dxa" w:w="61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March 31, 2025</w:t>
            </w:r>
          </w:p>
        </w:tc>
        <w:tc>
          <w:tcPr>
            <w:tcW w:type="dxa" w:w="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34"/>
        </w:trPr>
        <w:tc>
          <w:tcPr>
            <w:tcW w:type="dxa" w:w="61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Market borrowings</w:t>
            </w:r>
          </w:p>
        </w:tc>
        <w:tc>
          <w:tcPr>
            <w:tcW w:type="dxa" w:w="22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42,483 </w:t>
            </w:r>
          </w:p>
        </w:tc>
        <w:tc>
          <w:tcPr>
            <w:tcW w:type="dxa" w:w="2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26,425 </w:t>
            </w:r>
          </w:p>
        </w:tc>
      </w:tr>
      <w:tr>
        <w:trPr>
          <w:trHeight w:hRule="exact" w:val="240"/>
        </w:trPr>
        <w:tc>
          <w:tcPr>
            <w:tcW w:type="dxa" w:w="61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swaps, net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329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488 </w:t>
            </w:r>
          </w:p>
        </w:tc>
      </w:tr>
      <w:tr>
        <w:trPr>
          <w:trHeight w:hRule="exact" w:val="246"/>
        </w:trPr>
        <w:tc>
          <w:tcPr>
            <w:tcW w:type="dxa" w:w="61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swaps, net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4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1,190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1,617 </w:t>
            </w:r>
          </w:p>
        </w:tc>
      </w:tr>
      <w:tr>
        <w:trPr>
          <w:trHeight w:hRule="exact" w:val="220"/>
        </w:trPr>
        <w:tc>
          <w:tcPr>
            <w:tcW w:type="dxa" w:w="61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44,002 </w:t>
            </w:r>
          </w:p>
        </w:tc>
        <w:tc>
          <w:tcPr>
            <w:tcW w:type="dxa" w:w="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28,530 </w:t>
            </w:r>
          </w:p>
        </w:tc>
      </w:tr>
    </w:tbl>
    <w:p>
      <w:pPr>
        <w:autoSpaceDN w:val="0"/>
        <w:autoSpaceDE w:val="0"/>
        <w:widowControl/>
        <w:spacing w:line="240" w:lineRule="exact" w:before="41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 nine months ended March 31, 2025, Borrowing expenses, net in the Condensed Statements of Income was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$1,650 million ($1,173 million—nine months ended March 31, 2024). This includes $578 million of interest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expense, net related to derivatives associated with the Borrowing portfolio (interest expense, net of $604 million—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nine months ended March 31, 2024).</w:t>
      </w:r>
    </w:p>
    <w:p>
      <w:pPr>
        <w:autoSpaceDN w:val="0"/>
        <w:autoSpaceDE w:val="0"/>
        <w:widowControl/>
        <w:spacing w:line="222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E2: Market borrowings outstanding, at amortized cost</w:t>
      </w:r>
    </w:p>
    <w:p>
      <w:pPr>
        <w:autoSpaceDN w:val="0"/>
        <w:autoSpaceDE w:val="0"/>
        <w:widowControl/>
        <w:spacing w:line="180" w:lineRule="exact" w:before="92" w:after="20"/>
        <w:ind w:left="15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3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Principal at face value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Net unamortized discount</w:t>
            </w:r>
          </w:p>
        </w:tc>
        <w:tc>
          <w:tcPr>
            <w:tcW w:type="dxa" w:w="3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34"/>
        </w:trPr>
        <w:tc>
          <w:tcPr>
            <w:tcW w:type="dxa" w:w="31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March 31, 2025</w:t>
            </w:r>
          </w:p>
        </w:tc>
        <w:tc>
          <w:tcPr>
            <w:tcW w:type="dxa" w:w="2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0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14,876 </w:t>
            </w:r>
          </w:p>
        </w:tc>
        <w:tc>
          <w:tcPr>
            <w:tcW w:type="dxa" w:w="2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1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(33) </w:t>
            </w:r>
          </w:p>
        </w:tc>
        <w:tc>
          <w:tcPr>
            <w:tcW w:type="dxa" w:w="3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14,843 </w:t>
            </w:r>
          </w:p>
        </w:tc>
      </w:tr>
      <w:tr>
        <w:trPr>
          <w:trHeight w:hRule="exact" w:val="486"/>
        </w:trPr>
        <w:tc>
          <w:tcPr>
            <w:tcW w:type="dxa" w:w="3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June 30, 2024</w:t>
            </w:r>
          </w:p>
        </w:tc>
        <w:tc>
          <w:tcPr>
            <w:tcW w:type="dxa" w:w="2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0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11,512 </w:t>
            </w:r>
          </w:p>
        </w:tc>
        <w:tc>
          <w:tcPr>
            <w:tcW w:type="dxa" w:w="2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1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(18) </w:t>
            </w:r>
          </w:p>
        </w:tc>
        <w:tc>
          <w:tcPr>
            <w:tcW w:type="dxa" w:w="3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11,494 </w:t>
            </w:r>
          </w:p>
        </w:tc>
      </w:tr>
    </w:tbl>
    <w:p>
      <w:pPr>
        <w:autoSpaceDN w:val="0"/>
        <w:autoSpaceDE w:val="0"/>
        <w:widowControl/>
        <w:spacing w:line="224" w:lineRule="exact" w:before="840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IDA Quarterly Financial Statements: March 31, 2025 (Unaudited)     41</w:t>
      </w:r>
    </w:p>
    <w:p>
      <w:pPr>
        <w:sectPr>
          <w:pgSz w:w="12240" w:h="15840"/>
          <w:pgMar w:top="700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E3: Concessional partner loans outstanding, at amortized cost</w:t>
      </w:r>
    </w:p>
    <w:p>
      <w:pPr>
        <w:autoSpaceDN w:val="0"/>
        <w:autoSpaceDE w:val="0"/>
        <w:widowControl/>
        <w:spacing w:line="178" w:lineRule="exact" w:before="94" w:after="20"/>
        <w:ind w:left="15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3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Principal at face value</w:t>
            </w:r>
          </w:p>
        </w:tc>
        <w:tc>
          <w:tcPr>
            <w:tcW w:type="dxa" w:w="2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Net unamortized discount</w:t>
            </w:r>
          </w:p>
        </w:tc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40"/>
        </w:trPr>
        <w:tc>
          <w:tcPr>
            <w:tcW w:type="dxa" w:w="31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March 31, 2025</w:t>
            </w:r>
          </w:p>
        </w:tc>
        <w:tc>
          <w:tcPr>
            <w:tcW w:type="dxa" w:w="2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1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8,637 </w:t>
            </w:r>
          </w:p>
        </w:tc>
        <w:tc>
          <w:tcPr>
            <w:tcW w:type="dxa" w:w="2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1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(1,453) </w:t>
            </w:r>
          </w:p>
        </w:tc>
        <w:tc>
          <w:tcPr>
            <w:tcW w:type="dxa" w:w="3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7,184 </w:t>
            </w:r>
          </w:p>
        </w:tc>
      </w:tr>
      <w:tr>
        <w:trPr>
          <w:trHeight w:hRule="exact" w:val="480"/>
        </w:trPr>
        <w:tc>
          <w:tcPr>
            <w:tcW w:type="dxa" w:w="3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June 30, 2024</w:t>
            </w:r>
          </w:p>
        </w:tc>
        <w:tc>
          <w:tcPr>
            <w:tcW w:type="dxa" w:w="2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1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8,486 </w:t>
            </w:r>
          </w:p>
        </w:tc>
        <w:tc>
          <w:tcPr>
            <w:tcW w:type="dxa" w:w="2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1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(1,482) </w:t>
            </w:r>
          </w:p>
        </w:tc>
        <w:tc>
          <w:tcPr>
            <w:tcW w:type="dxa" w:w="3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7,004 </w:t>
            </w:r>
          </w:p>
        </w:tc>
      </w:tr>
    </w:tbl>
    <w:p>
      <w:pPr>
        <w:autoSpaceDN w:val="0"/>
        <w:autoSpaceDE w:val="0"/>
        <w:widowControl/>
        <w:spacing w:line="224" w:lineRule="exact" w:before="29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NOTE F—DERIVATIVE INSTRUMENTS</w:t>
      </w:r>
    </w:p>
    <w:p>
      <w:pPr>
        <w:autoSpaceDN w:val="0"/>
        <w:autoSpaceDE w:val="0"/>
        <w:widowControl/>
        <w:spacing w:line="240" w:lineRule="exact" w:before="11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uses derivative instruments in its investment, loan and borrowing portfolios, for asset/liability management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purposes, and to assist clients in managing risks. 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 summarizes IDA’s use of derivatives in its various financial portfolios.</w:t>
      </w:r>
    </w:p>
    <w:p>
      <w:pPr>
        <w:autoSpaceDN w:val="0"/>
        <w:autoSpaceDE w:val="0"/>
        <w:widowControl/>
        <w:spacing w:line="220" w:lineRule="exact" w:before="136" w:after="52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F1: Use of derivatives in various financial portfolios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40"/>
        </w:trPr>
        <w:tc>
          <w:tcPr>
            <w:tcW w:type="dxa" w:w="15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Portfolio</w:t>
            </w:r>
          </w:p>
        </w:tc>
        <w:tc>
          <w:tcPr>
            <w:tcW w:type="dxa" w:w="3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Derivative instruments used</w:t>
            </w:r>
          </w:p>
        </w:tc>
        <w:tc>
          <w:tcPr>
            <w:tcW w:type="dxa" w:w="38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Purpose/Risk being managed</w:t>
            </w:r>
          </w:p>
        </w:tc>
      </w:tr>
    </w:tbl>
    <w:p>
      <w:pPr>
        <w:autoSpaceDN w:val="0"/>
        <w:autoSpaceDE w:val="0"/>
        <w:widowControl/>
        <w:spacing w:line="178" w:lineRule="exact" w:before="18" w:after="0"/>
        <w:ind w:left="6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Risk management purposes:</w:t>
      </w:r>
    </w:p>
    <w:p>
      <w:pPr>
        <w:autoSpaceDN w:val="0"/>
        <w:autoSpaceDE w:val="0"/>
        <w:widowControl/>
        <w:spacing w:line="178" w:lineRule="exact" w:before="58" w:after="8"/>
        <w:ind w:left="234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Interest rate swaps, forward contracts, currency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3147"/>
        <w:gridCol w:w="3147"/>
        <w:gridCol w:w="3147"/>
      </w:tblGrid>
      <w:tr>
        <w:trPr>
          <w:trHeight w:hRule="exact" w:val="19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Investments—Trading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3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swaps, options, swaptions, futures contracts, and 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Manage currency and interest rate risks</w:t>
            </w:r>
          </w:p>
        </w:tc>
      </w:tr>
    </w:tbl>
    <w:p>
      <w:pPr>
        <w:autoSpaceDN w:val="0"/>
        <w:autoSpaceDE w:val="0"/>
        <w:widowControl/>
        <w:spacing w:line="178" w:lineRule="exact" w:before="8" w:after="30"/>
        <w:ind w:left="0" w:right="598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>TBA securities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3147"/>
        <w:gridCol w:w="3147"/>
        <w:gridCol w:w="3147"/>
      </w:tblGrid>
      <w:tr>
        <w:trPr>
          <w:trHeight w:hRule="exact" w:val="204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assets/liabilities 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forward contracts, currency swaps and </w:t>
            </w:r>
          </w:p>
        </w:tc>
        <w:tc>
          <w:tcPr>
            <w:tcW w:type="dxa" w:w="3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Manage currency and interest rate risks</w:t>
            </w:r>
          </w:p>
        </w:tc>
      </w:tr>
      <w:tr>
        <w:trPr>
          <w:trHeight w:hRule="exact" w:val="220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management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3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314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Manage interest rate risk</w:t>
            </w:r>
          </w:p>
        </w:tc>
      </w:tr>
      <w:tr>
        <w:trPr>
          <w:trHeight w:hRule="exact" w:val="252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 and currency swaps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Manage currency and interest rate risks</w:t>
            </w:r>
          </w:p>
        </w:tc>
      </w:tr>
    </w:tbl>
    <w:p>
      <w:pPr>
        <w:autoSpaceDN w:val="0"/>
        <w:autoSpaceDE w:val="0"/>
        <w:widowControl/>
        <w:spacing w:line="180" w:lineRule="exact" w:before="30" w:after="30"/>
        <w:ind w:left="6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Other purposes: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362"/>
        </w:trPr>
        <w:tc>
          <w:tcPr>
            <w:tcW w:type="dxa" w:w="1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Client operations</w:t>
            </w:r>
          </w:p>
        </w:tc>
        <w:tc>
          <w:tcPr>
            <w:tcW w:type="dxa" w:w="37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 and currency swaps</w:t>
            </w:r>
          </w:p>
        </w:tc>
        <w:tc>
          <w:tcPr>
            <w:tcW w:type="dxa" w:w="35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Assist clients in managing risks</w:t>
            </w:r>
          </w:p>
        </w:tc>
      </w:tr>
    </w:tbl>
    <w:p>
      <w:pPr>
        <w:autoSpaceDN w:val="0"/>
        <w:autoSpaceDE w:val="0"/>
        <w:widowControl/>
        <w:spacing w:line="240" w:lineRule="exact" w:before="16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derivatives in the related tables of Note F are presented on a net basis by instrument. A reconciliation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Condensed Balance Sheet presentation is shown in Table F2.</w:t>
      </w:r>
    </w:p>
    <w:p>
      <w:pPr>
        <w:autoSpaceDN w:val="0"/>
        <w:autoSpaceDE w:val="0"/>
        <w:widowControl/>
        <w:spacing w:line="244" w:lineRule="exact" w:before="13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Offsetting assets and liabilities</w:t>
      </w:r>
    </w:p>
    <w:p>
      <w:pPr>
        <w:autoSpaceDN w:val="0"/>
        <w:autoSpaceDE w:val="0"/>
        <w:widowControl/>
        <w:spacing w:line="240" w:lineRule="exact" w:before="128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enters into International Swaps and Derivatives Association, Inc. (ISDA) master netting agreements with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substantially all of its derivative counterparties. These legally enforceable master netting agreements give IDA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right to liquidate securities held as collateral and to offset receivables and payables with the same counterparty,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event of default by the counterparty. </w:t>
      </w:r>
    </w:p>
    <w:p>
      <w:pPr>
        <w:autoSpaceDN w:val="0"/>
        <w:autoSpaceDE w:val="0"/>
        <w:widowControl/>
        <w:spacing w:line="240" w:lineRule="exact" w:before="6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tables summarize the gross and net derivative positions by instrument type. Instruments that are in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net asset position are included in the Derivative Assets columns and instruments that are in a net liability position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are included in the Derivative Liabilities columns. The effects of the master netting agreements are applied on 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aggregate basis to the total derivative asset and liability positions and are presented net of any cash collateral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received on the Condensed Balance Sheets. The net derivative asset positions in the tables below have been further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reduced by any securities received as collateral to disclose IDA’s net exposure on its derivative asset positions. </w:t>
      </w:r>
    </w:p>
    <w:p>
      <w:pPr>
        <w:autoSpaceDN w:val="0"/>
        <w:autoSpaceDE w:val="0"/>
        <w:widowControl/>
        <w:spacing w:line="224" w:lineRule="exact" w:before="403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42     IDA Quarterly Financial Statements: March 31, 2025 (Unaudited)</w:t>
      </w:r>
    </w:p>
    <w:p>
      <w:pPr>
        <w:sectPr>
          <w:pgSz w:w="12240" w:h="15840"/>
          <w:pgMar w:top="700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F2: Derivative assets and liabilities before and after netting adjustments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40"/>
        </w:trPr>
        <w:tc>
          <w:tcPr>
            <w:tcW w:type="dxa" w:w="49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34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March 31, 2025</w:t>
            </w:r>
          </w:p>
        </w:tc>
        <w:tc>
          <w:tcPr>
            <w:tcW w:type="dxa" w:w="2176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3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20"/>
        </w:trPr>
        <w:tc>
          <w:tcPr>
            <w:tcW w:type="dxa" w:w="49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3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Derivative </w:t>
            </w:r>
          </w:p>
        </w:tc>
        <w:tc>
          <w:tcPr>
            <w:tcW w:type="dxa" w:w="110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2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Derivative </w:t>
            </w:r>
          </w:p>
        </w:tc>
        <w:tc>
          <w:tcPr>
            <w:tcW w:type="dxa" w:w="109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2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Derivative </w:t>
            </w:r>
          </w:p>
        </w:tc>
        <w:tc>
          <w:tcPr>
            <w:tcW w:type="dxa" w:w="10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21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Derivative </w:t>
            </w:r>
          </w:p>
        </w:tc>
      </w:tr>
      <w:tr>
        <w:trPr>
          <w:trHeight w:hRule="exact" w:val="214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3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Assets</w:t>
            </w:r>
          </w:p>
        </w:tc>
        <w:tc>
          <w:tcPr>
            <w:tcW w:type="dxa" w:w="110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Liabilities</w:t>
            </w:r>
          </w:p>
        </w:tc>
        <w:tc>
          <w:tcPr>
            <w:tcW w:type="dxa" w:w="109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25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Assets</w:t>
            </w:r>
          </w:p>
        </w:tc>
        <w:tc>
          <w:tcPr>
            <w:tcW w:type="dxa" w:w="10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Liabilities</w:t>
            </w:r>
          </w:p>
        </w:tc>
      </w:tr>
      <w:tr>
        <w:trPr>
          <w:trHeight w:hRule="exact" w:val="226"/>
        </w:trPr>
        <w:tc>
          <w:tcPr>
            <w:tcW w:type="dxa" w:w="4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2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2,587 </w:t>
            </w:r>
          </w:p>
        </w:tc>
        <w:tc>
          <w:tcPr>
            <w:tcW w:type="dxa" w:w="35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1,347 </w:t>
            </w:r>
          </w:p>
        </w:tc>
        <w:tc>
          <w:tcPr>
            <w:tcW w:type="dxa" w:w="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2,250 </w:t>
            </w:r>
          </w:p>
        </w:tc>
        <w:tc>
          <w:tcPr>
            <w:tcW w:type="dxa" w:w="33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1,694 </w:t>
            </w:r>
          </w:p>
        </w:tc>
      </w:tr>
      <w:tr>
        <w:trPr>
          <w:trHeight w:hRule="exact" w:val="240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0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488 </w:t>
            </w:r>
          </w:p>
        </w:tc>
        <w:tc>
          <w:tcPr>
            <w:tcW w:type="dxa" w:w="11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638 </w:t>
            </w:r>
          </w:p>
        </w:tc>
        <w:tc>
          <w:tcPr>
            <w:tcW w:type="dxa" w:w="10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767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665 </w:t>
            </w:r>
          </w:p>
        </w:tc>
      </w:tr>
      <w:tr>
        <w:trPr>
          <w:trHeight w:hRule="exact" w:val="254"/>
        </w:trPr>
        <w:tc>
          <w:tcPr>
            <w:tcW w:type="dxa" w:w="49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03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0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9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10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49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Gross Total</w:t>
            </w:r>
          </w:p>
        </w:tc>
        <w:tc>
          <w:tcPr>
            <w:tcW w:type="dxa" w:w="2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3,075 </w:t>
            </w:r>
          </w:p>
        </w:tc>
        <w:tc>
          <w:tcPr>
            <w:tcW w:type="dxa" w:w="35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1,985 </w:t>
            </w:r>
          </w:p>
        </w:tc>
        <w:tc>
          <w:tcPr>
            <w:tcW w:type="dxa" w:w="3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3,020 </w:t>
            </w:r>
          </w:p>
        </w:tc>
        <w:tc>
          <w:tcPr>
            <w:tcW w:type="dxa" w:w="33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2,359 </w:t>
            </w:r>
          </w:p>
        </w:tc>
      </w:tr>
    </w:tbl>
    <w:p>
      <w:pPr>
        <w:autoSpaceDN w:val="0"/>
        <w:autoSpaceDE w:val="0"/>
        <w:widowControl/>
        <w:spacing w:line="180" w:lineRule="exact" w:before="2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202"/>
        </w:trPr>
        <w:tc>
          <w:tcPr>
            <w:tcW w:type="dxa" w:w="4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Amounts subject to legally enforceable master netting </w:t>
            </w:r>
          </w:p>
        </w:tc>
        <w:tc>
          <w:tcPr>
            <w:tcW w:type="dxa" w:w="2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4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1,669 </w:t>
            </w:r>
          </w:p>
        </w:tc>
        <w:tc>
          <w:tcPr>
            <w:tcW w:type="dxa" w:w="3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2" w:after="0"/>
              <w:ind w:left="0" w:right="0" w:firstLine="0"/>
              <w:jc w:val="center"/>
            </w:pP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4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1,580 </w:t>
            </w:r>
          </w:p>
        </w:tc>
        <w:tc>
          <w:tcPr>
            <w:tcW w:type="dxa" w:w="3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2" w:after="0"/>
              <w:ind w:left="0" w:right="0" w:firstLine="0"/>
              <w:jc w:val="center"/>
            </w:pP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4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1,764 </w:t>
            </w:r>
          </w:p>
        </w:tc>
        <w:tc>
          <w:tcPr>
            <w:tcW w:type="dxa" w:w="3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2" w:after="0"/>
              <w:ind w:left="0" w:right="0" w:firstLine="0"/>
              <w:jc w:val="center"/>
            </w:pP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4" w:after="0"/>
              <w:ind w:left="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1,692 </w:t>
            </w:r>
          </w:p>
        </w:tc>
        <w:tc>
          <w:tcPr>
            <w:tcW w:type="dxa" w:w="1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02" w:after="0"/>
              <w:ind w:left="0" w:right="0" w:firstLine="0"/>
              <w:jc w:val="center"/>
            </w:pP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</w:tr>
      <w:tr>
        <w:trPr>
          <w:trHeight w:hRule="exact" w:val="220"/>
        </w:trPr>
        <w:tc>
          <w:tcPr>
            <w:tcW w:type="dxa" w:w="4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agreements 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50"/>
        </w:trPr>
        <w:tc>
          <w:tcPr>
            <w:tcW w:type="dxa" w:w="4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Cash collateral received 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7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909 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7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7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893 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31"/>
        </w:trPr>
        <w:tc>
          <w:tcPr>
            <w:tcW w:type="dxa" w:w="4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derivative positions on the Condensed Balance Sheet</w:t>
            </w:r>
          </w:p>
        </w:tc>
        <w:tc>
          <w:tcPr>
            <w:tcW w:type="dxa" w:w="2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497 </w:t>
            </w:r>
          </w:p>
        </w:tc>
        <w:tc>
          <w:tcPr>
            <w:tcW w:type="dxa" w:w="3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405 </w:t>
            </w:r>
          </w:p>
        </w:tc>
        <w:tc>
          <w:tcPr>
            <w:tcW w:type="dxa" w:w="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363 </w:t>
            </w:r>
          </w:p>
        </w:tc>
        <w:tc>
          <w:tcPr>
            <w:tcW w:type="dxa" w:w="3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667 </w:t>
            </w:r>
          </w:p>
        </w:tc>
        <w:tc>
          <w:tcPr>
            <w:tcW w:type="dxa" w:w="1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40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38"/>
        </w:trPr>
        <w:tc>
          <w:tcPr>
            <w:tcW w:type="dxa" w:w="49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Securities collateral received </w:t>
            </w:r>
          </w:p>
        </w:tc>
        <w:tc>
          <w:tcPr>
            <w:tcW w:type="dxa" w:w="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105 </w:t>
            </w:r>
          </w:p>
        </w:tc>
        <w:tc>
          <w:tcPr>
            <w:tcW w:type="dxa" w:w="15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49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derivative exposure after collateral</w:t>
            </w:r>
          </w:p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392 </w:t>
            </w:r>
          </w:p>
        </w:tc>
        <w:tc>
          <w:tcPr>
            <w:tcW w:type="dxa" w:w="1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363 </w:t>
            </w:r>
          </w:p>
        </w:tc>
      </w:tr>
    </w:tbl>
    <w:p>
      <w:pPr>
        <w:autoSpaceDN w:val="0"/>
        <w:autoSpaceDE w:val="0"/>
        <w:widowControl/>
        <w:spacing w:line="180" w:lineRule="exact" w:before="15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Includes forward contracts.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These include swaptions, exchange traded options, futures contracts and TBA securities.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Includes $106 million Credit Valuation Adjustment (CVA) ($92 million-June 30, 2024).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d. Includes $17 million Debit Valuation Adjustment (DVA) ($20 million-June 30, 2024).</w:t>
      </w:r>
    </w:p>
    <w:p>
      <w:pPr>
        <w:autoSpaceDN w:val="0"/>
        <w:autoSpaceDE w:val="0"/>
        <w:widowControl/>
        <w:spacing w:line="240" w:lineRule="exact" w:before="19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 provides information about the credit risk exposures at fair value of IDA’s derivative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instruments by portfolio, before the effects of master netting arrangements and collateral:</w:t>
      </w:r>
    </w:p>
    <w:p>
      <w:pPr>
        <w:autoSpaceDN w:val="0"/>
        <w:autoSpaceDE w:val="0"/>
        <w:widowControl/>
        <w:spacing w:line="222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F3: Credit risk exposure of the derivative instruments</w:t>
      </w:r>
    </w:p>
    <w:p>
      <w:pPr>
        <w:autoSpaceDN w:val="0"/>
        <w:tabs>
          <w:tab w:pos="6272" w:val="left"/>
          <w:tab w:pos="6300" w:val="left"/>
        </w:tabs>
        <w:autoSpaceDE w:val="0"/>
        <w:widowControl/>
        <w:spacing w:line="244" w:lineRule="exact" w:before="30" w:after="8"/>
        <w:ind w:left="62" w:right="1872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March 31, 2025 </w:t>
      </w:r>
      <w:r>
        <w:tab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Currency swaps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10.0" w:type="dxa"/>
      </w:tblPr>
      <w:tblGrid>
        <w:gridCol w:w="3146"/>
        <w:gridCol w:w="3146"/>
        <w:gridCol w:w="3146"/>
      </w:tblGrid>
      <w:tr>
        <w:trPr>
          <w:trHeight w:hRule="exact" w:val="190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21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Interest rate swaps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(including forward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4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78" w:lineRule="exact" w:before="8" w:after="34"/>
        <w:ind w:left="0" w:right="221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contracts)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rHeight w:hRule="exact" w:val="240"/>
        </w:trPr>
        <w:tc>
          <w:tcPr>
            <w:tcW w:type="dxa" w:w="43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 - Trading</w:t>
            </w:r>
          </w:p>
        </w:tc>
        <w:tc>
          <w:tcPr>
            <w:tcW w:type="dxa" w:w="5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57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  <w:tc>
          <w:tcPr>
            <w:tcW w:type="dxa" w:w="5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115 </w:t>
            </w:r>
          </w:p>
        </w:tc>
      </w:tr>
      <w:tr>
        <w:trPr>
          <w:trHeight w:hRule="exact" w:val="240"/>
        </w:trPr>
        <w:tc>
          <w:tcPr>
            <w:tcW w:type="dxa" w:w="4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Asset/liability management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2,327 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346 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2,673 </w:t>
            </w:r>
          </w:p>
        </w:tc>
      </w:tr>
      <w:tr>
        <w:trPr>
          <w:trHeight w:hRule="exact" w:val="220"/>
        </w:trPr>
        <w:tc>
          <w:tcPr>
            <w:tcW w:type="dxa" w:w="4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152 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 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174 </w:t>
            </w:r>
          </w:p>
        </w:tc>
      </w:tr>
      <w:tr>
        <w:trPr>
          <w:trHeight w:hRule="exact" w:val="260"/>
        </w:trPr>
        <w:tc>
          <w:tcPr>
            <w:tcW w:type="dxa" w:w="43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4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104 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4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113 </w:t>
            </w:r>
          </w:p>
        </w:tc>
      </w:tr>
      <w:tr>
        <w:trPr>
          <w:trHeight w:hRule="exact" w:val="220"/>
        </w:trPr>
        <w:tc>
          <w:tcPr>
            <w:tcW w:type="dxa" w:w="43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Exposure</w:t>
            </w:r>
          </w:p>
        </w:tc>
        <w:tc>
          <w:tcPr>
            <w:tcW w:type="dxa" w:w="5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2,587 </w:t>
            </w:r>
          </w:p>
        </w:tc>
        <w:tc>
          <w:tcPr>
            <w:tcW w:type="dxa" w:w="5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488 </w:t>
            </w:r>
          </w:p>
        </w:tc>
        <w:tc>
          <w:tcPr>
            <w:tcW w:type="dxa" w:w="5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3,075 </w:t>
            </w:r>
          </w:p>
        </w:tc>
      </w:tr>
    </w:tbl>
    <w:p>
      <w:pPr>
        <w:autoSpaceDN w:val="0"/>
        <w:tabs>
          <w:tab w:pos="6300" w:val="left"/>
          <w:tab w:pos="6322" w:val="left"/>
        </w:tabs>
        <w:autoSpaceDE w:val="0"/>
        <w:widowControl/>
        <w:spacing w:line="242" w:lineRule="exact" w:before="534" w:after="8"/>
        <w:ind w:left="62" w:right="1872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F3.1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June 30, 2024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Currency swaps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10.0" w:type="dxa"/>
      </w:tblPr>
      <w:tblGrid>
        <w:gridCol w:w="3146"/>
        <w:gridCol w:w="3146"/>
        <w:gridCol w:w="3146"/>
      </w:tblGrid>
      <w:tr>
        <w:trPr>
          <w:trHeight w:hRule="exact" w:val="190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21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Interest rate swaps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(including forward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4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78" w:lineRule="exact" w:before="8" w:after="34"/>
        <w:ind w:left="0" w:right="221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contracts)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rHeight w:hRule="exact" w:val="240"/>
        </w:trPr>
        <w:tc>
          <w:tcPr>
            <w:tcW w:type="dxa" w:w="43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 - Trading</w:t>
            </w:r>
          </w:p>
        </w:tc>
        <w:tc>
          <w:tcPr>
            <w:tcW w:type="dxa" w:w="5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74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232 </w:t>
            </w:r>
          </w:p>
        </w:tc>
        <w:tc>
          <w:tcPr>
            <w:tcW w:type="dxa" w:w="5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234 </w:t>
            </w:r>
          </w:p>
        </w:tc>
      </w:tr>
      <w:tr>
        <w:trPr>
          <w:trHeight w:hRule="exact" w:val="240"/>
        </w:trPr>
        <w:tc>
          <w:tcPr>
            <w:tcW w:type="dxa" w:w="4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Asset/liability management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2,063 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519 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2,582 </w:t>
            </w:r>
          </w:p>
        </w:tc>
      </w:tr>
      <w:tr>
        <w:trPr>
          <w:trHeight w:hRule="exact" w:val="220"/>
        </w:trPr>
        <w:tc>
          <w:tcPr>
            <w:tcW w:type="dxa" w:w="4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 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 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 </w:t>
            </w:r>
          </w:p>
        </w:tc>
      </w:tr>
      <w:tr>
        <w:trPr>
          <w:trHeight w:hRule="exact" w:val="260"/>
        </w:trPr>
        <w:tc>
          <w:tcPr>
            <w:tcW w:type="dxa" w:w="43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4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112 </w:t>
            </w:r>
          </w:p>
        </w:tc>
      </w:tr>
      <w:tr>
        <w:trPr>
          <w:trHeight w:hRule="exact" w:val="220"/>
        </w:trPr>
        <w:tc>
          <w:tcPr>
            <w:tcW w:type="dxa" w:w="43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Exposure</w:t>
            </w:r>
          </w:p>
        </w:tc>
        <w:tc>
          <w:tcPr>
            <w:tcW w:type="dxa" w:w="5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2,250 </w:t>
            </w:r>
          </w:p>
        </w:tc>
        <w:tc>
          <w:tcPr>
            <w:tcW w:type="dxa" w:w="7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767 </w:t>
            </w:r>
          </w:p>
        </w:tc>
        <w:tc>
          <w:tcPr>
            <w:tcW w:type="dxa" w:w="5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3,017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34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Includes derivatives related to loans and PSW, and excludes exchange traded instruments as they are generally subject to daily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margin requirements and are deemed to have no material credit risk.</w:t>
      </w:r>
    </w:p>
    <w:p>
      <w:pPr>
        <w:autoSpaceDN w:val="0"/>
        <w:autoSpaceDE w:val="0"/>
        <w:widowControl/>
        <w:spacing w:line="224" w:lineRule="exact" w:before="1360" w:after="0"/>
        <w:ind w:left="0" w:right="6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IDA Quarterly Financial Statements: March 31, 2025 (Unaudited)     43</w:t>
      </w:r>
    </w:p>
    <w:p>
      <w:pPr>
        <w:sectPr>
          <w:pgSz w:w="12240" w:h="15840"/>
          <w:pgMar w:top="700" w:right="1372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volume of derivative contracts is measured using the U.S. dollar equivalent notional balance. The notional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balance represents the face value or reference value on which the calculations of payments on the derivative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instrument are determined. As of March 31, 2025, the notional amounts of IDA's derivative contracts outstanding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were as follows: interest rate swaps $46,159 million ($39,153 million— June 30, 2024) and currency swaps $23,583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 ($22,792 million as of June 30, 2024), long positions of other derivatives $371 million ($566 million—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June 30, 2024) and short positions of other derivatives $51 million ($74 million— June 30, 2024). 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Collateral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is not required to post collateral under its derivative agreements as long as it maintains a triple-A credit rating.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aggregate fair value of all derivative instruments with credit-risk related contingent features that are in a liability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position as of March 31, 2025, is $334 million ($593 million —June 30, 2024). As of March 31, 2025, IDA was not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required to post any collateral in accordance with the relevant agreements.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If the credit-risk related contingent features underlying these agreements were triggered to the extent that IDA would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be required to post collateral as of March 31, 2025, the amount of collateral that would need to be posted would be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$44 million ($30 million—June 30, 2024). Subsequent triggers of contingent features would require posting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additional collateral, up to a maximum of $334 million as of March 31, 2025 ($593 million—June 30, 2024).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gains or losses on the non-trading derivatives, by instrument type and their location in the Condensed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Statements of Income are as follows: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F4: Unrealized mark-to-market gains or losses on non-trading derivatives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20"/>
        </w:trPr>
        <w:tc>
          <w:tcPr>
            <w:tcW w:type="dxa" w:w="360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68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Three Months Ended </w:t>
            </w:r>
          </w:p>
        </w:tc>
        <w:tc>
          <w:tcPr>
            <w:tcW w:type="dxa" w:w="1712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17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Nine Months Ended </w:t>
            </w:r>
          </w:p>
        </w:tc>
      </w:tr>
      <w:tr>
        <w:trPr>
          <w:trHeight w:hRule="exact" w:val="214"/>
        </w:trPr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68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March 31,</w:t>
            </w:r>
          </w:p>
        </w:tc>
        <w:tc>
          <w:tcPr>
            <w:tcW w:type="dxa" w:w="1712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March 31,</w:t>
            </w:r>
          </w:p>
        </w:tc>
      </w:tr>
      <w:tr>
        <w:trPr>
          <w:trHeight w:hRule="exact" w:val="240"/>
        </w:trPr>
        <w:tc>
          <w:tcPr>
            <w:tcW w:type="dxa" w:w="36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Type of instrument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23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Reported as</w:t>
            </w:r>
          </w:p>
        </w:tc>
        <w:tc>
          <w:tcPr>
            <w:tcW w:type="dxa" w:w="80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8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6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10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3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</w:tr>
      <w:tr>
        <w:trPr>
          <w:trHeight w:hRule="exact" w:val="526"/>
        </w:trPr>
        <w:tc>
          <w:tcPr>
            <w:tcW w:type="dxa" w:w="360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7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23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Unrealized mark-to-market </w:t>
            </w:r>
          </w:p>
        </w:tc>
        <w:tc>
          <w:tcPr>
            <w:tcW w:type="dxa" w:w="284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550 </w:t>
            </w:r>
          </w:p>
        </w:tc>
        <w:tc>
          <w:tcPr>
            <w:tcW w:type="dxa" w:w="864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12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(87) </w:t>
            </w:r>
          </w:p>
        </w:tc>
        <w:tc>
          <w:tcPr>
            <w:tcW w:type="dxa" w:w="61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1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$ 740 </w:t>
            </w:r>
          </w:p>
        </w:tc>
        <w:tc>
          <w:tcPr>
            <w:tcW w:type="dxa" w:w="109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1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$ 736 </w:t>
            </w:r>
          </w:p>
        </w:tc>
      </w:tr>
      <w:tr>
        <w:trPr>
          <w:trHeight w:hRule="exact" w:val="180"/>
        </w:trPr>
        <w:tc>
          <w:tcPr>
            <w:tcW w:type="dxa" w:w="1349"/>
            <w:vMerge/>
            <w:tcBorders>
              <w:top w:sz="8.0" w:val="single" w:color="#000000"/>
            </w:tcBorders>
          </w:tcPr>
          <w:p/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gains (losses) on non-</w:t>
            </w:r>
          </w:p>
        </w:tc>
        <w:tc>
          <w:tcPr>
            <w:tcW w:type="dxa" w:w="1349"/>
            <w:vMerge/>
            <w:tcBorders>
              <w:top w:sz="8.0" w:val="single" w:color="#000000"/>
            </w:tcBorders>
          </w:tcPr>
          <w:p/>
        </w:tc>
        <w:tc>
          <w:tcPr>
            <w:tcW w:type="dxa" w:w="1349"/>
            <w:vMerge/>
            <w:tcBorders>
              <w:top w:sz="8.0" w:val="single" w:color="#000000"/>
            </w:tcBorders>
          </w:tcPr>
          <w:p/>
        </w:tc>
        <w:tc>
          <w:tcPr>
            <w:tcW w:type="dxa" w:w="1349"/>
            <w:vMerge/>
            <w:tcBorders>
              <w:top w:sz="8.0" w:val="single" w:color="#000000"/>
            </w:tcBorders>
          </w:tcPr>
          <w:p/>
        </w:tc>
        <w:tc>
          <w:tcPr>
            <w:tcW w:type="dxa" w:w="1349"/>
            <w:vMerge/>
            <w:tcBorders>
              <w:top w:sz="8.0" w:val="single" w:color="#000000"/>
            </w:tcBorders>
          </w:tcPr>
          <w:p/>
        </w:tc>
        <w:tc>
          <w:tcPr>
            <w:tcW w:type="dxa" w:w="1349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36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currency forward contracts</w:t>
            </w:r>
          </w:p>
        </w:tc>
        <w:tc>
          <w:tcPr>
            <w:tcW w:type="dxa" w:w="23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trading portfolios, net</w:t>
            </w:r>
          </w:p>
        </w:tc>
        <w:tc>
          <w:tcPr>
            <w:tcW w:type="dxa" w:w="80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 </w:t>
            </w:r>
          </w:p>
        </w:tc>
        <w:tc>
          <w:tcPr>
            <w:tcW w:type="dxa" w:w="8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(13) </w:t>
            </w:r>
          </w:p>
        </w:tc>
        <w:tc>
          <w:tcPr>
            <w:tcW w:type="dxa" w:w="6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134 </w:t>
            </w:r>
          </w:p>
        </w:tc>
        <w:tc>
          <w:tcPr>
            <w:tcW w:type="dxa" w:w="10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150 </w:t>
            </w:r>
          </w:p>
        </w:tc>
      </w:tr>
      <w:tr>
        <w:trPr>
          <w:trHeight w:hRule="exact" w:val="220"/>
        </w:trPr>
        <w:tc>
          <w:tcPr>
            <w:tcW w:type="dxa" w:w="36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3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590 </w:t>
            </w:r>
          </w:p>
        </w:tc>
        <w:tc>
          <w:tcPr>
            <w:tcW w:type="dxa" w:w="8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(100) </w:t>
            </w:r>
          </w:p>
        </w:tc>
        <w:tc>
          <w:tcPr>
            <w:tcW w:type="dxa" w:w="6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$ 874 </w:t>
            </w:r>
          </w:p>
        </w:tc>
        <w:tc>
          <w:tcPr>
            <w:tcW w:type="dxa" w:w="10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$ 886 </w:t>
            </w:r>
          </w:p>
        </w:tc>
      </w:tr>
    </w:tbl>
    <w:p>
      <w:pPr>
        <w:autoSpaceDN w:val="0"/>
        <w:autoSpaceDE w:val="0"/>
        <w:widowControl/>
        <w:spacing w:line="178" w:lineRule="exact" w:before="28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For disclosures related to derivatives in trading portfolio, see Table F5. </w:t>
      </w:r>
    </w:p>
    <w:p>
      <w:pPr>
        <w:autoSpaceDN w:val="0"/>
        <w:autoSpaceDE w:val="0"/>
        <w:widowControl/>
        <w:spacing w:line="240" w:lineRule="exact" w:before="13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majority of the instruments in IDA’s investment portfolio are held for trading purposes. Within the trading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portfolio, IDA holds highly rated fixed income instruments as well as derivatives. The trading portfolio is primarily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held to ensure the availability of funds to meet future cash flow requirements and for liquidity management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purposes.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 provides information on the amount of gains or losses on IDA’s investment trading portfolio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(derivative and non-derivative instruments), and their location on the Condensed Statements of Income: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F5: Unrealized mark-to-market gains or losses on investment trading portfolio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220"/>
        </w:trPr>
        <w:tc>
          <w:tcPr>
            <w:tcW w:type="dxa" w:w="360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68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Three Months Ended </w:t>
            </w:r>
          </w:p>
        </w:tc>
        <w:tc>
          <w:tcPr>
            <w:tcW w:type="dxa" w:w="1712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17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Nine Months Ended </w:t>
            </w:r>
          </w:p>
        </w:tc>
      </w:tr>
      <w:tr>
        <w:trPr>
          <w:trHeight w:hRule="exact" w:val="214"/>
        </w:trPr>
        <w:tc>
          <w:tcPr>
            <w:tcW w:type="dxa" w:w="157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7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68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March 31,</w:t>
            </w:r>
          </w:p>
        </w:tc>
        <w:tc>
          <w:tcPr>
            <w:tcW w:type="dxa" w:w="1712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March 31,</w:t>
            </w:r>
          </w:p>
        </w:tc>
      </w:tr>
      <w:tr>
        <w:trPr>
          <w:trHeight w:hRule="exact" w:val="220"/>
        </w:trPr>
        <w:tc>
          <w:tcPr>
            <w:tcW w:type="dxa" w:w="36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Type of instrument </w:t>
            </w:r>
          </w:p>
        </w:tc>
        <w:tc>
          <w:tcPr>
            <w:tcW w:type="dxa" w:w="23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Reported as</w:t>
            </w:r>
          </w:p>
        </w:tc>
        <w:tc>
          <w:tcPr>
            <w:tcW w:type="dxa" w:w="8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8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8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8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200"/>
        <w:ind w:left="0" w:right="0"/>
      </w:pPr>
    </w:p>
    <w:p>
      <w:pPr>
        <w:sectPr>
          <w:pgSz w:w="12240" w:h="15840"/>
          <w:pgMar w:top="700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Fixed income (including related derivatives </w:t>
      </w:r>
      <w:r>
        <w:rPr>
          <w:w w:val="103.99999618530273"/>
          <w:rFonts w:ascii="ArialMT" w:hAnsi="ArialMT" w:eastAsia="ArialMT"/>
          <w:b w:val="0"/>
          <w:i w:val="0"/>
          <w:color w:val="000000"/>
          <w:sz w:val="10"/>
        </w:rPr>
        <w:t>a</w:t>
      </w:r>
      <w:r>
        <w:rPr>
          <w:rFonts w:ascii="ArialMT" w:hAnsi="ArialMT" w:eastAsia="ArialMT"/>
          <w:b w:val="0"/>
          <w:i w:val="0"/>
          <w:color w:val="000000"/>
          <w:sz w:val="16"/>
        </w:rPr>
        <w:t>)</w:t>
      </w:r>
    </w:p>
    <w:p>
      <w:pPr>
        <w:sectPr>
          <w:type w:val="continuous"/>
          <w:pgSz w:w="12240" w:h="15840"/>
          <w:pgMar w:top="700" w:right="1370" w:bottom="270" w:left="1430" w:header="720" w:footer="720" w:gutter="0"/>
          <w:cols w:num="2" w:equalWidth="0">
            <w:col w:w="3472" w:space="0"/>
            <w:col w:w="5968" w:space="0"/>
          </w:cols>
          <w:docGrid w:linePitch="360"/>
        </w:sectPr>
      </w:pPr>
    </w:p>
    <w:p>
      <w:pPr>
        <w:autoSpaceDN w:val="0"/>
        <w:tabs>
          <w:tab w:pos="326" w:val="left"/>
        </w:tabs>
        <w:autoSpaceDE w:val="0"/>
        <w:widowControl/>
        <w:spacing w:line="184" w:lineRule="exact" w:before="0" w:after="0"/>
        <w:ind w:left="236" w:right="345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Unrealized mark-to-market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gains on Investment-Trading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8.0000000000001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172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portfolios, net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218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4"/>
        <w:ind w:left="0" w:right="0"/>
      </w:pPr>
    </w:p>
    <w:p>
      <w:pPr>
        <w:sectPr>
          <w:type w:val="nextColumn"/>
          <w:pgSz w:w="12240" w:h="15840"/>
          <w:pgMar w:top="700" w:right="1370" w:bottom="270" w:left="1430" w:header="720" w:footer="720" w:gutter="0"/>
          <w:cols w:num="2" w:equalWidth="0">
            <w:col w:w="3472" w:space="0"/>
            <w:col w:w="5968" w:space="0"/>
          </w:cols>
          <w:docGrid w:linePitch="360"/>
        </w:sectPr>
      </w:pPr>
    </w:p>
    <w:p>
      <w:pPr>
        <w:autoSpaceDN w:val="0"/>
        <w:tabs>
          <w:tab w:pos="242" w:val="left"/>
        </w:tabs>
        <w:autoSpaceDE w:val="0"/>
        <w:widowControl/>
        <w:spacing w:line="192" w:lineRule="exact" w:before="32" w:after="0"/>
        <w:ind w:left="62" w:right="72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Includes unrealized mark-to-market gains/losses from IDA's share of Post-Employment Benefit Plan (PEBP) and Post-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Retirement Contribution Reserve Fund (PCRF) holdings.</w:t>
      </w:r>
    </w:p>
    <w:p>
      <w:pPr>
        <w:autoSpaceDN w:val="0"/>
        <w:autoSpaceDE w:val="0"/>
        <w:widowControl/>
        <w:spacing w:line="224" w:lineRule="exact" w:before="191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44     IDA Quarterly Financial Statements: March 31, 2025 (Unaudited)</w:t>
      </w:r>
    </w:p>
    <w:p>
      <w:pPr>
        <w:sectPr>
          <w:type w:val="continuous"/>
          <w:pgSz w:w="12240" w:h="15840"/>
          <w:pgMar w:top="700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NOTE G—DEVELOPMENT GRANTS</w:t>
      </w:r>
    </w:p>
    <w:p>
      <w:pPr>
        <w:autoSpaceDN w:val="0"/>
        <w:autoSpaceDE w:val="0"/>
        <w:widowControl/>
        <w:spacing w:line="222" w:lineRule="exact" w:before="13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A summary of grant activities is presented below:</w:t>
      </w:r>
    </w:p>
    <w:p>
      <w:pPr>
        <w:autoSpaceDN w:val="0"/>
        <w:autoSpaceDE w:val="0"/>
        <w:widowControl/>
        <w:spacing w:line="220" w:lineRule="exact" w:before="136" w:after="52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G1: Grant activities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240"/>
        </w:trPr>
        <w:tc>
          <w:tcPr>
            <w:tcW w:type="dxa" w:w="2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millions of U.S dollars</w:t>
            </w:r>
          </w:p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00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9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Three Months Ended March 31,</w:t>
            </w:r>
          </w:p>
        </w:tc>
        <w:tc>
          <w:tcPr>
            <w:tcW w:type="dxa" w:w="3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7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4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Nine Months Ended March 31,</w:t>
            </w:r>
          </w:p>
        </w:tc>
      </w:tr>
      <w:tr>
        <w:trPr>
          <w:trHeight w:hRule="exact" w:val="240"/>
        </w:trPr>
        <w:tc>
          <w:tcPr>
            <w:tcW w:type="dxa" w:w="2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198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7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3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195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3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</w:tr>
      <w:tr>
        <w:trPr>
          <w:trHeight w:hRule="exact" w:val="240"/>
        </w:trPr>
        <w:tc>
          <w:tcPr>
            <w:tcW w:type="dxa" w:w="27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Grants approved</w:t>
            </w:r>
          </w:p>
        </w:tc>
        <w:tc>
          <w:tcPr>
            <w:tcW w:type="dxa" w:w="3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1,215 </w:t>
            </w:r>
          </w:p>
        </w:tc>
        <w:tc>
          <w:tcPr>
            <w:tcW w:type="dxa" w:w="71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62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1,736 </w:t>
            </w:r>
          </w:p>
        </w:tc>
        <w:tc>
          <w:tcPr>
            <w:tcW w:type="dxa" w:w="3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5,395 </w:t>
            </w:r>
          </w:p>
        </w:tc>
        <w:tc>
          <w:tcPr>
            <w:tcW w:type="dxa" w:w="7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6,047 </w:t>
            </w:r>
          </w:p>
        </w:tc>
      </w:tr>
      <w:tr>
        <w:trPr>
          <w:trHeight w:hRule="exact" w:val="242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Grant disbursements</w:t>
            </w:r>
          </w:p>
        </w:tc>
        <w:tc>
          <w:tcPr>
            <w:tcW w:type="dxa" w:w="3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1,437 </w:t>
            </w:r>
          </w:p>
        </w:tc>
        <w:tc>
          <w:tcPr>
            <w:tcW w:type="dxa" w:w="1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1,139 </w:t>
            </w:r>
          </w:p>
        </w:tc>
        <w:tc>
          <w:tcPr>
            <w:tcW w:type="dxa" w:w="3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5,696 </w:t>
            </w:r>
          </w:p>
        </w:tc>
        <w:tc>
          <w:tcPr>
            <w:tcW w:type="dxa" w:w="19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4,626 </w:t>
            </w:r>
          </w:p>
        </w:tc>
      </w:tr>
      <w:tr>
        <w:trPr>
          <w:trHeight w:hRule="exact" w:val="24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Unconditional grants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91 </w:t>
            </w:r>
          </w:p>
        </w:tc>
        <w:tc>
          <w:tcPr>
            <w:tcW w:type="dxa" w:w="1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265 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4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435 </w:t>
            </w:r>
          </w:p>
        </w:tc>
        <w:tc>
          <w:tcPr>
            <w:tcW w:type="dxa" w:w="19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789 </w:t>
            </w:r>
          </w:p>
        </w:tc>
      </w:tr>
      <w:tr>
        <w:trPr>
          <w:trHeight w:hRule="exact" w:val="24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Conditional grants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1,346 </w:t>
            </w:r>
          </w:p>
        </w:tc>
        <w:tc>
          <w:tcPr>
            <w:tcW w:type="dxa" w:w="19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6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874 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5,261 </w:t>
            </w:r>
          </w:p>
        </w:tc>
        <w:tc>
          <w:tcPr>
            <w:tcW w:type="dxa" w:w="19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3,837 </w:t>
            </w:r>
          </w:p>
        </w:tc>
      </w:tr>
      <w:tr>
        <w:trPr>
          <w:trHeight w:hRule="exact" w:val="238"/>
        </w:trPr>
        <w:tc>
          <w:tcPr>
            <w:tcW w:type="dxa" w:w="2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Grant expenses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10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1,329 </w:t>
            </w:r>
          </w:p>
        </w:tc>
        <w:tc>
          <w:tcPr>
            <w:tcW w:type="dxa" w:w="778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850 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10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5,227 </w:t>
            </w:r>
          </w:p>
        </w:tc>
        <w:tc>
          <w:tcPr>
            <w:tcW w:type="dxa" w:w="7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3,549 </w:t>
            </w:r>
          </w:p>
        </w:tc>
      </w:tr>
    </w:tbl>
    <w:p>
      <w:pPr>
        <w:autoSpaceDN w:val="0"/>
        <w:autoSpaceDE w:val="0"/>
        <w:widowControl/>
        <w:spacing w:line="240" w:lineRule="exact" w:before="15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March 31, 2025, the cumulative amount of conditional grants approved but not yet expensed, since all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conditions have not been met, was $29,255 million ($29,135 million—June 30, 2024).</w:t>
      </w:r>
    </w:p>
    <w:p>
      <w:pPr>
        <w:autoSpaceDN w:val="0"/>
        <w:autoSpaceDE w:val="0"/>
        <w:widowControl/>
        <w:spacing w:line="224" w:lineRule="exact" w:before="26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NOTE H—TRANSACTIONS WITH AFFILIATED ORGANIZATIONS</w:t>
      </w:r>
    </w:p>
    <w:p>
      <w:pPr>
        <w:autoSpaceDN w:val="0"/>
        <w:autoSpaceDE w:val="0"/>
        <w:widowControl/>
        <w:spacing w:line="240" w:lineRule="exact" w:before="11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transacts with affiliated organizations as a recipient of transfers and grants, administrative, derivative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 intermediation services and through cost sharing of IBRD’s sponsored pension and other postretirement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benefit plans. 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total amounts receivable from (payable to) affiliated organizations are comprised of the following: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H1: IDA’s receivables and payables with affiliated organizations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</w:tblGrid>
      <w:tr>
        <w:trPr>
          <w:trHeight w:hRule="exact" w:val="240"/>
        </w:trPr>
        <w:tc>
          <w:tcPr>
            <w:tcW w:type="dxa" w:w="43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64"/>
            <w:gridSpan w:val="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2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March 31, 2025</w:t>
            </w:r>
          </w:p>
        </w:tc>
        <w:tc>
          <w:tcPr>
            <w:tcW w:type="dxa" w:w="1880"/>
            <w:gridSpan w:val="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  <w:tc>
          <w:tcPr>
            <w:tcW w:type="dxa" w:w="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43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IBRD</w:t>
            </w:r>
          </w:p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IFC</w:t>
            </w:r>
          </w:p>
        </w:tc>
        <w:tc>
          <w:tcPr>
            <w:tcW w:type="dxa" w:w="8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0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  <w:tc>
          <w:tcPr>
            <w:tcW w:type="dxa" w:w="106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2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IBRD</w:t>
            </w:r>
          </w:p>
        </w:tc>
        <w:tc>
          <w:tcPr>
            <w:tcW w:type="dxa" w:w="82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IFC</w:t>
            </w:r>
          </w:p>
        </w:tc>
        <w:tc>
          <w:tcPr>
            <w:tcW w:type="dxa" w:w="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40"/>
        </w:trPr>
        <w:tc>
          <w:tcPr>
            <w:tcW w:type="dxa" w:w="43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Administrative Services </w:t>
            </w:r>
          </w:p>
        </w:tc>
        <w:tc>
          <w:tcPr>
            <w:tcW w:type="dxa" w:w="2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(563) $ </w:t>
            </w:r>
          </w:p>
        </w:tc>
        <w:tc>
          <w:tcPr>
            <w:tcW w:type="dxa" w:w="6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2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(563) </w:t>
            </w:r>
          </w:p>
        </w:tc>
        <w:tc>
          <w:tcPr>
            <w:tcW w:type="dxa" w:w="3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(279) $ </w:t>
            </w:r>
          </w:p>
        </w:tc>
        <w:tc>
          <w:tcPr>
            <w:tcW w:type="dxa" w:w="5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(279) </w:t>
            </w:r>
          </w:p>
        </w:tc>
      </w:tr>
      <w:tr>
        <w:trPr>
          <w:trHeight w:hRule="exact" w:val="240"/>
        </w:trPr>
        <w:tc>
          <w:tcPr>
            <w:tcW w:type="dxa" w:w="4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Derivative (liabilities)/assets, net </w:t>
            </w:r>
          </w:p>
        </w:tc>
        <w:tc>
          <w:tcPr>
            <w:tcW w:type="dxa" w:w="9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(88)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(88) 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(94) </w:t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(94) </w:t>
            </w:r>
          </w:p>
        </w:tc>
      </w:tr>
      <w:tr>
        <w:trPr>
          <w:trHeight w:hRule="exact" w:val="240"/>
        </w:trPr>
        <w:tc>
          <w:tcPr>
            <w:tcW w:type="dxa" w:w="4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PSW-Blended Finance Facility </w:t>
            </w:r>
          </w:p>
        </w:tc>
        <w:tc>
          <w:tcPr>
            <w:tcW w:type="dxa" w:w="9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123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123 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102 </w:t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102 </w:t>
            </w:r>
          </w:p>
        </w:tc>
      </w:tr>
      <w:tr>
        <w:trPr>
          <w:trHeight w:hRule="exact" w:val="220"/>
        </w:trPr>
        <w:tc>
          <w:tcPr>
            <w:tcW w:type="dxa" w:w="4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</w:t>
            </w:r>
          </w:p>
        </w:tc>
        <w:tc>
          <w:tcPr>
            <w:tcW w:type="dxa" w:w="9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113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113 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171 </w:t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171 </w:t>
            </w:r>
          </w:p>
        </w:tc>
      </w:tr>
      <w:tr>
        <w:trPr>
          <w:trHeight w:hRule="exact" w:val="260"/>
        </w:trPr>
        <w:tc>
          <w:tcPr>
            <w:tcW w:type="dxa" w:w="4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PCRF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9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664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664 </w:t>
            </w:r>
          </w:p>
        </w:tc>
        <w:tc>
          <w:tcPr>
            <w:tcW w:type="dxa" w:w="10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489 </w:t>
            </w:r>
          </w:p>
        </w:tc>
        <w:tc>
          <w:tcPr>
            <w:tcW w:type="dxa" w:w="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489 </w:t>
            </w:r>
          </w:p>
        </w:tc>
      </w:tr>
      <w:tr>
        <w:trPr>
          <w:trHeight w:hRule="exact" w:val="240"/>
        </w:trPr>
        <w:tc>
          <w:tcPr>
            <w:tcW w:type="dxa" w:w="43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Pension and Other Postretirement Benefits</w:t>
            </w:r>
          </w:p>
        </w:tc>
        <w:tc>
          <w:tcPr>
            <w:tcW w:type="dxa" w:w="98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1,002 </w:t>
            </w:r>
          </w:p>
        </w:tc>
        <w:tc>
          <w:tcPr>
            <w:tcW w:type="dxa" w:w="6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1,002 </w:t>
            </w:r>
          </w:p>
        </w:tc>
        <w:tc>
          <w:tcPr>
            <w:tcW w:type="dxa" w:w="106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906 </w:t>
            </w:r>
          </w:p>
        </w:tc>
        <w:tc>
          <w:tcPr>
            <w:tcW w:type="dxa" w:w="82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906 </w:t>
            </w:r>
          </w:p>
        </w:tc>
      </w:tr>
      <w:tr>
        <w:trPr>
          <w:trHeight w:hRule="exact" w:val="220"/>
        </w:trPr>
        <w:tc>
          <w:tcPr>
            <w:tcW w:type="dxa" w:w="43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Total </w:t>
            </w:r>
          </w:p>
        </w:tc>
        <w:tc>
          <w:tcPr>
            <w:tcW w:type="dxa" w:w="758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$ 1,103 </w:t>
            </w:r>
          </w:p>
        </w:tc>
        <w:tc>
          <w:tcPr>
            <w:tcW w:type="dxa" w:w="22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148 </w:t>
            </w:r>
          </w:p>
        </w:tc>
        <w:tc>
          <w:tcPr>
            <w:tcW w:type="dxa" w:w="1704"/>
            <w:gridSpan w:val="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$ 1,251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$ 1,116 </w:t>
            </w:r>
          </w:p>
        </w:tc>
        <w:tc>
          <w:tcPr>
            <w:tcW w:type="dxa" w:w="21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179 </w:t>
            </w:r>
          </w:p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1,295 </w:t>
            </w:r>
          </w:p>
        </w:tc>
      </w:tr>
      <w:tr>
        <w:trPr>
          <w:trHeight w:hRule="exact" w:val="246"/>
        </w:trPr>
        <w:tc>
          <w:tcPr>
            <w:tcW w:type="dxa" w:w="43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696"/>
            <w:gridSpan w:val="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4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10" w:after="0"/>
        <w:ind w:left="62" w:right="86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Receivable from IBRD for IDA's share of investments associated with PCRF, which is a fund established to stabilize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contributions made to the pension plans.</w:t>
      </w:r>
    </w:p>
    <w:p>
      <w:pPr>
        <w:autoSpaceDN w:val="0"/>
        <w:autoSpaceDE w:val="0"/>
        <w:widowControl/>
        <w:spacing w:line="192" w:lineRule="exact" w:before="70" w:after="0"/>
        <w:ind w:left="242" w:right="432" w:hanging="18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Does not include $33 million of guarantees called relating to the PSW MIGA guarantee facility agreement between IDA and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MIGA. This amount is included in the accumulated provision for losses on loans and other exposures and was paid in April </w:t>
      </w:r>
      <w:r>
        <w:rPr>
          <w:rFonts w:ascii="Arial" w:hAnsi="Arial" w:eastAsia="Arial"/>
          <w:b w:val="0"/>
          <w:i/>
          <w:color w:val="000000"/>
          <w:sz w:val="16"/>
        </w:rPr>
        <w:t>2025. See Note D - Loans and other exposures.</w:t>
      </w:r>
    </w:p>
    <w:p>
      <w:pPr>
        <w:autoSpaceDN w:val="0"/>
        <w:autoSpaceDE w:val="0"/>
        <w:widowControl/>
        <w:spacing w:line="240" w:lineRule="exact" w:before="190" w:after="17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receivables from (payables to) these affiliated organizations are reported on the Condensed Balance Sheets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182"/>
        </w:trPr>
        <w:tc>
          <w:tcPr>
            <w:tcW w:type="dxa" w:w="36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Receivables / Payables related to:</w:t>
            </w:r>
          </w:p>
        </w:tc>
        <w:tc>
          <w:tcPr>
            <w:tcW w:type="dxa" w:w="56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05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Reported as:</w:t>
            </w:r>
          </w:p>
        </w:tc>
      </w:tr>
    </w:tbl>
    <w:p>
      <w:pPr>
        <w:autoSpaceDN w:val="0"/>
        <w:autoSpaceDE w:val="0"/>
        <w:widowControl/>
        <w:spacing w:line="14" w:lineRule="exact" w:before="0" w:after="62"/>
        <w:ind w:left="0" w:right="0"/>
      </w:pPr>
    </w:p>
    <w:p>
      <w:pPr>
        <w:sectPr>
          <w:pgSz w:w="12240" w:h="15840"/>
          <w:pgMar w:top="702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6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Payable for administrative services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Net receivables (payables) for derivative transactions</w:t>
      </w:r>
    </w:p>
    <w:p>
      <w:pPr>
        <w:sectPr>
          <w:type w:val="continuous"/>
          <w:pgSz w:w="12240" w:h="15840"/>
          <w:pgMar w:top="702" w:right="1370" w:bottom="270" w:left="1430" w:header="720" w:footer="720" w:gutter="0"/>
          <w:cols w:num="2" w:equalWidth="0">
            <w:col w:w="4288" w:space="0"/>
            <w:col w:w="5152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62"/>
        <w:ind w:left="460" w:right="230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Payable to affiliated organization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Derivative assets/liabilities, net</w:t>
      </w:r>
    </w:p>
    <w:p>
      <w:pPr>
        <w:sectPr>
          <w:type w:val="nextColumn"/>
          <w:pgSz w:w="12240" w:h="15840"/>
          <w:pgMar w:top="702" w:right="1370" w:bottom="270" w:left="1430" w:header="720" w:footer="720" w:gutter="0"/>
          <w:cols w:num="2" w:equalWidth="0">
            <w:col w:w="4288" w:space="0"/>
            <w:col w:w="5152" w:space="0"/>
          </w:cols>
          <w:docGrid w:linePitch="360"/>
        </w:sectPr>
      </w:pPr>
    </w:p>
    <w:p>
      <w:pPr>
        <w:autoSpaceDN w:val="0"/>
        <w:tabs>
          <w:tab w:pos="4748" w:val="left"/>
        </w:tabs>
        <w:autoSpaceDE w:val="0"/>
        <w:widowControl/>
        <w:spacing w:line="178" w:lineRule="exact" w:before="0" w:after="0"/>
        <w:ind w:left="6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Receivable for PSW – Blended Finance Facility </w:t>
      </w:r>
      <w:r>
        <w:rPr>
          <w:rFonts w:ascii="ArialMT" w:hAnsi="ArialMT" w:eastAsia="ArialMT"/>
          <w:b w:val="0"/>
          <w:i w:val="0"/>
          <w:color w:val="000000"/>
          <w:sz w:val="16"/>
        </w:rPr>
        <w:t>Other assets</w:t>
      </w:r>
    </w:p>
    <w:p>
      <w:pPr>
        <w:autoSpaceDN w:val="0"/>
        <w:tabs>
          <w:tab w:pos="4748" w:val="left"/>
        </w:tabs>
        <w:autoSpaceDE w:val="0"/>
        <w:widowControl/>
        <w:spacing w:line="178" w:lineRule="exact" w:before="62" w:after="62"/>
        <w:ind w:left="6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Receivable for Investments </w:t>
      </w:r>
      <w:r>
        <w:rPr>
          <w:rFonts w:ascii="ArialMT" w:hAnsi="ArialMT" w:eastAsia="ArialMT"/>
          <w:b w:val="0"/>
          <w:i w:val="0"/>
          <w:color w:val="000000"/>
          <w:sz w:val="16"/>
        </w:rPr>
        <w:t>Investments</w:t>
      </w:r>
    </w:p>
    <w:p>
      <w:pPr>
        <w:sectPr>
          <w:type w:val="continuous"/>
          <w:pgSz w:w="12240" w:h="15840"/>
          <w:pgMar w:top="702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68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Receivable for PCRF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Receivable for pension and other postretirement benefits</w:t>
      </w:r>
    </w:p>
    <w:p>
      <w:pPr>
        <w:sectPr>
          <w:type w:val="continuous"/>
          <w:pgSz w:w="12240" w:h="15840"/>
          <w:pgMar w:top="702" w:right="1370" w:bottom="270" w:left="1430" w:header="720" w:footer="720" w:gutter="0"/>
          <w:cols w:num="2" w:equalWidth="0">
            <w:col w:w="4416" w:space="0"/>
            <w:col w:w="502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28"/>
        <w:ind w:left="332" w:right="187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Receivable from affiliated organization </w:t>
      </w:r>
      <w:r>
        <w:rPr>
          <w:rFonts w:ascii="ArialMT" w:hAnsi="ArialMT" w:eastAsia="ArialMT"/>
          <w:b w:val="0"/>
          <w:i w:val="0"/>
          <w:color w:val="000000"/>
          <w:sz w:val="16"/>
        </w:rPr>
        <w:t>Receivable from affiliated organization</w:t>
      </w:r>
    </w:p>
    <w:p>
      <w:pPr>
        <w:sectPr>
          <w:type w:val="nextColumn"/>
          <w:pgSz w:w="12240" w:h="15840"/>
          <w:pgMar w:top="702" w:right="1370" w:bottom="270" w:left="1430" w:header="720" w:footer="720" w:gutter="0"/>
          <w:cols w:num="2" w:equalWidth="0">
            <w:col w:w="4416" w:space="0"/>
            <w:col w:w="5024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2060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IDA Quarterly Financial Statements: March 31, 2025 (Unaudited)     45</w:t>
      </w:r>
    </w:p>
    <w:p>
      <w:pPr>
        <w:sectPr>
          <w:type w:val="continuous"/>
          <w:pgSz w:w="12240" w:h="15840"/>
          <w:pgMar w:top="702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Transfers and Grants Received</w:t>
      </w:r>
    </w:p>
    <w:p>
      <w:pPr>
        <w:autoSpaceDN w:val="0"/>
        <w:autoSpaceDE w:val="0"/>
        <w:widowControl/>
        <w:spacing w:line="240" w:lineRule="exact" w:before="120" w:after="0"/>
        <w:ind w:left="10" w:right="57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Cumulative transfers and grants made to IDA as of March 31, 2025, were $21,399 million ($20,884 million—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June 30, 2024). Details by transferor are as follows: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H2: Transfers and grants received</w:t>
      </w:r>
    </w:p>
    <w:p>
      <w:pPr>
        <w:autoSpaceDN w:val="0"/>
        <w:autoSpaceDE w:val="0"/>
        <w:widowControl/>
        <w:spacing w:line="178" w:lineRule="exact" w:before="94" w:after="0"/>
        <w:ind w:left="6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 dollars</w:t>
      </w:r>
    </w:p>
    <w:p>
      <w:pPr>
        <w:autoSpaceDN w:val="0"/>
        <w:tabs>
          <w:tab w:pos="8192" w:val="left"/>
        </w:tabs>
        <w:autoSpaceDE w:val="0"/>
        <w:widowControl/>
        <w:spacing w:line="192" w:lineRule="exact" w:before="84" w:after="6"/>
        <w:ind w:left="7722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 Cumulative transfers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 as of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16"/>
        </w:trPr>
        <w:tc>
          <w:tcPr>
            <w:tcW w:type="dxa" w:w="40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6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Transfers</w:t>
            </w:r>
          </w:p>
        </w:tc>
        <w:tc>
          <w:tcPr>
            <w:tcW w:type="dxa" w:w="35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March 31, 2025</w:t>
            </w:r>
          </w:p>
        </w:tc>
      </w:tr>
      <w:tr>
        <w:trPr>
          <w:trHeight w:hRule="exact" w:val="242"/>
        </w:trPr>
        <w:tc>
          <w:tcPr>
            <w:tcW w:type="dxa" w:w="40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5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7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21,399 </w:t>
            </w:r>
          </w:p>
        </w:tc>
      </w:tr>
    </w:tbl>
    <w:p>
      <w:pPr>
        <w:autoSpaceDN w:val="0"/>
        <w:autoSpaceDE w:val="0"/>
        <w:widowControl/>
        <w:spacing w:line="178" w:lineRule="exact" w:before="30" w:after="32"/>
        <w:ind w:left="6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Of which transfers from: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718"/>
        </w:trPr>
        <w:tc>
          <w:tcPr>
            <w:tcW w:type="dxa" w:w="52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242" w:right="302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IFC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Nonaffiliated organizations</w:t>
            </w:r>
          </w:p>
        </w:tc>
        <w:tc>
          <w:tcPr>
            <w:tcW w:type="dxa" w:w="41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3024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17,284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3,885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230 </w:t>
            </w:r>
          </w:p>
        </w:tc>
      </w:tr>
    </w:tbl>
    <w:p>
      <w:pPr>
        <w:autoSpaceDN w:val="0"/>
        <w:autoSpaceDE w:val="0"/>
        <w:widowControl/>
        <w:spacing w:line="240" w:lineRule="exact" w:before="16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 September 18, 2024, IBRD's Board of Governors approved a transfer of $515 million to IDA. This transfer was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received on September 30, 2024.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Administrative Services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payable to IBRD represents IDA’s share of joint administrative expenses including contributions to special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programs, net of other revenue jointly earned. The allocation of expenses is based upon an agreed cost sharing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formula, and amounts are settled quarterly.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 three and nine months ended March 31, 2025, IDA’s share of joint administrative expenses and contributions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special programs totaled $465 million and $1,420 million, respectively ($420 million and $1,291 million—three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and nine months ended March 31, 2024, respectively).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Other revenue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Includes IDA’s share of other revenue jointly earned with IBRD during the three and nine months ended March 31,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2025, totaling $74 million and $230 million, respectively ($86 million and $237 million—three and nine months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ended March 31, 2024, respectively).</w:t>
      </w:r>
    </w:p>
    <w:p>
      <w:pPr>
        <w:autoSpaceDN w:val="0"/>
        <w:autoSpaceDE w:val="0"/>
        <w:widowControl/>
        <w:spacing w:line="240" w:lineRule="exact" w:before="120" w:after="0"/>
        <w:ind w:left="10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Fee revenue associated with services provided to other affiliated organizations is included in Other revenue on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Condensed Statements of Income, as follows: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H3: Fee revenue from affiliated organizations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240"/>
        </w:trPr>
        <w:tc>
          <w:tcPr>
            <w:tcW w:type="dxa" w:w="39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10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Three Months Ended March 31,</w:t>
            </w:r>
          </w:p>
        </w:tc>
        <w:tc>
          <w:tcPr>
            <w:tcW w:type="dxa" w:w="2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9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Nine Months Ended March 31,</w:t>
            </w:r>
          </w:p>
        </w:tc>
      </w:tr>
      <w:tr>
        <w:trPr>
          <w:trHeight w:hRule="exact" w:val="240"/>
        </w:trPr>
        <w:tc>
          <w:tcPr>
            <w:tcW w:type="dxa" w:w="39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187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9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2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189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9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</w:tr>
      <w:tr>
        <w:trPr>
          <w:trHeight w:hRule="exact" w:val="240"/>
        </w:trPr>
        <w:tc>
          <w:tcPr>
            <w:tcW w:type="dxa" w:w="39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Fees charged to IFC</w:t>
            </w:r>
          </w:p>
        </w:tc>
        <w:tc>
          <w:tcPr>
            <w:tcW w:type="dxa" w:w="2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52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 </w:t>
            </w:r>
          </w:p>
        </w:tc>
        <w:tc>
          <w:tcPr>
            <w:tcW w:type="dxa" w:w="64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1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</w:t>
            </w:r>
          </w:p>
        </w:tc>
        <w:tc>
          <w:tcPr>
            <w:tcW w:type="dxa" w:w="27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 </w:t>
            </w:r>
          </w:p>
        </w:tc>
        <w:tc>
          <w:tcPr>
            <w:tcW w:type="dxa" w:w="9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69 </w:t>
            </w:r>
          </w:p>
        </w:tc>
      </w:tr>
      <w:tr>
        <w:trPr>
          <w:trHeight w:hRule="exact" w:val="480"/>
        </w:trPr>
        <w:tc>
          <w:tcPr>
            <w:tcW w:type="dxa" w:w="39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Fees charged to MIGA</w:t>
            </w:r>
          </w:p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87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94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189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22" w:lineRule="exact" w:before="17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Derivative transactions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the Local Currency Facility of the PSW, IDA enters into derivative transactions with IFC to support local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currency loan transactions where currency hedging capabilities are limited or unavailable.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Private Sector Window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PSW was created under the Eighteenth Replenishment of IDA’s Resources (IDA18) to mobilize private sector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 in IDA-only countries and IDA-eligible Fragile and Conflict-affected Situations. The PSW continued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IDA’s Twentieth Replenishment of Resources (IDA20), which commenced on July 1, 2022, with an initial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allocation of $2.5 billion. In December 2024, the Board approved an increase of the IDA20 allocation to the PSW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$234 million, corresponding to the release of the PSW resources allocated in the previous replenishment cycles,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bringing the total allocation to $2.7 billion. Under the fee arrangement for the PSW, IDA receives fee income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transactions executed under this window and reimburses IFC and MIGA for the related costs incurred in </w:t>
      </w:r>
    </w:p>
    <w:p>
      <w:pPr>
        <w:autoSpaceDN w:val="0"/>
        <w:autoSpaceDE w:val="0"/>
        <w:widowControl/>
        <w:spacing w:line="224" w:lineRule="exact" w:before="834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46     IDA Quarterly Financial Statements: March 31, 2025 (Unaudited)</w:t>
      </w:r>
    </w:p>
    <w:p>
      <w:pPr>
        <w:sectPr>
          <w:pgSz w:w="12240" w:h="15840"/>
          <w:pgMar w:top="700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administering these transactions. As of March 31, 2025, the PSW exposures comprising mainly of MIGA Guarantee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Facility and IFC Blended Finance Facility, were $1,572 million ($1,507 million—June 30, 2024), and the related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accumulated provision was $215 million ($212 million—June 30, 2024). 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Investments – Non-trading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fiscal year ended June 30, 2015, IDA purchased a debt security issued by IFC for a principal amount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$1,179 million, amortizing over a period of 25 years. The investment carries a fixed interest rate of 1.84% and has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weighted average maturity of 4 years. As of March 31, 2025, the principal amount due on the debt security was $124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 ($185 million—June 30, 2024), and it had a fair value of $113 million ($171 million—June 30, 2024).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 is reported under Investments in the Condensed Balance Sheets. During the three and nine months ended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March 31, 2025, IDA recognized interest income of less than $1 million and $2 million, respectively from this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investment ($1 million and $3 million— three and nine months ended March 31, 2024, respectively).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Pension and Other Post-Retirement Benefits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IBRD, along with IFC and Multilateral Investment Guarantee Agency (MIGA), sponsors a defined benefit Staff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Retirement Plan and Trust, a Retired Staff Benefits Plan and Trust and a PEBP that cover substantially all of their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staff members.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While IDA is not a participating entity to these benefit plans, IDA shares in the costs and reimburses IBRD for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proportionate share of any contributions made to these plans by IBRD based on an agreed cost sharing ratio.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three and nine months ended March 31, 2025, IDA’s share of IBRD’s benefit costs relating to all three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plans totaled $30 million and $95 million, respectively ($26 million and $76 million—three and nine months ended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March 31, 2024, respectively).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cost of any potential future liability arising from these plans would be shared by IBRD and IDA using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applicable cost sharing ratio.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receivable from IBRD represents IDA’s net share of prepaid costs for pension and other postretirement benefit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plans and PEBP assets. These will be realized over the lives of the plan participants.</w:t>
      </w:r>
    </w:p>
    <w:p>
      <w:pPr>
        <w:autoSpaceDN w:val="0"/>
        <w:autoSpaceDE w:val="0"/>
        <w:widowControl/>
        <w:spacing w:line="224" w:lineRule="exact" w:before="26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NOTE I—ACCUMULATED OTHER COMPREHENSIVE LOSS</w:t>
      </w:r>
    </w:p>
    <w:p>
      <w:pPr>
        <w:autoSpaceDN w:val="0"/>
        <w:autoSpaceDE w:val="0"/>
        <w:widowControl/>
        <w:spacing w:line="240" w:lineRule="exact" w:before="11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Comprehensive income consists of net income (loss) and other gains or losses affecting equity that, under U.S.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GAAP, are excluded from net income (loss). For IDA, other comprehensive income (loss) is comprised of currency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translation adjustments on functional currencies and DVA on fair value option elected liabilities. These items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presented in the Condensed Statements of Comprehensive Income.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 presents the changes in Accumulated Other Comprehensive Loss (AOCL) balances: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I1: Changes in AOCL</w:t>
      </w:r>
    </w:p>
    <w:p>
      <w:pPr>
        <w:autoSpaceDN w:val="0"/>
        <w:autoSpaceDE w:val="0"/>
        <w:widowControl/>
        <w:spacing w:line="180" w:lineRule="exact" w:before="78" w:after="0"/>
        <w:ind w:left="3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 dollars</w:t>
      </w:r>
    </w:p>
    <w:p>
      <w:pPr>
        <w:autoSpaceDN w:val="0"/>
        <w:autoSpaceDE w:val="0"/>
        <w:widowControl/>
        <w:spacing w:line="180" w:lineRule="exact" w:before="60" w:after="0"/>
        <w:ind w:left="0" w:right="91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Nine Months Ended March 31, 2025</w:t>
      </w:r>
    </w:p>
    <w:p>
      <w:pPr>
        <w:autoSpaceDN w:val="0"/>
        <w:autoSpaceDE w:val="0"/>
        <w:widowControl/>
        <w:spacing w:line="178" w:lineRule="exact" w:before="82" w:after="6"/>
        <w:ind w:left="0" w:right="330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Balance,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178"/>
        </w:trPr>
        <w:tc>
          <w:tcPr>
            <w:tcW w:type="dxa" w:w="511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beginning of the </w:t>
            </w:r>
          </w:p>
        </w:tc>
        <w:tc>
          <w:tcPr>
            <w:tcW w:type="dxa" w:w="4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Changes </w:t>
            </w:r>
          </w:p>
        </w:tc>
        <w:tc>
          <w:tcPr>
            <w:tcW w:type="dxa" w:w="14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Balance, end of </w:t>
            </w:r>
          </w:p>
        </w:tc>
      </w:tr>
      <w:tr>
        <w:trPr>
          <w:trHeight w:hRule="exact" w:val="230"/>
        </w:trPr>
        <w:tc>
          <w:tcPr>
            <w:tcW w:type="dxa" w:w="1573"/>
            <w:vMerge/>
            <w:tcBorders>
              <w:bottom w:sz="8.0" w:val="single" w:color="#000000"/>
            </w:tcBorders>
          </w:tcPr>
          <w:p/>
        </w:tc>
        <w:tc>
          <w:tcPr>
            <w:tcW w:type="dxa" w:w="13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fiscal year</w:t>
            </w:r>
          </w:p>
        </w:tc>
        <w:tc>
          <w:tcPr>
            <w:tcW w:type="dxa" w:w="1573"/>
            <w:vMerge/>
            <w:tcBorders>
              <w:bottom w:sz="8.0" w:val="single" w:color="#000000"/>
            </w:tcBorders>
          </w:tcPr>
          <w:p/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AOCL</w:t>
            </w:r>
          </w:p>
        </w:tc>
        <w:tc>
          <w:tcPr>
            <w:tcW w:type="dxa" w:w="14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0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the period</w:t>
            </w:r>
          </w:p>
        </w:tc>
      </w:tr>
      <w:tr>
        <w:trPr>
          <w:trHeight w:hRule="exact" w:val="190"/>
        </w:trPr>
        <w:tc>
          <w:tcPr>
            <w:tcW w:type="dxa" w:w="51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translation adjustments on functional currencies</w:t>
            </w:r>
          </w:p>
        </w:tc>
        <w:tc>
          <w:tcPr>
            <w:tcW w:type="dxa" w:w="13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(10,567) </w:t>
            </w:r>
          </w:p>
        </w:tc>
        <w:tc>
          <w:tcPr>
            <w:tcW w:type="dxa" w:w="4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1,498 </w:t>
            </w:r>
          </w:p>
        </w:tc>
        <w:tc>
          <w:tcPr>
            <w:tcW w:type="dxa" w:w="4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(9,069) </w:t>
            </w:r>
          </w:p>
        </w:tc>
      </w:tr>
      <w:tr>
        <w:trPr>
          <w:trHeight w:hRule="exact" w:val="260"/>
        </w:trPr>
        <w:tc>
          <w:tcPr>
            <w:tcW w:type="dxa" w:w="51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DVA on Fair Value option elected liabilities</w:t>
            </w:r>
          </w:p>
        </w:tc>
        <w:tc>
          <w:tcPr>
            <w:tcW w:type="dxa" w:w="13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(25) </w:t>
            </w:r>
          </w:p>
        </w:tc>
        <w:tc>
          <w:tcPr>
            <w:tcW w:type="dxa" w:w="157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 </w:t>
            </w:r>
          </w:p>
        </w:tc>
        <w:tc>
          <w:tcPr>
            <w:tcW w:type="dxa" w:w="14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4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</w:t>
            </w:r>
          </w:p>
        </w:tc>
      </w:tr>
      <w:tr>
        <w:trPr>
          <w:trHeight w:hRule="exact" w:val="220"/>
        </w:trPr>
        <w:tc>
          <w:tcPr>
            <w:tcW w:type="dxa" w:w="51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AOCL</w:t>
            </w:r>
          </w:p>
        </w:tc>
        <w:tc>
          <w:tcPr>
            <w:tcW w:type="dxa" w:w="13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(10,592) 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1,554 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(9,038) </w:t>
            </w:r>
          </w:p>
        </w:tc>
      </w:tr>
    </w:tbl>
    <w:p>
      <w:pPr>
        <w:autoSpaceDN w:val="0"/>
        <w:autoSpaceDE w:val="0"/>
        <w:widowControl/>
        <w:spacing w:line="224" w:lineRule="exact" w:before="2856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IDA Quarterly Financial Statements: March 31, 2025 (Unaudited)     47</w:t>
      </w:r>
    </w:p>
    <w:p>
      <w:pPr>
        <w:sectPr>
          <w:pgSz w:w="12240" w:h="15840"/>
          <w:pgMar w:top="700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I1.1</w:t>
      </w:r>
    </w:p>
    <w:p>
      <w:pPr>
        <w:autoSpaceDN w:val="0"/>
        <w:autoSpaceDE w:val="0"/>
        <w:widowControl/>
        <w:spacing w:line="180" w:lineRule="exact" w:before="78" w:after="0"/>
        <w:ind w:left="3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 dollars</w:t>
      </w:r>
    </w:p>
    <w:p>
      <w:pPr>
        <w:autoSpaceDN w:val="0"/>
        <w:autoSpaceDE w:val="0"/>
        <w:widowControl/>
        <w:spacing w:line="180" w:lineRule="exact" w:before="60" w:after="0"/>
        <w:ind w:left="0" w:right="91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Nine Months Ended March 31, 2024</w:t>
      </w:r>
    </w:p>
    <w:p>
      <w:pPr>
        <w:autoSpaceDN w:val="0"/>
        <w:autoSpaceDE w:val="0"/>
        <w:widowControl/>
        <w:spacing w:line="178" w:lineRule="exact" w:before="82" w:after="8"/>
        <w:ind w:left="0" w:right="330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Balance,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176"/>
        </w:trPr>
        <w:tc>
          <w:tcPr>
            <w:tcW w:type="dxa" w:w="511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beginning of the </w:t>
            </w:r>
          </w:p>
        </w:tc>
        <w:tc>
          <w:tcPr>
            <w:tcW w:type="dxa" w:w="4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Changes </w:t>
            </w:r>
          </w:p>
        </w:tc>
        <w:tc>
          <w:tcPr>
            <w:tcW w:type="dxa" w:w="14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Balance, end of </w:t>
            </w:r>
          </w:p>
        </w:tc>
      </w:tr>
      <w:tr>
        <w:trPr>
          <w:trHeight w:hRule="exact" w:val="230"/>
        </w:trPr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13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fiscal year</w:t>
            </w:r>
          </w:p>
        </w:tc>
        <w:tc>
          <w:tcPr>
            <w:tcW w:type="dxa" w:w="1349"/>
            <w:vMerge/>
            <w:tcBorders>
              <w:bottom w:sz="8.0" w:val="single" w:color="#000000"/>
            </w:tcBorders>
          </w:tcPr>
          <w:p/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AOCL</w:t>
            </w:r>
          </w:p>
        </w:tc>
        <w:tc>
          <w:tcPr>
            <w:tcW w:type="dxa" w:w="14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0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the period</w:t>
            </w:r>
          </w:p>
        </w:tc>
      </w:tr>
      <w:tr>
        <w:trPr>
          <w:trHeight w:hRule="exact" w:val="210"/>
        </w:trPr>
        <w:tc>
          <w:tcPr>
            <w:tcW w:type="dxa" w:w="51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translation adjustments on functional currencies</w:t>
            </w:r>
          </w:p>
        </w:tc>
        <w:tc>
          <w:tcPr>
            <w:tcW w:type="dxa" w:w="2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(8,915) </w:t>
            </w:r>
          </w:p>
        </w:tc>
        <w:tc>
          <w:tcPr>
            <w:tcW w:type="dxa" w:w="4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(635) </w:t>
            </w:r>
          </w:p>
        </w:tc>
        <w:tc>
          <w:tcPr>
            <w:tcW w:type="dxa" w:w="4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(9,550) </w:t>
            </w:r>
          </w:p>
        </w:tc>
      </w:tr>
      <w:tr>
        <w:trPr>
          <w:trHeight w:hRule="exact" w:val="240"/>
        </w:trPr>
        <w:tc>
          <w:tcPr>
            <w:tcW w:type="dxa" w:w="51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DVA on Fair Value option elected liabilities</w:t>
            </w:r>
          </w:p>
        </w:tc>
        <w:tc>
          <w:tcPr>
            <w:tcW w:type="dxa" w:w="13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(31) </w:t>
            </w:r>
          </w:p>
        </w:tc>
        <w:tc>
          <w:tcPr>
            <w:tcW w:type="dxa" w:w="13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6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  <w:tc>
          <w:tcPr>
            <w:tcW w:type="dxa" w:w="14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(18) </w:t>
            </w:r>
          </w:p>
        </w:tc>
      </w:tr>
      <w:tr>
        <w:trPr>
          <w:trHeight w:hRule="exact" w:val="220"/>
        </w:trPr>
        <w:tc>
          <w:tcPr>
            <w:tcW w:type="dxa" w:w="51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AOCL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(8,946) 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(622) </w:t>
            </w:r>
          </w:p>
        </w:tc>
        <w:tc>
          <w:tcPr>
            <w:tcW w:type="dxa" w:w="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(9,568) </w:t>
            </w:r>
          </w:p>
        </w:tc>
      </w:tr>
    </w:tbl>
    <w:p>
      <w:pPr>
        <w:autoSpaceDN w:val="0"/>
        <w:autoSpaceDE w:val="0"/>
        <w:widowControl/>
        <w:spacing w:line="222" w:lineRule="exact" w:before="64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NOTE J— FAIR VALUE DISCLOSURES</w:t>
      </w:r>
    </w:p>
    <w:p>
      <w:pPr>
        <w:autoSpaceDN w:val="0"/>
        <w:autoSpaceDE w:val="0"/>
        <w:widowControl/>
        <w:spacing w:line="244" w:lineRule="exact" w:before="12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Valuation Methods and Assumptions </w:t>
      </w:r>
    </w:p>
    <w:p>
      <w:pPr>
        <w:autoSpaceDN w:val="0"/>
        <w:autoSpaceDE w:val="0"/>
        <w:widowControl/>
        <w:spacing w:line="240" w:lineRule="exact" w:before="12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As of March 31, 2025, and June 30, 2024, IDA had no financial assets or liabilities measured at fair value on a non–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recurring basis.</w:t>
      </w:r>
    </w:p>
    <w:p>
      <w:pPr>
        <w:autoSpaceDN w:val="0"/>
        <w:autoSpaceDE w:val="0"/>
        <w:widowControl/>
        <w:spacing w:line="222" w:lineRule="exact" w:before="14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Due from banks</w:t>
      </w:r>
    </w:p>
    <w:p>
      <w:pPr>
        <w:autoSpaceDN w:val="0"/>
        <w:autoSpaceDE w:val="0"/>
        <w:widowControl/>
        <w:spacing w:line="240" w:lineRule="exact" w:before="11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carrying amount of unrestricted and restricted cash is considered a reasonable estimate of the fair value of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positions.</w:t>
      </w:r>
    </w:p>
    <w:p>
      <w:pPr>
        <w:autoSpaceDN w:val="0"/>
        <w:autoSpaceDE w:val="0"/>
        <w:widowControl/>
        <w:spacing w:line="222" w:lineRule="exact" w:before="14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Loans and Loan commitments</w:t>
      </w:r>
    </w:p>
    <w:p>
      <w:pPr>
        <w:autoSpaceDN w:val="0"/>
        <w:autoSpaceDE w:val="0"/>
        <w:widowControl/>
        <w:spacing w:line="240" w:lineRule="exact" w:before="11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There were no loans carried at fair value as of March 31, 2025, or June 30, 2024. IDA’s loans and loan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commitments would be classified as Level 3 within the fair value hierarchy. </w:t>
      </w:r>
    </w:p>
    <w:p>
      <w:pPr>
        <w:autoSpaceDN w:val="0"/>
        <w:autoSpaceDE w:val="0"/>
        <w:widowControl/>
        <w:spacing w:line="220" w:lineRule="exact" w:before="14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Summarized below are the techniques applied in determining the fair values of IDA’s financial instruments.</w:t>
      </w:r>
    </w:p>
    <w:p>
      <w:pPr>
        <w:autoSpaceDN w:val="0"/>
        <w:autoSpaceDE w:val="0"/>
        <w:widowControl/>
        <w:spacing w:line="222" w:lineRule="exact" w:before="14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Investment securities</w:t>
      </w:r>
    </w:p>
    <w:p>
      <w:pPr>
        <w:autoSpaceDN w:val="0"/>
        <w:autoSpaceDE w:val="0"/>
        <w:widowControl/>
        <w:spacing w:line="240" w:lineRule="exact" w:before="118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Where available, quoted market prices are used to determine the fair value of trading securities. For instruments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which market quotations are not available, fair values are determined using model-based valuation techniques,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whether internally generated or vendor-supplied, that include the standard discounted cash flow method using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observable market inputs such as yield curves, credit spreads, and constant prepayment spreads. Where applicable,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unobservable inputs such as conditional prepayment rates, probability of default, and loss severity are used.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Unless quoted prices are available, time deposits are reported at face value, which approximates fair value, as they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are short-term in nature.</w:t>
      </w:r>
    </w:p>
    <w:p>
      <w:pPr>
        <w:autoSpaceDN w:val="0"/>
        <w:autoSpaceDE w:val="0"/>
        <w:widowControl/>
        <w:spacing w:line="240" w:lineRule="exact" w:before="12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Securities purchased under resale agreements, securities sold under repurchase agreements, and securities lent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>under securities lending agreements</w:t>
      </w:r>
    </w:p>
    <w:p>
      <w:pPr>
        <w:autoSpaceDN w:val="0"/>
        <w:autoSpaceDE w:val="0"/>
        <w:widowControl/>
        <w:spacing w:line="220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These securities are of a short-term nature and are reported at face value, which approximates fair value.</w:t>
      </w:r>
    </w:p>
    <w:p>
      <w:pPr>
        <w:autoSpaceDN w:val="0"/>
        <w:autoSpaceDE w:val="0"/>
        <w:widowControl/>
        <w:spacing w:line="222" w:lineRule="exact" w:before="14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Borrowings</w:t>
      </w:r>
    </w:p>
    <w:p>
      <w:pPr>
        <w:autoSpaceDN w:val="0"/>
        <w:autoSpaceDE w:val="0"/>
        <w:widowControl/>
        <w:spacing w:line="240" w:lineRule="exact" w:before="11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fair value of IDA’s market borrowings at fair value is calculated using a discounted cash flow method which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relies on observable market inputs such as yield curves, foreign exchange rates, basis spreads and funding spreads.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March 31, 2025, and June 30, 2024, the fair value of borrowings measured at amortized cost would be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classified as Level 2 within the fair value hierarchy.</w:t>
      </w:r>
    </w:p>
    <w:p>
      <w:pPr>
        <w:autoSpaceDN w:val="0"/>
        <w:autoSpaceDE w:val="0"/>
        <w:widowControl/>
        <w:spacing w:line="222" w:lineRule="exact" w:before="14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Derivative instruments</w:t>
      </w:r>
    </w:p>
    <w:p>
      <w:pPr>
        <w:autoSpaceDN w:val="0"/>
        <w:autoSpaceDE w:val="0"/>
        <w:widowControl/>
        <w:spacing w:line="240" w:lineRule="exact" w:before="118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Derivative contracts include forward contracts, TBA securities, swaptions, options and futures contracts, currency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swaps and interest rate swaps. Where available, quoted market prices are used to determine the fair value of trading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securities. Examples include options and futures contracts.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instruments for which market quotations are not available, fair values are determined using model-based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valuation techniques, whether internally generated or vendor-supplied, that include the standard discounted cash </w:t>
      </w:r>
    </w:p>
    <w:p>
      <w:pPr>
        <w:autoSpaceDN w:val="0"/>
        <w:autoSpaceDE w:val="0"/>
        <w:widowControl/>
        <w:spacing w:line="224" w:lineRule="exact" w:before="89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48     IDA Quarterly Financial Statements: March 31, 2025 (Unaudited)</w:t>
      </w:r>
    </w:p>
    <w:p>
      <w:pPr>
        <w:sectPr>
          <w:pgSz w:w="12240" w:h="15840"/>
          <w:pgMar w:top="700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flow method using observable market inputs such as yield curves, foreign exchange rates, credit spreads, basis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spreads, funding spreads and constant prepayment spreads. Where applicable, unobservable inputs such as constant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prepayment rates, probability of default, and loss severity are used.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Valuation adjustments on fair value option elected liabilities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DVA on fair value option elected liabilities (market borrowings carried at fair value) is measured by revaluing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each liability to determine the changes in fair value of that liability arising from changes in IDA’s cost of funding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applicable to the relevant reference rates.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table below presents IDA’s estimates of fair value of its financial assets and liabilities along with their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respective carrying amounts.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J1: Fair value and carrying amounts of financial assets and liabilities</w:t>
      </w:r>
    </w:p>
    <w:p>
      <w:pPr>
        <w:autoSpaceDN w:val="0"/>
        <w:autoSpaceDE w:val="0"/>
        <w:widowControl/>
        <w:spacing w:line="178" w:lineRule="exact" w:before="94" w:after="20"/>
        <w:ind w:left="3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0"/>
        <w:gridCol w:w="2360"/>
        <w:gridCol w:w="2360"/>
        <w:gridCol w:w="2360"/>
      </w:tblGrid>
      <w:tr>
        <w:trPr>
          <w:trHeight w:hRule="exact" w:val="240"/>
        </w:trPr>
        <w:tc>
          <w:tcPr>
            <w:tcW w:type="dxa" w:w="681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8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March 31, 2025</w:t>
            </w:r>
          </w:p>
        </w:tc>
        <w:tc>
          <w:tcPr>
            <w:tcW w:type="dxa" w:w="252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40"/>
        </w:trPr>
        <w:tc>
          <w:tcPr>
            <w:tcW w:type="dxa" w:w="55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Carrying Value</w:t>
            </w:r>
          </w:p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Fair Value</w:t>
            </w:r>
          </w:p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Carrying Value</w:t>
            </w:r>
          </w:p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Fair Value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4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Due from banks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952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952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586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586 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Investments (including securities purchased under resale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00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agreements)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45,320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45,320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34,435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34,435 </w:t>
            </w:r>
          </w:p>
        </w:tc>
      </w:tr>
      <w:tr>
        <w:trPr>
          <w:trHeight w:hRule="exact" w:val="240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loans outstanding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211,065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162,514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198,457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151,428 </w:t>
            </w:r>
          </w:p>
        </w:tc>
      </w:tr>
      <w:tr>
        <w:trPr>
          <w:trHeight w:hRule="exact" w:val="256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assets, net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497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497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363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363 </w:t>
            </w:r>
          </w:p>
        </w:tc>
      </w:tr>
    </w:tbl>
    <w:p>
      <w:pPr>
        <w:autoSpaceDN w:val="0"/>
        <w:autoSpaceDE w:val="0"/>
        <w:widowControl/>
        <w:spacing w:line="180" w:lineRule="exact" w:before="30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Liabilities</w:t>
      </w:r>
    </w:p>
    <w:p>
      <w:pPr>
        <w:autoSpaceDN w:val="0"/>
        <w:autoSpaceDE w:val="0"/>
        <w:widowControl/>
        <w:spacing w:line="180" w:lineRule="exact" w:before="60" w:after="30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Borrowings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24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Market borrowings, at fair value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42,483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42,483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26,425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26,425 </w:t>
            </w:r>
          </w:p>
        </w:tc>
      </w:tr>
      <w:tr>
        <w:trPr>
          <w:trHeight w:hRule="exact" w:val="240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Market borrowings, at amortized cost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14,843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13,174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11,494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9,920 </w:t>
            </w:r>
          </w:p>
        </w:tc>
      </w:tr>
      <w:tr>
        <w:trPr>
          <w:trHeight w:hRule="exact" w:val="252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Concessional partner loans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7,184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5,933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7,004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6,049 </w:t>
            </w:r>
          </w:p>
        </w:tc>
      </w:tr>
    </w:tbl>
    <w:p>
      <w:pPr>
        <w:autoSpaceDN w:val="0"/>
        <w:autoSpaceDE w:val="0"/>
        <w:widowControl/>
        <w:spacing w:line="178" w:lineRule="exact" w:before="28" w:after="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Securities sold under repurchase agreements, securities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176"/>
        </w:trPr>
        <w:tc>
          <w:tcPr>
            <w:tcW w:type="dxa" w:w="4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lent under securities lending agreements, and payable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189 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189 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8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 </w:t>
            </w:r>
          </w:p>
        </w:tc>
        <w:tc>
          <w:tcPr>
            <w:tcW w:type="dxa" w:w="8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8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 </w:t>
            </w:r>
          </w:p>
        </w:tc>
      </w:tr>
      <w:tr>
        <w:trPr>
          <w:trHeight w:hRule="exact" w:val="199"/>
        </w:trPr>
        <w:tc>
          <w:tcPr>
            <w:tcW w:type="dxa" w:w="4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for cash collateral received</w:t>
            </w:r>
          </w:p>
        </w:tc>
        <w:tc>
          <w:tcPr>
            <w:tcW w:type="dxa" w:w="1888"/>
            <w:vMerge/>
            <w:tcBorders/>
          </w:tcPr>
          <w:p/>
        </w:tc>
        <w:tc>
          <w:tcPr>
            <w:tcW w:type="dxa" w:w="1888"/>
            <w:vMerge/>
            <w:tcBorders/>
          </w:tcPr>
          <w:p/>
        </w:tc>
        <w:tc>
          <w:tcPr>
            <w:tcW w:type="dxa" w:w="1888"/>
            <w:vMerge/>
            <w:tcBorders/>
          </w:tcPr>
          <w:p/>
        </w:tc>
        <w:tc>
          <w:tcPr>
            <w:tcW w:type="dxa" w:w="1888"/>
            <w:vMerge/>
            <w:tcBorders/>
          </w:tcPr>
          <w:p/>
        </w:tc>
      </w:tr>
      <w:tr>
        <w:trPr>
          <w:trHeight w:hRule="exact" w:val="481"/>
        </w:trPr>
        <w:tc>
          <w:tcPr>
            <w:tcW w:type="dxa" w:w="4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liabilities, net</w:t>
            </w:r>
          </w:p>
        </w:tc>
        <w:tc>
          <w:tcPr>
            <w:tcW w:type="dxa" w:w="12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405 </w:t>
            </w:r>
          </w:p>
        </w:tc>
        <w:tc>
          <w:tcPr>
            <w:tcW w:type="dxa" w:w="12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405 </w:t>
            </w:r>
          </w:p>
        </w:tc>
        <w:tc>
          <w:tcPr>
            <w:tcW w:type="dxa" w:w="12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667 </w:t>
            </w:r>
          </w:p>
        </w:tc>
        <w:tc>
          <w:tcPr>
            <w:tcW w:type="dxa" w:w="8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667 </w:t>
            </w:r>
          </w:p>
        </w:tc>
      </w:tr>
    </w:tbl>
    <w:p>
      <w:pPr>
        <w:autoSpaceDN w:val="0"/>
        <w:autoSpaceDE w:val="0"/>
        <w:widowControl/>
        <w:spacing w:line="240" w:lineRule="exact" w:before="16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March 31, 2025, IDA’s signed loan commitments were $67.0 billion ($68.9 billion — June 30, 2024) and had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 fair value of $(13.7) billion ($(12.8) billion—June 30, 2024).</w:t>
      </w:r>
    </w:p>
    <w:p>
      <w:pPr>
        <w:autoSpaceDN w:val="0"/>
        <w:autoSpaceDE w:val="0"/>
        <w:widowControl/>
        <w:spacing w:line="224" w:lineRule="exact" w:before="5734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IDA Quarterly Financial Statements: March 31, 2025 (Unaudited)     49</w:t>
      </w:r>
    </w:p>
    <w:p>
      <w:pPr>
        <w:sectPr>
          <w:pgSz w:w="12240" w:h="15840"/>
          <w:pgMar w:top="700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tables present IDA’s fair value hierarchy for assets and liabilities measured at fair value on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recurring basis. 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J2: Fair value hierarchy of IDA’s assets and liabilities</w:t>
      </w:r>
    </w:p>
    <w:p>
      <w:pPr>
        <w:autoSpaceDN w:val="0"/>
        <w:tabs>
          <w:tab w:pos="5606" w:val="left"/>
          <w:tab w:pos="6526" w:val="left"/>
        </w:tabs>
        <w:autoSpaceDE w:val="0"/>
        <w:widowControl/>
        <w:spacing w:line="240" w:lineRule="exact" w:before="32" w:after="20"/>
        <w:ind w:left="62" w:right="432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Fair Value Measurements on a Recurring Basis </w:t>
      </w:r>
      <w:r>
        <w:tab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As of March 31, 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90.0" w:type="dxa"/>
      </w:tblPr>
      <w:tblGrid>
        <w:gridCol w:w="2359"/>
        <w:gridCol w:w="2359"/>
        <w:gridCol w:w="2359"/>
        <w:gridCol w:w="2359"/>
      </w:tblGrid>
      <w:tr>
        <w:trPr>
          <w:trHeight w:hRule="exact" w:val="240"/>
        </w:trPr>
        <w:tc>
          <w:tcPr>
            <w:tcW w:type="dxa" w:w="9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Level 1</w:t>
            </w:r>
          </w:p>
        </w:tc>
        <w:tc>
          <w:tcPr>
            <w:tcW w:type="dxa" w:w="10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Level 2</w:t>
            </w:r>
          </w:p>
        </w:tc>
        <w:tc>
          <w:tcPr>
            <w:tcW w:type="dxa" w:w="10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Level 3</w:t>
            </w:r>
          </w:p>
        </w:tc>
        <w:tc>
          <w:tcPr>
            <w:tcW w:type="dxa" w:w="10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tabs>
          <w:tab w:pos="152" w:val="left"/>
        </w:tabs>
        <w:autoSpaceDE w:val="0"/>
        <w:widowControl/>
        <w:spacing w:line="220" w:lineRule="exact" w:before="0" w:after="32"/>
        <w:ind w:left="62" w:right="7632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Assets: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Investments—Trading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38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Government, agency and corporate obligations</w:t>
            </w:r>
          </w:p>
        </w:tc>
        <w:tc>
          <w:tcPr>
            <w:tcW w:type="dxa" w:w="2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12,300 </w:t>
            </w:r>
          </w:p>
        </w:tc>
        <w:tc>
          <w:tcPr>
            <w:tcW w:type="dxa" w:w="4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10,747 </w:t>
            </w:r>
          </w:p>
        </w:tc>
        <w:tc>
          <w:tcPr>
            <w:tcW w:type="dxa" w:w="4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23,047 </w:t>
            </w:r>
          </w:p>
        </w:tc>
      </w:tr>
      <w:tr>
        <w:trPr>
          <w:trHeight w:hRule="exact" w:val="240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Time deposits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1,542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20,363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21,905 </w:t>
            </w:r>
          </w:p>
        </w:tc>
      </w:tr>
      <w:tr>
        <w:trPr>
          <w:trHeight w:hRule="exact" w:val="240"/>
        </w:trPr>
        <w:tc>
          <w:tcPr>
            <w:tcW w:type="dxa" w:w="5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ABS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8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4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 </w:t>
            </w:r>
          </w:p>
        </w:tc>
      </w:tr>
      <w:tr>
        <w:trPr>
          <w:trHeight w:hRule="exact" w:val="240"/>
        </w:trPr>
        <w:tc>
          <w:tcPr>
            <w:tcW w:type="dxa" w:w="51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Investments—Trading</w:t>
            </w:r>
          </w:p>
        </w:tc>
        <w:tc>
          <w:tcPr>
            <w:tcW w:type="dxa" w:w="2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13,842 </w:t>
            </w:r>
          </w:p>
        </w:tc>
        <w:tc>
          <w:tcPr>
            <w:tcW w:type="dxa" w:w="41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31,199 </w:t>
            </w:r>
          </w:p>
        </w:tc>
        <w:tc>
          <w:tcPr>
            <w:tcW w:type="dxa" w:w="4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45,041 </w:t>
            </w:r>
          </w:p>
        </w:tc>
      </w:tr>
      <w:tr>
        <w:trPr>
          <w:trHeight w:hRule="exact" w:val="240"/>
        </w:trPr>
        <w:tc>
          <w:tcPr>
            <w:tcW w:type="dxa" w:w="5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Investments—Non-trading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113 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113 </w:t>
            </w:r>
          </w:p>
        </w:tc>
      </w:tr>
      <w:tr>
        <w:trPr>
          <w:trHeight w:hRule="exact" w:val="340"/>
        </w:trPr>
        <w:tc>
          <w:tcPr>
            <w:tcW w:type="dxa" w:w="51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Investments</w:t>
            </w:r>
          </w:p>
        </w:tc>
        <w:tc>
          <w:tcPr>
            <w:tcW w:type="dxa" w:w="2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13,842 </w:t>
            </w:r>
          </w:p>
        </w:tc>
        <w:tc>
          <w:tcPr>
            <w:tcW w:type="dxa" w:w="4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31,312 </w:t>
            </w:r>
          </w:p>
        </w:tc>
        <w:tc>
          <w:tcPr>
            <w:tcW w:type="dxa" w:w="4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45,154 </w:t>
            </w:r>
          </w:p>
        </w:tc>
      </w:tr>
      <w:tr>
        <w:trPr>
          <w:trHeight w:hRule="exact" w:val="396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Securities purchased under resale agreements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166 </w:t>
            </w:r>
          </w:p>
        </w:tc>
        <w:tc>
          <w:tcPr>
            <w:tcW w:type="dxa" w:w="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166 </w:t>
            </w:r>
          </w:p>
        </w:tc>
      </w:tr>
    </w:tbl>
    <w:p>
      <w:pPr>
        <w:autoSpaceDN w:val="0"/>
        <w:autoSpaceDE w:val="0"/>
        <w:widowControl/>
        <w:spacing w:line="178" w:lineRule="exact" w:before="226" w:after="32"/>
        <w:ind w:left="1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assets: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28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and forward contracts 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488 </w:t>
            </w:r>
          </w:p>
        </w:tc>
        <w:tc>
          <w:tcPr>
            <w:tcW w:type="dxa" w:w="4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488 </w:t>
            </w:r>
          </w:p>
        </w:tc>
      </w:tr>
      <w:tr>
        <w:trPr>
          <w:trHeight w:hRule="exact" w:val="250"/>
        </w:trPr>
        <w:tc>
          <w:tcPr>
            <w:tcW w:type="dxa" w:w="50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2,587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4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2,587 </w:t>
            </w:r>
          </w:p>
        </w:tc>
      </w:tr>
      <w:tr>
        <w:trPr>
          <w:trHeight w:hRule="exact" w:val="242"/>
        </w:trPr>
        <w:tc>
          <w:tcPr>
            <w:tcW w:type="dxa" w:w="50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3,075 </w:t>
            </w:r>
          </w:p>
        </w:tc>
        <w:tc>
          <w:tcPr>
            <w:tcW w:type="dxa" w:w="4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3,075 </w:t>
            </w:r>
          </w:p>
        </w:tc>
      </w:tr>
    </w:tbl>
    <w:p>
      <w:pPr>
        <w:autoSpaceDN w:val="0"/>
        <w:autoSpaceDE w:val="0"/>
        <w:widowControl/>
        <w:spacing w:line="178" w:lineRule="exact" w:before="30" w:after="20"/>
        <w:ind w:left="1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3146"/>
        <w:gridCol w:w="3146"/>
        <w:gridCol w:w="3146"/>
      </w:tblGrid>
      <w:tr>
        <w:trPr>
          <w:trHeight w:hRule="exact" w:val="240"/>
        </w:trPr>
        <w:tc>
          <w:tcPr>
            <w:tcW w:type="dxa" w:w="8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Amounts subject to legally enforceable master netting agreements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3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1,669 </w:t>
            </w:r>
          </w:p>
        </w:tc>
      </w:tr>
      <w:tr>
        <w:trPr>
          <w:trHeight w:hRule="exact" w:val="250"/>
        </w:trPr>
        <w:tc>
          <w:tcPr>
            <w:tcW w:type="dxa" w:w="83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Cash collateral received</w:t>
            </w:r>
          </w:p>
        </w:tc>
        <w:tc>
          <w:tcPr>
            <w:tcW w:type="dxa" w:w="3146"/>
            <w:vMerge/>
            <w:tcBorders>
              <w:bottom w:sz="8.0" w:val="single" w:color="#000000"/>
            </w:tcBorders>
          </w:tcPr>
          <w:p/>
        </w:tc>
        <w:tc>
          <w:tcPr>
            <w:tcW w:type="dxa" w:w="6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909 </w:t>
            </w:r>
          </w:p>
        </w:tc>
      </w:tr>
      <w:tr>
        <w:trPr>
          <w:trHeight w:hRule="exact" w:val="240"/>
        </w:trPr>
        <w:tc>
          <w:tcPr>
            <w:tcW w:type="dxa" w:w="83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assets, net</w:t>
            </w:r>
          </w:p>
        </w:tc>
        <w:tc>
          <w:tcPr>
            <w:tcW w:type="dxa" w:w="3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497 </w:t>
            </w:r>
          </w:p>
        </w:tc>
      </w:tr>
    </w:tbl>
    <w:p>
      <w:pPr>
        <w:autoSpaceDN w:val="0"/>
        <w:autoSpaceDE w:val="0"/>
        <w:widowControl/>
        <w:spacing w:line="180" w:lineRule="exact" w:before="316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Liabilities: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70"/>
        </w:trPr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Market Borrowings, at fair value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42,483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42,483 </w:t>
            </w:r>
          </w:p>
        </w:tc>
      </w:tr>
    </w:tbl>
    <w:p>
      <w:pPr>
        <w:autoSpaceDN w:val="0"/>
        <w:autoSpaceDE w:val="0"/>
        <w:widowControl/>
        <w:spacing w:line="180" w:lineRule="exact" w:before="246" w:after="6"/>
        <w:ind w:left="1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Securities sold under repurchase agreements, securities lent under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180"/>
        </w:trPr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lending agreements, and payable for cash collateral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189 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189 </w:t>
            </w:r>
          </w:p>
        </w:tc>
      </w:tr>
      <w:tr>
        <w:trPr>
          <w:trHeight w:hRule="exact" w:val="258"/>
        </w:trPr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received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226" w:after="32"/>
        <w:ind w:left="1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liabilities: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28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forward contracts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638 </w:t>
            </w:r>
          </w:p>
        </w:tc>
        <w:tc>
          <w:tcPr>
            <w:tcW w:type="dxa" w:w="5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638 </w:t>
            </w:r>
          </w:p>
        </w:tc>
      </w:tr>
      <w:tr>
        <w:trPr>
          <w:trHeight w:hRule="exact" w:val="250"/>
        </w:trPr>
        <w:tc>
          <w:tcPr>
            <w:tcW w:type="dxa" w:w="50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1,347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4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1,347 </w:t>
            </w:r>
          </w:p>
        </w:tc>
      </w:tr>
      <w:tr>
        <w:trPr>
          <w:trHeight w:hRule="exact" w:val="240"/>
        </w:trPr>
        <w:tc>
          <w:tcPr>
            <w:tcW w:type="dxa" w:w="50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1,985 </w:t>
            </w:r>
          </w:p>
        </w:tc>
        <w:tc>
          <w:tcPr>
            <w:tcW w:type="dxa" w:w="5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1,985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20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6"/>
        <w:gridCol w:w="3146"/>
        <w:gridCol w:w="3146"/>
      </w:tblGrid>
      <w:tr>
        <w:trPr>
          <w:trHeight w:hRule="exact" w:val="250"/>
        </w:trPr>
        <w:tc>
          <w:tcPr>
            <w:tcW w:type="dxa" w:w="84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Amounts subject to legally enforceable master netting agreements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3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1,580 </w:t>
            </w:r>
          </w:p>
        </w:tc>
      </w:tr>
      <w:tr>
        <w:trPr>
          <w:trHeight w:hRule="exact" w:val="240"/>
        </w:trPr>
        <w:tc>
          <w:tcPr>
            <w:tcW w:type="dxa" w:w="84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liabilities, net</w:t>
            </w:r>
          </w:p>
        </w:tc>
        <w:tc>
          <w:tcPr>
            <w:tcW w:type="dxa" w:w="3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405 </w:t>
            </w:r>
          </w:p>
        </w:tc>
      </w:tr>
    </w:tbl>
    <w:p>
      <w:pPr>
        <w:autoSpaceDN w:val="0"/>
        <w:autoSpaceDE w:val="0"/>
        <w:widowControl/>
        <w:spacing w:line="178" w:lineRule="exact" w:before="27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Includes $106 million CVA.</w:t>
      </w:r>
    </w:p>
    <w:p>
      <w:pPr>
        <w:autoSpaceDN w:val="0"/>
        <w:autoSpaceDE w:val="0"/>
        <w:widowControl/>
        <w:spacing w:line="240" w:lineRule="exact" w:before="0" w:after="0"/>
        <w:ind w:left="62" w:right="4176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Excludes amount payable for cash collateral received of $909 million. </w:t>
      </w:r>
      <w:r>
        <w:rPr>
          <w:rFonts w:ascii="Arial" w:hAnsi="Arial" w:eastAsia="Arial"/>
          <w:b w:val="0"/>
          <w:i/>
          <w:color w:val="000000"/>
          <w:sz w:val="16"/>
        </w:rPr>
        <w:t>c. Includes $17 million DVA.</w:t>
      </w:r>
    </w:p>
    <w:p>
      <w:pPr>
        <w:autoSpaceDN w:val="0"/>
        <w:autoSpaceDE w:val="0"/>
        <w:widowControl/>
        <w:spacing w:line="224" w:lineRule="exact" w:before="283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50     IDA Quarterly Financial Statements: March 31, 2025 (Unaudited)</w:t>
      </w:r>
    </w:p>
    <w:p>
      <w:pPr>
        <w:sectPr>
          <w:pgSz w:w="12240" w:h="15840"/>
          <w:pgMar w:top="700" w:right="1372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J2.1</w:t>
      </w:r>
    </w:p>
    <w:p>
      <w:pPr>
        <w:autoSpaceDN w:val="0"/>
        <w:tabs>
          <w:tab w:pos="5606" w:val="left"/>
          <w:tab w:pos="6574" w:val="left"/>
        </w:tabs>
        <w:autoSpaceDE w:val="0"/>
        <w:widowControl/>
        <w:spacing w:line="224" w:lineRule="exact" w:before="32" w:after="18"/>
        <w:ind w:left="118" w:right="432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Fair Value Measurements on a Recurring Basis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As of 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90.0" w:type="dxa"/>
      </w:tblPr>
      <w:tblGrid>
        <w:gridCol w:w="2359"/>
        <w:gridCol w:w="2359"/>
        <w:gridCol w:w="2359"/>
        <w:gridCol w:w="2359"/>
      </w:tblGrid>
      <w:tr>
        <w:trPr>
          <w:trHeight w:hRule="exact" w:val="226"/>
        </w:trPr>
        <w:tc>
          <w:tcPr>
            <w:tcW w:type="dxa" w:w="9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Level 1</w:t>
            </w:r>
          </w:p>
        </w:tc>
        <w:tc>
          <w:tcPr>
            <w:tcW w:type="dxa" w:w="111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Level 2</w:t>
            </w:r>
          </w:p>
        </w:tc>
        <w:tc>
          <w:tcPr>
            <w:tcW w:type="dxa" w:w="10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Level 3</w:t>
            </w:r>
          </w:p>
        </w:tc>
        <w:tc>
          <w:tcPr>
            <w:tcW w:type="dxa" w:w="10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tabs>
          <w:tab w:pos="152" w:val="left"/>
        </w:tabs>
        <w:autoSpaceDE w:val="0"/>
        <w:widowControl/>
        <w:spacing w:line="210" w:lineRule="exact" w:before="0" w:after="20"/>
        <w:ind w:left="62" w:right="7632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Assets: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Investments—Trading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192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Government and agency obligations</w:t>
            </w:r>
          </w:p>
        </w:tc>
        <w:tc>
          <w:tcPr>
            <w:tcW w:type="dxa" w:w="2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12,806 </w:t>
            </w:r>
          </w:p>
        </w:tc>
        <w:tc>
          <w:tcPr>
            <w:tcW w:type="dxa" w:w="2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6,574 </w:t>
            </w:r>
          </w:p>
        </w:tc>
        <w:tc>
          <w:tcPr>
            <w:tcW w:type="dxa" w:w="5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19,380 </w:t>
            </w:r>
          </w:p>
        </w:tc>
      </w:tr>
      <w:tr>
        <w:trPr>
          <w:trHeight w:hRule="exact" w:val="220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Time deposits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2,032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12,683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14,715 </w:t>
            </w:r>
          </w:p>
        </w:tc>
      </w:tr>
      <w:tr>
        <w:trPr>
          <w:trHeight w:hRule="exact" w:val="266"/>
        </w:trPr>
        <w:tc>
          <w:tcPr>
            <w:tcW w:type="dxa" w:w="5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2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ABS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8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</w:tr>
      <w:tr>
        <w:trPr>
          <w:trHeight w:hRule="exact" w:val="194"/>
        </w:trPr>
        <w:tc>
          <w:tcPr>
            <w:tcW w:type="dxa" w:w="51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Investments—Trading</w:t>
            </w:r>
          </w:p>
        </w:tc>
        <w:tc>
          <w:tcPr>
            <w:tcW w:type="dxa" w:w="2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14,838 </w:t>
            </w:r>
          </w:p>
        </w:tc>
        <w:tc>
          <w:tcPr>
            <w:tcW w:type="dxa" w:w="2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19,368 </w:t>
            </w:r>
          </w:p>
        </w:tc>
        <w:tc>
          <w:tcPr>
            <w:tcW w:type="dxa" w:w="5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34,206 </w:t>
            </w:r>
          </w:p>
        </w:tc>
      </w:tr>
      <w:tr>
        <w:trPr>
          <w:trHeight w:hRule="exact" w:val="254"/>
        </w:trPr>
        <w:tc>
          <w:tcPr>
            <w:tcW w:type="dxa" w:w="5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Investments—Non-trading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171 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171 </w:t>
            </w:r>
          </w:p>
        </w:tc>
      </w:tr>
      <w:tr>
        <w:trPr>
          <w:trHeight w:hRule="exact" w:val="186"/>
        </w:trPr>
        <w:tc>
          <w:tcPr>
            <w:tcW w:type="dxa" w:w="51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Investments</w:t>
            </w:r>
          </w:p>
        </w:tc>
        <w:tc>
          <w:tcPr>
            <w:tcW w:type="dxa" w:w="2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14,838 </w:t>
            </w:r>
          </w:p>
        </w:tc>
        <w:tc>
          <w:tcPr>
            <w:tcW w:type="dxa" w:w="2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19,539 </w:t>
            </w:r>
          </w:p>
        </w:tc>
        <w:tc>
          <w:tcPr>
            <w:tcW w:type="dxa" w:w="5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34,377 </w:t>
            </w:r>
          </w:p>
        </w:tc>
      </w:tr>
      <w:tr>
        <w:trPr>
          <w:trHeight w:hRule="exact" w:val="536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6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Securities purchased under resale agreements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6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 </w:t>
            </w:r>
          </w:p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6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 </w:t>
            </w:r>
          </w:p>
        </w:tc>
      </w:tr>
    </w:tbl>
    <w:p>
      <w:pPr>
        <w:autoSpaceDN w:val="0"/>
        <w:autoSpaceDE w:val="0"/>
        <w:widowControl/>
        <w:spacing w:line="178" w:lineRule="exact" w:before="218" w:after="20"/>
        <w:ind w:left="1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assets: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188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and forward contracts 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767 </w:t>
            </w:r>
          </w:p>
        </w:tc>
        <w:tc>
          <w:tcPr>
            <w:tcW w:type="dxa" w:w="5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767 </w:t>
            </w:r>
          </w:p>
        </w:tc>
      </w:tr>
      <w:tr>
        <w:trPr>
          <w:trHeight w:hRule="exact" w:val="239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2,250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2,250 </w:t>
            </w:r>
          </w:p>
        </w:tc>
      </w:tr>
      <w:tr>
        <w:trPr>
          <w:trHeight w:hRule="exact" w:val="267"/>
        </w:trPr>
        <w:tc>
          <w:tcPr>
            <w:tcW w:type="dxa" w:w="50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22"/>
        </w:trPr>
        <w:tc>
          <w:tcPr>
            <w:tcW w:type="dxa" w:w="50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3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3,017 </w:t>
            </w:r>
          </w:p>
        </w:tc>
        <w:tc>
          <w:tcPr>
            <w:tcW w:type="dxa" w:w="5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3,020 </w:t>
            </w:r>
          </w:p>
        </w:tc>
      </w:tr>
    </w:tbl>
    <w:p>
      <w:pPr>
        <w:autoSpaceDN w:val="0"/>
        <w:autoSpaceDE w:val="0"/>
        <w:widowControl/>
        <w:spacing w:line="178" w:lineRule="exact" w:before="26" w:after="16"/>
        <w:ind w:left="1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3146"/>
        <w:gridCol w:w="3146"/>
        <w:gridCol w:w="3146"/>
      </w:tblGrid>
      <w:tr>
        <w:trPr>
          <w:trHeight w:hRule="exact" w:val="232"/>
        </w:trPr>
        <w:tc>
          <w:tcPr>
            <w:tcW w:type="dxa" w:w="8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Amounts subject to legally enforceable master netting agreements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2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1,764 </w:t>
            </w:r>
          </w:p>
        </w:tc>
      </w:tr>
      <w:tr>
        <w:trPr>
          <w:trHeight w:hRule="exact" w:val="240"/>
        </w:trPr>
        <w:tc>
          <w:tcPr>
            <w:tcW w:type="dxa" w:w="84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Cash collateral received</w:t>
            </w:r>
          </w:p>
        </w:tc>
        <w:tc>
          <w:tcPr>
            <w:tcW w:type="dxa" w:w="3146"/>
            <w:vMerge/>
            <w:tcBorders>
              <w:bottom w:sz="8.0" w:val="single" w:color="#000000"/>
            </w:tcBorders>
          </w:tcPr>
          <w:p/>
        </w:tc>
        <w:tc>
          <w:tcPr>
            <w:tcW w:type="dxa" w:w="6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893 </w:t>
            </w:r>
          </w:p>
        </w:tc>
      </w:tr>
      <w:tr>
        <w:trPr>
          <w:trHeight w:hRule="exact" w:val="226"/>
        </w:trPr>
        <w:tc>
          <w:tcPr>
            <w:tcW w:type="dxa" w:w="8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assets, net</w:t>
            </w:r>
          </w:p>
        </w:tc>
        <w:tc>
          <w:tcPr>
            <w:tcW w:type="dxa" w:w="2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363 </w:t>
            </w:r>
          </w:p>
        </w:tc>
      </w:tr>
    </w:tbl>
    <w:p>
      <w:pPr>
        <w:autoSpaceDN w:val="0"/>
        <w:autoSpaceDE w:val="0"/>
        <w:widowControl/>
        <w:spacing w:line="180" w:lineRule="exact" w:before="240" w:after="24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Liabilities: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68"/>
        </w:trPr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Market Borrowings, at fair value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26,425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26,425 </w:t>
            </w:r>
          </w:p>
        </w:tc>
      </w:tr>
    </w:tbl>
    <w:p>
      <w:pPr>
        <w:autoSpaceDN w:val="0"/>
        <w:autoSpaceDE w:val="0"/>
        <w:widowControl/>
        <w:spacing w:line="178" w:lineRule="exact" w:before="240" w:after="6"/>
        <w:ind w:left="1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Securities sold under repurchase agreements, securities lent under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178"/>
        </w:trPr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lending agreements, and payable for cash collateral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0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0" w:after="0"/>
              <w:ind w:left="0" w:right="2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0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0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0" w:after="0"/>
              <w:ind w:left="0" w:right="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 </w:t>
            </w:r>
          </w:p>
        </w:tc>
      </w:tr>
      <w:tr>
        <w:trPr>
          <w:trHeight w:hRule="exact" w:val="260"/>
        </w:trPr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received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220" w:after="20"/>
        <w:ind w:left="1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liabilities: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182"/>
        </w:trPr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forward contracts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665 </w:t>
            </w:r>
          </w:p>
        </w:tc>
        <w:tc>
          <w:tcPr>
            <w:tcW w:type="dxa" w:w="5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2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665 </w:t>
            </w:r>
          </w:p>
        </w:tc>
      </w:tr>
      <w:tr>
        <w:trPr>
          <w:trHeight w:hRule="exact" w:val="46"/>
        </w:trPr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3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1,694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1,694 </w:t>
            </w:r>
          </w:p>
        </w:tc>
      </w:tr>
      <w:tr>
        <w:trPr>
          <w:trHeight w:hRule="exact" w:val="224"/>
        </w:trPr>
        <w:tc>
          <w:tcPr>
            <w:tcW w:type="dxa" w:w="50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22"/>
        </w:trPr>
        <w:tc>
          <w:tcPr>
            <w:tcW w:type="dxa" w:w="50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2,359 </w:t>
            </w:r>
          </w:p>
        </w:tc>
        <w:tc>
          <w:tcPr>
            <w:tcW w:type="dxa" w:w="5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2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2,359 </w:t>
            </w:r>
          </w:p>
        </w:tc>
      </w:tr>
    </w:tbl>
    <w:p>
      <w:pPr>
        <w:autoSpaceDN w:val="0"/>
        <w:autoSpaceDE w:val="0"/>
        <w:widowControl/>
        <w:spacing w:line="178" w:lineRule="exact" w:before="28" w:after="16"/>
        <w:ind w:left="1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6"/>
        <w:gridCol w:w="3146"/>
        <w:gridCol w:w="3146"/>
      </w:tblGrid>
      <w:tr>
        <w:trPr>
          <w:trHeight w:hRule="exact" w:val="246"/>
        </w:trPr>
        <w:tc>
          <w:tcPr>
            <w:tcW w:type="dxa" w:w="847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Amounts subject to legally enforceable master netting agreements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2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1,692 </w:t>
            </w:r>
          </w:p>
        </w:tc>
      </w:tr>
      <w:tr>
        <w:trPr>
          <w:trHeight w:hRule="exact" w:val="226"/>
        </w:trPr>
        <w:tc>
          <w:tcPr>
            <w:tcW w:type="dxa" w:w="847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liabilities, net</w:t>
            </w:r>
          </w:p>
        </w:tc>
        <w:tc>
          <w:tcPr>
            <w:tcW w:type="dxa" w:w="2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667 </w:t>
            </w:r>
          </w:p>
        </w:tc>
      </w:tr>
    </w:tbl>
    <w:p>
      <w:pPr>
        <w:autoSpaceDN w:val="0"/>
        <w:autoSpaceDE w:val="0"/>
        <w:widowControl/>
        <w:spacing w:line="240" w:lineRule="exact" w:before="180" w:after="0"/>
        <w:ind w:left="62" w:right="2736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These relate to TBA Securities, swaptions, exchange traded options and futures contracts. </w:t>
      </w:r>
      <w:r>
        <w:rPr>
          <w:rFonts w:ascii="Arial" w:hAnsi="Arial" w:eastAsia="Arial"/>
          <w:b w:val="0"/>
          <w:i/>
          <w:color w:val="000000"/>
          <w:sz w:val="16"/>
        </w:rPr>
        <w:t>b. Includes $92 million CVA.</w:t>
      </w:r>
    </w:p>
    <w:p>
      <w:pPr>
        <w:autoSpaceDN w:val="0"/>
        <w:autoSpaceDE w:val="0"/>
        <w:widowControl/>
        <w:spacing w:line="224" w:lineRule="exact" w:before="16" w:after="0"/>
        <w:ind w:left="62" w:right="4176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c. Excludes amount payable for cash collateral received of $893 million. </w:t>
      </w:r>
      <w:r>
        <w:rPr>
          <w:rFonts w:ascii="Arial" w:hAnsi="Arial" w:eastAsia="Arial"/>
          <w:b w:val="0"/>
          <w:i/>
          <w:color w:val="000000"/>
          <w:sz w:val="16"/>
        </w:rPr>
        <w:t>d. Includes $20 million DVA.</w:t>
      </w:r>
    </w:p>
    <w:p>
      <w:pPr>
        <w:autoSpaceDN w:val="0"/>
        <w:autoSpaceDE w:val="0"/>
        <w:widowControl/>
        <w:spacing w:line="240" w:lineRule="exact" w:before="19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Presented below is the difference between the aggregate fair value and aggregate contractual principal balance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non-trading securities in the investment portfolio: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J3: Investment portfolio-Non-trading security</w:t>
      </w:r>
    </w:p>
    <w:p>
      <w:pPr>
        <w:autoSpaceDN w:val="0"/>
        <w:autoSpaceDE w:val="0"/>
        <w:widowControl/>
        <w:spacing w:line="178" w:lineRule="exact" w:before="90" w:after="20"/>
        <w:ind w:left="11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rHeight w:hRule="exact" w:val="240"/>
        </w:trPr>
        <w:tc>
          <w:tcPr>
            <w:tcW w:type="dxa" w:w="2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Fair value</w:t>
            </w:r>
          </w:p>
        </w:tc>
        <w:tc>
          <w:tcPr>
            <w:tcW w:type="dxa" w:w="240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5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Principal amount due</w:t>
            </w:r>
          </w:p>
        </w:tc>
        <w:tc>
          <w:tcPr>
            <w:tcW w:type="dxa" w:w="9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7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Difference</w:t>
            </w:r>
          </w:p>
        </w:tc>
      </w:tr>
      <w:tr>
        <w:trPr>
          <w:trHeight w:hRule="exact" w:val="240"/>
        </w:trPr>
        <w:tc>
          <w:tcPr>
            <w:tcW w:type="dxa" w:w="27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March 31, 2025</w:t>
            </w:r>
          </w:p>
        </w:tc>
        <w:tc>
          <w:tcPr>
            <w:tcW w:type="dxa" w:w="3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113 </w:t>
            </w:r>
          </w:p>
        </w:tc>
        <w:tc>
          <w:tcPr>
            <w:tcW w:type="dxa" w:w="12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124 </w:t>
            </w:r>
          </w:p>
        </w:tc>
        <w:tc>
          <w:tcPr>
            <w:tcW w:type="dxa" w:w="9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(11) </w:t>
            </w:r>
          </w:p>
        </w:tc>
      </w:tr>
      <w:tr>
        <w:trPr>
          <w:trHeight w:hRule="exact" w:val="480"/>
        </w:trPr>
        <w:tc>
          <w:tcPr>
            <w:tcW w:type="dxa" w:w="2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June 30, 2024</w:t>
            </w:r>
          </w:p>
        </w:tc>
        <w:tc>
          <w:tcPr>
            <w:tcW w:type="dxa" w:w="3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171 </w:t>
            </w:r>
          </w:p>
        </w:tc>
        <w:tc>
          <w:tcPr>
            <w:tcW w:type="dxa" w:w="12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185 </w:t>
            </w:r>
          </w:p>
        </w:tc>
        <w:tc>
          <w:tcPr>
            <w:tcW w:type="dxa" w:w="9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(14) </w:t>
            </w:r>
          </w:p>
        </w:tc>
      </w:tr>
    </w:tbl>
    <w:p>
      <w:pPr>
        <w:autoSpaceDN w:val="0"/>
        <w:autoSpaceDE w:val="0"/>
        <w:widowControl/>
        <w:spacing w:line="224" w:lineRule="exact" w:before="1166" w:after="0"/>
        <w:ind w:left="0" w:right="6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IDA Quarterly Financial Statements: March 31, 2025 (Unaudited)     51</w:t>
      </w:r>
    </w:p>
    <w:p>
      <w:pPr>
        <w:sectPr>
          <w:pgSz w:w="12240" w:h="15840"/>
          <w:pgMar w:top="700" w:right="1372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0" w:right="2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Presented below is the difference between the aggregate fair value and aggregate contractual principal balance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market borrowings at fair value: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J4: Market Borrowings at fair value</w:t>
      </w:r>
    </w:p>
    <w:p>
      <w:pPr>
        <w:autoSpaceDN w:val="0"/>
        <w:autoSpaceDE w:val="0"/>
        <w:widowControl/>
        <w:spacing w:line="178" w:lineRule="exact" w:before="94" w:after="0"/>
        <w:ind w:left="3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4" w:after="6"/>
        <w:ind w:left="0" w:right="245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Principal Due Upon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14"/>
        </w:trPr>
        <w:tc>
          <w:tcPr>
            <w:tcW w:type="dxa" w:w="31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7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Fair Value</w:t>
            </w:r>
          </w:p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Maturity</w:t>
            </w:r>
          </w:p>
        </w:tc>
        <w:tc>
          <w:tcPr>
            <w:tcW w:type="dxa" w:w="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7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Difference</w:t>
            </w:r>
          </w:p>
        </w:tc>
      </w:tr>
      <w:tr>
        <w:trPr>
          <w:trHeight w:hRule="exact" w:val="226"/>
        </w:trPr>
        <w:tc>
          <w:tcPr>
            <w:tcW w:type="dxa" w:w="31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March 31, 2025</w:t>
            </w:r>
          </w:p>
        </w:tc>
        <w:tc>
          <w:tcPr>
            <w:tcW w:type="dxa" w:w="3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42,483 </w:t>
            </w:r>
          </w:p>
        </w:tc>
        <w:tc>
          <w:tcPr>
            <w:tcW w:type="dxa" w:w="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43,666 </w:t>
            </w:r>
          </w:p>
        </w:tc>
        <w:tc>
          <w:tcPr>
            <w:tcW w:type="dxa" w:w="7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(1,183) </w:t>
            </w:r>
          </w:p>
        </w:tc>
      </w:tr>
      <w:tr>
        <w:trPr>
          <w:trHeight w:hRule="exact" w:val="494"/>
        </w:trPr>
        <w:tc>
          <w:tcPr>
            <w:tcW w:type="dxa" w:w="31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June 30, 2024</w:t>
            </w:r>
          </w:p>
        </w:tc>
        <w:tc>
          <w:tcPr>
            <w:tcW w:type="dxa" w:w="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26,425 </w:t>
            </w:r>
          </w:p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27,886 </w:t>
            </w:r>
          </w:p>
        </w:tc>
        <w:tc>
          <w:tcPr>
            <w:tcW w:type="dxa" w:w="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(1,461) </w:t>
            </w:r>
          </w:p>
        </w:tc>
      </w:tr>
    </w:tbl>
    <w:p>
      <w:pPr>
        <w:autoSpaceDN w:val="0"/>
        <w:autoSpaceDE w:val="0"/>
        <w:widowControl/>
        <w:spacing w:line="224" w:lineRule="exact" w:before="178" w:after="0"/>
        <w:ind w:left="10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nine months ended March 31, 2025, IDA recorded unrealized mark-to-market gains of $56 million ($13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 gains – nine months ended March 31, 2024) in Other Comprehensive Income, in relation to the changes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its own credit (DVA) on fair value option elected liabilities (market borrowings).</w:t>
      </w:r>
    </w:p>
    <w:p>
      <w:pPr>
        <w:autoSpaceDN w:val="0"/>
        <w:autoSpaceDE w:val="0"/>
        <w:widowControl/>
        <w:spacing w:line="224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As of March 31, 2025, IDA’s Condensed Balance Sheets included a DVA of $31 millio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 cumulative gains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($25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 cumulative loss—June 30, 2024) in Accumulated other comprehensive income, associated with the changes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 IDA’s own credit for its market borrowings reported at fair value.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0" w:lineRule="exact" w:before="10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tables reflect the components of the unrealized mark-to-market gains or losses on IDA’s trading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non-trading portfolios, net. </w:t>
      </w:r>
    </w:p>
    <w:p>
      <w:pPr>
        <w:autoSpaceDN w:val="0"/>
        <w:autoSpaceDE w:val="0"/>
        <w:widowControl/>
        <w:spacing w:line="222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J5: Unrealized mark-to-market gains (losses) on trading and non-trading portfolios, net </w:t>
      </w:r>
    </w:p>
    <w:p>
      <w:pPr>
        <w:autoSpaceDN w:val="0"/>
        <w:autoSpaceDE w:val="0"/>
        <w:widowControl/>
        <w:spacing w:line="180" w:lineRule="exact" w:before="92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</w:tblGrid>
      <w:tr>
        <w:trPr>
          <w:trHeight w:hRule="exact" w:val="240"/>
        </w:trPr>
        <w:tc>
          <w:tcPr>
            <w:tcW w:type="dxa" w:w="29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72"/>
            <w:gridSpan w:val="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Three Months Ended March 31, 2025</w:t>
            </w:r>
          </w:p>
        </w:tc>
        <w:tc>
          <w:tcPr>
            <w:tcW w:type="dxa" w:w="3208"/>
            <w:gridSpan w:val="7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Nine Months Ended March 31, 2025</w:t>
            </w:r>
          </w:p>
        </w:tc>
      </w:tr>
      <w:tr>
        <w:trPr>
          <w:trHeight w:hRule="exact" w:val="620"/>
        </w:trPr>
        <w:tc>
          <w:tcPr>
            <w:tcW w:type="dxa" w:w="295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16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32" w:after="0"/>
              <w:ind w:left="18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</w:t>
            </w:r>
          </w:p>
        </w:tc>
        <w:tc>
          <w:tcPr>
            <w:tcW w:type="dxa" w:w="9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(losses)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excluding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amounts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03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3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</w:t>
            </w:r>
          </w:p>
        </w:tc>
        <w:tc>
          <w:tcPr>
            <w:tcW w:type="dxa" w:w="1244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32" w:after="0"/>
              <w:ind w:left="22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</w:t>
            </w:r>
          </w:p>
        </w:tc>
        <w:tc>
          <w:tcPr>
            <w:tcW w:type="dxa" w:w="936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(losses)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excluding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amounts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028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3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</w:t>
            </w:r>
          </w:p>
        </w:tc>
      </w:tr>
      <w:tr>
        <w:trPr>
          <w:trHeight w:hRule="exact" w:val="180"/>
        </w:trPr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48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</w:p>
        </w:tc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2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</w:p>
        </w:tc>
        <w:tc>
          <w:tcPr>
            <w:tcW w:type="dxa" w:w="12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47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</w:p>
        </w:tc>
        <w:tc>
          <w:tcPr>
            <w:tcW w:type="dxa" w:w="134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26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</w:p>
        </w:tc>
      </w:tr>
      <w:tr>
        <w:trPr>
          <w:trHeight w:hRule="exact" w:val="234"/>
        </w:trPr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16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3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  <w:tc>
          <w:tcPr>
            <w:tcW w:type="dxa" w:w="124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2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  <w:tc>
          <w:tcPr>
            <w:tcW w:type="dxa" w:w="134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28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</w:tr>
      <w:tr>
        <w:trPr>
          <w:trHeight w:hRule="exact" w:val="220"/>
        </w:trPr>
        <w:tc>
          <w:tcPr>
            <w:tcW w:type="dxa" w:w="29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Investments, Trading, net—Note F</w:t>
            </w:r>
          </w:p>
        </w:tc>
        <w:tc>
          <w:tcPr>
            <w:tcW w:type="dxa" w:w="3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83 </w:t>
            </w:r>
          </w:p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(22) 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 </w:t>
            </w:r>
          </w:p>
        </w:tc>
        <w:tc>
          <w:tcPr>
            <w:tcW w:type="dxa" w:w="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198 </w:t>
            </w:r>
          </w:p>
        </w:tc>
        <w:tc>
          <w:tcPr>
            <w:tcW w:type="dxa" w:w="468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 </w:t>
            </w:r>
          </w:p>
        </w:tc>
        <w:tc>
          <w:tcPr>
            <w:tcW w:type="dxa" w:w="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218 </w:t>
            </w:r>
          </w:p>
        </w:tc>
      </w:tr>
    </w:tbl>
    <w:p>
      <w:pPr>
        <w:autoSpaceDN w:val="0"/>
        <w:autoSpaceDE w:val="0"/>
        <w:widowControl/>
        <w:spacing w:line="178" w:lineRule="exact" w:before="282" w:after="2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Non-trading portfolios,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52"/>
        </w:trPr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Asset-liability management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—Note F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248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248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319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319 </w:t>
            </w:r>
          </w:p>
        </w:tc>
      </w:tr>
    </w:tbl>
    <w:p>
      <w:pPr>
        <w:autoSpaceDN w:val="0"/>
        <w:autoSpaceDE w:val="0"/>
        <w:widowControl/>
        <w:spacing w:line="178" w:lineRule="exact" w:before="30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Other Non-trading portfolios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>
        <w:trPr>
          <w:trHeight w:hRule="exact" w:val="224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 portfolio—Note C</w:t>
            </w:r>
          </w:p>
        </w:tc>
        <w:tc>
          <w:tcPr>
            <w:tcW w:type="dxa" w:w="3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3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3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  <w:tr>
        <w:trPr>
          <w:trHeight w:hRule="exact" w:val="220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 portfolio—Note E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 ᶜ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 ᶜ </w:t>
            </w:r>
          </w:p>
        </w:tc>
      </w:tr>
      <w:tr>
        <w:trPr>
          <w:trHeight w:hRule="exact" w:val="260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Loan-related derivatives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(6)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(6) </w:t>
            </w:r>
          </w:p>
        </w:tc>
      </w:tr>
      <w:tr>
        <w:trPr>
          <w:trHeight w:hRule="exact" w:val="254"/>
        </w:trPr>
        <w:tc>
          <w:tcPr>
            <w:tcW w:type="dxa" w:w="295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</w:tr>
      <w:tr>
        <w:trPr>
          <w:trHeight w:hRule="exact" w:val="220"/>
        </w:trPr>
        <w:tc>
          <w:tcPr>
            <w:tcW w:type="dxa" w:w="29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271 </w:t>
            </w:r>
          </w:p>
        </w:tc>
        <w:tc>
          <w:tcPr>
            <w:tcW w:type="dxa" w:w="3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271 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331 </w:t>
            </w:r>
          </w:p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331 </w:t>
            </w:r>
          </w:p>
        </w:tc>
      </w:tr>
    </w:tbl>
    <w:p>
      <w:pPr>
        <w:autoSpaceDN w:val="0"/>
        <w:autoSpaceDE w:val="0"/>
        <w:widowControl/>
        <w:spacing w:line="224" w:lineRule="exact" w:before="486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52     IDA Quarterly Financial Statements: March 31, 2025 (Unaudited)</w:t>
      </w:r>
    </w:p>
    <w:p>
      <w:pPr>
        <w:sectPr>
          <w:pgSz w:w="12240" w:h="15840"/>
          <w:pgMar w:top="700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J5.1 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</w:tblGrid>
      <w:tr>
        <w:trPr>
          <w:trHeight w:hRule="exact" w:val="240"/>
        </w:trPr>
        <w:tc>
          <w:tcPr>
            <w:tcW w:type="dxa" w:w="29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72"/>
            <w:gridSpan w:val="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Three Months Ended March 31, 2024</w:t>
            </w:r>
          </w:p>
        </w:tc>
        <w:tc>
          <w:tcPr>
            <w:tcW w:type="dxa" w:w="3208"/>
            <w:gridSpan w:val="7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Nine Months Ended March 31, 2024</w:t>
            </w:r>
          </w:p>
        </w:tc>
      </w:tr>
      <w:tr>
        <w:trPr>
          <w:trHeight w:hRule="exact" w:val="620"/>
        </w:trPr>
        <w:tc>
          <w:tcPr>
            <w:tcW w:type="dxa" w:w="295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16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30" w:after="0"/>
              <w:ind w:left="18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</w:t>
            </w:r>
          </w:p>
        </w:tc>
        <w:tc>
          <w:tcPr>
            <w:tcW w:type="dxa" w:w="9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(losses)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excluding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amounts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03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30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</w:t>
            </w:r>
          </w:p>
        </w:tc>
        <w:tc>
          <w:tcPr>
            <w:tcW w:type="dxa" w:w="1244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30" w:after="0"/>
              <w:ind w:left="22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</w:t>
            </w:r>
          </w:p>
        </w:tc>
        <w:tc>
          <w:tcPr>
            <w:tcW w:type="dxa" w:w="936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(losses)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excluding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amounts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028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30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</w:t>
            </w:r>
          </w:p>
        </w:tc>
      </w:tr>
      <w:tr>
        <w:trPr>
          <w:trHeight w:hRule="exact" w:val="200"/>
        </w:trPr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48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</w:p>
        </w:tc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2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</w:p>
        </w:tc>
        <w:tc>
          <w:tcPr>
            <w:tcW w:type="dxa" w:w="12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47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</w:p>
        </w:tc>
        <w:tc>
          <w:tcPr>
            <w:tcW w:type="dxa" w:w="134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26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</w:p>
        </w:tc>
      </w:tr>
      <w:tr>
        <w:trPr>
          <w:trHeight w:hRule="exact" w:val="214"/>
        </w:trPr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16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3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  <w:tc>
          <w:tcPr>
            <w:tcW w:type="dxa" w:w="124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  <w:tc>
          <w:tcPr>
            <w:tcW w:type="dxa" w:w="134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28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</w:tr>
      <w:tr>
        <w:trPr>
          <w:trHeight w:hRule="exact" w:val="220"/>
        </w:trPr>
        <w:tc>
          <w:tcPr>
            <w:tcW w:type="dxa" w:w="29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Investments, Trading, net—Note F</w:t>
            </w:r>
          </w:p>
        </w:tc>
        <w:tc>
          <w:tcPr>
            <w:tcW w:type="dxa" w:w="3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(18) </w:t>
            </w:r>
          </w:p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 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 </w:t>
            </w:r>
          </w:p>
        </w:tc>
        <w:tc>
          <w:tcPr>
            <w:tcW w:type="dxa" w:w="3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(30) </w:t>
            </w:r>
          </w:p>
        </w:tc>
        <w:tc>
          <w:tcPr>
            <w:tcW w:type="dxa" w:w="422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293 </w:t>
            </w:r>
          </w:p>
        </w:tc>
        <w:tc>
          <w:tcPr>
            <w:tcW w:type="dxa" w:w="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263 </w:t>
            </w:r>
          </w:p>
        </w:tc>
      </w:tr>
    </w:tbl>
    <w:p>
      <w:pPr>
        <w:autoSpaceDN w:val="0"/>
        <w:autoSpaceDE w:val="0"/>
        <w:widowControl/>
        <w:spacing w:line="180" w:lineRule="exact" w:before="282" w:after="1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Non-trading portfolios,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rHeight w:hRule="exact" w:val="252"/>
        </w:trPr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Asset-liability management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—Note F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226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226 </w:t>
            </w:r>
          </w:p>
        </w:tc>
      </w:tr>
    </w:tbl>
    <w:p>
      <w:pPr>
        <w:autoSpaceDN w:val="0"/>
        <w:autoSpaceDE w:val="0"/>
        <w:widowControl/>
        <w:spacing w:line="180" w:lineRule="exact" w:before="30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Other Non-trading portfolios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>
        <w:trPr>
          <w:trHeight w:hRule="exact" w:val="224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 portfolio—Note C</w:t>
            </w:r>
          </w:p>
        </w:tc>
        <w:tc>
          <w:tcPr>
            <w:tcW w:type="dxa" w:w="3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(1) </w:t>
            </w:r>
          </w:p>
        </w:tc>
        <w:tc>
          <w:tcPr>
            <w:tcW w:type="dxa" w:w="4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(1) </w:t>
            </w:r>
          </w:p>
        </w:tc>
        <w:tc>
          <w:tcPr>
            <w:tcW w:type="dxa" w:w="3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3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40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 portfolio—Note E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 ᶜ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  ᶜ </w:t>
            </w:r>
          </w:p>
        </w:tc>
      </w:tr>
      <w:tr>
        <w:trPr>
          <w:trHeight w:hRule="exact" w:val="240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Loan-related derivatives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(13)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(13) </w:t>
            </w:r>
          </w:p>
        </w:tc>
      </w:tr>
      <w:tr>
        <w:trPr>
          <w:trHeight w:hRule="exact" w:val="254"/>
        </w:trPr>
        <w:tc>
          <w:tcPr>
            <w:tcW w:type="dxa" w:w="295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(4)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(4)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(25)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(25) </w:t>
            </w:r>
          </w:p>
        </w:tc>
      </w:tr>
      <w:tr>
        <w:trPr>
          <w:trHeight w:hRule="exact" w:val="220"/>
        </w:trPr>
        <w:tc>
          <w:tcPr>
            <w:tcW w:type="dxa" w:w="29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 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 </w:t>
            </w:r>
          </w:p>
        </w:tc>
        <w:tc>
          <w:tcPr>
            <w:tcW w:type="dxa" w:w="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215 </w:t>
            </w:r>
          </w:p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215 </w:t>
            </w:r>
          </w:p>
        </w:tc>
      </w:tr>
    </w:tbl>
    <w:p>
      <w:pPr>
        <w:autoSpaceDN w:val="0"/>
        <w:autoSpaceDE w:val="0"/>
        <w:widowControl/>
        <w:spacing w:line="180" w:lineRule="exact" w:before="29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Adjusted to exclude amounts reclassified to realized gains (losses).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50" w:after="0"/>
        <w:ind w:left="62" w:right="72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Includes mark-to-market gains (losses) on the Capital Value Protection program (CVP) portfolio and other Asset-liability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management portfolios.</w:t>
      </w:r>
    </w:p>
    <w:p>
      <w:pPr>
        <w:autoSpaceDN w:val="0"/>
        <w:autoSpaceDE w:val="0"/>
        <w:widowControl/>
        <w:spacing w:line="192" w:lineRule="exact" w:before="58" w:after="0"/>
        <w:ind w:left="242" w:right="432" w:hanging="18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c. Includes $326 million of unrealized mark-to-market gains and $550 million of unrealized mark-to-market gains related to </w:t>
      </w:r>
      <w:r>
        <w:rPr>
          <w:rFonts w:ascii="Arial" w:hAnsi="Arial" w:eastAsia="Arial"/>
          <w:b w:val="0"/>
          <w:i/>
          <w:color w:val="000000"/>
          <w:sz w:val="16"/>
        </w:rPr>
        <w:t>derivatives associated with borrowings for three and nine months ended March 31, 2025, respectively (unrealized mark-to-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market loss of $156 million and unrealized mark-to-market gains of $698 million—three and nine months ended March 31, </w:t>
      </w:r>
      <w:r>
        <w:rPr>
          <w:rFonts w:ascii="Arial" w:hAnsi="Arial" w:eastAsia="Arial"/>
          <w:b w:val="0"/>
          <w:i/>
          <w:color w:val="000000"/>
          <w:sz w:val="16"/>
        </w:rPr>
        <w:t>2024, respectively).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d. Represents mark-to-market gains (losses) on PSW.</w:t>
      </w:r>
    </w:p>
    <w:p>
      <w:pPr>
        <w:autoSpaceDN w:val="0"/>
        <w:autoSpaceDE w:val="0"/>
        <w:widowControl/>
        <w:spacing w:line="244" w:lineRule="exact" w:before="32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NOTE K—CONTINGENCIES</w:t>
      </w:r>
    </w:p>
    <w:p>
      <w:pPr>
        <w:autoSpaceDN w:val="0"/>
        <w:autoSpaceDE w:val="0"/>
        <w:widowControl/>
        <w:spacing w:line="240" w:lineRule="exact" w:before="12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From time to time, IDA may be named as a defendant or co-defendant in legal actions on different grounds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various jurisdictions. The outcome of any existing legal action, in which IDA has been named as a defendant or co-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defendant, as of and for the nine months ended March 31, 2025, is not expected to have a material adverse effect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IDA's financial position, results of operations or cash flows.</w:t>
      </w:r>
    </w:p>
    <w:p>
      <w:pPr>
        <w:autoSpaceDN w:val="0"/>
        <w:autoSpaceDE w:val="0"/>
        <w:widowControl/>
        <w:spacing w:line="224" w:lineRule="exact" w:before="5876" w:after="0"/>
        <w:ind w:left="0" w:right="66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IDA Quarterly Financial Statements: March 31, 2025 (Unaudited)     53</w:t>
      </w:r>
    </w:p>
    <w:p>
      <w:pPr>
        <w:sectPr>
          <w:pgSz w:w="12240" w:h="15840"/>
          <w:pgMar w:top="700" w:right="1374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INDEPENDENT AUDITOR'S REVIEW REPORT</w:t>
      </w:r>
    </w:p>
    <w:p>
      <w:pPr>
        <w:autoSpaceDN w:val="0"/>
        <w:autoSpaceDE w:val="0"/>
        <w:widowControl/>
        <w:spacing w:line="240" w:lineRule="auto" w:before="4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73228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2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4" w:lineRule="exact" w:before="210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54</w:t>
      </w:r>
    </w:p>
    <w:p>
      <w:pPr>
        <w:sectPr>
          <w:pgSz w:w="12240" w:h="15840"/>
          <w:pgMar w:top="336" w:right="1420" w:bottom="2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4015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4" w:lineRule="exact" w:before="9854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55</w:t>
      </w:r>
    </w:p>
    <w:sectPr w:rsidR="00FC693F" w:rsidRPr="0006063C" w:rsidSect="00034616">
      <w:pgSz w:w="12240" w:h="15840"/>
      <w:pgMar w:top="720" w:right="1420" w:bottom="27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