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174" w:lineRule="exact" w:before="0" w:after="0"/>
        <w:ind w:left="5974" w:right="288" w:hanging="2120"/>
        <w:jc w:val="left"/>
      </w:pPr>
      <w:r>
        <w:rPr>
          <w:w w:val="101.32767813546317"/>
          <w:rFonts w:ascii="CIDFont+F1" w:hAnsi="CIDFont+F1" w:eastAsia="CIDFont+F1"/>
          <w:b w:val="0"/>
          <w:i/>
          <w:color w:val="000000"/>
          <w:sz w:val="14"/>
        </w:rPr>
        <w:t xml:space="preserve">Trust Fund Financial Information Summary for fiscal years ended June 30, 2024 and 2023 </w:t>
      </w:r>
      <w:r>
        <w:rPr>
          <w:w w:val="101.32767813546317"/>
          <w:rFonts w:ascii="CIDFont+F1" w:hAnsi="CIDFont+F1" w:eastAsia="CIDFont+F1"/>
          <w:b w:val="0"/>
          <w:i/>
          <w:color w:val="000000"/>
          <w:sz w:val="14"/>
        </w:rPr>
        <w:t xml:space="preserve">All amounts in USD millions, unless otherwise noted </w:t>
      </w:r>
    </w:p>
    <w:p>
      <w:pPr>
        <w:autoSpaceDN w:val="0"/>
        <w:autoSpaceDE w:val="0"/>
        <w:widowControl/>
        <w:spacing w:line="556" w:lineRule="exact" w:before="5036" w:after="0"/>
        <w:ind w:left="432" w:right="288" w:firstLine="0"/>
        <w:jc w:val="left"/>
      </w:pPr>
      <w:r>
        <w:rPr>
          <w:rFonts w:ascii="CIDFont+F5" w:hAnsi="CIDFont+F5" w:eastAsia="CIDFont+F5"/>
          <w:b/>
          <w:i w:val="0"/>
          <w:color w:val="065AA6"/>
          <w:sz w:val="52"/>
        </w:rPr>
        <w:t xml:space="preserve">Trust Fund Operations </w:t>
      </w:r>
      <w:r>
        <w:br/>
      </w:r>
      <w:r>
        <w:rPr>
          <w:rFonts w:ascii="CIDFont+F5" w:hAnsi="CIDFont+F5" w:eastAsia="CIDFont+F5"/>
          <w:b/>
          <w:i w:val="0"/>
          <w:color w:val="065AA6"/>
          <w:sz w:val="49"/>
        </w:rPr>
        <w:t>Financial Information Summary</w:t>
      </w:r>
    </w:p>
    <w:p>
      <w:pPr>
        <w:autoSpaceDN w:val="0"/>
        <w:autoSpaceDE w:val="0"/>
        <w:widowControl/>
        <w:spacing w:line="468" w:lineRule="exact" w:before="370" w:after="0"/>
        <w:ind w:left="432" w:right="0" w:firstLine="0"/>
        <w:jc w:val="left"/>
      </w:pPr>
      <w:r>
        <w:rPr>
          <w:rFonts w:ascii="CIDFont+F6" w:hAnsi="CIDFont+F6" w:eastAsia="CIDFont+F6"/>
          <w:b w:val="0"/>
          <w:i w:val="0"/>
          <w:color w:val="065AA6"/>
          <w:sz w:val="41"/>
        </w:rPr>
        <w:t>Fiscal years ended June 30, 2024 and 2023</w:t>
      </w:r>
    </w:p>
    <w:p>
      <w:pPr>
        <w:autoSpaceDN w:val="0"/>
        <w:autoSpaceDE w:val="0"/>
        <w:widowControl/>
        <w:spacing w:line="240" w:lineRule="auto" w:before="4258" w:after="0"/>
        <w:ind w:left="4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61030" cy="54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1030" cy="54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exact" w:before="1242" w:after="0"/>
        <w:ind w:left="0" w:right="402" w:firstLine="0"/>
        <w:jc w:val="right"/>
      </w:pP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1 </w:t>
      </w:r>
    </w:p>
    <w:p>
      <w:pPr>
        <w:autoSpaceDN w:val="0"/>
        <w:autoSpaceDE w:val="0"/>
        <w:widowControl/>
        <w:spacing w:line="148" w:lineRule="exact" w:before="188" w:after="0"/>
        <w:ind w:left="432" w:right="0" w:firstLine="0"/>
        <w:jc w:val="left"/>
      </w:pPr>
      <w:r>
        <w:rPr>
          <w:w w:val="101.3277530670166"/>
          <w:rFonts w:ascii="CIDFont+F2" w:hAnsi="CIDFont+F2" w:eastAsia="CIDFont+F2"/>
          <w:b w:val="0"/>
          <w:i w:val="0"/>
          <w:color w:val="FFFFFF"/>
          <w:sz w:val="12"/>
        </w:rPr>
        <w:t>1</w:t>
      </w:r>
    </w:p>
    <w:p>
      <w:pPr>
        <w:sectPr>
          <w:pgSz w:w="12240" w:h="15840"/>
          <w:pgMar w:top="356" w:right="1440" w:bottom="4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174" w:lineRule="exact" w:before="0" w:after="0"/>
        <w:ind w:left="5974" w:right="288" w:hanging="2120"/>
        <w:jc w:val="left"/>
      </w:pPr>
      <w:r>
        <w:rPr>
          <w:w w:val="101.32767813546317"/>
          <w:rFonts w:ascii="CIDFont+F1" w:hAnsi="CIDFont+F1" w:eastAsia="CIDFont+F1"/>
          <w:b w:val="0"/>
          <w:i/>
          <w:color w:val="000000"/>
          <w:sz w:val="14"/>
        </w:rPr>
        <w:t xml:space="preserve">Trust Fund Financial Information Summary for fiscal years ended June 30, 2024 and 2023 </w:t>
      </w:r>
      <w:r>
        <w:rPr>
          <w:w w:val="101.32767813546317"/>
          <w:rFonts w:ascii="CIDFont+F1" w:hAnsi="CIDFont+F1" w:eastAsia="CIDFont+F1"/>
          <w:b w:val="0"/>
          <w:i/>
          <w:color w:val="000000"/>
          <w:sz w:val="14"/>
        </w:rPr>
        <w:t xml:space="preserve">All amounts in USD millions, unless otherwise noted </w:t>
      </w:r>
    </w:p>
    <w:p>
      <w:pPr>
        <w:autoSpaceDN w:val="0"/>
        <w:autoSpaceDE w:val="0"/>
        <w:widowControl/>
        <w:spacing w:line="228" w:lineRule="exact" w:before="174" w:after="0"/>
        <w:ind w:left="432" w:right="0" w:firstLine="0"/>
        <w:jc w:val="left"/>
      </w:pPr>
      <w:r>
        <w:rPr>
          <w:w w:val="98.36526168020147"/>
          <w:rFonts w:ascii="CIDFont+F2" w:hAnsi="CIDFont+F2" w:eastAsia="CIDFont+F2"/>
          <w:b w:val="0"/>
          <w:i w:val="0"/>
          <w:color w:val="00497B"/>
          <w:sz w:val="19"/>
        </w:rPr>
        <w:t xml:space="preserve">Trust Fund Operations – Financial Information Summary for the Fiscal years ended June 30, 2024 and 2023 </w:t>
      </w:r>
    </w:p>
    <w:p>
      <w:pPr>
        <w:autoSpaceDN w:val="0"/>
        <w:autoSpaceDE w:val="0"/>
        <w:widowControl/>
        <w:spacing w:line="266" w:lineRule="exact" w:before="138" w:after="0"/>
        <w:ind w:left="432" w:right="288" w:firstLine="0"/>
        <w:jc w:val="left"/>
      </w:pPr>
      <w:r>
        <w:rPr>
          <w:w w:val="101.77799987792969"/>
          <w:rFonts w:ascii="CIDFont+F5" w:hAnsi="CIDFont+F5" w:eastAsia="CIDFont+F5"/>
          <w:b/>
          <w:i w:val="0"/>
          <w:color w:val="00497B"/>
          <w:sz w:val="25"/>
        </w:rPr>
        <w:t xml:space="preserve">Introduction </w:t>
      </w:r>
      <w:r>
        <w:rPr>
          <w:rFonts w:ascii="CIDFont+F5" w:hAnsi="CIDFont+F5" w:eastAsia="CIDFont+F5"/>
          <w:b/>
          <w:i w:val="0"/>
          <w:color w:val="FFFFFF"/>
          <w:sz w:val="17"/>
        </w:rPr>
        <w:t xml:space="preserve">1 </w:t>
      </w:r>
      <w:r>
        <w:br/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>Trust Funds</w:t>
      </w:r>
      <w:r>
        <w:rPr>
          <w:w w:val="101.3277530670166"/>
          <w:rFonts w:ascii="CIDFont+F2" w:hAnsi="CIDFont+F2" w:eastAsia="CIDFont+F2"/>
          <w:b w:val="0"/>
          <w:i w:val="0"/>
          <w:color w:val="000000"/>
          <w:sz w:val="12"/>
        </w:rPr>
        <w:t>1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 are financial and administrative arrangements made between Development Partners (DPs) and one 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or more World Bank Group entities to meet diverse development needs including project preparation, technical 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>assistance, advisory services, debt relief, post conflict transition, disaster recovery, climate change, and co-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financing of lending projects. Trust funds contribute to the Bank Group’s mission of poverty reduction on a 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livable planet by supporting the design and implementation of development projects. </w:t>
      </w:r>
    </w:p>
    <w:p>
      <w:pPr>
        <w:autoSpaceDN w:val="0"/>
        <w:autoSpaceDE w:val="0"/>
        <w:widowControl/>
        <w:spacing w:line="264" w:lineRule="exact" w:before="190" w:after="0"/>
        <w:ind w:left="432" w:right="406" w:firstLine="0"/>
        <w:jc w:val="both"/>
      </w:pP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This report provides aggregate financial information on trust fund operations administered individually or jointly 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by the International Bank for Reconstruction and Development (IBRD), the International Development 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Association (IDA), the International Finance Corporation (IFC) and the Multilateral Investment Guarantee Agency 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(MIGA). These four entities are collectively referred to as the “Bank Group.” This report is unaudited, and is not 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intended to represent the combined financial position of trust funds and programs administered by the Bank 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Group. Numbers presented for previous periods have been regrouped to conform to the current period 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presentation. </w:t>
      </w:r>
    </w:p>
    <w:p>
      <w:pPr>
        <w:autoSpaceDN w:val="0"/>
        <w:autoSpaceDE w:val="0"/>
        <w:widowControl/>
        <w:spacing w:line="260" w:lineRule="exact" w:before="194" w:after="0"/>
        <w:ind w:left="432" w:right="288" w:firstLine="0"/>
        <w:jc w:val="left"/>
      </w:pP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Questions or comments on the report should be addressed to </w:t>
      </w:r>
      <w:r>
        <w:rPr>
          <w:w w:val="98.36526168020147"/>
          <w:rFonts w:ascii="CIDFont+F3" w:hAnsi="CIDFont+F3" w:eastAsia="CIDFont+F3"/>
          <w:b/>
          <w:i w:val="0"/>
          <w:color w:val="000000"/>
          <w:sz w:val="19"/>
        </w:rPr>
        <w:t>Christopher R. Vallyeason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, Manager, Trust Funds 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and Accounting Department at </w:t>
      </w:r>
      <w:r>
        <w:rPr>
          <w:w w:val="98.36526168020147"/>
          <w:rFonts w:ascii="CIDFont+F3" w:hAnsi="CIDFont+F3" w:eastAsia="CIDFont+F3"/>
          <w:b/>
          <w:i w:val="0"/>
          <w:color w:val="000000"/>
          <w:sz w:val="19"/>
        </w:rPr>
        <w:t>cvallyeason@worldbank.org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. </w:t>
      </w:r>
    </w:p>
    <w:p>
      <w:pPr>
        <w:autoSpaceDN w:val="0"/>
        <w:autoSpaceDE w:val="0"/>
        <w:widowControl/>
        <w:spacing w:line="162" w:lineRule="exact" w:before="7622" w:after="0"/>
        <w:ind w:left="432" w:right="576" w:firstLine="0"/>
        <w:jc w:val="left"/>
      </w:pPr>
      <w:r>
        <w:rPr>
          <w:w w:val="105.08066813151042"/>
          <w:rFonts w:ascii="CIDFont+F8" w:hAnsi="CIDFont+F8" w:eastAsia="CIDFont+F8"/>
          <w:b w:val="0"/>
          <w:i/>
          <w:color w:val="000000"/>
          <w:sz w:val="9"/>
        </w:rPr>
        <w:t>1</w:t>
      </w:r>
      <w:r>
        <w:rPr>
          <w:w w:val="101.32767813546317"/>
          <w:rFonts w:ascii="CIDFont+F8" w:hAnsi="CIDFont+F8" w:eastAsia="CIDFont+F8"/>
          <w:b w:val="0"/>
          <w:i/>
          <w:color w:val="000000"/>
          <w:sz w:val="14"/>
        </w:rPr>
        <w:t xml:space="preserve">This report uses the Trust Fund typology of IBRD/IDA Trust Funds, Financial Intermediary Funds (FIFs) and IFC Trust Funds. The </w:t>
      </w:r>
      <w:r>
        <w:rPr>
          <w:w w:val="101.32767813546317"/>
          <w:rFonts w:ascii="CIDFont+F8" w:hAnsi="CIDFont+F8" w:eastAsia="CIDFont+F8"/>
          <w:b w:val="0"/>
          <w:i/>
          <w:color w:val="000000"/>
          <w:sz w:val="14"/>
        </w:rPr>
        <w:t xml:space="preserve">following are not included in this report: (1) the Advance Market Commitment (AMC), which is a FIF but not a trust fund, and (2) trust </w:t>
      </w:r>
      <w:r>
        <w:rPr>
          <w:w w:val="101.32767813546317"/>
          <w:rFonts w:ascii="CIDFont+F8" w:hAnsi="CIDFont+F8" w:eastAsia="CIDFont+F8"/>
          <w:b w:val="0"/>
          <w:i/>
          <w:color w:val="000000"/>
          <w:sz w:val="14"/>
        </w:rPr>
        <w:t xml:space="preserve">funds that are managed separately by IFC (trust funds which support IFC's Special Initiatives and Investment Programs) which do not </w:t>
      </w:r>
      <w:r>
        <w:rPr>
          <w:w w:val="101.32767813546317"/>
          <w:rFonts w:ascii="CIDFont+F8" w:hAnsi="CIDFont+F8" w:eastAsia="CIDFont+F8"/>
          <w:b w:val="0"/>
          <w:i/>
          <w:color w:val="000000"/>
          <w:sz w:val="14"/>
        </w:rPr>
        <w:t>form part of the investment portfolio maintained by IBRD for trust funds.</w:t>
      </w:r>
    </w:p>
    <w:p>
      <w:pPr>
        <w:autoSpaceDN w:val="0"/>
        <w:autoSpaceDE w:val="0"/>
        <w:widowControl/>
        <w:spacing w:line="228" w:lineRule="exact" w:before="188" w:after="0"/>
        <w:ind w:left="0" w:right="402" w:firstLine="0"/>
        <w:jc w:val="right"/>
      </w:pP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2 </w:t>
      </w:r>
    </w:p>
    <w:p>
      <w:pPr>
        <w:autoSpaceDN w:val="0"/>
        <w:autoSpaceDE w:val="0"/>
        <w:widowControl/>
        <w:spacing w:line="148" w:lineRule="exact" w:before="188" w:after="0"/>
        <w:ind w:left="432" w:right="0" w:firstLine="0"/>
        <w:jc w:val="left"/>
      </w:pPr>
      <w:r>
        <w:rPr>
          <w:w w:val="101.3277530670166"/>
          <w:rFonts w:ascii="CIDFont+F2" w:hAnsi="CIDFont+F2" w:eastAsia="CIDFont+F2"/>
          <w:b w:val="0"/>
          <w:i w:val="0"/>
          <w:color w:val="FFFFFF"/>
          <w:sz w:val="12"/>
        </w:rPr>
        <w:t>1</w:t>
      </w:r>
    </w:p>
    <w:p>
      <w:pPr>
        <w:sectPr>
          <w:pgSz w:w="12240" w:h="15840"/>
          <w:pgMar w:top="356" w:right="1440" w:bottom="4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174" w:lineRule="exact" w:before="0" w:after="0"/>
        <w:ind w:left="5974" w:right="288" w:hanging="2120"/>
        <w:jc w:val="left"/>
      </w:pPr>
      <w:r>
        <w:rPr>
          <w:w w:val="101.32767813546317"/>
          <w:rFonts w:ascii="CIDFont+F1" w:hAnsi="CIDFont+F1" w:eastAsia="CIDFont+F1"/>
          <w:b w:val="0"/>
          <w:i/>
          <w:color w:val="000000"/>
          <w:sz w:val="14"/>
        </w:rPr>
        <w:t xml:space="preserve">Trust Fund Financial Information Summary for fiscal years ended June 30, 2024 and 2023 </w:t>
      </w:r>
      <w:r>
        <w:rPr>
          <w:w w:val="101.32767813546317"/>
          <w:rFonts w:ascii="CIDFont+F1" w:hAnsi="CIDFont+F1" w:eastAsia="CIDFont+F1"/>
          <w:b w:val="0"/>
          <w:i/>
          <w:color w:val="000000"/>
          <w:sz w:val="14"/>
        </w:rPr>
        <w:t xml:space="preserve">All amounts in USD millions, unless otherwise noted </w:t>
      </w:r>
    </w:p>
    <w:p>
      <w:pPr>
        <w:autoSpaceDN w:val="0"/>
        <w:autoSpaceDE w:val="0"/>
        <w:widowControl/>
        <w:spacing w:line="300" w:lineRule="exact" w:before="172" w:after="0"/>
        <w:ind w:left="432" w:right="0" w:firstLine="0"/>
        <w:jc w:val="left"/>
      </w:pPr>
      <w:r>
        <w:rPr>
          <w:w w:val="101.32788144625151"/>
          <w:rFonts w:ascii="CIDFont+F5" w:hAnsi="CIDFont+F5" w:eastAsia="CIDFont+F5"/>
          <w:b/>
          <w:i w:val="0"/>
          <w:color w:val="00497B"/>
          <w:sz w:val="26"/>
        </w:rPr>
        <w:t xml:space="preserve">Abbreviations and Acronyms </w:t>
      </w:r>
    </w:p>
    <w:p>
      <w:pPr>
        <w:autoSpaceDN w:val="0"/>
        <w:autoSpaceDE w:val="0"/>
        <w:widowControl/>
        <w:spacing w:line="240" w:lineRule="auto" w:before="230" w:after="0"/>
        <w:ind w:left="4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16450" cy="74028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7402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exact" w:before="986" w:after="0"/>
        <w:ind w:left="0" w:right="402" w:firstLine="0"/>
        <w:jc w:val="right"/>
      </w:pP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3 </w:t>
      </w:r>
    </w:p>
    <w:p>
      <w:pPr>
        <w:autoSpaceDN w:val="0"/>
        <w:autoSpaceDE w:val="0"/>
        <w:widowControl/>
        <w:spacing w:line="148" w:lineRule="exact" w:before="188" w:after="0"/>
        <w:ind w:left="432" w:right="0" w:firstLine="0"/>
        <w:jc w:val="left"/>
      </w:pPr>
      <w:r>
        <w:rPr>
          <w:w w:val="101.3277530670166"/>
          <w:rFonts w:ascii="CIDFont+F2" w:hAnsi="CIDFont+F2" w:eastAsia="CIDFont+F2"/>
          <w:b w:val="0"/>
          <w:i w:val="0"/>
          <w:color w:val="FFFFFF"/>
          <w:sz w:val="12"/>
        </w:rPr>
        <w:t>1</w:t>
      </w:r>
    </w:p>
    <w:p>
      <w:pPr>
        <w:sectPr>
          <w:pgSz w:w="12240" w:h="15840"/>
          <w:pgMar w:top="356" w:right="1440" w:bottom="4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174" w:lineRule="exact" w:before="0" w:after="0"/>
        <w:ind w:left="5974" w:right="288" w:hanging="2120"/>
        <w:jc w:val="left"/>
      </w:pPr>
      <w:r>
        <w:rPr>
          <w:w w:val="101.32767813546317"/>
          <w:rFonts w:ascii="CIDFont+F1" w:hAnsi="CIDFont+F1" w:eastAsia="CIDFont+F1"/>
          <w:b w:val="0"/>
          <w:i/>
          <w:color w:val="000000"/>
          <w:sz w:val="14"/>
        </w:rPr>
        <w:t xml:space="preserve">Trust Fund Financial Information Summary for fiscal years ended June 30, 2024 and 2023 </w:t>
      </w:r>
      <w:r>
        <w:rPr>
          <w:w w:val="101.32767813546317"/>
          <w:rFonts w:ascii="CIDFont+F1" w:hAnsi="CIDFont+F1" w:eastAsia="CIDFont+F1"/>
          <w:b w:val="0"/>
          <w:i/>
          <w:color w:val="000000"/>
          <w:sz w:val="14"/>
        </w:rPr>
        <w:t xml:space="preserve">All amounts in USD millions, unless otherwise noted </w:t>
      </w:r>
    </w:p>
    <w:p>
      <w:pPr>
        <w:autoSpaceDN w:val="0"/>
        <w:autoSpaceDE w:val="0"/>
        <w:widowControl/>
        <w:spacing w:line="300" w:lineRule="exact" w:before="172" w:after="0"/>
        <w:ind w:left="432" w:right="0" w:firstLine="0"/>
        <w:jc w:val="left"/>
      </w:pPr>
      <w:r>
        <w:rPr>
          <w:w w:val="101.32788144625151"/>
          <w:rFonts w:ascii="CIDFont+F5" w:hAnsi="CIDFont+F5" w:eastAsia="CIDFont+F5"/>
          <w:b/>
          <w:i w:val="0"/>
          <w:color w:val="00497B"/>
          <w:sz w:val="26"/>
        </w:rPr>
        <w:t xml:space="preserve">Contents and Summary of Financial Data </w:t>
      </w:r>
    </w:p>
    <w:p>
      <w:pPr>
        <w:autoSpaceDN w:val="0"/>
        <w:autoSpaceDE w:val="0"/>
        <w:widowControl/>
        <w:spacing w:line="240" w:lineRule="auto" w:before="600" w:after="0"/>
        <w:ind w:left="4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120640" cy="47828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782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exact" w:before="4742" w:after="0"/>
        <w:ind w:left="0" w:right="402" w:firstLine="0"/>
        <w:jc w:val="right"/>
      </w:pP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4 </w:t>
      </w:r>
    </w:p>
    <w:p>
      <w:pPr>
        <w:autoSpaceDN w:val="0"/>
        <w:autoSpaceDE w:val="0"/>
        <w:widowControl/>
        <w:spacing w:line="148" w:lineRule="exact" w:before="188" w:after="0"/>
        <w:ind w:left="432" w:right="0" w:firstLine="0"/>
        <w:jc w:val="left"/>
      </w:pPr>
      <w:r>
        <w:rPr>
          <w:w w:val="101.3277530670166"/>
          <w:rFonts w:ascii="CIDFont+F2" w:hAnsi="CIDFont+F2" w:eastAsia="CIDFont+F2"/>
          <w:b w:val="0"/>
          <w:i w:val="0"/>
          <w:color w:val="FFFFFF"/>
          <w:sz w:val="12"/>
        </w:rPr>
        <w:t>1</w:t>
      </w:r>
    </w:p>
    <w:p>
      <w:pPr>
        <w:sectPr>
          <w:pgSz w:w="12240" w:h="15840"/>
          <w:pgMar w:top="356" w:right="1440" w:bottom="4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2743200</wp:posOffset>
            </wp:positionV>
            <wp:extent cx="2768600" cy="17145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714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4305300</wp:posOffset>
            </wp:positionH>
            <wp:positionV relativeFrom="page">
              <wp:posOffset>2946400</wp:posOffset>
            </wp:positionV>
            <wp:extent cx="2032000" cy="11303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130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2844800</wp:posOffset>
            </wp:positionV>
            <wp:extent cx="2019300" cy="25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2603500</wp:posOffset>
            </wp:positionV>
            <wp:extent cx="2197100" cy="19177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1917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6362700</wp:posOffset>
            </wp:positionV>
            <wp:extent cx="1866900" cy="8509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850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1790700</wp:posOffset>
            </wp:positionV>
            <wp:extent cx="3733800" cy="4699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69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6413500</wp:posOffset>
            </wp:positionV>
            <wp:extent cx="2882900" cy="9144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91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6324600</wp:posOffset>
            </wp:positionV>
            <wp:extent cx="3048000" cy="1054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054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4" w:lineRule="exact" w:before="0" w:after="0"/>
        <w:ind w:left="5974" w:right="288" w:hanging="2120"/>
        <w:jc w:val="left"/>
      </w:pPr>
      <w:r>
        <w:rPr>
          <w:w w:val="101.32767813546317"/>
          <w:rFonts w:ascii="CIDFont+F1" w:hAnsi="CIDFont+F1" w:eastAsia="CIDFont+F1"/>
          <w:b w:val="0"/>
          <w:i/>
          <w:color w:val="000000"/>
          <w:sz w:val="14"/>
        </w:rPr>
        <w:t xml:space="preserve">Trust Fund Financial Information Summary for fiscal years ended June 30, 2024 and 2023 </w:t>
      </w:r>
      <w:r>
        <w:rPr>
          <w:w w:val="101.32767813546317"/>
          <w:rFonts w:ascii="CIDFont+F1" w:hAnsi="CIDFont+F1" w:eastAsia="CIDFont+F1"/>
          <w:b w:val="0"/>
          <w:i/>
          <w:color w:val="000000"/>
          <w:sz w:val="14"/>
        </w:rPr>
        <w:t xml:space="preserve">All amounts in USD millions, unless otherwise noted </w:t>
      </w:r>
    </w:p>
    <w:p>
      <w:pPr>
        <w:autoSpaceDN w:val="0"/>
        <w:autoSpaceDE w:val="0"/>
        <w:widowControl/>
        <w:spacing w:line="300" w:lineRule="exact" w:before="172" w:after="8"/>
        <w:ind w:left="432" w:right="0" w:firstLine="0"/>
        <w:jc w:val="left"/>
      </w:pPr>
      <w:r>
        <w:rPr>
          <w:w w:val="101.32788144625151"/>
          <w:rFonts w:ascii="CIDFont+F5" w:hAnsi="CIDFont+F5" w:eastAsia="CIDFont+F5"/>
          <w:b/>
          <w:i w:val="0"/>
          <w:color w:val="00497B"/>
          <w:sz w:val="26"/>
        </w:rPr>
        <w:t>Portfolio at a Glance - IBRD/IDA/IFC Trust Funds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1.9999999999999" w:type="dxa"/>
      </w:tblPr>
      <w:tblGrid>
        <w:gridCol w:w="3120"/>
        <w:gridCol w:w="3120"/>
        <w:gridCol w:w="3120"/>
      </w:tblGrid>
      <w:tr>
        <w:trPr>
          <w:trHeight w:hRule="exact" w:val="540"/>
        </w:trPr>
        <w:tc>
          <w:tcPr>
            <w:tcW w:type="dxa" w:w="2652"/>
            <w:tcBorders>
              <w:top w:sz="7.679999828338623" w:val="single" w:color="#1F497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56"/>
            <w:tcBorders>
              <w:top w:sz="7.679999828338623" w:val="single" w:color="#1F497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38" w:after="0"/>
              <w:ind w:left="36" w:right="0" w:firstLine="0"/>
              <w:jc w:val="left"/>
            </w:pP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1F497D"/>
                <w:sz w:val="19"/>
              </w:rPr>
              <w:t xml:space="preserve">Contributions </w:t>
            </w:r>
          </w:p>
        </w:tc>
        <w:tc>
          <w:tcPr>
            <w:tcW w:type="dxa" w:w="4702"/>
            <w:tcBorders>
              <w:top w:sz="7.679999828338623" w:val="single" w:color="#1F497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38" w:after="0"/>
              <w:ind w:left="0" w:right="0" w:firstLine="0"/>
              <w:jc w:val="center"/>
            </w:pP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1F497D"/>
                <w:sz w:val="19"/>
              </w:rPr>
              <w:t xml:space="preserve"> Investment Income     Disbursements         Fund Balance </w:t>
            </w:r>
          </w:p>
        </w:tc>
      </w:tr>
      <w:tr>
        <w:trPr>
          <w:trHeight w:hRule="exact" w:val="468"/>
        </w:trPr>
        <w:tc>
          <w:tcPr>
            <w:tcW w:type="dxa" w:w="2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left"/>
            </w:pPr>
            <w:r>
              <w:rPr>
                <w:w w:val="98.6471448625837"/>
                <w:rFonts w:ascii="CIDFont+F3" w:hAnsi="CIDFont+F3" w:eastAsia="CIDFont+F3"/>
                <w:b/>
                <w:i w:val="0"/>
                <w:color w:val="1F497D"/>
                <w:sz w:val="21"/>
              </w:rPr>
              <w:t xml:space="preserve">2024 </w:t>
            </w:r>
          </w:p>
        </w:tc>
        <w:tc>
          <w:tcPr>
            <w:tcW w:type="dxa" w:w="5958"/>
            <w:gridSpan w:val="2"/>
            <w:tcBorders/>
            <w:shd w:fill="d8e2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6" w:after="0"/>
              <w:ind w:left="278" w:right="0" w:firstLine="0"/>
              <w:jc w:val="left"/>
            </w:pPr>
            <w:r>
              <w:rPr>
                <w:w w:val="98.6471448625837"/>
                <w:rFonts w:ascii="CIDFont+F3" w:hAnsi="CIDFont+F3" w:eastAsia="CIDFont+F3"/>
                <w:b/>
                <w:i w:val="0"/>
                <w:color w:val="1F497D"/>
                <w:sz w:val="21"/>
              </w:rPr>
              <w:t xml:space="preserve"> $6,890                      $851                     $9,797                  $13,626 </w:t>
            </w:r>
          </w:p>
        </w:tc>
      </w:tr>
    </w:tbl>
    <w:p>
      <w:pPr>
        <w:autoSpaceDN w:val="0"/>
        <w:autoSpaceDE w:val="0"/>
        <w:widowControl/>
        <w:spacing w:line="254" w:lineRule="exact" w:before="246" w:after="20"/>
        <w:ind w:left="432" w:right="0" w:firstLine="0"/>
        <w:jc w:val="left"/>
      </w:pPr>
      <w:r>
        <w:rPr>
          <w:w w:val="98.6471448625837"/>
          <w:rFonts w:ascii="CIDFont+F3" w:hAnsi="CIDFont+F3" w:eastAsia="CIDFont+F3"/>
          <w:b/>
          <w:i w:val="0"/>
          <w:color w:val="1F497D"/>
          <w:sz w:val="21"/>
        </w:rPr>
        <w:t xml:space="preserve">YoY change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0.0" w:type="dxa"/>
      </w:tblPr>
      <w:tblGrid>
        <w:gridCol w:w="2340"/>
        <w:gridCol w:w="2340"/>
        <w:gridCol w:w="2340"/>
        <w:gridCol w:w="2340"/>
      </w:tblGrid>
      <w:tr>
        <w:trPr>
          <w:trHeight w:hRule="exact" w:val="326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" w:after="0"/>
              <w:ind w:left="0" w:right="574" w:firstLine="0"/>
              <w:jc w:val="right"/>
            </w:pPr>
            <w:r>
              <w:rPr>
                <w:w w:val="98.36526168020147"/>
                <w:rFonts w:ascii="CIDFont+F3" w:hAnsi="CIDFont+F3" w:eastAsia="CIDFont+F3"/>
                <w:b/>
                <w:i w:val="0"/>
                <w:color w:val="1F497D"/>
                <w:sz w:val="19"/>
              </w:rPr>
              <w:t xml:space="preserve">69%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34" w:after="0"/>
              <w:ind w:left="0" w:right="0" w:firstLine="0"/>
              <w:jc w:val="center"/>
            </w:pPr>
            <w:r>
              <w:rPr>
                <w:w w:val="98.36526168020147"/>
                <w:rFonts w:ascii="CIDFont+F3" w:hAnsi="CIDFont+F3" w:eastAsia="CIDFont+F3"/>
                <w:b/>
                <w:i w:val="0"/>
                <w:color w:val="1F497D"/>
                <w:sz w:val="19"/>
              </w:rPr>
              <w:t xml:space="preserve">48%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" w:after="0"/>
              <w:ind w:left="0" w:right="0" w:firstLine="0"/>
              <w:jc w:val="center"/>
            </w:pPr>
            <w:r>
              <w:rPr>
                <w:w w:val="98.36526168020147"/>
                <w:rFonts w:ascii="CIDFont+F3" w:hAnsi="CIDFont+F3" w:eastAsia="CIDFont+F3"/>
                <w:b/>
                <w:i w:val="0"/>
                <w:color w:val="1F497D"/>
                <w:sz w:val="19"/>
              </w:rPr>
              <w:t xml:space="preserve">53%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38" w:after="0"/>
              <w:ind w:left="0" w:right="358" w:firstLine="0"/>
              <w:jc w:val="right"/>
            </w:pPr>
            <w:r>
              <w:rPr>
                <w:w w:val="98.36526168020147"/>
                <w:rFonts w:ascii="CIDFont+F3" w:hAnsi="CIDFont+F3" w:eastAsia="CIDFont+F3"/>
                <w:b/>
                <w:i w:val="0"/>
                <w:color w:val="1F497D"/>
                <w:sz w:val="19"/>
              </w:rPr>
              <w:t xml:space="preserve">10% 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86"/>
        </w:trPr>
        <w:tc>
          <w:tcPr>
            <w:tcW w:type="dxa" w:w="895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548c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" w:after="0"/>
              <w:ind w:left="98" w:right="0" w:firstLine="0"/>
              <w:jc w:val="left"/>
            </w:pPr>
            <w:r>
              <w:rPr>
                <w:w w:val="98.36526168020147"/>
                <w:rFonts w:ascii="CIDFont+F3" w:hAnsi="CIDFont+F3" w:eastAsia="CIDFont+F3"/>
                <w:b/>
                <w:i w:val="0"/>
                <w:color w:val="FFFFFF"/>
                <w:sz w:val="19"/>
              </w:rPr>
              <w:t>Key Metrices</w:t>
            </w:r>
          </w:p>
        </w:tc>
      </w:tr>
      <w:tr>
        <w:trPr>
          <w:trHeight w:hRule="exact" w:val="3170"/>
        </w:trPr>
        <w:tc>
          <w:tcPr>
            <w:tcW w:type="dxa" w:w="491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8" w:val="left"/>
                <w:tab w:pos="2328" w:val="left"/>
              </w:tabs>
              <w:autoSpaceDE w:val="0"/>
              <w:widowControl/>
              <w:spacing w:line="206" w:lineRule="exact" w:before="50" w:after="8"/>
              <w:ind w:left="98" w:right="1296" w:firstLine="0"/>
              <w:jc w:val="left"/>
            </w:pPr>
            <w:r>
              <w:rPr>
                <w:w w:val="98.6471448625837"/>
                <w:rFonts w:ascii="CIDFont+F3" w:hAnsi="CIDFont+F3" w:eastAsia="CIDFont+F3"/>
                <w:b/>
                <w:i w:val="0"/>
                <w:color w:val="001F60"/>
                <w:sz w:val="21"/>
              </w:rPr>
              <w:t xml:space="preserve">Cash contributions </w:t>
            </w:r>
            <w:r>
              <w:br/>
            </w:r>
            <w:r>
              <w:tab/>
            </w:r>
            <w:r>
              <w:rPr>
                <w:w w:val="97.42681063138522"/>
                <w:rFonts w:ascii="CIDFont+F2" w:hAnsi="CIDFont+F2" w:eastAsia="CIDFont+F2"/>
                <w:b w:val="0"/>
                <w:i w:val="0"/>
                <w:color w:val="000000"/>
                <w:sz w:val="13"/>
              </w:rPr>
              <w:t xml:space="preserve">Total Contribution Receipts of IBRD/IDA/IFC TF, </w:t>
            </w:r>
            <w:r>
              <w:tab/>
            </w:r>
            <w:r>
              <w:tab/>
            </w:r>
            <w:r>
              <w:rPr>
                <w:w w:val="97.42681063138522"/>
                <w:rFonts w:ascii="CIDFont+F2" w:hAnsi="CIDFont+F2" w:eastAsia="CIDFont+F2"/>
                <w:b w:val="0"/>
                <w:i w:val="0"/>
                <w:color w:val="000000"/>
                <w:sz w:val="13"/>
              </w:rPr>
              <w:t>$m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5.99999999999994" w:type="dxa"/>
            </w:tblPr>
            <w:tblGrid>
              <w:gridCol w:w="2458"/>
              <w:gridCol w:w="2458"/>
            </w:tblGrid>
            <w:tr>
              <w:trPr>
                <w:trHeight w:hRule="exact" w:val="356"/>
              </w:trPr>
              <w:tc>
                <w:tcPr>
                  <w:tcW w:type="dxa" w:w="1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0" w:after="0"/>
                    <w:ind w:left="134" w:right="0" w:firstLine="0"/>
                    <w:jc w:val="left"/>
                  </w:pPr>
                  <w:r>
                    <w:rPr>
                      <w:w w:val="97.42681063138522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 25,000</w:t>
                  </w:r>
                </w:p>
              </w:tc>
              <w:tc>
                <w:tcPr>
                  <w:tcW w:type="dxa" w:w="2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8" w:after="0"/>
                    <w:ind w:left="1296" w:right="666" w:firstLine="0"/>
                    <w:jc w:val="right"/>
                  </w:pPr>
                  <w:r>
                    <w:rPr>
                      <w:w w:val="98.51082166035971"/>
                      <w:rFonts w:ascii="CIDFont+F2" w:hAnsi="CIDFont+F2" w:eastAsia="CIDFont+F2"/>
                      <w:b w:val="0"/>
                      <w:i w:val="0"/>
                      <w:color w:val="000000"/>
                      <w:sz w:val="12"/>
                    </w:rPr>
                    <w:t xml:space="preserve">4%, </w:t>
                  </w:r>
                  <w:r>
                    <w:br/>
                  </w:r>
                  <w:r>
                    <w:rPr>
                      <w:w w:val="98.51082166035971"/>
                      <w:rFonts w:ascii="CIDFont+F2" w:hAnsi="CIDFont+F2" w:eastAsia="CIDFont+F2"/>
                      <w:b w:val="0"/>
                      <w:i w:val="0"/>
                      <w:color w:val="000000"/>
                      <w:sz w:val="12"/>
                    </w:rPr>
                    <w:t xml:space="preserve">932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54" w:lineRule="exact" w:before="72" w:after="0"/>
              <w:ind w:left="250" w:right="0" w:firstLine="0"/>
              <w:jc w:val="left"/>
            </w:pPr>
            <w:r>
              <w:rPr>
                <w:w w:val="97.42681063138522"/>
                <w:rFonts w:ascii="CIDFont+F2" w:hAnsi="CIDFont+F2" w:eastAsia="CIDFont+F2"/>
                <w:b w:val="0"/>
                <w:i w:val="0"/>
                <w:color w:val="000000"/>
                <w:sz w:val="13"/>
              </w:rPr>
              <w:t xml:space="preserve"> 20,000</w:t>
            </w:r>
          </w:p>
          <w:p>
            <w:pPr>
              <w:autoSpaceDN w:val="0"/>
              <w:autoSpaceDE w:val="0"/>
              <w:widowControl/>
              <w:spacing w:line="156" w:lineRule="exact" w:before="142" w:after="4"/>
              <w:ind w:left="250" w:right="0" w:firstLine="0"/>
              <w:jc w:val="left"/>
            </w:pPr>
            <w:r>
              <w:rPr>
                <w:w w:val="97.42681063138522"/>
                <w:rFonts w:ascii="CIDFont+F2" w:hAnsi="CIDFont+F2" w:eastAsia="CIDFont+F2"/>
                <w:b w:val="0"/>
                <w:i w:val="0"/>
                <w:color w:val="000000"/>
                <w:sz w:val="13"/>
              </w:rPr>
              <w:t xml:space="preserve"> 15,000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5.99999999999994" w:type="dxa"/>
            </w:tblPr>
            <w:tblGrid>
              <w:gridCol w:w="819"/>
              <w:gridCol w:w="819"/>
              <w:gridCol w:w="819"/>
              <w:gridCol w:w="819"/>
              <w:gridCol w:w="819"/>
              <w:gridCol w:w="819"/>
            </w:tblGrid>
            <w:tr>
              <w:trPr>
                <w:trHeight w:hRule="exact" w:val="164"/>
              </w:trPr>
              <w:tc>
                <w:tcPr>
                  <w:tcW w:type="dxa" w:w="6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140" w:after="0"/>
                    <w:ind w:left="0" w:right="0" w:firstLine="0"/>
                    <w:jc w:val="center"/>
                  </w:pPr>
                  <w:r>
                    <w:rPr>
                      <w:w w:val="97.42681063138522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 10,000</w:t>
                  </w:r>
                </w:p>
              </w:tc>
              <w:tc>
                <w:tcPr>
                  <w:tcW w:type="dxa" w:w="310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6" w:lineRule="exact" w:before="2" w:after="0"/>
                    <w:ind w:left="0" w:right="332" w:firstLine="0"/>
                    <w:jc w:val="right"/>
                  </w:pPr>
                  <w:r>
                    <w:rPr>
                      <w:w w:val="98.51082166035971"/>
                      <w:rFonts w:ascii="CIDFont+F2" w:hAnsi="CIDFont+F2" w:eastAsia="CIDFont+F2"/>
                      <w:b w:val="0"/>
                      <w:i w:val="0"/>
                      <w:color w:val="FFFFFF"/>
                      <w:sz w:val="12"/>
                    </w:rPr>
                    <w:t xml:space="preserve">96%, 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20" w:after="0"/>
                    <w:ind w:left="156" w:right="0" w:firstLine="0"/>
                    <w:jc w:val="left"/>
                  </w:pPr>
                  <w:r>
                    <w:rPr>
                      <w:w w:val="98.51082166035971"/>
                      <w:rFonts w:ascii="CIDFont+F2" w:hAnsi="CIDFont+F2" w:eastAsia="CIDFont+F2"/>
                      <w:b w:val="0"/>
                      <w:i w:val="0"/>
                      <w:color w:val="000000"/>
                      <w:sz w:val="12"/>
                    </w:rPr>
                    <w:t xml:space="preserve">14%, </w:t>
                  </w:r>
                </w:p>
              </w:tc>
            </w:tr>
            <w:tr>
              <w:trPr>
                <w:trHeight w:hRule="exact" w:val="173"/>
              </w:trPr>
              <w:tc>
                <w:tcPr>
                  <w:tcW w:type="dxa" w:w="819"/>
                  <w:vMerge/>
                  <w:tcBorders/>
                </w:tcPr>
                <w:p/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30" w:after="0"/>
                    <w:ind w:left="0" w:right="0" w:firstLine="0"/>
                    <w:jc w:val="right"/>
                  </w:pPr>
                  <w:r>
                    <w:rPr>
                      <w:w w:val="98.51082166035971"/>
                      <w:rFonts w:ascii="CIDFont+F2" w:hAnsi="CIDFont+F2" w:eastAsia="CIDFont+F2"/>
                      <w:b w:val="0"/>
                      <w:i w:val="0"/>
                      <w:color w:val="000000"/>
                      <w:sz w:val="12"/>
                    </w:rPr>
                    <w:t xml:space="preserve">18%, 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30" w:after="0"/>
                    <w:ind w:left="0" w:right="0" w:firstLine="0"/>
                    <w:jc w:val="center"/>
                  </w:pPr>
                  <w:r>
                    <w:rPr>
                      <w:w w:val="98.51082166035971"/>
                      <w:rFonts w:ascii="CIDFont+F2" w:hAnsi="CIDFont+F2" w:eastAsia="CIDFont+F2"/>
                      <w:b w:val="0"/>
                      <w:i w:val="0"/>
                      <w:color w:val="000000"/>
                      <w:sz w:val="12"/>
                    </w:rPr>
                    <w:t xml:space="preserve">16%,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0" w:after="0"/>
                    <w:ind w:left="68" w:right="0" w:firstLine="0"/>
                    <w:jc w:val="left"/>
                  </w:pPr>
                  <w:r>
                    <w:rPr>
                      <w:w w:val="98.51082166035971"/>
                      <w:rFonts w:ascii="CIDFont+F2" w:hAnsi="CIDFont+F2" w:eastAsia="CIDFont+F2"/>
                      <w:b w:val="0"/>
                      <w:i w:val="0"/>
                      <w:color w:val="000000"/>
                      <w:sz w:val="12"/>
                    </w:rPr>
                    <w:t xml:space="preserve">11%, </w:t>
                  </w:r>
                </w:p>
              </w:tc>
              <w:tc>
                <w:tcPr>
                  <w:tcW w:type="dxa" w:w="8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6" w:lineRule="exact" w:before="0" w:after="0"/>
                    <w:ind w:left="214" w:right="0" w:firstLine="0"/>
                    <w:jc w:val="left"/>
                  </w:pPr>
                  <w:r>
                    <w:rPr>
                      <w:w w:val="98.51082166035971"/>
                      <w:rFonts w:ascii="CIDFont+F2" w:hAnsi="CIDFont+F2" w:eastAsia="CIDFont+F2"/>
                      <w:b w:val="0"/>
                      <w:i w:val="0"/>
                      <w:color w:val="FFFFFF"/>
                      <w:sz w:val="12"/>
                    </w:rPr>
                    <w:t xml:space="preserve">22,543 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26" w:after="0"/>
                    <w:ind w:left="138" w:right="0" w:firstLine="0"/>
                    <w:jc w:val="left"/>
                  </w:pPr>
                  <w:r>
                    <w:rPr>
                      <w:w w:val="98.51082166035971"/>
                      <w:rFonts w:ascii="CIDFont+F2" w:hAnsi="CIDFont+F2" w:eastAsia="CIDFont+F2"/>
                      <w:b w:val="0"/>
                      <w:i w:val="0"/>
                      <w:color w:val="000000"/>
                      <w:sz w:val="12"/>
                    </w:rPr>
                    <w:t xml:space="preserve">1,092 </w:t>
                  </w:r>
                </w:p>
              </w:tc>
            </w:tr>
            <w:tr>
              <w:trPr>
                <w:trHeight w:hRule="exact" w:val="172"/>
              </w:trPr>
              <w:tc>
                <w:tcPr>
                  <w:tcW w:type="dxa" w:w="6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100" w:after="0"/>
                    <w:ind w:left="0" w:right="0" w:firstLine="0"/>
                    <w:jc w:val="center"/>
                  </w:pPr>
                  <w:r>
                    <w:rPr>
                      <w:w w:val="97.42681063138522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 5,000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16" w:after="0"/>
                    <w:ind w:left="0" w:right="16" w:firstLine="0"/>
                    <w:jc w:val="right"/>
                  </w:pPr>
                  <w:r>
                    <w:rPr>
                      <w:w w:val="98.51082166035971"/>
                      <w:rFonts w:ascii="CIDFont+F2" w:hAnsi="CIDFont+F2" w:eastAsia="CIDFont+F2"/>
                      <w:b w:val="0"/>
                      <w:i w:val="0"/>
                      <w:color w:val="000000"/>
                      <w:sz w:val="12"/>
                    </w:rPr>
                    <w:t xml:space="preserve">877 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6" w:lineRule="exact" w:before="0" w:after="0"/>
                    <w:ind w:left="0" w:right="0" w:firstLine="0"/>
                    <w:jc w:val="center"/>
                  </w:pPr>
                  <w:r>
                    <w:rPr>
                      <w:w w:val="98.51082166035971"/>
                      <w:rFonts w:ascii="CIDFont+F2" w:hAnsi="CIDFont+F2" w:eastAsia="CIDFont+F2"/>
                      <w:b w:val="0"/>
                      <w:i w:val="0"/>
                      <w:color w:val="000000"/>
                      <w:sz w:val="12"/>
                    </w:rPr>
                    <w:t xml:space="preserve">858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0" w:after="0"/>
                    <w:ind w:left="92" w:right="0" w:firstLine="0"/>
                    <w:jc w:val="left"/>
                  </w:pPr>
                  <w:r>
                    <w:rPr>
                      <w:w w:val="98.51082166035971"/>
                      <w:rFonts w:ascii="CIDFont+F2" w:hAnsi="CIDFont+F2" w:eastAsia="CIDFont+F2"/>
                      <w:b w:val="0"/>
                      <w:i w:val="0"/>
                      <w:color w:val="000000"/>
                      <w:sz w:val="12"/>
                    </w:rPr>
                    <w:t xml:space="preserve">638 </w:t>
                  </w:r>
                </w:p>
              </w:tc>
              <w:tc>
                <w:tcPr>
                  <w:tcW w:type="dxa" w:w="819"/>
                  <w:vMerge/>
                  <w:tcBorders/>
                </w:tcPr>
                <w:p/>
              </w:tc>
              <w:tc>
                <w:tcPr>
                  <w:tcW w:type="dxa" w:w="7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202" w:after="0"/>
                    <w:ind w:left="164" w:right="0" w:firstLine="0"/>
                    <w:jc w:val="left"/>
                  </w:pPr>
                  <w:r>
                    <w:rPr>
                      <w:w w:val="98.51082166035971"/>
                      <w:rFonts w:ascii="CIDFont+F2" w:hAnsi="CIDFont+F2" w:eastAsia="CIDFont+F2"/>
                      <w:b w:val="0"/>
                      <w:i w:val="0"/>
                      <w:color w:val="FFFFFF"/>
                      <w:sz w:val="12"/>
                    </w:rPr>
                    <w:t xml:space="preserve">86%, </w:t>
                  </w:r>
                </w:p>
              </w:tc>
            </w:tr>
            <w:tr>
              <w:trPr>
                <w:trHeight w:hRule="exact" w:val="186"/>
              </w:trPr>
              <w:tc>
                <w:tcPr>
                  <w:tcW w:type="dxa" w:w="819"/>
                  <w:vMerge/>
                  <w:tcBorders/>
                </w:tcPr>
                <w:p/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42" w:after="0"/>
                    <w:ind w:left="0" w:right="0" w:firstLine="0"/>
                    <w:jc w:val="right"/>
                  </w:pPr>
                  <w:r>
                    <w:rPr>
                      <w:w w:val="98.51082166035971"/>
                      <w:rFonts w:ascii="CIDFont+F2" w:hAnsi="CIDFont+F2" w:eastAsia="CIDFont+F2"/>
                      <w:b w:val="0"/>
                      <w:i w:val="0"/>
                      <w:color w:val="FFFFFF"/>
                      <w:sz w:val="12"/>
                    </w:rPr>
                    <w:t>82%</w:t>
                  </w:r>
                  <w:r>
                    <w:rPr>
                      <w:w w:val="101.32681846618652"/>
                      <w:rFonts w:ascii="CIDFont+F2" w:hAnsi="CIDFont+F2" w:eastAsia="CIDFont+F2"/>
                      <w:b w:val="0"/>
                      <w:i w:val="0"/>
                      <w:color w:val="FFFFFF"/>
                      <w:sz w:val="10"/>
                    </w:rPr>
                    <w:t xml:space="preserve">, 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36" w:after="0"/>
                    <w:ind w:left="0" w:right="0" w:firstLine="0"/>
                    <w:jc w:val="center"/>
                  </w:pPr>
                  <w:r>
                    <w:rPr>
                      <w:w w:val="98.51082166035971"/>
                      <w:rFonts w:ascii="CIDFont+F2" w:hAnsi="CIDFont+F2" w:eastAsia="CIDFont+F2"/>
                      <w:b w:val="0"/>
                      <w:i w:val="0"/>
                      <w:color w:val="FFFFFF"/>
                      <w:sz w:val="12"/>
                    </w:rPr>
                    <w:t xml:space="preserve">84%, </w:t>
                  </w:r>
                </w:p>
              </w:tc>
              <w:tc>
                <w:tcPr>
                  <w:tcW w:type="dxa" w:w="14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12" w:after="0"/>
                    <w:ind w:left="48" w:right="0" w:firstLine="0"/>
                    <w:jc w:val="left"/>
                  </w:pPr>
                  <w:r>
                    <w:rPr>
                      <w:w w:val="98.51082166035971"/>
                      <w:rFonts w:ascii="CIDFont+F2" w:hAnsi="CIDFont+F2" w:eastAsia="CIDFont+F2"/>
                      <w:b w:val="0"/>
                      <w:i w:val="0"/>
                      <w:color w:val="FFFFFF"/>
                      <w:sz w:val="12"/>
                    </w:rPr>
                    <w:t xml:space="preserve">89%, </w:t>
                  </w:r>
                </w:p>
              </w:tc>
              <w:tc>
                <w:tcPr>
                  <w:tcW w:type="dxa" w:w="819"/>
                  <w:vMerge/>
                  <w:tcBorders/>
                </w:tcPr>
                <w:p/>
              </w:tc>
            </w:tr>
            <w:tr>
              <w:trPr>
                <w:trHeight w:hRule="exact" w:val="127"/>
              </w:trPr>
              <w:tc>
                <w:tcPr>
                  <w:tcW w:type="dxa" w:w="6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2" w:after="0"/>
                    <w:ind w:left="0" w:right="232" w:firstLine="0"/>
                    <w:jc w:val="right"/>
                  </w:pPr>
                  <w:r>
                    <w:rPr>
                      <w:w w:val="97.42681063138522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 -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4" w:lineRule="exact" w:before="4" w:after="0"/>
                    <w:ind w:left="0" w:right="0" w:firstLine="0"/>
                    <w:jc w:val="right"/>
                  </w:pPr>
                  <w:r>
                    <w:rPr>
                      <w:w w:val="101.32681846618652"/>
                      <w:rFonts w:ascii="CIDFont+F2" w:hAnsi="CIDFont+F2" w:eastAsia="CIDFont+F2"/>
                      <w:b w:val="0"/>
                      <w:i w:val="0"/>
                      <w:color w:val="FFFFFF"/>
                      <w:sz w:val="10"/>
                    </w:rPr>
                    <w:t xml:space="preserve">3,938 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0" w:after="0"/>
                    <w:ind w:left="0" w:right="0" w:firstLine="0"/>
                    <w:jc w:val="center"/>
                  </w:pPr>
                  <w:r>
                    <w:rPr>
                      <w:w w:val="98.51082166035971"/>
                      <w:rFonts w:ascii="CIDFont+F2" w:hAnsi="CIDFont+F2" w:eastAsia="CIDFont+F2"/>
                      <w:b w:val="0"/>
                      <w:i w:val="0"/>
                      <w:color w:val="FFFFFF"/>
                      <w:sz w:val="12"/>
                    </w:rPr>
                    <w:t xml:space="preserve">4,400 </w:t>
                  </w:r>
                </w:p>
              </w:tc>
              <w:tc>
                <w:tcPr>
                  <w:tcW w:type="dxa" w:w="14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0" w:after="0"/>
                    <w:ind w:left="32" w:right="0" w:firstLine="0"/>
                    <w:jc w:val="left"/>
                  </w:pPr>
                  <w:r>
                    <w:rPr>
                      <w:w w:val="98.51082166035971"/>
                      <w:rFonts w:ascii="CIDFont+F2" w:hAnsi="CIDFont+F2" w:eastAsia="CIDFont+F2"/>
                      <w:b w:val="0"/>
                      <w:i w:val="0"/>
                      <w:color w:val="FFFFFF"/>
                      <w:sz w:val="12"/>
                    </w:rPr>
                    <w:t xml:space="preserve">5,158 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0" w:after="0"/>
                    <w:ind w:left="148" w:right="0" w:firstLine="0"/>
                    <w:jc w:val="left"/>
                  </w:pPr>
                  <w:r>
                    <w:rPr>
                      <w:w w:val="98.51082166035971"/>
                      <w:rFonts w:ascii="CIDFont+F2" w:hAnsi="CIDFont+F2" w:eastAsia="CIDFont+F2"/>
                      <w:b w:val="0"/>
                      <w:i w:val="0"/>
                      <w:color w:val="FFFFFF"/>
                      <w:sz w:val="12"/>
                    </w:rPr>
                    <w:t xml:space="preserve">6,890 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819"/>
                  <w:vMerge/>
                  <w:tcBorders/>
                </w:tcPr>
                <w:p/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76" w:after="0"/>
                    <w:ind w:left="0" w:right="4" w:firstLine="0"/>
                    <w:jc w:val="right"/>
                  </w:pPr>
                  <w:r>
                    <w:rPr>
                      <w:w w:val="97.42681063138522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 FY20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76" w:after="0"/>
                    <w:ind w:left="0" w:right="0" w:firstLine="0"/>
                    <w:jc w:val="center"/>
                  </w:pPr>
                  <w:r>
                    <w:rPr>
                      <w:w w:val="97.42681063138522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 FY21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76" w:after="0"/>
                    <w:ind w:left="16" w:right="0" w:firstLine="0"/>
                    <w:jc w:val="left"/>
                  </w:pPr>
                  <w:r>
                    <w:rPr>
                      <w:w w:val="97.42681063138522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 FY22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76" w:after="0"/>
                    <w:ind w:left="0" w:right="352" w:firstLine="0"/>
                    <w:jc w:val="right"/>
                  </w:pPr>
                  <w:r>
                    <w:rPr>
                      <w:w w:val="97.42681063138522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 FY23</w:t>
                  </w:r>
                </w:p>
              </w:tc>
              <w:tc>
                <w:tcPr>
                  <w:tcW w:type="dxa" w:w="7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76" w:after="0"/>
                    <w:ind w:left="132" w:right="0" w:firstLine="0"/>
                    <w:jc w:val="left"/>
                  </w:pPr>
                  <w:r>
                    <w:rPr>
                      <w:w w:val="97.42681063138522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 FY24</w:t>
                  </w:r>
                </w:p>
              </w:tc>
            </w:tr>
            <w:tr>
              <w:trPr>
                <w:trHeight w:hRule="exact" w:val="242"/>
              </w:trPr>
              <w:tc>
                <w:tcPr>
                  <w:tcW w:type="dxa" w:w="819"/>
                  <w:vMerge/>
                  <w:tcBorders/>
                </w:tcPr>
                <w:p/>
              </w:tc>
              <w:tc>
                <w:tcPr>
                  <w:tcW w:type="dxa" w:w="17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48" w:after="0"/>
                    <w:ind w:left="356" w:right="0" w:firstLine="0"/>
                    <w:jc w:val="left"/>
                  </w:pPr>
                  <w:r>
                    <w:rPr>
                      <w:w w:val="97.42681063138522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>Direct Donor Contributions</w:t>
                  </w:r>
                </w:p>
              </w:tc>
              <w:tc>
                <w:tcPr>
                  <w:tcW w:type="dxa" w:w="14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48" w:after="0"/>
                    <w:ind w:left="326" w:right="0" w:firstLine="0"/>
                    <w:jc w:val="left"/>
                  </w:pPr>
                  <w:r>
                    <w:rPr>
                      <w:w w:val="97.42681063138522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>Transfers from FIFs</w:t>
                  </w:r>
                </w:p>
              </w:tc>
              <w:tc>
                <w:tcPr>
                  <w:tcW w:type="dxa" w:w="819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3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5.99999999999909" w:type="dxa"/>
            </w:tblPr>
            <w:tblGrid>
              <w:gridCol w:w="4034"/>
            </w:tblGrid>
            <w:tr>
              <w:trPr>
                <w:trHeight w:hRule="exact" w:val="3016"/>
              </w:trPr>
              <w:tc>
                <w:tcPr>
                  <w:tcW w:type="dxa" w:w="3420"/>
                  <w:tcBorders>
                    <w:start w:sz="7.679999828338623" w:val="single" w:color="#D8D8D8"/>
                    <w:top w:sz="7.679999828338623" w:val="single" w:color="#D8D8D8"/>
                    <w:end w:sz="7.679999828338623" w:val="single" w:color="#D8D8D8"/>
                    <w:bottom w:sz="7.679999828338623" w:val="single" w:color="#D8D8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76" w:after="0"/>
                    <w:ind w:left="0" w:right="0" w:firstLine="0"/>
                    <w:jc w:val="center"/>
                  </w:pPr>
                  <w:r>
                    <w:rPr>
                      <w:w w:val="96.6170242854527"/>
                      <w:rFonts w:ascii="CIDFont+F2" w:hAnsi="CIDFont+F2" w:eastAsia="CIDFont+F2"/>
                      <w:b w:val="0"/>
                      <w:i w:val="0"/>
                      <w:color w:val="000000"/>
                      <w:sz w:val="14"/>
                    </w:rPr>
                    <w:t>IBRD/IDA/IFC Top DPs Contributions $m</w:t>
                  </w:r>
                </w:p>
                <w:p>
                  <w:pPr>
                    <w:autoSpaceDN w:val="0"/>
                    <w:autoSpaceDE w:val="0"/>
                    <w:widowControl/>
                    <w:spacing w:line="154" w:lineRule="exact" w:before="0" w:after="0"/>
                    <w:ind w:left="0" w:right="78" w:firstLine="0"/>
                    <w:jc w:val="right"/>
                  </w:pPr>
                  <w:r>
                    <w:rPr>
                      <w:w w:val="97.5459098815918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18,326 </w:t>
                  </w:r>
                </w:p>
                <w:p>
                  <w:pPr>
                    <w:autoSpaceDN w:val="0"/>
                    <w:tabs>
                      <w:tab w:pos="1136" w:val="left"/>
                    </w:tabs>
                    <w:autoSpaceDE w:val="0"/>
                    <w:widowControl/>
                    <w:spacing w:line="194" w:lineRule="exact" w:before="1102" w:after="0"/>
                    <w:ind w:left="1088" w:right="1440" w:firstLine="0"/>
                    <w:jc w:val="left"/>
                  </w:pPr>
                  <w:r>
                    <w:rPr>
                      <w:w w:val="97.5459098815918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2,850 </w:t>
                  </w:r>
                  <w:r>
                    <w:br/>
                  </w:r>
                  <w:r>
                    <w:rPr>
                      <w:w w:val="97.5459098815918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2,315 </w:t>
                  </w:r>
                </w:p>
                <w:p>
                  <w:pPr>
                    <w:autoSpaceDN w:val="0"/>
                    <w:tabs>
                      <w:tab w:pos="910" w:val="left"/>
                      <w:tab w:pos="916" w:val="left"/>
                      <w:tab w:pos="920" w:val="left"/>
                      <w:tab w:pos="924" w:val="left"/>
                      <w:tab w:pos="926" w:val="left"/>
                      <w:tab w:pos="932" w:val="left"/>
                      <w:tab w:pos="934" w:val="left"/>
                      <w:tab w:pos="936" w:val="left"/>
                      <w:tab w:pos="938" w:val="left"/>
                    </w:tabs>
                    <w:autoSpaceDE w:val="0"/>
                    <w:widowControl/>
                    <w:spacing w:line="140" w:lineRule="exact" w:before="14" w:after="140"/>
                    <w:ind w:left="890" w:right="1728" w:firstLine="0"/>
                    <w:jc w:val="left"/>
                  </w:pPr>
                  <w:r>
                    <w:rPr>
                      <w:w w:val="97.5459098815918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672 </w:t>
                  </w:r>
                  <w:r>
                    <w:br/>
                  </w:r>
                  <w:r>
                    <w:rPr>
                      <w:w w:val="97.5459098815918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672 </w:t>
                  </w:r>
                  <w:r>
                    <w:br/>
                  </w:r>
                  <w:r>
                    <w:rPr>
                      <w:w w:val="97.5459098815918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656 </w:t>
                  </w:r>
                  <w:r>
                    <w:br/>
                  </w:r>
                  <w:r>
                    <w:rPr>
                      <w:w w:val="97.5459098815918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617 </w:t>
                  </w:r>
                  <w:r>
                    <w:br/>
                  </w:r>
                  <w:r>
                    <w:rPr>
                      <w:w w:val="97.5459098815918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620 </w:t>
                  </w:r>
                  <w:r>
                    <w:br/>
                  </w:r>
                  <w:r>
                    <w:rPr>
                      <w:w w:val="97.5459098815918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543 </w:t>
                  </w:r>
                  <w:r>
                    <w:br/>
                  </w:r>
                  <w:r>
                    <w:rPr>
                      <w:w w:val="97.5459098815918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530 </w:t>
                  </w:r>
                  <w:r>
                    <w:br/>
                  </w:r>
                  <w:r>
                    <w:rPr>
                      <w:w w:val="97.5459098815918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471 </w:t>
                  </w:r>
                  <w:r>
                    <w:br/>
                  </w:r>
                  <w:r>
                    <w:rPr>
                      <w:w w:val="97.5459098815918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463 </w:t>
                  </w:r>
                  <w:r>
                    <w:br/>
                  </w:r>
                  <w:r>
                    <w:rPr>
                      <w:w w:val="97.5459098815918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463 </w:t>
                  </w:r>
                  <w:r>
                    <w:br/>
                  </w:r>
                  <w:r>
                    <w:rPr>
                      <w:w w:val="97.5459098815918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450 </w:t>
                  </w:r>
                  <w:r>
                    <w:br/>
                  </w:r>
                  <w:r>
                    <w:rPr>
                      <w:w w:val="97.5459098815918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386 </w:t>
                  </w:r>
                  <w:r>
                    <w:br/>
                  </w:r>
                  <w:r>
                    <w:rPr>
                      <w:w w:val="97.5459098815918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378 </w:t>
                  </w:r>
                  <w:r>
                    <w:br/>
                  </w:r>
                  <w:r>
                    <w:rPr>
                      <w:w w:val="97.5459098815918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314 </w:t>
                  </w:r>
                  <w:r>
                    <w:br/>
                  </w:r>
                  <w:r>
                    <w:rPr>
                      <w:w w:val="97.5459098815918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332 </w:t>
                  </w:r>
                  <w:r>
                    <w:br/>
                  </w:r>
                  <w:r>
                    <w:rPr>
                      <w:w w:val="97.5459098815918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298 </w:t>
                  </w:r>
                  <w:r>
                    <w:br/>
                  </w:r>
                  <w:r>
                    <w:rPr>
                      <w:w w:val="97.5459098815918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247 </w:t>
                  </w:r>
                  <w:r>
                    <w:br/>
                  </w:r>
                  <w:r>
                    <w:rPr>
                      <w:w w:val="97.5459098815918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236 </w:t>
                  </w:r>
                  <w:r>
                    <w:br/>
                  </w:r>
                  <w:r>
                    <w:rPr>
                      <w:w w:val="97.5459098815918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217 </w:t>
                  </w:r>
                  <w:r>
                    <w:br/>
                  </w:r>
                  <w:r>
                    <w:rPr>
                      <w:w w:val="97.5459098815918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185 </w:t>
                  </w:r>
                  <w:r>
                    <w:br/>
                  </w:r>
                  <w:r>
                    <w:rPr>
                      <w:w w:val="97.5459098815918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175 </w:t>
                  </w:r>
                  <w:r>
                    <w:br/>
                  </w:r>
                  <w:r>
                    <w:rPr>
                      <w:w w:val="97.5459098815918"/>
                      <w:rFonts w:ascii="CIDFont+F2" w:hAnsi="CIDFont+F2" w:eastAsia="CIDFont+F2"/>
                      <w:b w:val="0"/>
                      <w:i w:val="0"/>
                      <w:color w:val="000000"/>
                      <w:sz w:val="13"/>
                    </w:rPr>
                    <w:t xml:space="preserve">170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12.00000000000045" w:type="dxa"/>
                  </w:tblPr>
                  <w:tblGrid>
                    <w:gridCol w:w="342"/>
                    <w:gridCol w:w="342"/>
                    <w:gridCol w:w="342"/>
                    <w:gridCol w:w="342"/>
                    <w:gridCol w:w="342"/>
                    <w:gridCol w:w="342"/>
                    <w:gridCol w:w="342"/>
                    <w:gridCol w:w="342"/>
                    <w:gridCol w:w="342"/>
                    <w:gridCol w:w="342"/>
                  </w:tblGrid>
                  <w:tr>
                    <w:trPr>
                      <w:trHeight w:hRule="exact" w:val="210"/>
                    </w:trPr>
                    <w:tc>
                      <w:tcPr>
                        <w:tcW w:type="dxa" w:w="74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4" w:lineRule="exact" w:before="46" w:after="0"/>
                          <w:ind w:left="136" w:right="0" w:firstLine="0"/>
                          <w:jc w:val="left"/>
                        </w:pPr>
                        <w:r>
                          <w:rPr>
                            <w:w w:val="96.6170242854527"/>
                            <w:rFonts w:ascii="CIDFont+F2" w:hAnsi="CIDFont+F2" w:eastAsia="CIDFont+F2"/>
                            <w:b w:val="0"/>
                            <w:i w:val="0"/>
                            <w:color w:val="000000"/>
                            <w:sz w:val="14"/>
                          </w:rPr>
                          <w:t>United</w:t>
                        </w:r>
                      </w:p>
                    </w:tc>
                    <w:tc>
                      <w:tcPr>
                        <w:tcW w:type="dxa" w:w="54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4" w:lineRule="exact" w:before="46" w:after="0"/>
                          <w:ind w:left="58" w:right="0" w:firstLine="0"/>
                          <w:jc w:val="left"/>
                        </w:pPr>
                        <w:r>
                          <w:rPr>
                            <w:w w:val="96.6170242854527"/>
                            <w:rFonts w:ascii="CIDFont+F2" w:hAnsi="CIDFont+F2" w:eastAsia="CIDFont+F2"/>
                            <w:b w:val="0"/>
                            <w:i w:val="0"/>
                            <w:color w:val="000000"/>
                            <w:sz w:val="14"/>
                          </w:rPr>
                          <w:t>Japan</w:t>
                        </w:r>
                      </w:p>
                    </w:tc>
                    <w:tc>
                      <w:tcPr>
                        <w:tcW w:type="dxa" w:w="60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4" w:lineRule="exact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w w:val="96.6170242854527"/>
                            <w:rFonts w:ascii="CIDFont+F2" w:hAnsi="CIDFont+F2" w:eastAsia="CIDFont+F2"/>
                            <w:b w:val="0"/>
                            <w:i w:val="0"/>
                            <w:color w:val="000000"/>
                            <w:sz w:val="14"/>
                          </w:rPr>
                          <w:t>United</w:t>
                        </w:r>
                      </w:p>
                    </w:tc>
                    <w:tc>
                      <w:tcPr>
                        <w:tcW w:type="dxa" w:w="56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4" w:lineRule="exact" w:before="46" w:after="0"/>
                          <w:ind w:left="128" w:right="0" w:firstLine="0"/>
                          <w:jc w:val="left"/>
                        </w:pPr>
                        <w:r>
                          <w:rPr>
                            <w:w w:val="96.6170242854527"/>
                            <w:rFonts w:ascii="CIDFont+F2" w:hAnsi="CIDFont+F2" w:eastAsia="CIDFont+F2"/>
                            <w:b w:val="0"/>
                            <w:i w:val="0"/>
                            <w:color w:val="000000"/>
                            <w:sz w:val="14"/>
                          </w:rPr>
                          <w:t>Norway</w:t>
                        </w:r>
                      </w:p>
                    </w:tc>
                    <w:tc>
                      <w:tcPr>
                        <w:tcW w:type="dxa" w:w="14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53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63500" cy="50800"/>
                              <wp:docPr id="4" name="Picture 4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3500" cy="508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4" w:lineRule="exact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w w:val="96.6170242854527"/>
                            <w:rFonts w:ascii="CIDFont+F2" w:hAnsi="CIDFont+F2" w:eastAsia="CIDFont+F2"/>
                            <w:b w:val="0"/>
                            <w:i w:val="0"/>
                            <w:color w:val="000000"/>
                            <w:sz w:val="14"/>
                          </w:rPr>
                          <w:t>Germany</w:t>
                        </w:r>
                      </w:p>
                    </w:tc>
                  </w:tr>
                  <w:tr>
                    <w:trPr>
                      <w:trHeight w:hRule="exact" w:val="230"/>
                    </w:trPr>
                    <w:tc>
                      <w:tcPr>
                        <w:tcW w:type="dxa" w:w="74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4" w:lineRule="exact" w:before="16" w:after="0"/>
                          <w:ind w:left="152" w:right="0" w:firstLine="0"/>
                          <w:jc w:val="left"/>
                        </w:pPr>
                        <w:r>
                          <w:rPr>
                            <w:w w:val="96.6170242854527"/>
                            <w:rFonts w:ascii="CIDFont+F2" w:hAnsi="CIDFont+F2" w:eastAsia="CIDFont+F2"/>
                            <w:b w:val="0"/>
                            <w:i w:val="0"/>
                            <w:color w:val="000000"/>
                            <w:sz w:val="14"/>
                          </w:rPr>
                          <w:t>States</w:t>
                        </w:r>
                      </w:p>
                    </w:tc>
                    <w:tc>
                      <w:tcPr>
                        <w:tcW w:type="dxa" w:w="18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0" w:after="0"/>
                          <w:ind w:left="0" w:right="0" w:firstLine="0"/>
                          <w:jc w:val="right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63500" cy="50800"/>
                              <wp:docPr id="5" name="Picture 5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3500" cy="508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6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4" w:lineRule="exact" w:before="280" w:after="0"/>
                          <w:ind w:left="0" w:right="0" w:firstLine="0"/>
                          <w:jc w:val="center"/>
                        </w:pPr>
                        <w:r>
                          <w:rPr>
                            <w:w w:val="96.6170242854527"/>
                            <w:rFonts w:ascii="CIDFont+F2" w:hAnsi="CIDFont+F2" w:eastAsia="CIDFont+F2"/>
                            <w:b w:val="0"/>
                            <w:i w:val="0"/>
                            <w:color w:val="000000"/>
                            <w:sz w:val="14"/>
                          </w:rPr>
                          <w:t xml:space="preserve"> FY21</w:t>
                        </w:r>
                      </w:p>
                    </w:tc>
                    <w:tc>
                      <w:tcPr>
                        <w:tcW w:type="dxa" w:w="60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4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w w:val="96.6170242854527"/>
                            <w:rFonts w:ascii="CIDFont+F2" w:hAnsi="CIDFont+F2" w:eastAsia="CIDFont+F2"/>
                            <w:b w:val="0"/>
                            <w:i w:val="0"/>
                            <w:color w:val="000000"/>
                            <w:sz w:val="14"/>
                          </w:rPr>
                          <w:t>Kingdom</w:t>
                        </w:r>
                      </w:p>
                    </w:tc>
                    <w:tc>
                      <w:tcPr>
                        <w:tcW w:type="dxa" w:w="16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63500" cy="50800"/>
                              <wp:docPr id="6" name="Picture 6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3500" cy="508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4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4" w:lineRule="exact" w:before="280" w:after="0"/>
                          <w:ind w:left="0" w:right="0" w:firstLine="0"/>
                          <w:jc w:val="center"/>
                        </w:pPr>
                        <w:r>
                          <w:rPr>
                            <w:w w:val="96.6170242854527"/>
                            <w:rFonts w:ascii="CIDFont+F2" w:hAnsi="CIDFont+F2" w:eastAsia="CIDFont+F2"/>
                            <w:b w:val="0"/>
                            <w:i w:val="0"/>
                            <w:color w:val="000000"/>
                            <w:sz w:val="14"/>
                          </w:rPr>
                          <w:t xml:space="preserve"> FY23</w:t>
                        </w:r>
                      </w:p>
                    </w:tc>
                    <w:tc>
                      <w:tcPr>
                        <w:tcW w:type="dxa" w:w="342"/>
                        <w:vMerge/>
                        <w:tcBorders/>
                      </w:tcPr>
                      <w:p/>
                    </w:tc>
                    <w:tc>
                      <w:tcPr>
                        <w:tcW w:type="dxa" w:w="62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4" w:lineRule="exact" w:before="280" w:after="0"/>
                          <w:ind w:left="32" w:right="0" w:firstLine="0"/>
                          <w:jc w:val="left"/>
                        </w:pPr>
                        <w:r>
                          <w:rPr>
                            <w:w w:val="96.6170242854527"/>
                            <w:rFonts w:ascii="CIDFont+F2" w:hAnsi="CIDFont+F2" w:eastAsia="CIDFont+F2"/>
                            <w:b w:val="0"/>
                            <w:i w:val="0"/>
                            <w:color w:val="000000"/>
                            <w:sz w:val="14"/>
                          </w:rPr>
                          <w:t xml:space="preserve"> FY24</w:t>
                        </w:r>
                      </w:p>
                    </w:tc>
                  </w:tr>
                  <w:tr>
                    <w:trPr>
                      <w:trHeight w:hRule="exact" w:val="248"/>
                    </w:trPr>
                    <w:tc>
                      <w:tcPr>
                        <w:tcW w:type="dxa" w:w="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90" w:after="0"/>
                          <w:ind w:left="0" w:right="0" w:firstLine="0"/>
                          <w:jc w:val="right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50800" cy="50800"/>
                              <wp:docPr id="7" name="Picture 7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0800" cy="508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4" w:lineRule="exact" w:before="50" w:after="0"/>
                          <w:ind w:left="0" w:right="0" w:firstLine="0"/>
                          <w:jc w:val="center"/>
                        </w:pPr>
                        <w:r>
                          <w:rPr>
                            <w:w w:val="96.6170242854527"/>
                            <w:rFonts w:ascii="CIDFont+F2" w:hAnsi="CIDFont+F2" w:eastAsia="CIDFont+F2"/>
                            <w:b w:val="0"/>
                            <w:i w:val="0"/>
                            <w:color w:val="000000"/>
                            <w:sz w:val="14"/>
                          </w:rPr>
                          <w:t xml:space="preserve"> FY20</w:t>
                        </w:r>
                      </w:p>
                    </w:tc>
                    <w:tc>
                      <w:tcPr>
                        <w:tcW w:type="dxa" w:w="342"/>
                        <w:vMerge/>
                        <w:tcBorders/>
                      </w:tcPr>
                      <w:p/>
                    </w:tc>
                    <w:tc>
                      <w:tcPr>
                        <w:tcW w:type="dxa" w:w="342"/>
                        <w:vMerge/>
                        <w:tcBorders/>
                      </w:tcPr>
                      <w:p/>
                    </w:tc>
                    <w:tc>
                      <w:tcPr>
                        <w:tcW w:type="dxa" w:w="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90" w:after="0"/>
                          <w:ind w:left="0" w:right="0" w:firstLine="0"/>
                          <w:jc w:val="right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63500" cy="50800"/>
                              <wp:docPr id="8" name="Picture 8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3500" cy="508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4" w:lineRule="exact" w:before="50" w:after="0"/>
                          <w:ind w:left="0" w:right="0" w:firstLine="0"/>
                          <w:jc w:val="center"/>
                        </w:pPr>
                        <w:r>
                          <w:rPr>
                            <w:w w:val="96.6170242854527"/>
                            <w:rFonts w:ascii="CIDFont+F2" w:hAnsi="CIDFont+F2" w:eastAsia="CIDFont+F2"/>
                            <w:b w:val="0"/>
                            <w:i w:val="0"/>
                            <w:color w:val="000000"/>
                            <w:sz w:val="14"/>
                          </w:rPr>
                          <w:t xml:space="preserve"> FY22</w:t>
                        </w:r>
                      </w:p>
                    </w:tc>
                    <w:tc>
                      <w:tcPr>
                        <w:tcW w:type="dxa" w:w="342"/>
                        <w:vMerge/>
                        <w:tcBorders/>
                      </w:tcPr>
                      <w:p/>
                    </w:tc>
                    <w:tc>
                      <w:tcPr>
                        <w:tcW w:type="dxa" w:w="342"/>
                        <w:vMerge/>
                        <w:tcBorders/>
                      </w:tcPr>
                      <w:p/>
                    </w:tc>
                    <w:tc>
                      <w:tcPr>
                        <w:tcW w:type="dxa" w:w="342"/>
                        <w:vMerge/>
                        <w:tcBorders/>
                      </w:tcPr>
                      <w:p/>
                    </w:tc>
                    <w:tc>
                      <w:tcPr>
                        <w:tcW w:type="dxa" w:w="342"/>
                        <w:vMerge/>
                        <w:tcBorders/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384"/>
        </w:trPr>
        <w:tc>
          <w:tcPr>
            <w:tcW w:type="dxa" w:w="895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36" w:val="left"/>
              </w:tabs>
              <w:autoSpaceDE w:val="0"/>
              <w:widowControl/>
              <w:spacing w:line="234" w:lineRule="exact" w:before="0" w:after="0"/>
              <w:ind w:left="98" w:right="144" w:firstLine="0"/>
              <w:jc w:val="left"/>
            </w:pPr>
            <w:r>
              <w:rPr>
                <w:w w:val="98.36526168020147"/>
                <w:rFonts w:ascii="CIDFont+F9" w:hAnsi="CIDFont+F9" w:eastAsia="CIDFont+F9"/>
                <w:b w:val="0"/>
                <w:i w:val="0"/>
                <w:color w:val="000000"/>
                <w:sz w:val="19"/>
              </w:rPr>
              <w:t></w:t>
            </w:r>
            <w:r>
              <w:tab/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On an average, 13% of overall contributions received by IBRD/IDA/IFC TFs are from FIFs, where IBRD/IDA/IFC </w:t>
            </w:r>
            <w:r>
              <w:tab/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play an implementing agency (IA) role. FIFs therefore, indirectly contribute to the IBRD/IDA/IFC trust fund </w:t>
            </w:r>
            <w:r>
              <w:tab/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activities.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94" w:type="dxa"/>
            </w:tblPr>
            <w:tblGrid>
              <w:gridCol w:w="4475"/>
              <w:gridCol w:w="4475"/>
            </w:tblGrid>
            <w:tr>
              <w:trPr>
                <w:trHeight w:hRule="exact" w:val="1202"/>
              </w:trPr>
              <w:tc>
                <w:tcPr>
                  <w:tcW w:type="dxa" w:w="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96" w:lineRule="exact" w:before="0" w:after="0"/>
                    <w:ind w:left="62" w:right="112" w:firstLine="0"/>
                    <w:jc w:val="both"/>
                  </w:pPr>
                  <w:r>
                    <w:rPr>
                      <w:w w:val="98.36526168020147"/>
                      <w:rFonts w:ascii="CIDFont+F9" w:hAnsi="CIDFont+F9" w:eastAsia="CIDFont+F9"/>
                      <w:b w:val="0"/>
                      <w:i w:val="0"/>
                      <w:color w:val="000000"/>
                      <w:sz w:val="19"/>
                    </w:rPr>
                    <w:t></w:t>
                  </w:r>
                  <w:r>
                    <w:br/>
                  </w:r>
                  <w:r>
                    <w:rPr>
                      <w:w w:val="98.36526168020147"/>
                      <w:rFonts w:ascii="CIDFont+F9" w:hAnsi="CIDFont+F9" w:eastAsia="CIDFont+F9"/>
                      <w:b w:val="0"/>
                      <w:i w:val="0"/>
                      <w:color w:val="000000"/>
                      <w:sz w:val="19"/>
                    </w:rPr>
                    <w:t></w:t>
                  </w:r>
                  <w:r>
                    <w:br/>
                  </w:r>
                  <w:r>
                    <w:rPr>
                      <w:w w:val="98.36526168020147"/>
                      <w:rFonts w:ascii="CIDFont+F9" w:hAnsi="CIDFont+F9" w:eastAsia="CIDFont+F9"/>
                      <w:b w:val="0"/>
                      <w:i w:val="0"/>
                      <w:color w:val="000000"/>
                      <w:sz w:val="19"/>
                    </w:rPr>
                    <w:t></w:t>
                  </w:r>
                </w:p>
              </w:tc>
              <w:tc>
                <w:tcPr>
                  <w:tcW w:type="dxa" w:w="8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0" w:after="0"/>
                    <w:ind w:left="140" w:right="144" w:firstLine="0"/>
                    <w:jc w:val="left"/>
                  </w:pP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Around 89% of the FIF transfers to IBRD/IDA/IFC TFs in FY24 were from 5 FIFs and these accounted for 82% </w:t>
                  </w: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over the past 5 years.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0" w:after="0"/>
                    <w:ind w:left="140" w:right="0" w:firstLine="0"/>
                    <w:jc w:val="left"/>
                  </w:pP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Top 10 donors accounted for 85% of the total IBRD/IDA/IFC TF contributions in FY24 with the top 5 accounting </w:t>
                  </w: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for 70% of the contributions. </w:t>
                  </w:r>
                </w:p>
                <w:p>
                  <w:pPr>
                    <w:autoSpaceDN w:val="0"/>
                    <w:autoSpaceDE w:val="0"/>
                    <w:widowControl/>
                    <w:spacing w:line="228" w:lineRule="exact" w:before="10" w:after="0"/>
                    <w:ind w:left="140" w:right="0" w:firstLine="0"/>
                    <w:jc w:val="left"/>
                  </w:pP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There has been a steep decrease in contributions from United States (↓$15,476m) in FY24 as compared 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6" w:lineRule="exact" w:before="0" w:after="0"/>
              <w:ind w:left="436" w:right="0" w:firstLine="0"/>
              <w:jc w:val="left"/>
            </w:pP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FY23 as the majority of contributions towards trust funds supporting Ukraine through SALNTF* have been paid </w:t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by the donor during FY23 in accordance with the administration agreements.</w:t>
            </w:r>
          </w:p>
        </w:tc>
      </w:tr>
      <w:tr>
        <w:trPr>
          <w:trHeight w:hRule="exact" w:val="378"/>
        </w:trPr>
        <w:tc>
          <w:tcPr>
            <w:tcW w:type="dxa" w:w="62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54"/>
            <w:tcBorders>
              <w:top w:sz="3.199999999999818" w:val="single" w:color="#000000"/>
              <w:end w:sz="4.0" w:val="single" w:color="#000000"/>
              <w:bottom w:sz="3.8399999141693115" w:val="single" w:color="#D8D8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" w:after="0"/>
              <w:ind w:left="40" w:right="0" w:firstLine="0"/>
              <w:jc w:val="left"/>
            </w:pPr>
            <w:r>
              <w:rPr>
                <w:w w:val="98.6471448625837"/>
                <w:rFonts w:ascii="CIDFont+F3" w:hAnsi="CIDFont+F3" w:eastAsia="CIDFont+F3"/>
                <w:b/>
                <w:i w:val="0"/>
                <w:color w:val="001F60"/>
                <w:sz w:val="21"/>
              </w:rPr>
              <w:t xml:space="preserve">Cash Disbursements </w:t>
            </w:r>
          </w:p>
        </w:tc>
        <w:tc>
          <w:tcPr>
            <w:tcW w:type="dxa" w:w="82"/>
            <w:vMerge w:val="restart"/>
            <w:tcBorders>
              <w:end w:sz="5.759999752044678" w:val="single" w:color="#D8D8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450"/>
            <w:vMerge w:val="restart"/>
            <w:tcBorders>
              <w:start w:sz="5.759999752044678" w:val="single" w:color="#D8D8D8"/>
              <w:end w:sz="5.759999752044678" w:val="single" w:color="#D8D8D8"/>
              <w:bottom w:sz="5.759999752044678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14"/>
              <w:ind w:left="58" w:right="288" w:firstLine="332"/>
              <w:jc w:val="left"/>
            </w:pPr>
            <w:r>
              <w:rPr>
                <w:w w:val="98.4489917755127"/>
                <w:rFonts w:ascii="CIDFont+F7" w:hAnsi="CIDFont+F7" w:eastAsia="CIDFont+F7"/>
                <w:b w:val="0"/>
                <w:i w:val="0"/>
                <w:color w:val="000000"/>
                <w:sz w:val="10"/>
              </w:rPr>
              <w:t>Disbursements for BE activities by Expense Categories, $m</w:t>
            </w:r>
            <w:r>
              <w:rPr>
                <w:rFonts w:ascii="CIDFont+F7" w:hAnsi="CIDFont+F7" w:eastAsia="CIDFont+F7"/>
                <w:b w:val="0"/>
                <w:i w:val="0"/>
                <w:color w:val="000000"/>
                <w:sz w:val="9"/>
              </w:rPr>
              <w:t xml:space="preserve"> 1,800</w:t>
            </w:r>
            <w:r>
              <w:br/>
            </w:r>
            <w:r>
              <w:rPr>
                <w:rFonts w:ascii="CIDFont+F7" w:hAnsi="CIDFont+F7" w:eastAsia="CIDFont+F7"/>
                <w:b w:val="0"/>
                <w:i w:val="0"/>
                <w:color w:val="000000"/>
                <w:sz w:val="9"/>
              </w:rPr>
              <w:t xml:space="preserve"> 1,600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.999999999999773" w:type="dxa"/>
            </w:tblPr>
            <w:tblGrid>
              <w:gridCol w:w="575"/>
              <w:gridCol w:w="575"/>
              <w:gridCol w:w="575"/>
              <w:gridCol w:w="575"/>
              <w:gridCol w:w="575"/>
              <w:gridCol w:w="575"/>
            </w:tblGrid>
            <w:tr>
              <w:trPr>
                <w:trHeight w:hRule="exact" w:val="156"/>
              </w:trPr>
              <w:tc>
                <w:tcPr>
                  <w:tcW w:type="dxa" w:w="3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IDFont+F7" w:hAnsi="CIDFont+F7" w:eastAsia="CIDFont+F7"/>
                      <w:b w:val="0"/>
                      <w:i w:val="0"/>
                      <w:color w:val="000000"/>
                      <w:sz w:val="9"/>
                    </w:rPr>
                    <w:t xml:space="preserve"> 1,400</w:t>
                  </w:r>
                </w:p>
              </w:tc>
              <w:tc>
                <w:tcPr>
                  <w:tcW w:type="dxa" w:w="610"/>
                  <w:vMerge w:val="restart"/>
                  <w:tcBorders>
                    <w:bottom w:sz="2.879999876022339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vMerge w:val="restart"/>
                  <w:tcBorders>
                    <w:bottom w:sz="2.879999876022339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vMerge w:val="restart"/>
                  <w:tcBorders>
                    <w:bottom w:sz="2.879999876022339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vMerge w:val="restart"/>
                  <w:tcBorders>
                    <w:bottom w:sz="2.879999876022339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2" w:lineRule="exact" w:before="98" w:after="0"/>
                    <w:ind w:left="0" w:right="0" w:firstLine="0"/>
                    <w:jc w:val="center"/>
                  </w:pPr>
                  <w:r>
                    <w:rPr>
                      <w:w w:val="104.12850379943848"/>
                      <w:rFonts w:ascii="CIDFont+F7" w:hAnsi="CIDFont+F7" w:eastAsia="CIDFont+F7"/>
                      <w:b w:val="0"/>
                      <w:i w:val="0"/>
                      <w:color w:val="F2F2F2"/>
                      <w:sz w:val="8"/>
                    </w:rPr>
                    <w:t xml:space="preserve">417 </w:t>
                  </w:r>
                </w:p>
              </w:tc>
              <w:tc>
                <w:tcPr>
                  <w:tcW w:type="dxa" w:w="580"/>
                  <w:vMerge w:val="restart"/>
                  <w:tcBorders>
                    <w:bottom w:sz="2.879999876022339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4" w:lineRule="exact" w:before="16" w:after="0"/>
                    <w:ind w:left="0" w:right="0" w:firstLine="0"/>
                    <w:jc w:val="center"/>
                  </w:pPr>
                  <w:r>
                    <w:rPr>
                      <w:w w:val="104.12850379943848"/>
                      <w:rFonts w:ascii="CIDFont+F7" w:hAnsi="CIDFont+F7" w:eastAsia="CIDFont+F7"/>
                      <w:b w:val="0"/>
                      <w:i w:val="0"/>
                      <w:color w:val="F2F2F2"/>
                      <w:sz w:val="8"/>
                    </w:rPr>
                    <w:t xml:space="preserve">445 </w:t>
                  </w:r>
                </w:p>
              </w:tc>
            </w:tr>
            <w:tr>
              <w:trPr>
                <w:trHeight w:hRule="exact" w:val="94"/>
              </w:trPr>
              <w:tc>
                <w:tcPr>
                  <w:tcW w:type="dxa" w:w="390"/>
                  <w:tcBorders>
                    <w:bottom w:sz="2.879999876022339" w:val="single" w:color="#D8D8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5"/>
                  <w:vMerge/>
                  <w:tcBorders>
                    <w:bottom w:sz="2.879999876022339" w:val="single" w:color="#D8D8D8"/>
                  </w:tcBorders>
                </w:tcPr>
                <w:p/>
              </w:tc>
              <w:tc>
                <w:tcPr>
                  <w:tcW w:type="dxa" w:w="575"/>
                  <w:vMerge/>
                  <w:tcBorders>
                    <w:bottom w:sz="2.879999876022339" w:val="single" w:color="#D8D8D8"/>
                  </w:tcBorders>
                </w:tcPr>
                <w:p/>
              </w:tc>
              <w:tc>
                <w:tcPr>
                  <w:tcW w:type="dxa" w:w="575"/>
                  <w:vMerge/>
                  <w:tcBorders>
                    <w:bottom w:sz="2.879999876022339" w:val="single" w:color="#D8D8D8"/>
                  </w:tcBorders>
                </w:tcPr>
                <w:p/>
              </w:tc>
              <w:tc>
                <w:tcPr>
                  <w:tcW w:type="dxa" w:w="575"/>
                  <w:vMerge/>
                  <w:tcBorders>
                    <w:bottom w:sz="2.879999876022339" w:val="single" w:color="#D8D8D8"/>
                  </w:tcBorders>
                </w:tcPr>
                <w:p/>
              </w:tc>
              <w:tc>
                <w:tcPr>
                  <w:tcW w:type="dxa" w:w="575"/>
                  <w:vMerge/>
                  <w:tcBorders>
                    <w:bottom w:sz="2.879999876022339" w:val="single" w:color="#D8D8D8"/>
                  </w:tcBorders>
                </w:tcPr>
                <w:p/>
              </w:tc>
            </w:tr>
            <w:tr>
              <w:trPr>
                <w:trHeight w:hRule="exact" w:val="66"/>
              </w:trPr>
              <w:tc>
                <w:tcPr>
                  <w:tcW w:type="dxa" w:w="390"/>
                  <w:tcBorders>
                    <w:top w:sz="2.879999876022339" w:val="single" w:color="#D8D8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7" w:hAnsi="CIDFont+F7" w:eastAsia="CIDFont+F7"/>
                      <w:b w:val="0"/>
                      <w:i w:val="0"/>
                      <w:color w:val="000000"/>
                      <w:sz w:val="9"/>
                    </w:rPr>
                    <w:t xml:space="preserve"> 1,200</w:t>
                  </w:r>
                </w:p>
              </w:tc>
              <w:tc>
                <w:tcPr>
                  <w:tcW w:type="dxa" w:w="610"/>
                  <w:vMerge w:val="restart"/>
                  <w:tcBorders>
                    <w:top w:sz="2.879999876022339" w:val="single" w:color="#D8D8D8"/>
                    <w:bottom w:sz="2.879999876022339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4" w:lineRule="exact" w:before="0" w:after="0"/>
                    <w:ind w:left="0" w:right="0" w:firstLine="0"/>
                    <w:jc w:val="center"/>
                  </w:pPr>
                  <w:r>
                    <w:rPr>
                      <w:w w:val="104.12850379943848"/>
                      <w:rFonts w:ascii="CIDFont+F7" w:hAnsi="CIDFont+F7" w:eastAsia="CIDFont+F7"/>
                      <w:b w:val="0"/>
                      <w:i w:val="0"/>
                      <w:color w:val="F2F2F2"/>
                      <w:sz w:val="8"/>
                    </w:rPr>
                    <w:t xml:space="preserve">366 </w:t>
                  </w:r>
                </w:p>
              </w:tc>
              <w:tc>
                <w:tcPr>
                  <w:tcW w:type="dxa" w:w="580"/>
                  <w:vMerge w:val="restart"/>
                  <w:tcBorders>
                    <w:top w:sz="2.879999876022339" w:val="single" w:color="#D8D8D8"/>
                    <w:bottom w:sz="2.879999876022339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4" w:lineRule="exact" w:before="26" w:after="0"/>
                    <w:ind w:left="0" w:right="0" w:firstLine="0"/>
                    <w:jc w:val="center"/>
                  </w:pPr>
                  <w:r>
                    <w:rPr>
                      <w:w w:val="104.12850379943848"/>
                      <w:rFonts w:ascii="CIDFont+F7" w:hAnsi="CIDFont+F7" w:eastAsia="CIDFont+F7"/>
                      <w:b w:val="0"/>
                      <w:i w:val="0"/>
                      <w:color w:val="F2F2F2"/>
                      <w:sz w:val="8"/>
                    </w:rPr>
                    <w:t xml:space="preserve">343 </w:t>
                  </w:r>
                </w:p>
              </w:tc>
              <w:tc>
                <w:tcPr>
                  <w:tcW w:type="dxa" w:w="580"/>
                  <w:vMerge w:val="restart"/>
                  <w:tcBorders>
                    <w:top w:sz="2.879999876022339" w:val="single" w:color="#D8D8D8"/>
                    <w:bottom w:sz="2.879999876022339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2" w:lineRule="exact" w:before="0" w:after="0"/>
                    <w:ind w:left="0" w:right="0" w:firstLine="0"/>
                    <w:jc w:val="center"/>
                  </w:pPr>
                  <w:r>
                    <w:rPr>
                      <w:w w:val="104.12850379943848"/>
                      <w:rFonts w:ascii="CIDFont+F7" w:hAnsi="CIDFont+F7" w:eastAsia="CIDFont+F7"/>
                      <w:b w:val="0"/>
                      <w:i w:val="0"/>
                      <w:color w:val="F2F2F2"/>
                      <w:sz w:val="8"/>
                    </w:rPr>
                    <w:t xml:space="preserve">398 </w:t>
                  </w:r>
                </w:p>
              </w:tc>
              <w:tc>
                <w:tcPr>
                  <w:tcW w:type="dxa" w:w="580"/>
                  <w:vMerge w:val="restart"/>
                  <w:tcBorders>
                    <w:top w:sz="2.879999876022339" w:val="single" w:color="#D8D8D8"/>
                    <w:bottom w:sz="2.879999876022339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2" w:lineRule="exact" w:before="56" w:after="0"/>
                    <w:ind w:left="0" w:right="0" w:firstLine="0"/>
                    <w:jc w:val="center"/>
                  </w:pPr>
                  <w:r>
                    <w:rPr>
                      <w:w w:val="104.12850379943848"/>
                      <w:rFonts w:ascii="CIDFont+F7" w:hAnsi="CIDFont+F7" w:eastAsia="CIDFont+F7"/>
                      <w:b w:val="0"/>
                      <w:i w:val="0"/>
                      <w:color w:val="FFFFFF"/>
                      <w:sz w:val="8"/>
                    </w:rPr>
                    <w:t xml:space="preserve">123 </w:t>
                  </w:r>
                </w:p>
              </w:tc>
              <w:tc>
                <w:tcPr>
                  <w:tcW w:type="dxa" w:w="580"/>
                  <w:vMerge w:val="restart"/>
                  <w:tcBorders>
                    <w:top w:sz="2.879999876022339" w:val="single" w:color="#D8D8D8"/>
                    <w:bottom w:sz="2.879999876022339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4" w:lineRule="exact" w:before="2" w:after="0"/>
                    <w:ind w:left="0" w:right="0" w:firstLine="0"/>
                    <w:jc w:val="center"/>
                  </w:pPr>
                  <w:r>
                    <w:rPr>
                      <w:w w:val="104.12850379943848"/>
                      <w:rFonts w:ascii="CIDFont+F7" w:hAnsi="CIDFont+F7" w:eastAsia="CIDFont+F7"/>
                      <w:b w:val="0"/>
                      <w:i w:val="0"/>
                      <w:color w:val="FFFFFF"/>
                      <w:sz w:val="8"/>
                    </w:rPr>
                    <w:t xml:space="preserve">141 </w:t>
                  </w:r>
                </w:p>
              </w:tc>
            </w:tr>
            <w:tr>
              <w:trPr>
                <w:trHeight w:hRule="exact" w:val="92"/>
              </w:trPr>
              <w:tc>
                <w:tcPr>
                  <w:tcW w:type="dxa" w:w="390"/>
                  <w:tcBorders>
                    <w:bottom w:sz="2.879999876022339" w:val="single" w:color="#D8D8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7" w:hAnsi="CIDFont+F7" w:eastAsia="CIDFont+F7"/>
                      <w:b w:val="0"/>
                      <w:i w:val="0"/>
                      <w:color w:val="000000"/>
                      <w:sz w:val="9"/>
                    </w:rPr>
                    <w:t>1000</w:t>
                  </w:r>
                </w:p>
              </w:tc>
              <w:tc>
                <w:tcPr>
                  <w:tcW w:type="dxa" w:w="575"/>
                  <w:vMerge/>
                  <w:tcBorders>
                    <w:top w:sz="2.879999876022339" w:val="single" w:color="#D8D8D8"/>
                    <w:bottom w:sz="2.879999876022339" w:val="single" w:color="#D8D8D8"/>
                  </w:tcBorders>
                </w:tcPr>
                <w:p/>
              </w:tc>
              <w:tc>
                <w:tcPr>
                  <w:tcW w:type="dxa" w:w="575"/>
                  <w:vMerge/>
                  <w:tcBorders>
                    <w:top w:sz="2.879999876022339" w:val="single" w:color="#D8D8D8"/>
                    <w:bottom w:sz="2.879999876022339" w:val="single" w:color="#D8D8D8"/>
                  </w:tcBorders>
                </w:tcPr>
                <w:p/>
              </w:tc>
              <w:tc>
                <w:tcPr>
                  <w:tcW w:type="dxa" w:w="575"/>
                  <w:vMerge/>
                  <w:tcBorders>
                    <w:top w:sz="2.879999876022339" w:val="single" w:color="#D8D8D8"/>
                    <w:bottom w:sz="2.879999876022339" w:val="single" w:color="#D8D8D8"/>
                  </w:tcBorders>
                </w:tcPr>
                <w:p/>
              </w:tc>
              <w:tc>
                <w:tcPr>
                  <w:tcW w:type="dxa" w:w="575"/>
                  <w:vMerge/>
                  <w:tcBorders>
                    <w:top w:sz="2.879999876022339" w:val="single" w:color="#D8D8D8"/>
                    <w:bottom w:sz="2.879999876022339" w:val="single" w:color="#D8D8D8"/>
                  </w:tcBorders>
                </w:tcPr>
                <w:p/>
              </w:tc>
              <w:tc>
                <w:tcPr>
                  <w:tcW w:type="dxa" w:w="575"/>
                  <w:vMerge/>
                  <w:tcBorders>
                    <w:top w:sz="2.879999876022339" w:val="single" w:color="#D8D8D8"/>
                    <w:bottom w:sz="2.879999876022339" w:val="single" w:color="#D8D8D8"/>
                  </w:tcBorders>
                </w:tcPr>
                <w:p/>
              </w:tc>
            </w:tr>
            <w:tr>
              <w:trPr>
                <w:trHeight w:hRule="exact" w:val="68"/>
              </w:trPr>
              <w:tc>
                <w:tcPr>
                  <w:tcW w:type="dxa" w:w="390"/>
                  <w:tcBorders>
                    <w:top w:sz="2.879999876022339" w:val="single" w:color="#D8D8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7" w:hAnsi="CIDFont+F7" w:eastAsia="CIDFont+F7"/>
                      <w:b w:val="0"/>
                      <w:i w:val="0"/>
                      <w:color w:val="000000"/>
                      <w:sz w:val="9"/>
                    </w:rPr>
                    <w:t>1000</w:t>
                  </w:r>
                </w:p>
              </w:tc>
              <w:tc>
                <w:tcPr>
                  <w:tcW w:type="dxa" w:w="610"/>
                  <w:vMerge w:val="restart"/>
                  <w:tcBorders>
                    <w:top w:sz="2.879999876022339" w:val="single" w:color="#D8D8D8"/>
                    <w:bottom w:sz="2.879999876022339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4" w:lineRule="exact" w:before="26" w:after="0"/>
                    <w:ind w:left="0" w:right="0" w:firstLine="0"/>
                    <w:jc w:val="center"/>
                  </w:pPr>
                  <w:r>
                    <w:rPr>
                      <w:w w:val="104.12850379943848"/>
                      <w:rFonts w:ascii="CIDFont+F7" w:hAnsi="CIDFont+F7" w:eastAsia="CIDFont+F7"/>
                      <w:b w:val="0"/>
                      <w:i w:val="0"/>
                      <w:color w:val="FFFFFF"/>
                      <w:sz w:val="8"/>
                    </w:rPr>
                    <w:t xml:space="preserve">110 </w:t>
                  </w:r>
                </w:p>
              </w:tc>
              <w:tc>
                <w:tcPr>
                  <w:tcW w:type="dxa" w:w="580"/>
                  <w:vMerge w:val="restart"/>
                  <w:tcBorders>
                    <w:top w:sz="2.879999876022339" w:val="single" w:color="#D8D8D8"/>
                    <w:bottom w:sz="2.879999876022339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2" w:lineRule="exact" w:before="18" w:after="0"/>
                    <w:ind w:left="0" w:right="0" w:firstLine="0"/>
                    <w:jc w:val="center"/>
                  </w:pPr>
                  <w:r>
                    <w:rPr>
                      <w:w w:val="104.12850379943848"/>
                      <w:rFonts w:ascii="CIDFont+F7" w:hAnsi="CIDFont+F7" w:eastAsia="CIDFont+F7"/>
                      <w:b w:val="0"/>
                      <w:i w:val="0"/>
                      <w:color w:val="FFFFFF"/>
                      <w:sz w:val="8"/>
                    </w:rPr>
                    <w:t xml:space="preserve">6 </w:t>
                  </w:r>
                </w:p>
              </w:tc>
              <w:tc>
                <w:tcPr>
                  <w:tcW w:type="dxa" w:w="580"/>
                  <w:vMerge w:val="restart"/>
                  <w:tcBorders>
                    <w:top w:sz="2.879999876022339" w:val="single" w:color="#D8D8D8"/>
                    <w:bottom w:sz="2.879999876022339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2" w:lineRule="exact" w:before="0" w:after="0"/>
                    <w:ind w:left="0" w:right="0" w:firstLine="0"/>
                    <w:jc w:val="center"/>
                  </w:pPr>
                  <w:r>
                    <w:rPr>
                      <w:w w:val="104.12850379943848"/>
                      <w:rFonts w:ascii="CIDFont+F7" w:hAnsi="CIDFont+F7" w:eastAsia="CIDFont+F7"/>
                      <w:b w:val="0"/>
                      <w:i w:val="0"/>
                      <w:color w:val="FFFFFF"/>
                      <w:sz w:val="8"/>
                    </w:rPr>
                    <w:t xml:space="preserve">35 </w:t>
                  </w:r>
                </w:p>
              </w:tc>
              <w:tc>
                <w:tcPr>
                  <w:tcW w:type="dxa" w:w="580"/>
                  <w:vMerge w:val="restart"/>
                  <w:tcBorders>
                    <w:top w:sz="2.879999876022339" w:val="single" w:color="#D8D8D8"/>
                    <w:bottom w:sz="2.879999876022339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2" w:lineRule="exact" w:before="58" w:after="0"/>
                    <w:ind w:left="0" w:right="0" w:firstLine="0"/>
                    <w:jc w:val="center"/>
                  </w:pPr>
                  <w:r>
                    <w:rPr>
                      <w:w w:val="104.12850379943848"/>
                      <w:rFonts w:ascii="CIDFont+F7" w:hAnsi="CIDFont+F7" w:eastAsia="CIDFont+F7"/>
                      <w:b w:val="0"/>
                      <w:i w:val="0"/>
                      <w:color w:val="FFFFFF"/>
                      <w:sz w:val="8"/>
                    </w:rPr>
                    <w:t xml:space="preserve">382 </w:t>
                  </w:r>
                </w:p>
              </w:tc>
              <w:tc>
                <w:tcPr>
                  <w:tcW w:type="dxa" w:w="580"/>
                  <w:vMerge w:val="restart"/>
                  <w:tcBorders>
                    <w:top w:sz="2.879999876022339" w:val="single" w:color="#D8D8D8"/>
                    <w:bottom w:sz="2.879999876022339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4" w:lineRule="exact" w:before="48" w:after="0"/>
                    <w:ind w:left="0" w:right="0" w:firstLine="0"/>
                    <w:jc w:val="center"/>
                  </w:pPr>
                  <w:r>
                    <w:rPr>
                      <w:w w:val="104.12850379943848"/>
                      <w:rFonts w:ascii="CIDFont+F7" w:hAnsi="CIDFont+F7" w:eastAsia="CIDFont+F7"/>
                      <w:b w:val="0"/>
                      <w:i w:val="0"/>
                      <w:color w:val="FFFFFF"/>
                      <w:sz w:val="8"/>
                    </w:rPr>
                    <w:t xml:space="preserve">395 </w:t>
                  </w:r>
                </w:p>
              </w:tc>
            </w:tr>
            <w:tr>
              <w:trPr>
                <w:trHeight w:hRule="exact" w:val="90"/>
              </w:trPr>
              <w:tc>
                <w:tcPr>
                  <w:tcW w:type="dxa" w:w="390"/>
                  <w:tcBorders>
                    <w:bottom w:sz="2.879999876022339" w:val="single" w:color="#D8D8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5"/>
                  <w:vMerge/>
                  <w:tcBorders>
                    <w:top w:sz="2.879999876022339" w:val="single" w:color="#D8D8D8"/>
                    <w:bottom w:sz="2.879999876022339" w:val="single" w:color="#D8D8D8"/>
                  </w:tcBorders>
                </w:tcPr>
                <w:p/>
              </w:tc>
              <w:tc>
                <w:tcPr>
                  <w:tcW w:type="dxa" w:w="575"/>
                  <w:vMerge/>
                  <w:tcBorders>
                    <w:top w:sz="2.879999876022339" w:val="single" w:color="#D8D8D8"/>
                    <w:bottom w:sz="2.879999876022339" w:val="single" w:color="#D8D8D8"/>
                  </w:tcBorders>
                </w:tcPr>
                <w:p/>
              </w:tc>
              <w:tc>
                <w:tcPr>
                  <w:tcW w:type="dxa" w:w="575"/>
                  <w:vMerge/>
                  <w:tcBorders>
                    <w:top w:sz="2.879999876022339" w:val="single" w:color="#D8D8D8"/>
                    <w:bottom w:sz="2.879999876022339" w:val="single" w:color="#D8D8D8"/>
                  </w:tcBorders>
                </w:tcPr>
                <w:p/>
              </w:tc>
              <w:tc>
                <w:tcPr>
                  <w:tcW w:type="dxa" w:w="575"/>
                  <w:vMerge/>
                  <w:tcBorders>
                    <w:top w:sz="2.879999876022339" w:val="single" w:color="#D8D8D8"/>
                    <w:bottom w:sz="2.879999876022339" w:val="single" w:color="#D8D8D8"/>
                  </w:tcBorders>
                </w:tcPr>
                <w:p/>
              </w:tc>
              <w:tc>
                <w:tcPr>
                  <w:tcW w:type="dxa" w:w="575"/>
                  <w:vMerge/>
                  <w:tcBorders>
                    <w:top w:sz="2.879999876022339" w:val="single" w:color="#D8D8D8"/>
                    <w:bottom w:sz="2.879999876022339" w:val="single" w:color="#D8D8D8"/>
                  </w:tcBorders>
                </w:tcPr>
                <w:p/>
              </w:tc>
            </w:tr>
            <w:tr>
              <w:trPr>
                <w:trHeight w:hRule="exact" w:val="70"/>
              </w:trPr>
              <w:tc>
                <w:tcPr>
                  <w:tcW w:type="dxa" w:w="390"/>
                  <w:tcBorders>
                    <w:top w:sz="2.879999876022339" w:val="single" w:color="#D8D8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7" w:hAnsi="CIDFont+F7" w:eastAsia="CIDFont+F7"/>
                      <w:b w:val="0"/>
                      <w:i w:val="0"/>
                      <w:color w:val="000000"/>
                      <w:sz w:val="9"/>
                    </w:rPr>
                    <w:t xml:space="preserve"> 800</w:t>
                  </w:r>
                </w:p>
              </w:tc>
              <w:tc>
                <w:tcPr>
                  <w:tcW w:type="dxa" w:w="610"/>
                  <w:vMerge w:val="restart"/>
                  <w:tcBorders>
                    <w:top w:sz="2.879999876022339" w:val="single" w:color="#D8D8D8"/>
                    <w:bottom w:sz="2.879999876022339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2" w:lineRule="exact" w:before="30" w:after="0"/>
                    <w:ind w:left="0" w:right="0" w:firstLine="0"/>
                    <w:jc w:val="center"/>
                  </w:pPr>
                  <w:r>
                    <w:rPr>
                      <w:w w:val="104.12850379943848"/>
                      <w:rFonts w:ascii="CIDFont+F7" w:hAnsi="CIDFont+F7" w:eastAsia="CIDFont+F7"/>
                      <w:b w:val="0"/>
                      <w:i w:val="0"/>
                      <w:color w:val="FFFFFF"/>
                      <w:sz w:val="8"/>
                    </w:rPr>
                    <w:t xml:space="preserve">301 </w:t>
                  </w:r>
                </w:p>
              </w:tc>
              <w:tc>
                <w:tcPr>
                  <w:tcW w:type="dxa" w:w="580"/>
                  <w:vMerge w:val="restart"/>
                  <w:tcBorders>
                    <w:top w:sz="2.879999876022339" w:val="single" w:color="#D8D8D8"/>
                    <w:bottom w:sz="2.879999876022339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4" w:lineRule="exact" w:before="0" w:after="0"/>
                    <w:ind w:left="0" w:right="0" w:firstLine="0"/>
                    <w:jc w:val="center"/>
                  </w:pPr>
                  <w:r>
                    <w:rPr>
                      <w:w w:val="104.12850379943848"/>
                      <w:rFonts w:ascii="CIDFont+F7" w:hAnsi="CIDFont+F7" w:eastAsia="CIDFont+F7"/>
                      <w:b w:val="0"/>
                      <w:i w:val="0"/>
                      <w:color w:val="FFFFFF"/>
                      <w:sz w:val="8"/>
                    </w:rPr>
                    <w:t xml:space="preserve">346 </w:t>
                  </w:r>
                </w:p>
              </w:tc>
              <w:tc>
                <w:tcPr>
                  <w:tcW w:type="dxa" w:w="580"/>
                  <w:vMerge w:val="restart"/>
                  <w:tcBorders>
                    <w:top w:sz="2.879999876022339" w:val="single" w:color="#D8D8D8"/>
                    <w:bottom w:sz="2.879999876022339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4" w:lineRule="exact" w:before="0" w:after="0"/>
                    <w:ind w:left="0" w:right="0" w:firstLine="0"/>
                    <w:jc w:val="center"/>
                  </w:pPr>
                  <w:r>
                    <w:rPr>
                      <w:w w:val="104.12850379943848"/>
                      <w:rFonts w:ascii="CIDFont+F7" w:hAnsi="CIDFont+F7" w:eastAsia="CIDFont+F7"/>
                      <w:b w:val="0"/>
                      <w:i w:val="0"/>
                      <w:color w:val="FFFFFF"/>
                      <w:sz w:val="8"/>
                    </w:rPr>
                    <w:t xml:space="preserve">366 </w:t>
                  </w:r>
                </w:p>
              </w:tc>
              <w:tc>
                <w:tcPr>
                  <w:tcW w:type="dxa" w:w="580"/>
                  <w:vMerge w:val="restart"/>
                  <w:tcBorders>
                    <w:top w:sz="2.879999876022339" w:val="single" w:color="#D8D8D8"/>
                    <w:bottom w:sz="2.879999876022339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vMerge w:val="restart"/>
                  <w:tcBorders>
                    <w:top w:sz="2.879999876022339" w:val="single" w:color="#D8D8D8"/>
                    <w:bottom w:sz="2.879999876022339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90"/>
              </w:trPr>
              <w:tc>
                <w:tcPr>
                  <w:tcW w:type="dxa" w:w="390"/>
                  <w:tcBorders>
                    <w:bottom w:sz="2.879999876022339" w:val="single" w:color="#D8D8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7" w:hAnsi="CIDFont+F7" w:eastAsia="CIDFont+F7"/>
                      <w:b w:val="0"/>
                      <w:i w:val="0"/>
                      <w:color w:val="000000"/>
                      <w:sz w:val="9"/>
                    </w:rPr>
                    <w:t xml:space="preserve"> 600</w:t>
                  </w:r>
                </w:p>
              </w:tc>
              <w:tc>
                <w:tcPr>
                  <w:tcW w:type="dxa" w:w="575"/>
                  <w:vMerge/>
                  <w:tcBorders>
                    <w:top w:sz="2.879999876022339" w:val="single" w:color="#D8D8D8"/>
                    <w:bottom w:sz="2.879999876022339" w:val="single" w:color="#D8D8D8"/>
                  </w:tcBorders>
                </w:tcPr>
                <w:p/>
              </w:tc>
              <w:tc>
                <w:tcPr>
                  <w:tcW w:type="dxa" w:w="575"/>
                  <w:vMerge/>
                  <w:tcBorders>
                    <w:top w:sz="2.879999876022339" w:val="single" w:color="#D8D8D8"/>
                    <w:bottom w:sz="2.879999876022339" w:val="single" w:color="#D8D8D8"/>
                  </w:tcBorders>
                </w:tcPr>
                <w:p/>
              </w:tc>
              <w:tc>
                <w:tcPr>
                  <w:tcW w:type="dxa" w:w="575"/>
                  <w:vMerge/>
                  <w:tcBorders>
                    <w:top w:sz="2.879999876022339" w:val="single" w:color="#D8D8D8"/>
                    <w:bottom w:sz="2.879999876022339" w:val="single" w:color="#D8D8D8"/>
                  </w:tcBorders>
                </w:tcPr>
                <w:p/>
              </w:tc>
              <w:tc>
                <w:tcPr>
                  <w:tcW w:type="dxa" w:w="575"/>
                  <w:vMerge/>
                  <w:tcBorders>
                    <w:top w:sz="2.879999876022339" w:val="single" w:color="#D8D8D8"/>
                    <w:bottom w:sz="2.879999876022339" w:val="single" w:color="#D8D8D8"/>
                  </w:tcBorders>
                </w:tcPr>
                <w:p/>
              </w:tc>
              <w:tc>
                <w:tcPr>
                  <w:tcW w:type="dxa" w:w="575"/>
                  <w:vMerge/>
                  <w:tcBorders>
                    <w:top w:sz="2.879999876022339" w:val="single" w:color="#D8D8D8"/>
                    <w:bottom w:sz="2.879999876022339" w:val="single" w:color="#D8D8D8"/>
                  </w:tcBorders>
                </w:tcPr>
                <w:p/>
              </w:tc>
            </w:tr>
            <w:tr>
              <w:trPr>
                <w:trHeight w:hRule="exact" w:val="70"/>
              </w:trPr>
              <w:tc>
                <w:tcPr>
                  <w:tcW w:type="dxa" w:w="390"/>
                  <w:tcBorders>
                    <w:top w:sz="2.879999876022339" w:val="single" w:color="#D8D8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0"/>
                  <w:vMerge w:val="restart"/>
                  <w:tcBorders>
                    <w:top w:sz="2.879999876022339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4" w:lineRule="exact" w:before="78" w:after="0"/>
                    <w:ind w:left="0" w:right="0" w:firstLine="0"/>
                    <w:jc w:val="center"/>
                  </w:pPr>
                  <w:r>
                    <w:rPr>
                      <w:w w:val="104.12850379943848"/>
                      <w:rFonts w:ascii="CIDFont+F7" w:hAnsi="CIDFont+F7" w:eastAsia="CIDFont+F7"/>
                      <w:b w:val="0"/>
                      <w:i w:val="0"/>
                      <w:color w:val="FFFFFF"/>
                      <w:sz w:val="8"/>
                    </w:rPr>
                    <w:t xml:space="preserve">554 </w:t>
                  </w:r>
                </w:p>
              </w:tc>
              <w:tc>
                <w:tcPr>
                  <w:tcW w:type="dxa" w:w="580"/>
                  <w:vMerge w:val="restart"/>
                  <w:tcBorders>
                    <w:top w:sz="2.879999876022339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4" w:lineRule="exact" w:before="56" w:after="0"/>
                    <w:ind w:left="0" w:right="0" w:firstLine="0"/>
                    <w:jc w:val="center"/>
                  </w:pPr>
                  <w:r>
                    <w:rPr>
                      <w:w w:val="104.12850379943848"/>
                      <w:rFonts w:ascii="CIDFont+F7" w:hAnsi="CIDFont+F7" w:eastAsia="CIDFont+F7"/>
                      <w:b w:val="0"/>
                      <w:i w:val="0"/>
                      <w:color w:val="FFFFFF"/>
                      <w:sz w:val="8"/>
                    </w:rPr>
                    <w:t xml:space="preserve">580 </w:t>
                  </w:r>
                </w:p>
              </w:tc>
              <w:tc>
                <w:tcPr>
                  <w:tcW w:type="dxa" w:w="580"/>
                  <w:vMerge w:val="restart"/>
                  <w:tcBorders>
                    <w:top w:sz="2.879999876022339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2" w:lineRule="exact" w:before="62" w:after="0"/>
                    <w:ind w:left="0" w:right="0" w:firstLine="0"/>
                    <w:jc w:val="center"/>
                  </w:pPr>
                  <w:r>
                    <w:rPr>
                      <w:w w:val="104.12850379943848"/>
                      <w:rFonts w:ascii="CIDFont+F7" w:hAnsi="CIDFont+F7" w:eastAsia="CIDFont+F7"/>
                      <w:b w:val="0"/>
                      <w:i w:val="0"/>
                      <w:color w:val="FFFFFF"/>
                      <w:sz w:val="8"/>
                    </w:rPr>
                    <w:t xml:space="preserve">575 </w:t>
                  </w:r>
                </w:p>
              </w:tc>
              <w:tc>
                <w:tcPr>
                  <w:tcW w:type="dxa" w:w="580"/>
                  <w:vMerge w:val="restart"/>
                  <w:tcBorders>
                    <w:top w:sz="2.879999876022339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2" w:lineRule="exact" w:before="16" w:after="0"/>
                    <w:ind w:left="0" w:right="0" w:firstLine="0"/>
                    <w:jc w:val="center"/>
                  </w:pPr>
                  <w:r>
                    <w:rPr>
                      <w:w w:val="104.12850379943848"/>
                      <w:rFonts w:ascii="CIDFont+F7" w:hAnsi="CIDFont+F7" w:eastAsia="CIDFont+F7"/>
                      <w:b w:val="0"/>
                      <w:i w:val="0"/>
                      <w:color w:val="FFFFFF"/>
                      <w:sz w:val="8"/>
                    </w:rPr>
                    <w:t xml:space="preserve">633 </w:t>
                  </w:r>
                </w:p>
              </w:tc>
              <w:tc>
                <w:tcPr>
                  <w:tcW w:type="dxa" w:w="580"/>
                  <w:vMerge w:val="restart"/>
                  <w:tcBorders>
                    <w:top w:sz="2.879999876022339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2" w:lineRule="exact" w:before="0" w:after="0"/>
                    <w:ind w:left="0" w:right="0" w:firstLine="0"/>
                    <w:jc w:val="center"/>
                  </w:pPr>
                  <w:r>
                    <w:rPr>
                      <w:w w:val="104.12850379943848"/>
                      <w:rFonts w:ascii="CIDFont+F7" w:hAnsi="CIDFont+F7" w:eastAsia="CIDFont+F7"/>
                      <w:b w:val="0"/>
                      <w:i w:val="0"/>
                      <w:color w:val="FFFFFF"/>
                      <w:sz w:val="8"/>
                    </w:rPr>
                    <w:t xml:space="preserve">681 </w:t>
                  </w:r>
                </w:p>
              </w:tc>
            </w:tr>
            <w:tr>
              <w:trPr>
                <w:trHeight w:hRule="exact" w:val="166"/>
              </w:trPr>
              <w:tc>
                <w:tcPr>
                  <w:tcW w:type="dxa" w:w="3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IDFont+F7" w:hAnsi="CIDFont+F7" w:eastAsia="CIDFont+F7"/>
                      <w:b w:val="0"/>
                      <w:i w:val="0"/>
                      <w:color w:val="000000"/>
                      <w:sz w:val="9"/>
                    </w:rPr>
                    <w:t xml:space="preserve"> 400</w:t>
                  </w:r>
                </w:p>
              </w:tc>
              <w:tc>
                <w:tcPr>
                  <w:tcW w:type="dxa" w:w="575"/>
                  <w:vMerge/>
                  <w:tcBorders>
                    <w:top w:sz="2.879999876022339" w:val="single" w:color="#D8D8D8"/>
                  </w:tcBorders>
                </w:tcPr>
                <w:p/>
              </w:tc>
              <w:tc>
                <w:tcPr>
                  <w:tcW w:type="dxa" w:w="575"/>
                  <w:vMerge/>
                  <w:tcBorders>
                    <w:top w:sz="2.879999876022339" w:val="single" w:color="#D8D8D8"/>
                  </w:tcBorders>
                </w:tcPr>
                <w:p/>
              </w:tc>
              <w:tc>
                <w:tcPr>
                  <w:tcW w:type="dxa" w:w="575"/>
                  <w:vMerge/>
                  <w:tcBorders>
                    <w:top w:sz="2.879999876022339" w:val="single" w:color="#D8D8D8"/>
                  </w:tcBorders>
                </w:tcPr>
                <w:p/>
              </w:tc>
              <w:tc>
                <w:tcPr>
                  <w:tcW w:type="dxa" w:w="575"/>
                  <w:vMerge/>
                  <w:tcBorders>
                    <w:top w:sz="2.879999876022339" w:val="single" w:color="#D8D8D8"/>
                  </w:tcBorders>
                </w:tcPr>
                <w:p/>
              </w:tc>
              <w:tc>
                <w:tcPr>
                  <w:tcW w:type="dxa" w:w="575"/>
                  <w:vMerge/>
                  <w:tcBorders>
                    <w:top w:sz="2.879999876022339" w:val="single" w:color="#D8D8D8"/>
                  </w:tcBorders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4" w:lineRule="exact" w:before="0" w:after="6"/>
              <w:ind w:left="0" w:right="3024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000000"/>
                <w:sz w:val="9"/>
              </w:rPr>
              <w:t xml:space="preserve"> 200</w:t>
            </w:r>
            <w:r>
              <w:br/>
            </w:r>
            <w:r>
              <w:rPr>
                <w:rFonts w:ascii="CIDFont+F7" w:hAnsi="CIDFont+F7" w:eastAsia="CIDFont+F7"/>
                <w:b w:val="0"/>
                <w:i w:val="0"/>
                <w:color w:val="000000"/>
                <w:sz w:val="9"/>
              </w:rPr>
              <w:t xml:space="preserve"> -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3.9999999999998" w:type="dxa"/>
            </w:tblPr>
            <w:tblGrid>
              <w:gridCol w:w="345"/>
              <w:gridCol w:w="345"/>
              <w:gridCol w:w="345"/>
              <w:gridCol w:w="345"/>
              <w:gridCol w:w="345"/>
              <w:gridCol w:w="345"/>
              <w:gridCol w:w="345"/>
              <w:gridCol w:w="345"/>
              <w:gridCol w:w="345"/>
              <w:gridCol w:w="345"/>
            </w:tblGrid>
            <w:tr>
              <w:trPr>
                <w:trHeight w:hRule="exact" w:val="142"/>
              </w:trPr>
              <w:tc>
                <w:tcPr>
                  <w:tcW w:type="dxa" w:w="8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CIDFont+F7" w:hAnsi="CIDFont+F7" w:eastAsia="CIDFont+F7"/>
                      <w:b w:val="0"/>
                      <w:i w:val="0"/>
                      <w:color w:val="595959"/>
                      <w:sz w:val="9"/>
                    </w:rPr>
                    <w:t xml:space="preserve"> FY20</w:t>
                  </w:r>
                </w:p>
              </w:tc>
              <w:tc>
                <w:tcPr>
                  <w:tcW w:type="dxa" w:w="4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4" w:after="0"/>
                    <w:ind w:left="22" w:right="0" w:firstLine="0"/>
                    <w:jc w:val="left"/>
                  </w:pPr>
                  <w:r>
                    <w:rPr>
                      <w:rFonts w:ascii="CIDFont+F7" w:hAnsi="CIDFont+F7" w:eastAsia="CIDFont+F7"/>
                      <w:b w:val="0"/>
                      <w:i w:val="0"/>
                      <w:color w:val="595959"/>
                      <w:sz w:val="9"/>
                    </w:rPr>
                    <w:t xml:space="preserve"> FY21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4" w:after="0"/>
                    <w:ind w:left="0" w:right="32" w:firstLine="0"/>
                    <w:jc w:val="right"/>
                  </w:pPr>
                  <w:r>
                    <w:rPr>
                      <w:rFonts w:ascii="CIDFont+F7" w:hAnsi="CIDFont+F7" w:eastAsia="CIDFont+F7"/>
                      <w:b w:val="0"/>
                      <w:i w:val="0"/>
                      <w:color w:val="595959"/>
                      <w:sz w:val="9"/>
                    </w:rPr>
                    <w:t xml:space="preserve"> FY22</w:t>
                  </w:r>
                </w:p>
              </w:tc>
              <w:tc>
                <w:tcPr>
                  <w:tcW w:type="dxa" w:w="1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2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8100" cy="38100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100" cy="381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4" w:after="0"/>
                    <w:ind w:left="0" w:right="0" w:firstLine="0"/>
                    <w:jc w:val="right"/>
                  </w:pPr>
                  <w:r>
                    <w:rPr>
                      <w:rFonts w:ascii="CIDFont+F7" w:hAnsi="CIDFont+F7" w:eastAsia="CIDFont+F7"/>
                      <w:b w:val="0"/>
                      <w:i w:val="0"/>
                      <w:color w:val="595959"/>
                      <w:sz w:val="9"/>
                    </w:rPr>
                    <w:t xml:space="preserve"> FY23</w:t>
                  </w:r>
                </w:p>
              </w:tc>
              <w:tc>
                <w:tcPr>
                  <w:tcW w:type="dxa" w:w="3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198" w:after="0"/>
                    <w:ind w:left="0" w:right="0" w:firstLine="0"/>
                    <w:jc w:val="center"/>
                  </w:pPr>
                  <w:r>
                    <w:rPr>
                      <w:rFonts w:ascii="CIDFont+F7" w:hAnsi="CIDFont+F7" w:eastAsia="CIDFont+F7"/>
                      <w:b w:val="0"/>
                      <w:i w:val="0"/>
                      <w:color w:val="000000"/>
                      <w:sz w:val="9"/>
                    </w:rPr>
                    <w:t>Others</w:t>
                  </w:r>
                </w:p>
              </w:tc>
              <w:tc>
                <w:tcPr>
                  <w:tcW w:type="dxa" w:w="4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4" w:after="0"/>
                    <w:ind w:left="40" w:right="0" w:firstLine="0"/>
                    <w:jc w:val="left"/>
                  </w:pPr>
                  <w:r>
                    <w:rPr>
                      <w:rFonts w:ascii="CIDFont+F7" w:hAnsi="CIDFont+F7" w:eastAsia="CIDFont+F7"/>
                      <w:b w:val="0"/>
                      <w:i w:val="0"/>
                      <w:color w:val="595959"/>
                      <w:sz w:val="9"/>
                    </w:rPr>
                    <w:t xml:space="preserve"> FY24</w:t>
                  </w:r>
                </w:p>
              </w:tc>
            </w:tr>
            <w:tr>
              <w:trPr>
                <w:trHeight w:hRule="exact" w:val="182"/>
              </w:trPr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0800" cy="38100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800" cy="381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IDFont+F7" w:hAnsi="CIDFont+F7" w:eastAsia="CIDFont+F7"/>
                      <w:b w:val="0"/>
                      <w:i w:val="0"/>
                      <w:color w:val="000000"/>
                      <w:sz w:val="9"/>
                    </w:rPr>
                    <w:t>Staff Costs</w:t>
                  </w:r>
                </w:p>
              </w:tc>
              <w:tc>
                <w:tcPr>
                  <w:tcW w:type="dxa" w:w="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8100" cy="38100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100" cy="381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IDFont+F7" w:hAnsi="CIDFont+F7" w:eastAsia="CIDFont+F7"/>
                      <w:b w:val="0"/>
                      <w:i w:val="0"/>
                      <w:color w:val="000000"/>
                      <w:sz w:val="9"/>
                    </w:rPr>
                    <w:t>Consultant Fees</w:t>
                  </w:r>
                </w:p>
              </w:tc>
              <w:tc>
                <w:tcPr>
                  <w:tcW w:type="dxa" w:w="345"/>
                  <w:vMerge/>
                  <w:tcBorders/>
                </w:tcPr>
                <w:p/>
              </w:tc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IDFont+F7" w:hAnsi="CIDFont+F7" w:eastAsia="CIDFont+F7"/>
                      <w:b w:val="0"/>
                      <w:i w:val="0"/>
                      <w:color w:val="000000"/>
                      <w:sz w:val="9"/>
                    </w:rPr>
                    <w:t>Travel</w:t>
                  </w:r>
                </w:p>
              </w:tc>
              <w:tc>
                <w:tcPr>
                  <w:tcW w:type="dxa" w:w="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8100" cy="38100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100" cy="381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45"/>
                  <w:vMerge/>
                  <w:tcBorders/>
                </w:tcPr>
                <w:p/>
              </w:tc>
              <w:tc>
                <w:tcPr>
                  <w:tcW w:type="dxa" w:w="345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2"/>
            <w:vMerge w:val="restart"/>
            <w:tcBorders>
              <w:start w:sz="5.759999752044678" w:val="single" w:color="#D8D8D8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6"/>
        </w:trPr>
        <w:tc>
          <w:tcPr>
            <w:tcW w:type="dxa" w:w="62"/>
            <w:tcBorders>
              <w:start w:sz="4.0" w:val="single" w:color="#000000"/>
              <w:end w:sz="3.8399999141693115" w:val="single" w:color="#D8D8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54"/>
            <w:tcBorders>
              <w:start w:sz="3.8399999141693115" w:val="single" w:color="#D8D8D8"/>
              <w:top w:sz="3.8399999141693115" w:val="single" w:color="#D8D8D8"/>
              <w:bottom w:sz="1.9199999570846558" w:val="single" w:color="#F2F2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6" w:after="0"/>
              <w:ind w:left="0" w:right="0" w:firstLine="0"/>
              <w:jc w:val="center"/>
            </w:pPr>
            <w:r>
              <w:rPr>
                <w:w w:val="105.58459758758545"/>
                <w:rFonts w:ascii="CIDFont+F7" w:hAnsi="CIDFont+F7" w:eastAsia="CIDFont+F7"/>
                <w:b w:val="0"/>
                <w:i w:val="0"/>
                <w:color w:val="000000"/>
                <w:sz w:val="8"/>
              </w:rPr>
              <w:t>Disbursements for RE activities by Region, $m</w:t>
            </w:r>
          </w:p>
        </w:tc>
        <w:tc>
          <w:tcPr>
            <w:tcW w:type="dxa" w:w="1872"/>
            <w:vMerge/>
            <w:tcBorders>
              <w:end w:sz="5.759999752044678" w:val="single" w:color="#D8D8D8"/>
            </w:tcBorders>
          </w:tcPr>
          <w:p/>
        </w:tc>
        <w:tc>
          <w:tcPr>
            <w:tcW w:type="dxa" w:w="1872"/>
            <w:vMerge/>
            <w:tcBorders>
              <w:start w:sz="5.759999752044678" w:val="single" w:color="#D8D8D8"/>
              <w:end w:sz="5.759999752044678" w:val="single" w:color="#D8D8D8"/>
              <w:bottom w:sz="5.759999752044678" w:val="single" w:color="#D8D8D8"/>
            </w:tcBorders>
          </w:tcPr>
          <w:p/>
        </w:tc>
        <w:tc>
          <w:tcPr>
            <w:tcW w:type="dxa" w:w="1872"/>
            <w:vMerge/>
            <w:tcBorders>
              <w:start w:sz="5.759999752044678" w:val="single" w:color="#D8D8D8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136"/>
        </w:trPr>
        <w:tc>
          <w:tcPr>
            <w:tcW w:type="dxa" w:w="62"/>
            <w:tcBorders>
              <w:start w:sz="4.0" w:val="single" w:color="#000000"/>
              <w:end w:sz="3.8399999141693115" w:val="single" w:color="#D8D8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54"/>
            <w:tcBorders>
              <w:start w:sz="3.8399999141693115" w:val="single" w:color="#D8D8D8"/>
              <w:top w:sz="1.9199999570846558" w:val="single" w:color="#F2F2F2"/>
              <w:bottom w:sz="1.9199999570846558" w:val="single" w:color="#F2F2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44" w:after="0"/>
              <w:ind w:left="0" w:right="1362" w:firstLine="0"/>
              <w:jc w:val="right"/>
            </w:pPr>
            <w:r>
              <w:rPr>
                <w:w w:val="101.61737714494978"/>
                <w:rFonts w:ascii="CIDFont+F7" w:hAnsi="CIDFont+F7" w:eastAsia="CIDFont+F7"/>
                <w:b w:val="0"/>
                <w:i w:val="0"/>
                <w:color w:val="000000"/>
                <w:sz w:val="7"/>
              </w:rPr>
              <w:t xml:space="preserve">17 </w:t>
            </w:r>
          </w:p>
        </w:tc>
        <w:tc>
          <w:tcPr>
            <w:tcW w:type="dxa" w:w="1872"/>
            <w:vMerge/>
            <w:tcBorders>
              <w:end w:sz="5.759999752044678" w:val="single" w:color="#D8D8D8"/>
            </w:tcBorders>
          </w:tcPr>
          <w:p/>
        </w:tc>
        <w:tc>
          <w:tcPr>
            <w:tcW w:type="dxa" w:w="1872"/>
            <w:vMerge/>
            <w:tcBorders>
              <w:start w:sz="5.759999752044678" w:val="single" w:color="#D8D8D8"/>
              <w:end w:sz="5.759999752044678" w:val="single" w:color="#D8D8D8"/>
              <w:bottom w:sz="5.759999752044678" w:val="single" w:color="#D8D8D8"/>
            </w:tcBorders>
          </w:tcPr>
          <w:p/>
        </w:tc>
        <w:tc>
          <w:tcPr>
            <w:tcW w:type="dxa" w:w="1872"/>
            <w:vMerge/>
            <w:tcBorders>
              <w:start w:sz="5.759999752044678" w:val="single" w:color="#D8D8D8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138"/>
        </w:trPr>
        <w:tc>
          <w:tcPr>
            <w:tcW w:type="dxa" w:w="62"/>
            <w:tcBorders>
              <w:start w:sz="4.0" w:val="single" w:color="#000000"/>
              <w:end w:sz="3.8399999141693115" w:val="single" w:color="#D8D8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54"/>
            <w:tcBorders>
              <w:start w:sz="3.8399999141693115" w:val="single" w:color="#D8D8D8"/>
              <w:top w:sz="1.9199999570846558" w:val="single" w:color="#F2F2F2"/>
              <w:bottom w:sz="1.9199999570846558" w:val="single" w:color="#F2F2F2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5.999999999999943" w:type="dxa"/>
            </w:tblPr>
            <w:tblGrid>
              <w:gridCol w:w="607"/>
              <w:gridCol w:w="607"/>
              <w:gridCol w:w="607"/>
              <w:gridCol w:w="607"/>
              <w:gridCol w:w="607"/>
              <w:gridCol w:w="607"/>
              <w:gridCol w:w="607"/>
              <w:gridCol w:w="607"/>
            </w:tblGrid>
            <w:tr>
              <w:trPr>
                <w:trHeight w:hRule="exact" w:val="96"/>
              </w:trPr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2" w:lineRule="exact" w:before="0" w:after="0"/>
                    <w:ind w:left="36" w:right="0" w:firstLine="0"/>
                    <w:jc w:val="left"/>
                  </w:pPr>
                  <w:r>
                    <w:rPr>
                      <w:w w:val="95.26713916233608"/>
                      <w:rFonts w:ascii="CIDFont+F7" w:hAnsi="CIDFont+F7" w:eastAsia="CIDFont+F7"/>
                      <w:b w:val="0"/>
                      <w:i w:val="0"/>
                      <w:color w:val="000000"/>
                      <w:sz w:val="7"/>
                    </w:rPr>
                    <w:t xml:space="preserve"> FY24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" w:lineRule="exact" w:before="0" w:after="0"/>
                    <w:ind w:left="0" w:right="0" w:firstLine="0"/>
                    <w:jc w:val="center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>5,587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" w:lineRule="exact" w:before="0" w:after="0"/>
                    <w:ind w:left="0" w:right="146" w:firstLine="0"/>
                    <w:jc w:val="right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 xml:space="preserve">833 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" w:lineRule="exact" w:before="0" w:after="0"/>
                    <w:ind w:left="0" w:right="76" w:firstLine="0"/>
                    <w:jc w:val="right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 xml:space="preserve">655 </w:t>
                  </w:r>
                </w:p>
              </w:tc>
              <w:tc>
                <w:tcPr>
                  <w:tcW w:type="dxa" w:w="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" w:lineRule="exact" w:before="0" w:after="0"/>
                    <w:ind w:left="0" w:right="0" w:firstLine="0"/>
                    <w:jc w:val="center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 xml:space="preserve">329 </w:t>
                  </w:r>
                </w:p>
              </w:tc>
              <w:tc>
                <w:tcPr>
                  <w:tcW w:type="dxa" w:w="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" w:lineRule="exact" w:before="0" w:after="0"/>
                    <w:ind w:left="0" w:right="0" w:firstLine="0"/>
                    <w:jc w:val="center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 xml:space="preserve">299 </w:t>
                  </w:r>
                </w:p>
              </w:tc>
              <w:tc>
                <w:tcPr>
                  <w:tcW w:type="dxa" w:w="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" w:lineRule="exact" w:before="0" w:after="0"/>
                    <w:ind w:left="0" w:right="0" w:firstLine="0"/>
                    <w:jc w:val="center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>255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" w:lineRule="exact" w:before="0" w:after="0"/>
                    <w:ind w:left="0" w:right="0" w:firstLine="0"/>
                    <w:jc w:val="left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 xml:space="preserve"> </w:t>
                  </w: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 xml:space="preserve">160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72"/>
            <w:vMerge/>
            <w:tcBorders>
              <w:end w:sz="5.759999752044678" w:val="single" w:color="#D8D8D8"/>
            </w:tcBorders>
          </w:tcPr>
          <w:p/>
        </w:tc>
        <w:tc>
          <w:tcPr>
            <w:tcW w:type="dxa" w:w="1872"/>
            <w:vMerge/>
            <w:tcBorders>
              <w:start w:sz="5.759999752044678" w:val="single" w:color="#D8D8D8"/>
              <w:end w:sz="5.759999752044678" w:val="single" w:color="#D8D8D8"/>
              <w:bottom w:sz="5.759999752044678" w:val="single" w:color="#D8D8D8"/>
            </w:tcBorders>
          </w:tcPr>
          <w:p/>
        </w:tc>
        <w:tc>
          <w:tcPr>
            <w:tcW w:type="dxa" w:w="1872"/>
            <w:vMerge/>
            <w:tcBorders>
              <w:start w:sz="5.759999752044678" w:val="single" w:color="#D8D8D8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138"/>
        </w:trPr>
        <w:tc>
          <w:tcPr>
            <w:tcW w:type="dxa" w:w="62"/>
            <w:tcBorders>
              <w:start w:sz="4.0" w:val="single" w:color="#000000"/>
              <w:end w:sz="3.8399999141693115" w:val="single" w:color="#D8D8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54"/>
            <w:tcBorders>
              <w:start w:sz="3.8399999141693115" w:val="single" w:color="#D8D8D8"/>
              <w:top w:sz="1.9199999570846558" w:val="single" w:color="#F2F2F2"/>
              <w:bottom w:sz="1.9199999570846558" w:val="single" w:color="#F2F2F2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57" w:type="dxa"/>
            </w:tblPr>
            <w:tblGrid>
              <w:gridCol w:w="1618"/>
              <w:gridCol w:w="1618"/>
              <w:gridCol w:w="1618"/>
            </w:tblGrid>
            <w:tr>
              <w:trPr>
                <w:trHeight w:hRule="exact" w:val="138"/>
              </w:trPr>
              <w:tc>
                <w:tcPr>
                  <w:tcW w:type="dxa" w:w="2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0" w:lineRule="exact" w:before="78" w:after="0"/>
                    <w:ind w:left="32" w:right="0" w:firstLine="0"/>
                    <w:jc w:val="left"/>
                  </w:pPr>
                  <w:r>
                    <w:rPr>
                      <w:w w:val="95.26713916233608"/>
                      <w:rFonts w:ascii="CIDFont+F7" w:hAnsi="CIDFont+F7" w:eastAsia="CIDFont+F7"/>
                      <w:b w:val="0"/>
                      <w:i w:val="0"/>
                      <w:color w:val="000000"/>
                      <w:sz w:val="7"/>
                    </w:rPr>
                    <w:t>FY</w:t>
                  </w:r>
                </w:p>
              </w:tc>
              <w:tc>
                <w:tcPr>
                  <w:tcW w:type="dxa" w:w="2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" w:lineRule="exact" w:before="2" w:after="0"/>
                    <w:ind w:left="0" w:right="108" w:firstLine="0"/>
                    <w:jc w:val="right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000000"/>
                      <w:sz w:val="7"/>
                    </w:rPr>
                    <w:t xml:space="preserve">140 </w:t>
                  </w:r>
                </w:p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" w:lineRule="exact" w:before="58" w:after="0"/>
                    <w:ind w:left="0" w:right="54" w:firstLine="0"/>
                    <w:jc w:val="right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000000"/>
                      <w:sz w:val="7"/>
                    </w:rPr>
                    <w:t xml:space="preserve">61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72"/>
            <w:vMerge/>
            <w:tcBorders>
              <w:end w:sz="5.759999752044678" w:val="single" w:color="#D8D8D8"/>
            </w:tcBorders>
          </w:tcPr>
          <w:p/>
        </w:tc>
        <w:tc>
          <w:tcPr>
            <w:tcW w:type="dxa" w:w="1872"/>
            <w:vMerge/>
            <w:tcBorders>
              <w:start w:sz="5.759999752044678" w:val="single" w:color="#D8D8D8"/>
              <w:end w:sz="5.759999752044678" w:val="single" w:color="#D8D8D8"/>
              <w:bottom w:sz="5.759999752044678" w:val="single" w:color="#D8D8D8"/>
            </w:tcBorders>
          </w:tcPr>
          <w:p/>
        </w:tc>
        <w:tc>
          <w:tcPr>
            <w:tcW w:type="dxa" w:w="1872"/>
            <w:vMerge/>
            <w:tcBorders>
              <w:start w:sz="5.759999752044678" w:val="single" w:color="#D8D8D8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136"/>
        </w:trPr>
        <w:tc>
          <w:tcPr>
            <w:tcW w:type="dxa" w:w="62"/>
            <w:tcBorders>
              <w:start w:sz="4.0" w:val="single" w:color="#000000"/>
              <w:end w:sz="3.8399999141693115" w:val="single" w:color="#D8D8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54"/>
            <w:tcBorders>
              <w:start w:sz="3.8399999141693115" w:val="single" w:color="#D8D8D8"/>
              <w:top w:sz="1.9199999570846558" w:val="single" w:color="#F2F2F2"/>
              <w:bottom w:sz="1.9199999570846558" w:val="single" w:color="#F2F2F2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57" w:type="dxa"/>
            </w:tblPr>
            <w:tblGrid>
              <w:gridCol w:w="693"/>
              <w:gridCol w:w="693"/>
              <w:gridCol w:w="693"/>
              <w:gridCol w:w="693"/>
              <w:gridCol w:w="693"/>
              <w:gridCol w:w="693"/>
              <w:gridCol w:w="693"/>
            </w:tblGrid>
            <w:tr>
              <w:trPr>
                <w:trHeight w:hRule="exact" w:val="92"/>
              </w:trPr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0" w:lineRule="exact" w:before="0" w:after="0"/>
                    <w:ind w:left="32" w:right="0" w:firstLine="0"/>
                    <w:jc w:val="left"/>
                  </w:pPr>
                  <w:r>
                    <w:rPr>
                      <w:w w:val="95.26713916233608"/>
                      <w:rFonts w:ascii="CIDFont+F7" w:hAnsi="CIDFont+F7" w:eastAsia="CIDFont+F7"/>
                      <w:b w:val="0"/>
                      <w:i w:val="0"/>
                      <w:color w:val="000000"/>
                      <w:sz w:val="7"/>
                    </w:rPr>
                    <w:t>FY</w:t>
                  </w:r>
                </w:p>
              </w:tc>
              <w:tc>
                <w:tcPr>
                  <w:tcW w:type="dxa" w:w="1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" w:lineRule="exact" w:before="0" w:after="0"/>
                    <w:ind w:left="0" w:right="0" w:firstLine="0"/>
                    <w:jc w:val="center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>17,250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" w:lineRule="exact" w:before="0" w:after="0"/>
                    <w:ind w:left="0" w:right="120" w:firstLine="0"/>
                    <w:jc w:val="right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 xml:space="preserve">803 </w:t>
                  </w:r>
                </w:p>
              </w:tc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" w:lineRule="exact" w:before="0" w:after="0"/>
                    <w:ind w:left="0" w:right="32" w:firstLine="0"/>
                    <w:jc w:val="right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 xml:space="preserve">540 </w:t>
                  </w:r>
                </w:p>
              </w:tc>
              <w:tc>
                <w:tcPr>
                  <w:tcW w:type="dxa" w:w="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" w:lineRule="exact" w:before="0" w:after="0"/>
                    <w:ind w:left="0" w:right="0" w:firstLine="0"/>
                    <w:jc w:val="center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>232</w:t>
                  </w:r>
                </w:p>
              </w:tc>
              <w:tc>
                <w:tcPr>
                  <w:tcW w:type="dxa" w:w="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" w:lineRule="exact" w:before="0" w:after="0"/>
                    <w:ind w:left="0" w:right="0" w:firstLine="0"/>
                    <w:jc w:val="center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 xml:space="preserve"> </w:t>
                  </w: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 xml:space="preserve">228 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" w:lineRule="exact" w:before="0" w:after="0"/>
                    <w:ind w:left="68" w:right="0" w:firstLine="0"/>
                    <w:jc w:val="left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 xml:space="preserve">228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72"/>
            <w:vMerge/>
            <w:tcBorders>
              <w:end w:sz="5.759999752044678" w:val="single" w:color="#D8D8D8"/>
            </w:tcBorders>
          </w:tcPr>
          <w:p/>
        </w:tc>
        <w:tc>
          <w:tcPr>
            <w:tcW w:type="dxa" w:w="1872"/>
            <w:vMerge/>
            <w:tcBorders>
              <w:start w:sz="5.759999752044678" w:val="single" w:color="#D8D8D8"/>
              <w:end w:sz="5.759999752044678" w:val="single" w:color="#D8D8D8"/>
              <w:bottom w:sz="5.759999752044678" w:val="single" w:color="#D8D8D8"/>
            </w:tcBorders>
          </w:tcPr>
          <w:p/>
        </w:tc>
        <w:tc>
          <w:tcPr>
            <w:tcW w:type="dxa" w:w="1872"/>
            <w:vMerge/>
            <w:tcBorders>
              <w:start w:sz="5.759999752044678" w:val="single" w:color="#D8D8D8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136"/>
        </w:trPr>
        <w:tc>
          <w:tcPr>
            <w:tcW w:type="dxa" w:w="62"/>
            <w:tcBorders>
              <w:start w:sz="4.0" w:val="single" w:color="#000000"/>
              <w:end w:sz="3.8399999141693115" w:val="single" w:color="#D8D8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54"/>
            <w:tcBorders>
              <w:start w:sz="3.8399999141693115" w:val="single" w:color="#D8D8D8"/>
              <w:top w:sz="1.9199999570846558" w:val="single" w:color="#F2F2F2"/>
              <w:bottom w:sz="1.9199999570846558" w:val="single" w:color="#F2F2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48" w:val="left"/>
              </w:tabs>
              <w:autoSpaceDE w:val="0"/>
              <w:widowControl/>
              <w:spacing w:line="92" w:lineRule="exact" w:before="0" w:after="0"/>
              <w:ind w:left="1862" w:right="2592" w:firstLine="0"/>
              <w:jc w:val="left"/>
            </w:pPr>
            <w:r>
              <w:rPr>
                <w:w w:val="101.61737714494978"/>
                <w:rFonts w:ascii="CIDFont+F7" w:hAnsi="CIDFont+F7" w:eastAsia="CIDFont+F7"/>
                <w:b w:val="0"/>
                <w:i w:val="0"/>
                <w:color w:val="000000"/>
                <w:sz w:val="7"/>
              </w:rPr>
              <w:t xml:space="preserve">135 </w:t>
            </w:r>
            <w:r>
              <w:br/>
            </w:r>
            <w:r>
              <w:rPr>
                <w:w w:val="101.61737714494978"/>
                <w:rFonts w:ascii="CIDFont+F7" w:hAnsi="CIDFont+F7" w:eastAsia="CIDFont+F7"/>
                <w:b w:val="0"/>
                <w:i w:val="0"/>
                <w:color w:val="000000"/>
                <w:sz w:val="7"/>
              </w:rPr>
              <w:t xml:space="preserve">31 </w:t>
            </w:r>
          </w:p>
        </w:tc>
        <w:tc>
          <w:tcPr>
            <w:tcW w:type="dxa" w:w="1872"/>
            <w:vMerge/>
            <w:tcBorders>
              <w:end w:sz="5.759999752044678" w:val="single" w:color="#D8D8D8"/>
            </w:tcBorders>
          </w:tcPr>
          <w:p/>
        </w:tc>
        <w:tc>
          <w:tcPr>
            <w:tcW w:type="dxa" w:w="1872"/>
            <w:vMerge/>
            <w:tcBorders>
              <w:start w:sz="5.759999752044678" w:val="single" w:color="#D8D8D8"/>
              <w:end w:sz="5.759999752044678" w:val="single" w:color="#D8D8D8"/>
              <w:bottom w:sz="5.759999752044678" w:val="single" w:color="#D8D8D8"/>
            </w:tcBorders>
          </w:tcPr>
          <w:p/>
        </w:tc>
        <w:tc>
          <w:tcPr>
            <w:tcW w:type="dxa" w:w="1872"/>
            <w:vMerge/>
            <w:tcBorders>
              <w:start w:sz="5.759999752044678" w:val="single" w:color="#D8D8D8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142"/>
        </w:trPr>
        <w:tc>
          <w:tcPr>
            <w:tcW w:type="dxa" w:w="62"/>
            <w:tcBorders>
              <w:start w:sz="4.0" w:val="single" w:color="#000000"/>
              <w:end w:sz="3.8399999141693115" w:val="single" w:color="#D8D8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54"/>
            <w:tcBorders>
              <w:start w:sz="3.8399999141693115" w:val="single" w:color="#D8D8D8"/>
              <w:top w:sz="1.9199999570846558" w:val="single" w:color="#F2F2F2"/>
              <w:bottom w:sz="1.9199999570846558" w:val="single" w:color="#F2F2F2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5.999999999999943" w:type="dxa"/>
            </w:tblPr>
            <w:tblGrid>
              <w:gridCol w:w="809"/>
              <w:gridCol w:w="809"/>
              <w:gridCol w:w="809"/>
              <w:gridCol w:w="809"/>
              <w:gridCol w:w="809"/>
              <w:gridCol w:w="809"/>
            </w:tblGrid>
            <w:tr>
              <w:trPr>
                <w:trHeight w:hRule="exact" w:val="96"/>
              </w:trPr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2" w:lineRule="exact" w:before="0" w:after="0"/>
                    <w:ind w:left="36" w:right="0" w:firstLine="0"/>
                    <w:jc w:val="left"/>
                  </w:pPr>
                  <w:r>
                    <w:rPr>
                      <w:w w:val="95.26713916233608"/>
                      <w:rFonts w:ascii="CIDFont+F7" w:hAnsi="CIDFont+F7" w:eastAsia="CIDFont+F7"/>
                      <w:b w:val="0"/>
                      <w:i w:val="0"/>
                      <w:color w:val="000000"/>
                      <w:sz w:val="7"/>
                    </w:rPr>
                    <w:t xml:space="preserve"> FY22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" w:lineRule="exact" w:before="0" w:after="0"/>
                    <w:ind w:left="0" w:right="0" w:firstLine="0"/>
                    <w:jc w:val="center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>2,578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" w:lineRule="exact" w:before="0" w:after="0"/>
                    <w:ind w:left="0" w:right="90" w:firstLine="0"/>
                    <w:jc w:val="right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 xml:space="preserve">431 </w:t>
                  </w:r>
                </w:p>
              </w:tc>
              <w:tc>
                <w:tcPr>
                  <w:tcW w:type="dxa" w:w="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" w:lineRule="exact" w:before="0" w:after="0"/>
                    <w:ind w:left="0" w:right="0" w:firstLine="0"/>
                    <w:jc w:val="center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 xml:space="preserve">660 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" w:lineRule="exact" w:before="0" w:after="0"/>
                    <w:ind w:left="0" w:right="0" w:firstLine="0"/>
                    <w:jc w:val="center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 xml:space="preserve">201 </w:t>
                  </w: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 xml:space="preserve">229 </w:t>
                  </w: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" w:lineRule="exact" w:before="0" w:after="0"/>
                    <w:ind w:left="36" w:right="0" w:firstLine="0"/>
                    <w:jc w:val="left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 xml:space="preserve">196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72"/>
            <w:vMerge/>
            <w:tcBorders>
              <w:end w:sz="5.759999752044678" w:val="single" w:color="#D8D8D8"/>
            </w:tcBorders>
          </w:tcPr>
          <w:p/>
        </w:tc>
        <w:tc>
          <w:tcPr>
            <w:tcW w:type="dxa" w:w="1872"/>
            <w:vMerge/>
            <w:tcBorders>
              <w:start w:sz="5.759999752044678" w:val="single" w:color="#D8D8D8"/>
              <w:end w:sz="5.759999752044678" w:val="single" w:color="#D8D8D8"/>
              <w:bottom w:sz="5.759999752044678" w:val="single" w:color="#D8D8D8"/>
            </w:tcBorders>
          </w:tcPr>
          <w:p/>
        </w:tc>
        <w:tc>
          <w:tcPr>
            <w:tcW w:type="dxa" w:w="1872"/>
            <w:vMerge/>
            <w:tcBorders>
              <w:start w:sz="5.759999752044678" w:val="single" w:color="#D8D8D8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138"/>
        </w:trPr>
        <w:tc>
          <w:tcPr>
            <w:tcW w:type="dxa" w:w="62"/>
            <w:tcBorders>
              <w:start w:sz="4.0" w:val="single" w:color="#000000"/>
              <w:end w:sz="3.8399999141693115" w:val="single" w:color="#D8D8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54"/>
            <w:tcBorders>
              <w:start w:sz="3.8399999141693115" w:val="single" w:color="#D8D8D8"/>
              <w:top w:sz="1.9199999570846558" w:val="single" w:color="#F2F2F2"/>
              <w:bottom w:sz="1.9199999570846558" w:val="single" w:color="#F2F2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52" w:after="0"/>
              <w:ind w:left="30" w:right="0" w:firstLine="0"/>
              <w:jc w:val="left"/>
            </w:pPr>
            <w:r>
              <w:rPr>
                <w:w w:val="95.26713916233608"/>
                <w:rFonts w:ascii="CIDFont+F7" w:hAnsi="CIDFont+F7" w:eastAsia="CIDFont+F7"/>
                <w:b w:val="0"/>
                <w:i w:val="0"/>
                <w:color w:val="000000"/>
                <w:sz w:val="7"/>
              </w:rPr>
              <w:t xml:space="preserve"> FY21</w:t>
            </w:r>
          </w:p>
        </w:tc>
        <w:tc>
          <w:tcPr>
            <w:tcW w:type="dxa" w:w="1872"/>
            <w:vMerge/>
            <w:tcBorders>
              <w:end w:sz="5.759999752044678" w:val="single" w:color="#D8D8D8"/>
            </w:tcBorders>
          </w:tcPr>
          <w:p/>
        </w:tc>
        <w:tc>
          <w:tcPr>
            <w:tcW w:type="dxa" w:w="1872"/>
            <w:vMerge/>
            <w:tcBorders>
              <w:start w:sz="5.759999752044678" w:val="single" w:color="#D8D8D8"/>
              <w:end w:sz="5.759999752044678" w:val="single" w:color="#D8D8D8"/>
              <w:bottom w:sz="5.759999752044678" w:val="single" w:color="#D8D8D8"/>
            </w:tcBorders>
          </w:tcPr>
          <w:p/>
        </w:tc>
        <w:tc>
          <w:tcPr>
            <w:tcW w:type="dxa" w:w="1872"/>
            <w:vMerge/>
            <w:tcBorders>
              <w:start w:sz="5.759999752044678" w:val="single" w:color="#D8D8D8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138"/>
        </w:trPr>
        <w:tc>
          <w:tcPr>
            <w:tcW w:type="dxa" w:w="62"/>
            <w:tcBorders>
              <w:start w:sz="4.0" w:val="single" w:color="#000000"/>
              <w:end w:sz="3.8399999141693115" w:val="single" w:color="#D8D8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54"/>
            <w:tcBorders>
              <w:start w:sz="3.8399999141693115" w:val="single" w:color="#D8D8D8"/>
              <w:top w:sz="1.9199999570846558" w:val="single" w:color="#F2F2F2"/>
              <w:bottom w:sz="1.9199999570846558" w:val="single" w:color="#F2F2F2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0000000000006" w:type="dxa"/>
            </w:tblPr>
            <w:tblGrid>
              <w:gridCol w:w="809"/>
              <w:gridCol w:w="809"/>
              <w:gridCol w:w="809"/>
              <w:gridCol w:w="809"/>
              <w:gridCol w:w="809"/>
              <w:gridCol w:w="809"/>
            </w:tblGrid>
            <w:tr>
              <w:trPr>
                <w:trHeight w:hRule="exact" w:val="100"/>
              </w:trPr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" w:lineRule="exact" w:before="0" w:after="0"/>
                    <w:ind w:left="0" w:right="56" w:firstLine="0"/>
                    <w:jc w:val="right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 xml:space="preserve">152 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" w:lineRule="exact" w:before="0" w:after="0"/>
                    <w:ind w:left="60" w:right="0" w:firstLine="0"/>
                    <w:jc w:val="left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 xml:space="preserve">694 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" w:lineRule="exact" w:before="0" w:after="0"/>
                    <w:ind w:left="0" w:right="70" w:firstLine="0"/>
                    <w:jc w:val="right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 xml:space="preserve">837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" w:lineRule="exact" w:before="0" w:after="0"/>
                    <w:ind w:left="92" w:right="0" w:firstLine="0"/>
                    <w:jc w:val="left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 xml:space="preserve">225 </w:t>
                  </w: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 xml:space="preserve">191 </w:t>
                  </w: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 xml:space="preserve">196 </w:t>
                  </w:r>
                </w:p>
              </w:tc>
              <w:tc>
                <w:tcPr>
                  <w:tcW w:type="dxa" w:w="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" w:lineRule="exact" w:before="0" w:after="0"/>
                    <w:ind w:left="0" w:right="0" w:firstLine="0"/>
                    <w:jc w:val="center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 xml:space="preserve">221 </w:t>
                  </w:r>
                </w:p>
              </w:tc>
              <w:tc>
                <w:tcPr>
                  <w:tcW w:type="dxa" w:w="1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" w:lineRule="exact" w:before="0" w:after="0"/>
                    <w:ind w:left="54" w:right="0" w:firstLine="0"/>
                    <w:jc w:val="left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000000"/>
                      <w:sz w:val="7"/>
                    </w:rPr>
                    <w:t xml:space="preserve">29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72"/>
            <w:vMerge/>
            <w:tcBorders>
              <w:end w:sz="5.759999752044678" w:val="single" w:color="#D8D8D8"/>
            </w:tcBorders>
          </w:tcPr>
          <w:p/>
        </w:tc>
        <w:tc>
          <w:tcPr>
            <w:tcW w:type="dxa" w:w="1872"/>
            <w:vMerge/>
            <w:tcBorders>
              <w:start w:sz="5.759999752044678" w:val="single" w:color="#D8D8D8"/>
              <w:end w:sz="5.759999752044678" w:val="single" w:color="#D8D8D8"/>
              <w:bottom w:sz="5.759999752044678" w:val="single" w:color="#D8D8D8"/>
            </w:tcBorders>
          </w:tcPr>
          <w:p/>
        </w:tc>
        <w:tc>
          <w:tcPr>
            <w:tcW w:type="dxa" w:w="1872"/>
            <w:vMerge/>
            <w:tcBorders>
              <w:start w:sz="5.759999752044678" w:val="single" w:color="#D8D8D8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136"/>
        </w:trPr>
        <w:tc>
          <w:tcPr>
            <w:tcW w:type="dxa" w:w="62"/>
            <w:tcBorders>
              <w:start w:sz="4.0" w:val="single" w:color="#000000"/>
              <w:end w:sz="3.8399999141693115" w:val="single" w:color="#D8D8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54"/>
            <w:tcBorders>
              <w:start w:sz="3.8399999141693115" w:val="single" w:color="#D8D8D8"/>
              <w:top w:sz="1.9199999570846558" w:val="single" w:color="#F2F2F2"/>
              <w:bottom w:sz="1.9199999570846558" w:val="single" w:color="#F2F2F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50" w:after="0"/>
              <w:ind w:left="30" w:right="0" w:firstLine="0"/>
              <w:jc w:val="left"/>
            </w:pPr>
            <w:r>
              <w:rPr>
                <w:w w:val="95.26713916233608"/>
                <w:rFonts w:ascii="CIDFont+F7" w:hAnsi="CIDFont+F7" w:eastAsia="CIDFont+F7"/>
                <w:b w:val="0"/>
                <w:i w:val="0"/>
                <w:color w:val="000000"/>
                <w:sz w:val="7"/>
              </w:rPr>
              <w:t xml:space="preserve"> FY20</w:t>
            </w:r>
          </w:p>
        </w:tc>
        <w:tc>
          <w:tcPr>
            <w:tcW w:type="dxa" w:w="1872"/>
            <w:vMerge/>
            <w:tcBorders>
              <w:end w:sz="5.759999752044678" w:val="single" w:color="#D8D8D8"/>
            </w:tcBorders>
          </w:tcPr>
          <w:p/>
        </w:tc>
        <w:tc>
          <w:tcPr>
            <w:tcW w:type="dxa" w:w="1872"/>
            <w:vMerge/>
            <w:tcBorders>
              <w:start w:sz="5.759999752044678" w:val="single" w:color="#D8D8D8"/>
              <w:end w:sz="5.759999752044678" w:val="single" w:color="#D8D8D8"/>
              <w:bottom w:sz="5.759999752044678" w:val="single" w:color="#D8D8D8"/>
            </w:tcBorders>
          </w:tcPr>
          <w:p/>
        </w:tc>
        <w:tc>
          <w:tcPr>
            <w:tcW w:type="dxa" w:w="1872"/>
            <w:vMerge/>
            <w:tcBorders>
              <w:start w:sz="5.759999752044678" w:val="single" w:color="#D8D8D8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138"/>
        </w:trPr>
        <w:tc>
          <w:tcPr>
            <w:tcW w:type="dxa" w:w="62"/>
            <w:tcBorders>
              <w:start w:sz="4.0" w:val="single" w:color="#000000"/>
              <w:end w:sz="3.8399999141693115" w:val="single" w:color="#D8D8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54"/>
            <w:tcBorders>
              <w:start w:sz="3.8399999141693115" w:val="single" w:color="#D8D8D8"/>
              <w:top w:sz="1.9199999570846558" w:val="single" w:color="#F2F2F2"/>
              <w:bottom w:sz="1.9199999570846558" w:val="single" w:color="#F2F2F2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.00000000000006" w:type="dxa"/>
            </w:tblPr>
            <w:tblGrid>
              <w:gridCol w:w="693"/>
              <w:gridCol w:w="693"/>
              <w:gridCol w:w="693"/>
              <w:gridCol w:w="693"/>
              <w:gridCol w:w="693"/>
              <w:gridCol w:w="693"/>
              <w:gridCol w:w="693"/>
            </w:tblGrid>
            <w:tr>
              <w:trPr>
                <w:trHeight w:hRule="exact" w:val="100"/>
              </w:trPr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" w:lineRule="exact" w:before="0" w:after="0"/>
                    <w:ind w:left="0" w:right="30" w:firstLine="0"/>
                    <w:jc w:val="right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 xml:space="preserve">193 </w:t>
                  </w:r>
                </w:p>
              </w:tc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" w:lineRule="exact" w:before="0" w:after="0"/>
                    <w:ind w:left="0" w:right="0" w:firstLine="0"/>
                    <w:jc w:val="center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 xml:space="preserve">573 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" w:lineRule="exact" w:before="0" w:after="0"/>
                    <w:ind w:left="0" w:right="0" w:firstLine="0"/>
                    <w:jc w:val="center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 xml:space="preserve">788 </w:t>
                  </w:r>
                </w:p>
              </w:tc>
              <w:tc>
                <w:tcPr>
                  <w:tcW w:type="dxa" w:w="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" w:lineRule="exact" w:before="0" w:after="0"/>
                    <w:ind w:left="0" w:right="0" w:firstLine="0"/>
                    <w:jc w:val="center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>215</w:t>
                  </w:r>
                </w:p>
              </w:tc>
              <w:tc>
                <w:tcPr>
                  <w:tcW w:type="dxa" w:w="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" w:lineRule="exact" w:before="0" w:after="0"/>
                    <w:ind w:left="0" w:right="0" w:firstLine="0"/>
                    <w:jc w:val="center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 xml:space="preserve">292 </w:t>
                  </w:r>
                </w:p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" w:lineRule="exact" w:before="0" w:after="0"/>
                    <w:ind w:left="0" w:right="0" w:firstLine="0"/>
                    <w:jc w:val="center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 xml:space="preserve">165 </w:t>
                  </w: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FFFFFF"/>
                      <w:sz w:val="7"/>
                    </w:rPr>
                    <w:t xml:space="preserve">186 </w:t>
                  </w:r>
                </w:p>
              </w:tc>
              <w:tc>
                <w:tcPr>
                  <w:tcW w:type="dxa" w:w="1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" w:lineRule="exact" w:before="0" w:after="0"/>
                    <w:ind w:left="48" w:right="0" w:firstLine="0"/>
                    <w:jc w:val="left"/>
                  </w:pPr>
                  <w:r>
                    <w:rPr>
                      <w:w w:val="101.61737714494978"/>
                      <w:rFonts w:ascii="CIDFont+F7" w:hAnsi="CIDFont+F7" w:eastAsia="CIDFont+F7"/>
                      <w:b w:val="0"/>
                      <w:i w:val="0"/>
                      <w:color w:val="000000"/>
                      <w:sz w:val="7"/>
                    </w:rPr>
                    <w:t xml:space="preserve">29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72"/>
            <w:vMerge/>
            <w:tcBorders>
              <w:end w:sz="5.759999752044678" w:val="single" w:color="#D8D8D8"/>
            </w:tcBorders>
          </w:tcPr>
          <w:p/>
        </w:tc>
        <w:tc>
          <w:tcPr>
            <w:tcW w:type="dxa" w:w="1872"/>
            <w:vMerge/>
            <w:tcBorders>
              <w:start w:sz="5.759999752044678" w:val="single" w:color="#D8D8D8"/>
              <w:end w:sz="5.759999752044678" w:val="single" w:color="#D8D8D8"/>
              <w:bottom w:sz="5.759999752044678" w:val="single" w:color="#D8D8D8"/>
            </w:tcBorders>
          </w:tcPr>
          <w:p/>
        </w:tc>
        <w:tc>
          <w:tcPr>
            <w:tcW w:type="dxa" w:w="1872"/>
            <w:vMerge/>
            <w:tcBorders>
              <w:start w:sz="5.759999752044678" w:val="single" w:color="#D8D8D8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132"/>
        </w:trPr>
        <w:tc>
          <w:tcPr>
            <w:tcW w:type="dxa" w:w="62"/>
            <w:tcBorders>
              <w:start w:sz="4.0" w:val="single" w:color="#000000"/>
              <w:end w:sz="3.8399999141693115" w:val="single" w:color="#D8D8D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54"/>
            <w:tcBorders>
              <w:start w:sz="3.8399999141693115" w:val="single" w:color="#D8D8D8"/>
              <w:top w:sz="1.9199999570846558" w:val="single" w:color="#F2F2F2"/>
              <w:bottom w:sz="3.8399999141693115" w:val="single" w:color="#D8D8D8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34.0" w:type="dxa"/>
            </w:tblPr>
            <w:tblGrid>
              <w:gridCol w:w="607"/>
              <w:gridCol w:w="607"/>
              <w:gridCol w:w="607"/>
              <w:gridCol w:w="607"/>
              <w:gridCol w:w="607"/>
              <w:gridCol w:w="607"/>
              <w:gridCol w:w="607"/>
              <w:gridCol w:w="607"/>
            </w:tblGrid>
            <w:tr>
              <w:trPr>
                <w:trHeight w:hRule="exact" w:val="86"/>
              </w:trPr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2" w:lineRule="exact" w:before="0" w:after="0"/>
                    <w:ind w:left="0" w:right="56" w:firstLine="0"/>
                    <w:jc w:val="right"/>
                  </w:pPr>
                  <w:r>
                    <w:rPr>
                      <w:w w:val="95.26713916233608"/>
                      <w:rFonts w:ascii="CIDFont+F7" w:hAnsi="CIDFont+F7" w:eastAsia="CIDFont+F7"/>
                      <w:b w:val="0"/>
                      <w:i w:val="0"/>
                      <w:color w:val="000000"/>
                      <w:sz w:val="7"/>
                    </w:rPr>
                    <w:t xml:space="preserve"> ECA</w:t>
                  </w:r>
                </w:p>
              </w:tc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2" w:lineRule="exact" w:before="0" w:after="0"/>
                    <w:ind w:left="0" w:right="0" w:firstLine="0"/>
                    <w:jc w:val="center"/>
                  </w:pPr>
                  <w:r>
                    <w:rPr>
                      <w:w w:val="95.26713916233608"/>
                      <w:rFonts w:ascii="CIDFont+F7" w:hAnsi="CIDFont+F7" w:eastAsia="CIDFont+F7"/>
                      <w:b w:val="0"/>
                      <w:i w:val="0"/>
                      <w:color w:val="000000"/>
                      <w:sz w:val="7"/>
                    </w:rPr>
                    <w:t xml:space="preserve"> AFE</w:t>
                  </w:r>
                </w:p>
              </w:tc>
              <w:tc>
                <w:tcPr>
                  <w:tcW w:type="dxa" w:w="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2" w:lineRule="exact" w:before="0" w:after="0"/>
                    <w:ind w:left="0" w:right="0" w:firstLine="0"/>
                    <w:jc w:val="center"/>
                  </w:pPr>
                  <w:r>
                    <w:rPr>
                      <w:w w:val="95.26713916233608"/>
                      <w:rFonts w:ascii="CIDFont+F7" w:hAnsi="CIDFont+F7" w:eastAsia="CIDFont+F7"/>
                      <w:b w:val="0"/>
                      <w:i w:val="0"/>
                      <w:color w:val="000000"/>
                      <w:sz w:val="7"/>
                    </w:rPr>
                    <w:t xml:space="preserve"> SAR</w:t>
                  </w:r>
                </w:p>
              </w:tc>
              <w:tc>
                <w:tcPr>
                  <w:tcW w:type="dxa" w:w="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2" w:lineRule="exact" w:before="0" w:after="0"/>
                    <w:ind w:left="0" w:right="0" w:firstLine="0"/>
                    <w:jc w:val="center"/>
                  </w:pPr>
                  <w:r>
                    <w:rPr>
                      <w:w w:val="95.26713916233608"/>
                      <w:rFonts w:ascii="CIDFont+F7" w:hAnsi="CIDFont+F7" w:eastAsia="CIDFont+F7"/>
                      <w:b w:val="0"/>
                      <w:i w:val="0"/>
                      <w:color w:val="000000"/>
                      <w:sz w:val="7"/>
                    </w:rPr>
                    <w:t xml:space="preserve"> AFW</w:t>
                  </w:r>
                </w:p>
              </w:tc>
              <w:tc>
                <w:tcPr>
                  <w:tcW w:type="dxa" w:w="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2" w:lineRule="exact" w:before="0" w:after="0"/>
                    <w:ind w:left="0" w:right="0" w:firstLine="0"/>
                    <w:jc w:val="center"/>
                  </w:pPr>
                  <w:r>
                    <w:rPr>
                      <w:w w:val="95.26713916233608"/>
                      <w:rFonts w:ascii="CIDFont+F7" w:hAnsi="CIDFont+F7" w:eastAsia="CIDFont+F7"/>
                      <w:b w:val="0"/>
                      <w:i w:val="0"/>
                      <w:color w:val="000000"/>
                      <w:sz w:val="7"/>
                    </w:rPr>
                    <w:t xml:space="preserve"> MNA</w:t>
                  </w:r>
                </w:p>
              </w:tc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2" w:lineRule="exact" w:before="0" w:after="0"/>
                    <w:ind w:left="0" w:right="0" w:firstLine="0"/>
                    <w:jc w:val="center"/>
                  </w:pPr>
                  <w:r>
                    <w:rPr>
                      <w:w w:val="95.26713916233608"/>
                      <w:rFonts w:ascii="CIDFont+F7" w:hAnsi="CIDFont+F7" w:eastAsia="CIDFont+F7"/>
                      <w:b w:val="0"/>
                      <w:i w:val="0"/>
                      <w:color w:val="000000"/>
                      <w:sz w:val="7"/>
                    </w:rPr>
                    <w:t xml:space="preserve"> EAP</w:t>
                  </w:r>
                </w:p>
              </w:tc>
              <w:tc>
                <w:tcPr>
                  <w:tcW w:type="dxa" w:w="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2" w:lineRule="exact" w:before="0" w:after="0"/>
                    <w:ind w:left="0" w:right="0" w:firstLine="0"/>
                    <w:jc w:val="center"/>
                  </w:pPr>
                  <w:r>
                    <w:rPr>
                      <w:w w:val="95.26713916233608"/>
                      <w:rFonts w:ascii="CIDFont+F7" w:hAnsi="CIDFont+F7" w:eastAsia="CIDFont+F7"/>
                      <w:b w:val="0"/>
                      <w:i w:val="0"/>
                      <w:color w:val="000000"/>
                      <w:sz w:val="7"/>
                    </w:rPr>
                    <w:t xml:space="preserve"> LCR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2" w:lineRule="exact" w:before="0" w:after="0"/>
                    <w:ind w:left="62" w:right="0" w:firstLine="0"/>
                    <w:jc w:val="left"/>
                  </w:pPr>
                  <w:r>
                    <w:rPr>
                      <w:w w:val="95.26713916233608"/>
                      <w:rFonts w:ascii="CIDFont+F7" w:hAnsi="CIDFont+F7" w:eastAsia="CIDFont+F7"/>
                      <w:b w:val="0"/>
                      <w:i w:val="0"/>
                      <w:color w:val="000000"/>
                      <w:sz w:val="7"/>
                    </w:rPr>
                    <w:t xml:space="preserve"> OTH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72"/>
            <w:vMerge/>
            <w:tcBorders>
              <w:end w:sz="5.759999752044678" w:val="single" w:color="#D8D8D8"/>
            </w:tcBorders>
          </w:tcPr>
          <w:p/>
        </w:tc>
        <w:tc>
          <w:tcPr>
            <w:tcW w:type="dxa" w:w="1872"/>
            <w:vMerge/>
            <w:tcBorders>
              <w:start w:sz="5.759999752044678" w:val="single" w:color="#D8D8D8"/>
              <w:end w:sz="5.759999752044678" w:val="single" w:color="#D8D8D8"/>
              <w:bottom w:sz="5.759999752044678" w:val="single" w:color="#D8D8D8"/>
            </w:tcBorders>
          </w:tcPr>
          <w:p/>
        </w:tc>
        <w:tc>
          <w:tcPr>
            <w:tcW w:type="dxa" w:w="1872"/>
            <w:vMerge/>
            <w:tcBorders>
              <w:start w:sz="5.759999752044678" w:val="single" w:color="#D8D8D8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174"/>
        </w:trPr>
        <w:tc>
          <w:tcPr>
            <w:tcW w:type="dxa" w:w="62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54"/>
            <w:tcBorders>
              <w:top w:sz="3.8399999141693115" w:val="single" w:color="#D8D8D8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2"/>
            <w:vMerge/>
            <w:tcBorders>
              <w:end w:sz="5.759999752044678" w:val="single" w:color="#D8D8D8"/>
            </w:tcBorders>
          </w:tcPr>
          <w:p/>
        </w:tc>
        <w:tc>
          <w:tcPr>
            <w:tcW w:type="dxa" w:w="1872"/>
            <w:vMerge/>
            <w:tcBorders>
              <w:start w:sz="5.759999752044678" w:val="single" w:color="#D8D8D8"/>
              <w:end w:sz="5.759999752044678" w:val="single" w:color="#D8D8D8"/>
              <w:bottom w:sz="5.759999752044678" w:val="single" w:color="#D8D8D8"/>
            </w:tcBorders>
          </w:tcPr>
          <w:p/>
        </w:tc>
        <w:tc>
          <w:tcPr>
            <w:tcW w:type="dxa" w:w="1872"/>
            <w:vMerge/>
            <w:tcBorders>
              <w:start w:sz="5.759999752044678" w:val="single" w:color="#D8D8D8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76"/>
        </w:trPr>
        <w:tc>
          <w:tcPr>
            <w:tcW w:type="dxa" w:w="6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54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2"/>
            <w:vMerge/>
            <w:tcBorders>
              <w:end w:sz="5.759999752044678" w:val="single" w:color="#D8D8D8"/>
            </w:tcBorders>
          </w:tcPr>
          <w:p/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872"/>
            <w:vMerge/>
            <w:tcBorders>
              <w:start w:sz="5.759999752044678" w:val="single" w:color="#D8D8D8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1874"/>
        </w:trPr>
        <w:tc>
          <w:tcPr>
            <w:tcW w:type="dxa" w:w="8950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0" w:val="left"/>
              </w:tabs>
              <w:autoSpaceDE w:val="0"/>
              <w:widowControl/>
              <w:spacing w:line="232" w:lineRule="exact" w:before="0" w:after="2"/>
              <w:ind w:left="160" w:right="0" w:firstLine="0"/>
              <w:jc w:val="left"/>
            </w:pPr>
            <w:r>
              <w:rPr>
                <w:w w:val="98.36526168020147"/>
                <w:rFonts w:ascii="CIDFont+F9" w:hAnsi="CIDFont+F9" w:eastAsia="CIDFont+F9"/>
                <w:b w:val="0"/>
                <w:i w:val="0"/>
                <w:color w:val="000000"/>
                <w:sz w:val="19"/>
              </w:rPr>
              <w:t></w:t>
            </w:r>
            <w:r>
              <w:tab/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In FY24, disbursements from ECA region decreased significantly by 68% (↓$11,663m), primarily due to lower </w:t>
            </w:r>
            <w:r>
              <w:tab/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disbursements of PEACE MDTF supporting Ukraine through SALNTF program. In RE Activities, disbursements </w:t>
            </w:r>
            <w:r>
              <w:tab/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of ECA and AFE regions accounts for 79% of disbursements in FY24, and on an average of 78% in the last 5 </w:t>
            </w:r>
            <w:r>
              <w:tab/>
            </w: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years.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5.99999999999994" w:type="dxa"/>
            </w:tblPr>
            <w:tblGrid>
              <w:gridCol w:w="4475"/>
              <w:gridCol w:w="4475"/>
            </w:tblGrid>
            <w:tr>
              <w:trPr>
                <w:trHeight w:hRule="exact" w:val="696"/>
              </w:trPr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0" w:after="0"/>
                    <w:ind w:left="0" w:right="0" w:firstLine="0"/>
                    <w:jc w:val="center"/>
                  </w:pPr>
                  <w:r>
                    <w:rPr>
                      <w:w w:val="98.36526168020147"/>
                      <w:rFonts w:ascii="CIDFont+F9" w:hAnsi="CIDFont+F9" w:eastAsia="CIDFont+F9"/>
                      <w:b w:val="0"/>
                      <w:i w:val="0"/>
                      <w:color w:val="000000"/>
                      <w:sz w:val="19"/>
                    </w:rPr>
                    <w:t></w:t>
                  </w:r>
                </w:p>
              </w:tc>
              <w:tc>
                <w:tcPr>
                  <w:tcW w:type="dxa" w:w="8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10" w:after="0"/>
                    <w:ind w:left="144" w:right="0" w:firstLine="0"/>
                    <w:jc w:val="left"/>
                  </w:pP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Staff costs increased by $48m equivalent to 8% increase compared to FY23 and continues to be the largest </w:t>
                  </w: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expense category with CAGR of 5% over the last 5 years. Consultant fees increased by $13m which is 3% </w:t>
                  </w:r>
                  <w:r>
                    <w:rPr>
                      <w:w w:val="98.36526168020147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higher than FY23, with CAGR of 7%. Travel costs increased by $18m equivalent to 15% increase compared 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28" w:lineRule="exact" w:before="2" w:after="0"/>
              <w:ind w:left="500" w:right="0" w:firstLine="0"/>
              <w:jc w:val="left"/>
            </w:pPr>
            <w:r>
              <w:rPr>
                <w:w w:val="98.36526168020147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FY23. 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432" w:right="288" w:firstLine="0"/>
        <w:jc w:val="left"/>
      </w:pPr>
      <w:r>
        <w:rPr>
          <w:w w:val="101.32767813546317"/>
          <w:rFonts w:ascii="CIDFont+F8" w:hAnsi="CIDFont+F8" w:eastAsia="CIDFont+F8"/>
          <w:b w:val="0"/>
          <w:i/>
          <w:color w:val="000000"/>
          <w:sz w:val="14"/>
        </w:rPr>
        <w:t xml:space="preserve">* Standalone trust fund program make up a diverse portfolio of typically smaller trust funds (non-umbrella programs). These TFs are </w:t>
      </w:r>
      <w:r>
        <w:rPr>
          <w:w w:val="101.32767813546317"/>
          <w:rFonts w:ascii="CIDFont+F8" w:hAnsi="CIDFont+F8" w:eastAsia="CIDFont+F8"/>
          <w:b w:val="0"/>
          <w:i/>
          <w:color w:val="000000"/>
          <w:sz w:val="14"/>
        </w:rPr>
        <w:t xml:space="preserve">established to finance activities that cannot be accommodated in an existing Global, Regional or country Umbrella. </w:t>
      </w:r>
    </w:p>
    <w:p>
      <w:pPr>
        <w:autoSpaceDN w:val="0"/>
        <w:autoSpaceDE w:val="0"/>
        <w:widowControl/>
        <w:spacing w:line="228" w:lineRule="exact" w:before="338" w:after="0"/>
        <w:ind w:left="0" w:right="402" w:firstLine="0"/>
        <w:jc w:val="right"/>
      </w:pP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5 </w:t>
      </w:r>
    </w:p>
    <w:p>
      <w:pPr>
        <w:autoSpaceDN w:val="0"/>
        <w:autoSpaceDE w:val="0"/>
        <w:widowControl/>
        <w:spacing w:line="148" w:lineRule="exact" w:before="188" w:after="0"/>
        <w:ind w:left="432" w:right="0" w:firstLine="0"/>
        <w:jc w:val="left"/>
      </w:pPr>
      <w:r>
        <w:rPr>
          <w:w w:val="101.3277530670166"/>
          <w:rFonts w:ascii="CIDFont+F2" w:hAnsi="CIDFont+F2" w:eastAsia="CIDFont+F2"/>
          <w:b w:val="0"/>
          <w:i w:val="0"/>
          <w:color w:val="FFFFFF"/>
          <w:sz w:val="12"/>
        </w:rPr>
        <w:t>1</w:t>
      </w:r>
    </w:p>
    <w:p>
      <w:pPr>
        <w:sectPr>
          <w:pgSz w:w="12240" w:h="15840"/>
          <w:pgMar w:top="356" w:right="1440" w:bottom="4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1854200</wp:posOffset>
            </wp:positionV>
            <wp:extent cx="3898900" cy="4699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469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4" w:lineRule="exact" w:before="0" w:after="0"/>
        <w:ind w:left="5974" w:right="288" w:hanging="2120"/>
        <w:jc w:val="left"/>
      </w:pPr>
      <w:r>
        <w:rPr>
          <w:w w:val="101.33335930960519"/>
          <w:rFonts w:ascii="CIDFont+F1" w:hAnsi="CIDFont+F1" w:eastAsia="CIDFont+F1"/>
          <w:b w:val="0"/>
          <w:i/>
          <w:color w:val="000000"/>
          <w:sz w:val="14"/>
        </w:rPr>
        <w:t xml:space="preserve">Trust Fund Financial Information Summary for fiscal years ended June 30, 2024 and 2023 </w:t>
      </w:r>
      <w:r>
        <w:rPr>
          <w:w w:val="101.33335930960519"/>
          <w:rFonts w:ascii="CIDFont+F1" w:hAnsi="CIDFont+F1" w:eastAsia="CIDFont+F1"/>
          <w:b w:val="0"/>
          <w:i/>
          <w:color w:val="000000"/>
          <w:sz w:val="14"/>
        </w:rPr>
        <w:t xml:space="preserve">All amounts in USD millions, unless otherwise noted </w:t>
      </w:r>
    </w:p>
    <w:p>
      <w:pPr>
        <w:autoSpaceDN w:val="0"/>
        <w:autoSpaceDE w:val="0"/>
        <w:widowControl/>
        <w:spacing w:line="300" w:lineRule="exact" w:before="172" w:after="0"/>
        <w:ind w:left="432" w:right="0" w:firstLine="0"/>
        <w:jc w:val="left"/>
      </w:pPr>
      <w:r>
        <w:rPr>
          <w:w w:val="101.33307530329778"/>
          <w:rFonts w:ascii="CIDFont+F5" w:hAnsi="CIDFont+F5" w:eastAsia="CIDFont+F5"/>
          <w:b/>
          <w:i w:val="0"/>
          <w:color w:val="00497B"/>
          <w:sz w:val="26"/>
        </w:rPr>
        <w:t xml:space="preserve">Portfolio at a Glance - FIFs </w:t>
      </w:r>
    </w:p>
    <w:p>
      <w:pPr>
        <w:autoSpaceDN w:val="0"/>
        <w:autoSpaceDE w:val="0"/>
        <w:widowControl/>
        <w:spacing w:line="240" w:lineRule="auto" w:before="0" w:after="180"/>
        <w:ind w:left="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60"/>
        </w:trPr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0" w:after="0"/>
              <w:ind w:left="402" w:right="0" w:firstLine="0"/>
              <w:jc w:val="left"/>
            </w:pPr>
            <w:r>
              <w:rPr>
                <w:w w:val="98.37079299123663"/>
                <w:rFonts w:ascii="CIDFont+F2" w:hAnsi="CIDFont+F2" w:eastAsia="CIDFont+F2"/>
                <w:b w:val="0"/>
                <w:i w:val="0"/>
                <w:color w:val="1F497D"/>
                <w:sz w:val="19"/>
              </w:rPr>
              <w:t xml:space="preserve">Contributions </w:t>
            </w:r>
          </w:p>
        </w:tc>
        <w:tc>
          <w:tcPr>
            <w:tcW w:type="dxa" w:w="5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0" w:after="0"/>
              <w:ind w:left="0" w:right="0" w:firstLine="0"/>
              <w:jc w:val="center"/>
            </w:pPr>
            <w:r>
              <w:rPr>
                <w:w w:val="98.37079299123663"/>
                <w:rFonts w:ascii="CIDFont+F2" w:hAnsi="CIDFont+F2" w:eastAsia="CIDFont+F2"/>
                <w:b w:val="0"/>
                <w:i w:val="0"/>
                <w:color w:val="1F497D"/>
                <w:sz w:val="19"/>
              </w:rPr>
              <w:t xml:space="preserve"> Investment Income    Disbursements            Fund Balance                 </w:t>
            </w:r>
          </w:p>
        </w:tc>
      </w:tr>
      <w:tr>
        <w:trPr>
          <w:trHeight w:hRule="exact" w:val="100"/>
        </w:trPr>
        <w:tc>
          <w:tcPr>
            <w:tcW w:type="dxa" w:w="1872"/>
            <w:vMerge/>
            <w:tcBorders/>
          </w:tcPr>
          <w:p/>
        </w:tc>
        <w:tc>
          <w:tcPr>
            <w:tcW w:type="dxa" w:w="71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8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8" w:after="0"/>
              <w:ind w:left="232" w:right="0" w:firstLine="0"/>
              <w:jc w:val="left"/>
            </w:pPr>
            <w:r>
              <w:rPr>
                <w:w w:val="98.37079299123663"/>
                <w:rFonts w:ascii="CIDFont+F3" w:hAnsi="CIDFont+F3" w:eastAsia="CIDFont+F3"/>
                <w:b/>
                <w:i w:val="0"/>
                <w:color w:val="1F497D"/>
                <w:sz w:val="19"/>
              </w:rPr>
              <w:t xml:space="preserve">2024 </w:t>
            </w:r>
          </w:p>
        </w:tc>
        <w:tc>
          <w:tcPr>
            <w:tcW w:type="dxa" w:w="71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1.9999999999999" w:type="dxa"/>
            </w:tblPr>
            <w:tblGrid>
              <w:gridCol w:w="7100"/>
            </w:tblGrid>
            <w:tr>
              <w:trPr>
                <w:trHeight w:hRule="exact" w:val="448"/>
              </w:trPr>
              <w:tc>
                <w:tcPr>
                  <w:tcW w:type="dxa" w:w="5846"/>
                  <w:tcBorders/>
                  <w:shd w:fill="d8e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106" w:after="0"/>
                    <w:ind w:left="186" w:right="0" w:firstLine="0"/>
                    <w:jc w:val="left"/>
                  </w:pPr>
                  <w:r>
                    <w:rPr>
                      <w:w w:val="98.65285782586962"/>
                      <w:rFonts w:ascii="CIDFont+F3" w:hAnsi="CIDFont+F3" w:eastAsia="CIDFont+F3"/>
                      <w:b/>
                      <w:i w:val="0"/>
                      <w:color w:val="001F60"/>
                      <w:sz w:val="21"/>
                    </w:rPr>
                    <w:t xml:space="preserve"> $10,581                       $1,635                       $8,964                   $30,127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52"/>
        </w:trPr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22" w:after="0"/>
              <w:ind w:left="232" w:right="0" w:firstLine="0"/>
              <w:jc w:val="left"/>
            </w:pPr>
            <w:r>
              <w:rPr>
                <w:w w:val="98.65285782586962"/>
                <w:rFonts w:ascii="CIDFont+F3" w:hAnsi="CIDFont+F3" w:eastAsia="CIDFont+F3"/>
                <w:b/>
                <w:i w:val="0"/>
                <w:color w:val="1F497D"/>
                <w:sz w:val="21"/>
              </w:rPr>
              <w:t xml:space="preserve">YoY change % </w:t>
            </w:r>
          </w:p>
        </w:tc>
        <w:tc>
          <w:tcPr>
            <w:tcW w:type="dxa" w:w="7488"/>
            <w:gridSpan w:val="4"/>
            <w:vMerge/>
            <w:tcBorders/>
          </w:tcPr>
          <w:p/>
        </w:tc>
      </w:tr>
      <w:tr>
        <w:trPr>
          <w:trHeight w:hRule="exact" w:val="590"/>
        </w:trPr>
        <w:tc>
          <w:tcPr>
            <w:tcW w:type="dxa" w:w="1872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84" w:after="0"/>
              <w:ind w:left="0" w:right="348" w:firstLine="0"/>
              <w:jc w:val="right"/>
            </w:pPr>
            <w:r>
              <w:rPr>
                <w:w w:val="98.37079299123663"/>
                <w:rFonts w:ascii="CIDFont+F3" w:hAnsi="CIDFont+F3" w:eastAsia="CIDFont+F3"/>
                <w:b/>
                <w:i w:val="0"/>
                <w:color w:val="1F497D"/>
                <w:sz w:val="19"/>
              </w:rPr>
              <w:t xml:space="preserve">14%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302" w:after="0"/>
              <w:ind w:left="0" w:right="626" w:firstLine="0"/>
              <w:jc w:val="right"/>
            </w:pPr>
            <w:r>
              <w:rPr>
                <w:w w:val="98.37079299123663"/>
                <w:rFonts w:ascii="CIDFont+F3" w:hAnsi="CIDFont+F3" w:eastAsia="CIDFont+F3"/>
                <w:b/>
                <w:i w:val="0"/>
                <w:color w:val="1F497D"/>
                <w:sz w:val="19"/>
              </w:rPr>
              <w:t>76%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300" w:after="0"/>
              <w:ind w:left="0" w:right="0" w:firstLine="0"/>
              <w:jc w:val="center"/>
            </w:pPr>
            <w:r>
              <w:rPr>
                <w:w w:val="98.37079299123663"/>
                <w:rFonts w:ascii="CIDFont+F3" w:hAnsi="CIDFont+F3" w:eastAsia="CIDFont+F3"/>
                <w:b/>
                <w:i w:val="0"/>
                <w:color w:val="1F497D"/>
                <w:sz w:val="19"/>
              </w:rPr>
              <w:t xml:space="preserve">15%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90" w:after="0"/>
              <w:ind w:left="0" w:right="1064" w:firstLine="0"/>
              <w:jc w:val="right"/>
            </w:pPr>
            <w:r>
              <w:rPr>
                <w:w w:val="98.37079299123663"/>
                <w:rFonts w:ascii="CIDFont+F3" w:hAnsi="CIDFont+F3" w:eastAsia="CIDFont+F3"/>
                <w:b/>
                <w:i w:val="0"/>
                <w:color w:val="1F497D"/>
                <w:sz w:val="19"/>
              </w:rPr>
              <w:t xml:space="preserve">6%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.000000000000114" w:type="dxa"/>
      </w:tblPr>
      <w:tblGrid>
        <w:gridCol w:w="4680"/>
        <w:gridCol w:w="4680"/>
      </w:tblGrid>
      <w:tr>
        <w:trPr>
          <w:trHeight w:hRule="exact" w:val="250"/>
        </w:trPr>
        <w:tc>
          <w:tcPr>
            <w:tcW w:type="dxa" w:w="9252"/>
            <w:gridSpan w:val="2"/>
            <w:tcBorders>
              <w:start w:sz="2.3999999999999773" w:val="single" w:color="#000000"/>
              <w:top w:sz="4.0" w:val="single" w:color="#000000"/>
              <w:end w:sz="2.4000000000005457" w:val="single" w:color="#000000"/>
              <w:bottom w:sz="4.0" w:val="single" w:color="#000000"/>
            </w:tcBorders>
            <w:shd w:fill="548c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100" w:right="0" w:firstLine="0"/>
              <w:jc w:val="left"/>
            </w:pPr>
            <w:r>
              <w:rPr>
                <w:w w:val="98.37079299123663"/>
                <w:rFonts w:ascii="CIDFont+F3" w:hAnsi="CIDFont+F3" w:eastAsia="CIDFont+F3"/>
                <w:b/>
                <w:i w:val="0"/>
                <w:color w:val="FFFFFF"/>
                <w:sz w:val="19"/>
              </w:rPr>
              <w:t>Key Metrices</w:t>
            </w:r>
          </w:p>
        </w:tc>
      </w:tr>
      <w:tr>
        <w:trPr>
          <w:trHeight w:hRule="exact" w:val="3592"/>
        </w:trPr>
        <w:tc>
          <w:tcPr>
            <w:tcW w:type="dxa" w:w="4650"/>
            <w:tcBorders>
              <w:start w:sz="2.39999999999997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" w:after="0"/>
              <w:ind w:left="100" w:right="0" w:firstLine="0"/>
              <w:jc w:val="left"/>
            </w:pPr>
            <w:r>
              <w:rPr>
                <w:w w:val="98.65285782586962"/>
                <w:rFonts w:ascii="CIDFont+F3" w:hAnsi="CIDFont+F3" w:eastAsia="CIDFont+F3"/>
                <w:b/>
                <w:i w:val="0"/>
                <w:color w:val="001F60"/>
                <w:sz w:val="21"/>
              </w:rPr>
              <w:t xml:space="preserve">Contribution and Disbursements </w:t>
            </w:r>
          </w:p>
          <w:p>
            <w:pPr>
              <w:autoSpaceDN w:val="0"/>
              <w:autoSpaceDE w:val="0"/>
              <w:widowControl/>
              <w:spacing w:line="240" w:lineRule="auto" w:before="27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0030" cy="17576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030" cy="1757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2"/>
            <w:tcBorders>
              <w:start w:sz="4.0" w:val="single" w:color="#000000"/>
              <w:top w:sz="4.0" w:val="single" w:color="#000000"/>
              <w:end w:sz="2.400000000000545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" w:after="0"/>
              <w:ind w:left="96" w:right="0" w:firstLine="0"/>
              <w:jc w:val="left"/>
            </w:pPr>
            <w:r>
              <w:rPr>
                <w:w w:val="98.65285782586962"/>
                <w:rFonts w:ascii="CIDFont+F3" w:hAnsi="CIDFont+F3" w:eastAsia="CIDFont+F3"/>
                <w:b/>
                <w:i w:val="0"/>
                <w:color w:val="001F60"/>
                <w:sz w:val="21"/>
              </w:rPr>
              <w:t xml:space="preserve">Contributions </w:t>
            </w:r>
          </w:p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77819" cy="153289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819" cy="1532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244"/>
        </w:trPr>
        <w:tc>
          <w:tcPr>
            <w:tcW w:type="dxa" w:w="9252"/>
            <w:gridSpan w:val="2"/>
            <w:tcBorders>
              <w:start w:sz="2.3999999999999773" w:val="single" w:color="#000000"/>
              <w:top w:sz="4.0" w:val="single" w:color="#000000"/>
              <w:end w:sz="2.400000000000545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8.0000000000001" w:type="dxa"/>
            </w:tblPr>
            <w:tblGrid>
              <w:gridCol w:w="4626"/>
              <w:gridCol w:w="4626"/>
            </w:tblGrid>
            <w:tr>
              <w:trPr>
                <w:trHeight w:hRule="exact" w:val="728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56" w:lineRule="exact" w:before="0" w:after="0"/>
                    <w:ind w:left="288" w:right="124" w:firstLine="0"/>
                    <w:jc w:val="right"/>
                  </w:pPr>
                  <w:r>
                    <w:rPr>
                      <w:w w:val="98.37079299123663"/>
                      <w:rFonts w:ascii="CIDFont+F9" w:hAnsi="CIDFont+F9" w:eastAsia="CIDFont+F9"/>
                      <w:b w:val="0"/>
                      <w:i w:val="0"/>
                      <w:color w:val="000000"/>
                      <w:sz w:val="19"/>
                    </w:rPr>
                    <w:t></w:t>
                  </w:r>
                  <w:r>
                    <w:br/>
                  </w:r>
                  <w:r>
                    <w:rPr>
                      <w:w w:val="98.37079299123663"/>
                      <w:rFonts w:ascii="CIDFont+F9" w:hAnsi="CIDFont+F9" w:eastAsia="CIDFont+F9"/>
                      <w:b w:val="0"/>
                      <w:i w:val="0"/>
                      <w:color w:val="000000"/>
                      <w:sz w:val="19"/>
                    </w:rPr>
                    <w:t></w:t>
                  </w:r>
                </w:p>
              </w:tc>
              <w:tc>
                <w:tcPr>
                  <w:tcW w:type="dxa" w:w="8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" w:after="0"/>
                    <w:ind w:left="128" w:right="144" w:firstLine="0"/>
                    <w:jc w:val="left"/>
                  </w:pPr>
                  <w:r>
                    <w:rPr>
                      <w:w w:val="98.37079299123663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In FY24, contributions from top donors have decreased towards PPR and agriculture programs (GAFSP and </w:t>
                  </w:r>
                  <w:r>
                    <w:rPr>
                      <w:w w:val="98.37079299123663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CGIAR); while increased towards CIF, GEF and GBFF. </w:t>
                  </w:r>
                </w:p>
                <w:p>
                  <w:pPr>
                    <w:autoSpaceDN w:val="0"/>
                    <w:autoSpaceDE w:val="0"/>
                    <w:widowControl/>
                    <w:spacing w:line="228" w:lineRule="exact" w:before="10" w:after="0"/>
                    <w:ind w:left="128" w:right="0" w:firstLine="0"/>
                    <w:jc w:val="left"/>
                  </w:pPr>
                  <w:r>
                    <w:rPr>
                      <w:w w:val="98.37079299123663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Top 2 donors GFATM and United Kingdom accounted for 50% of the total contributions in FY24 and an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28" w:lineRule="exact" w:before="6" w:after="0"/>
              <w:ind w:left="876" w:right="0" w:firstLine="0"/>
              <w:jc w:val="left"/>
            </w:pPr>
            <w:r>
              <w:rPr>
                <w:w w:val="98.37079299123663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average of 48% over the past 5 years.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8.0000000000001" w:type="dxa"/>
            </w:tblPr>
            <w:tblGrid>
              <w:gridCol w:w="4626"/>
              <w:gridCol w:w="4626"/>
            </w:tblGrid>
            <w:tr>
              <w:trPr>
                <w:trHeight w:hRule="exact" w:val="72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56" w:lineRule="exact" w:before="0" w:after="0"/>
                    <w:ind w:left="288" w:right="114" w:firstLine="0"/>
                    <w:jc w:val="right"/>
                  </w:pPr>
                  <w:r>
                    <w:rPr>
                      <w:w w:val="98.37079299123663"/>
                      <w:rFonts w:ascii="CIDFont+F9" w:hAnsi="CIDFont+F9" w:eastAsia="CIDFont+F9"/>
                      <w:b w:val="0"/>
                      <w:i w:val="0"/>
                      <w:color w:val="000000"/>
                      <w:sz w:val="19"/>
                    </w:rPr>
                    <w:t></w:t>
                  </w:r>
                  <w:r>
                    <w:br/>
                  </w:r>
                  <w:r>
                    <w:rPr>
                      <w:w w:val="98.65285782586962"/>
                      <w:rFonts w:ascii="CIDFont+F9" w:hAnsi="CIDFont+F9" w:eastAsia="CIDFont+F9"/>
                      <w:b w:val="0"/>
                      <w:i w:val="0"/>
                      <w:color w:val="000000"/>
                      <w:sz w:val="21"/>
                    </w:rPr>
                    <w:t></w:t>
                  </w:r>
                </w:p>
              </w:tc>
              <w:tc>
                <w:tcPr>
                  <w:tcW w:type="dxa" w:w="8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6" w:after="0"/>
                    <w:ind w:left="128" w:right="0" w:firstLine="0"/>
                    <w:jc w:val="left"/>
                  </w:pPr>
                  <w:r>
                    <w:rPr>
                      <w:w w:val="98.37079299123663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Disbursements from GFATM, GCF and GEF programs accounted for 74% of total disbursement in FY24 and </w:t>
                  </w:r>
                  <w:r>
                    <w:rPr>
                      <w:w w:val="98.37079299123663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on an average 70% over the past 5 years. </w:t>
                  </w:r>
                </w:p>
                <w:p>
                  <w:pPr>
                    <w:autoSpaceDN w:val="0"/>
                    <w:autoSpaceDE w:val="0"/>
                    <w:widowControl/>
                    <w:spacing w:line="228" w:lineRule="exact" w:before="12" w:after="0"/>
                    <w:ind w:left="128" w:right="0" w:firstLine="0"/>
                    <w:jc w:val="left"/>
                  </w:pPr>
                  <w:r>
                    <w:rPr>
                      <w:w w:val="98.37079299123663"/>
                      <w:rFonts w:ascii="CIDFont+F2" w:hAnsi="CIDFont+F2" w:eastAsia="CIDFont+F2"/>
                      <w:b w:val="0"/>
                      <w:i w:val="0"/>
                      <w:color w:val="000000"/>
                      <w:sz w:val="19"/>
                    </w:rPr>
                    <w:t xml:space="preserve">GFATM has been the leading FIF constituting 41% of the total FIF contributions and 50% of total FIF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28" w:lineRule="exact" w:before="6" w:after="0"/>
              <w:ind w:left="876" w:right="0" w:firstLine="0"/>
              <w:jc w:val="left"/>
            </w:pPr>
            <w:r>
              <w:rPr>
                <w:w w:val="98.37079299123663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>disbursements over the past 5 years.</w:t>
            </w:r>
          </w:p>
        </w:tc>
      </w:tr>
    </w:tbl>
    <w:p>
      <w:pPr>
        <w:autoSpaceDN w:val="0"/>
        <w:autoSpaceDE w:val="0"/>
        <w:widowControl/>
        <w:spacing w:line="228" w:lineRule="exact" w:before="4462" w:after="0"/>
        <w:ind w:left="0" w:right="400" w:firstLine="0"/>
        <w:jc w:val="right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6 </w:t>
      </w:r>
    </w:p>
    <w:p>
      <w:pPr>
        <w:autoSpaceDN w:val="0"/>
        <w:autoSpaceDE w:val="0"/>
        <w:widowControl/>
        <w:spacing w:line="148" w:lineRule="exact" w:before="186" w:after="0"/>
        <w:ind w:left="432" w:right="0" w:firstLine="0"/>
        <w:jc w:val="left"/>
      </w:pPr>
      <w:r>
        <w:rPr>
          <w:w w:val="101.3333797454834"/>
          <w:rFonts w:ascii="CIDFont+F2" w:hAnsi="CIDFont+F2" w:eastAsia="CIDFont+F2"/>
          <w:b w:val="0"/>
          <w:i w:val="0"/>
          <w:color w:val="FFFFFF"/>
          <w:sz w:val="12"/>
        </w:rPr>
        <w:t>1</w:t>
      </w:r>
    </w:p>
    <w:p>
      <w:pPr>
        <w:sectPr>
          <w:pgSz w:w="12240" w:h="15840"/>
          <w:pgMar w:top="358" w:right="1440" w:bottom="4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174" w:lineRule="exact" w:before="0" w:after="0"/>
        <w:ind w:left="5974" w:right="288" w:hanging="2120"/>
        <w:jc w:val="left"/>
      </w:pPr>
      <w:r>
        <w:rPr>
          <w:w w:val="101.33335930960519"/>
          <w:rFonts w:ascii="CIDFont+F1" w:hAnsi="CIDFont+F1" w:eastAsia="CIDFont+F1"/>
          <w:b w:val="0"/>
          <w:i/>
          <w:color w:val="000000"/>
          <w:sz w:val="14"/>
        </w:rPr>
        <w:t xml:space="preserve">Trust Fund Financial Information Summary for fiscal years ended June 30, 2024 and 2023 </w:t>
      </w:r>
      <w:r>
        <w:rPr>
          <w:w w:val="101.33335930960519"/>
          <w:rFonts w:ascii="CIDFont+F1" w:hAnsi="CIDFont+F1" w:eastAsia="CIDFont+F1"/>
          <w:b w:val="0"/>
          <w:i/>
          <w:color w:val="000000"/>
          <w:sz w:val="14"/>
        </w:rPr>
        <w:t xml:space="preserve">All amounts in USD millions, unless otherwise noted </w:t>
      </w:r>
    </w:p>
    <w:p>
      <w:pPr>
        <w:autoSpaceDN w:val="0"/>
        <w:autoSpaceDE w:val="0"/>
        <w:widowControl/>
        <w:spacing w:line="300" w:lineRule="exact" w:before="244" w:after="0"/>
        <w:ind w:left="620" w:right="0" w:firstLine="0"/>
        <w:jc w:val="left"/>
      </w:pPr>
      <w:r>
        <w:rPr>
          <w:w w:val="101.33307530329778"/>
          <w:rFonts w:ascii="CIDFont+F5" w:hAnsi="CIDFont+F5" w:eastAsia="CIDFont+F5"/>
          <w:b/>
          <w:i w:val="0"/>
          <w:color w:val="00497B"/>
          <w:sz w:val="26"/>
        </w:rPr>
        <w:t xml:space="preserve">Trust Fund FY24 Key Highlights </w:t>
      </w:r>
    </w:p>
    <w:p>
      <w:pPr>
        <w:autoSpaceDN w:val="0"/>
        <w:autoSpaceDE w:val="0"/>
        <w:widowControl/>
        <w:spacing w:line="240" w:lineRule="auto" w:before="14" w:after="0"/>
        <w:ind w:left="6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959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8" w:lineRule="exact" w:before="94" w:after="0"/>
        <w:ind w:left="1024" w:right="288" w:hanging="254"/>
        <w:jc w:val="left"/>
      </w:pPr>
      <w:r>
        <w:rPr>
          <w:w w:val="98.37079299123663"/>
          <w:rFonts w:ascii="CIDFont+F9" w:hAnsi="CIDFont+F9" w:eastAsia="CIDFont+F9"/>
          <w:b w:val="0"/>
          <w:i w:val="0"/>
          <w:color w:val="000000"/>
          <w:sz w:val="19"/>
        </w:rPr>
        <w:t>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In April 2024, the President announced new financial instruments including the </w:t>
      </w:r>
      <w:r>
        <w:rPr>
          <w:u w:val="single" w:color="703603"/>
          <w:w w:val="98.37079299123663"/>
          <w:rFonts w:ascii="CIDFont+F2" w:hAnsi="CIDFont+F2" w:eastAsia="CIDFont+F2"/>
          <w:b w:val="0"/>
          <w:i w:val="0"/>
          <w:color w:val="713604"/>
          <w:sz w:val="19"/>
        </w:rPr>
        <w:t xml:space="preserve">Livable Planet Fund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totaling $11,000m that will enable governments, philanthropies and other partner contributions to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incentivize cooperation across borders and tackle shared challenges. Japan committed to providing the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first contribution to the new Livable Planet Fund. </w:t>
      </w:r>
    </w:p>
    <w:p>
      <w:pPr>
        <w:autoSpaceDN w:val="0"/>
        <w:autoSpaceDE w:val="0"/>
        <w:widowControl/>
        <w:spacing w:line="248" w:lineRule="exact" w:before="6" w:after="0"/>
        <w:ind w:left="1024" w:right="404" w:hanging="254"/>
        <w:jc w:val="both"/>
      </w:pPr>
      <w:r>
        <w:rPr>
          <w:w w:val="98.37079299123663"/>
          <w:rFonts w:ascii="CIDFont+F9" w:hAnsi="CIDFont+F9" w:eastAsia="CIDFont+F9"/>
          <w:b w:val="0"/>
          <w:i w:val="0"/>
          <w:color w:val="000000"/>
          <w:sz w:val="19"/>
        </w:rPr>
        <w:t>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Ukraine continues to receive support from the international community. New administration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agreements have been signed in FY24 for various trust funds supporting Ukraine through SALNTF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($10,167m) and URTF ($661m) programs. Japan and United States were the major donors with expected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funding of $7,673m and $2,655m respectively. </w:t>
      </w:r>
    </w:p>
    <w:p>
      <w:pPr>
        <w:autoSpaceDN w:val="0"/>
        <w:tabs>
          <w:tab w:pos="1024" w:val="left"/>
        </w:tabs>
        <w:autoSpaceDE w:val="0"/>
        <w:widowControl/>
        <w:spacing w:line="248" w:lineRule="exact" w:before="6" w:after="0"/>
        <w:ind w:left="770" w:right="288" w:firstLine="0"/>
        <w:jc w:val="left"/>
      </w:pPr>
      <w:r>
        <w:rPr>
          <w:w w:val="98.37079299123663"/>
          <w:rFonts w:ascii="CIDFont+F9" w:hAnsi="CIDFont+F9" w:eastAsia="CIDFont+F9"/>
          <w:b w:val="0"/>
          <w:i w:val="0"/>
          <w:color w:val="000000"/>
          <w:sz w:val="19"/>
        </w:rPr>
        <w:t>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During FY24, a new FIF, Global Biodiversity Framework Fund (GBFF) was established. The Trust Fund has </w:t>
      </w:r>
      <w:r>
        <w:tab/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been established following the decision of the Conference of the Parties to the Convention on Biological </w:t>
      </w:r>
      <w:r>
        <w:tab/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Diversity (“CBD”) at its Fifteenth Session (“COP 15”) to invite GEF to operate the Trust Fund. GBFF aims </w:t>
      </w:r>
      <w:r>
        <w:tab/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to support the Kunming-Montreal Global Biodiversity Framework. Five donors have contributed to-date </w:t>
      </w:r>
      <w:r>
        <w:tab/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to this FIF of which, majority of the funding was received from Canada ($55m) and Germany ($44m). </w:t>
      </w:r>
      <w:r>
        <w:rPr>
          <w:w w:val="98.37079299123663"/>
          <w:rFonts w:ascii="CIDFont+F9" w:hAnsi="CIDFont+F9" w:eastAsia="CIDFont+F9"/>
          <w:b w:val="0"/>
          <w:i w:val="0"/>
          <w:color w:val="000000"/>
          <w:sz w:val="19"/>
        </w:rPr>
        <w:t>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TF reforms continued in FY24 with an aim to reduce fragmentation, increase strategic alignment and </w:t>
      </w:r>
      <w:r>
        <w:tab/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improve efficiencies of the trust fund portfolio by using fewer and larger Umbrella 2.0 Programs. As of </w:t>
      </w:r>
      <w:r>
        <w:tab/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June 30, 2024, 70 Umbrella programs (140 active trust funds) have been established. Four new umbrella </w:t>
      </w:r>
      <w:r>
        <w:tab/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programs - EGPS03, DIF, M - GROW and HSTRF have been initiated and activated in FY24. </w:t>
      </w:r>
    </w:p>
    <w:p>
      <w:pPr>
        <w:autoSpaceDN w:val="0"/>
        <w:autoSpaceDE w:val="0"/>
        <w:widowControl/>
        <w:spacing w:line="288" w:lineRule="exact" w:before="744" w:after="0"/>
        <w:ind w:left="432" w:right="144" w:firstLine="0"/>
        <w:jc w:val="left"/>
      </w:pPr>
      <w:r>
        <w:rPr>
          <w:w w:val="101.78400421142577"/>
          <w:rFonts w:ascii="CIDFont+F5" w:hAnsi="CIDFont+F5" w:eastAsia="CIDFont+F5"/>
          <w:b/>
          <w:i w:val="0"/>
          <w:color w:val="00497B"/>
          <w:sz w:val="25"/>
        </w:rPr>
        <w:t xml:space="preserve">Top 3 trust funds activated during the fiscal year ended June 30, </w:t>
      </w:r>
      <w:r>
        <w:rPr>
          <w:w w:val="101.78400421142577"/>
          <w:rFonts w:ascii="CIDFont+F5" w:hAnsi="CIDFont+F5" w:eastAsia="CIDFont+F5"/>
          <w:b/>
          <w:i w:val="0"/>
          <w:color w:val="00497B"/>
          <w:sz w:val="25"/>
        </w:rPr>
        <w:t xml:space="preserve">2024, on the basis of Expected Funding </w:t>
      </w:r>
    </w:p>
    <w:p>
      <w:pPr>
        <w:autoSpaceDN w:val="0"/>
        <w:autoSpaceDE w:val="0"/>
        <w:widowControl/>
        <w:spacing w:line="240" w:lineRule="auto" w:before="286" w:after="0"/>
        <w:ind w:left="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73700" cy="381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4" w:after="0"/>
        <w:ind w:left="5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80660" cy="250951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509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144" w:after="0"/>
        <w:ind w:left="4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17700" cy="381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4" w:lineRule="exact" w:before="164" w:after="0"/>
        <w:ind w:left="448" w:right="0" w:firstLine="0"/>
        <w:jc w:val="left"/>
      </w:pPr>
      <w:r>
        <w:rPr>
          <w:w w:val="101.3333797454834"/>
          <w:rFonts w:ascii="CIDFont+F1" w:hAnsi="CIDFont+F1" w:eastAsia="CIDFont+F1"/>
          <w:b w:val="0"/>
          <w:i/>
          <w:color w:val="000000"/>
          <w:sz w:val="12"/>
        </w:rPr>
        <w:t>2</w:t>
      </w:r>
      <w:r>
        <w:rPr>
          <w:w w:val="101.33335930960519"/>
          <w:rFonts w:ascii="CIDFont+F8" w:hAnsi="CIDFont+F8" w:eastAsia="CIDFont+F8"/>
          <w:b w:val="0"/>
          <w:i/>
          <w:color w:val="000000"/>
          <w:sz w:val="14"/>
        </w:rPr>
        <w:t xml:space="preserve">DP’s contributions to the trust funds are based on installment schedules agreed per administration agreements. Hence, the total funding for </w:t>
      </w:r>
      <w:r>
        <w:rPr>
          <w:w w:val="101.33335930960519"/>
          <w:rFonts w:ascii="CIDFont+F8" w:hAnsi="CIDFont+F8" w:eastAsia="CIDFont+F8"/>
          <w:b w:val="0"/>
          <w:i/>
          <w:color w:val="000000"/>
          <w:sz w:val="14"/>
        </w:rPr>
        <w:t xml:space="preserve">the trust funds is not expected to be fully received as of June 30,2024. </w:t>
      </w:r>
      <w:r>
        <w:br/>
      </w:r>
      <w:r>
        <w:rPr>
          <w:rFonts w:ascii="CIDFont+F1" w:hAnsi="CIDFont+F1" w:eastAsia="CIDFont+F1"/>
          <w:b w:val="0"/>
          <w:i/>
          <w:color w:val="000000"/>
          <w:sz w:val="13"/>
        </w:rPr>
        <w:t>*</w:t>
      </w:r>
      <w:r>
        <w:rPr>
          <w:w w:val="101.33335930960519"/>
          <w:rFonts w:ascii="CIDFont+F8" w:hAnsi="CIDFont+F8" w:eastAsia="CIDFont+F8"/>
          <w:b w:val="0"/>
          <w:i/>
          <w:color w:val="000000"/>
          <w:sz w:val="14"/>
        </w:rPr>
        <w:t>Promissory note of USD 5,000 was received and yet to be encashed.</w:t>
      </w:r>
    </w:p>
    <w:p>
      <w:pPr>
        <w:autoSpaceDN w:val="0"/>
        <w:autoSpaceDE w:val="0"/>
        <w:widowControl/>
        <w:spacing w:line="228" w:lineRule="exact" w:before="594" w:after="0"/>
        <w:ind w:left="0" w:right="400" w:firstLine="0"/>
        <w:jc w:val="right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7 </w:t>
      </w:r>
    </w:p>
    <w:p>
      <w:pPr>
        <w:autoSpaceDN w:val="0"/>
        <w:autoSpaceDE w:val="0"/>
        <w:widowControl/>
        <w:spacing w:line="148" w:lineRule="exact" w:before="186" w:after="0"/>
        <w:ind w:left="432" w:right="0" w:firstLine="0"/>
        <w:jc w:val="left"/>
      </w:pPr>
      <w:r>
        <w:rPr>
          <w:w w:val="101.3333797454834"/>
          <w:rFonts w:ascii="CIDFont+F2" w:hAnsi="CIDFont+F2" w:eastAsia="CIDFont+F2"/>
          <w:b w:val="0"/>
          <w:i w:val="0"/>
          <w:color w:val="FFFFFF"/>
          <w:sz w:val="12"/>
        </w:rPr>
        <w:t>1</w:t>
      </w:r>
    </w:p>
    <w:p>
      <w:pPr>
        <w:sectPr>
          <w:pgSz w:w="12240" w:h="15840"/>
          <w:pgMar w:top="358" w:right="1440" w:bottom="4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174" w:lineRule="exact" w:before="0" w:after="0"/>
        <w:ind w:left="5974" w:right="288" w:hanging="2120"/>
        <w:jc w:val="left"/>
      </w:pPr>
      <w:r>
        <w:rPr>
          <w:w w:val="101.33335930960519"/>
          <w:rFonts w:ascii="CIDFont+F1" w:hAnsi="CIDFont+F1" w:eastAsia="CIDFont+F1"/>
          <w:b w:val="0"/>
          <w:i/>
          <w:color w:val="000000"/>
          <w:sz w:val="14"/>
        </w:rPr>
        <w:t xml:space="preserve">Trust Fund Financial Information Summary for fiscal years ended June 30, 2024 and 2023 </w:t>
      </w:r>
      <w:r>
        <w:rPr>
          <w:w w:val="101.33335930960519"/>
          <w:rFonts w:ascii="CIDFont+F1" w:hAnsi="CIDFont+F1" w:eastAsia="CIDFont+F1"/>
          <w:b w:val="0"/>
          <w:i/>
          <w:color w:val="000000"/>
          <w:sz w:val="14"/>
        </w:rPr>
        <w:t xml:space="preserve">All amounts in USD millions, unless otherwise noted </w:t>
      </w:r>
    </w:p>
    <w:p>
      <w:pPr>
        <w:autoSpaceDN w:val="0"/>
        <w:autoSpaceDE w:val="0"/>
        <w:widowControl/>
        <w:spacing w:line="252" w:lineRule="exact" w:before="172" w:after="0"/>
        <w:ind w:left="622" w:right="0" w:firstLine="0"/>
        <w:jc w:val="left"/>
      </w:pPr>
      <w:r>
        <w:rPr>
          <w:w w:val="98.65285782586962"/>
          <w:rFonts w:ascii="CIDFont+F2" w:hAnsi="CIDFont+F2" w:eastAsia="CIDFont+F2"/>
          <w:b w:val="0"/>
          <w:i w:val="0"/>
          <w:color w:val="00497B"/>
          <w:sz w:val="21"/>
        </w:rPr>
        <w:t xml:space="preserve">Key Trust Fund Activity </w:t>
      </w:r>
    </w:p>
    <w:p>
      <w:pPr>
        <w:autoSpaceDN w:val="0"/>
        <w:autoSpaceDE w:val="0"/>
        <w:widowControl/>
        <w:spacing w:line="298" w:lineRule="exact" w:before="174" w:after="0"/>
        <w:ind w:left="622" w:right="0" w:firstLine="0"/>
        <w:jc w:val="left"/>
      </w:pPr>
      <w:r>
        <w:rPr>
          <w:w w:val="101.33307530329778"/>
          <w:rFonts w:ascii="CIDFont+F5" w:hAnsi="CIDFont+F5" w:eastAsia="CIDFont+F5"/>
          <w:b/>
          <w:i w:val="0"/>
          <w:color w:val="00497B"/>
          <w:sz w:val="26"/>
        </w:rPr>
        <w:t xml:space="preserve">Trust Fund Asset Summary </w:t>
      </w:r>
    </w:p>
    <w:p>
      <w:pPr>
        <w:autoSpaceDN w:val="0"/>
        <w:autoSpaceDE w:val="0"/>
        <w:widowControl/>
        <w:spacing w:line="228" w:lineRule="exact" w:before="268" w:after="0"/>
        <w:ind w:left="602" w:right="0" w:firstLine="0"/>
        <w:jc w:val="left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The Trust fund assets comprise funds held in trust (cash and investments, and promissory notes receivable) and </w:t>
      </w:r>
    </w:p>
    <w:p>
      <w:pPr>
        <w:autoSpaceDN w:val="0"/>
        <w:autoSpaceDE w:val="0"/>
        <w:widowControl/>
        <w:spacing w:line="228" w:lineRule="exact" w:before="36" w:after="0"/>
        <w:ind w:left="602" w:right="0" w:firstLine="0"/>
        <w:jc w:val="left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contributions receivable. Trust fund assets increased by $9,993m as of June 30, 2024 when compared to </w:t>
      </w:r>
    </w:p>
    <w:p>
      <w:pPr>
        <w:autoSpaceDN w:val="0"/>
        <w:autoSpaceDE w:val="0"/>
        <w:widowControl/>
        <w:spacing w:line="228" w:lineRule="exact" w:before="36" w:after="0"/>
        <w:ind w:left="602" w:right="0" w:firstLine="0"/>
        <w:jc w:val="left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June 30, 2023. </w:t>
      </w:r>
    </w:p>
    <w:p>
      <w:pPr>
        <w:autoSpaceDN w:val="0"/>
        <w:autoSpaceDE w:val="0"/>
        <w:widowControl/>
        <w:spacing w:line="240" w:lineRule="auto" w:before="22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89880" cy="98933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989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8" w:after="0"/>
        <w:ind w:left="48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93689" cy="122300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3689" cy="1223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2" w:after="0"/>
        <w:ind w:left="57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71770" cy="117221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72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exact" w:before="448" w:after="0"/>
        <w:ind w:left="432" w:right="298" w:firstLine="0"/>
        <w:jc w:val="both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Of the total $75,384m of trust fund assets, assets held by IFC trust funds comprise $1,166m (including balances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in Deferred fee &amp; holding funds) of cash and investments and $232m of contribution receivable as of June 30,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2024. </w:t>
      </w:r>
    </w:p>
    <w:p>
      <w:pPr>
        <w:autoSpaceDN w:val="0"/>
        <w:autoSpaceDE w:val="0"/>
        <w:widowControl/>
        <w:spacing w:line="228" w:lineRule="exact" w:before="4312" w:after="0"/>
        <w:ind w:left="0" w:right="400" w:firstLine="0"/>
        <w:jc w:val="right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8 </w:t>
      </w:r>
    </w:p>
    <w:p>
      <w:pPr>
        <w:autoSpaceDN w:val="0"/>
        <w:autoSpaceDE w:val="0"/>
        <w:widowControl/>
        <w:spacing w:line="148" w:lineRule="exact" w:before="186" w:after="0"/>
        <w:ind w:left="432" w:right="0" w:firstLine="0"/>
        <w:jc w:val="left"/>
      </w:pPr>
      <w:r>
        <w:rPr>
          <w:w w:val="101.3333797454834"/>
          <w:rFonts w:ascii="CIDFont+F2" w:hAnsi="CIDFont+F2" w:eastAsia="CIDFont+F2"/>
          <w:b w:val="0"/>
          <w:i w:val="0"/>
          <w:color w:val="FFFFFF"/>
          <w:sz w:val="12"/>
        </w:rPr>
        <w:t>1</w:t>
      </w:r>
    </w:p>
    <w:p>
      <w:pPr>
        <w:sectPr>
          <w:pgSz w:w="12240" w:h="15840"/>
          <w:pgMar w:top="358" w:right="1440" w:bottom="4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174" w:lineRule="exact" w:before="0" w:after="0"/>
        <w:ind w:left="5974" w:right="288" w:hanging="2120"/>
        <w:jc w:val="left"/>
      </w:pPr>
      <w:r>
        <w:rPr>
          <w:w w:val="101.32767813546317"/>
          <w:rFonts w:ascii="CIDFont+F1" w:hAnsi="CIDFont+F1" w:eastAsia="CIDFont+F1"/>
          <w:b w:val="0"/>
          <w:i/>
          <w:color w:val="000000"/>
          <w:sz w:val="14"/>
        </w:rPr>
        <w:t xml:space="preserve">Trust Fund Financial Information Summary for fiscal years ended June 30, 2024 and 2023 </w:t>
      </w:r>
      <w:r>
        <w:rPr>
          <w:w w:val="101.32767813546317"/>
          <w:rFonts w:ascii="CIDFont+F1" w:hAnsi="CIDFont+F1" w:eastAsia="CIDFont+F1"/>
          <w:b w:val="0"/>
          <w:i/>
          <w:color w:val="000000"/>
          <w:sz w:val="14"/>
        </w:rPr>
        <w:t xml:space="preserve">All amounts in USD millions, unless otherwise noted </w:t>
      </w:r>
    </w:p>
    <w:p>
      <w:pPr>
        <w:autoSpaceDN w:val="0"/>
        <w:autoSpaceDE w:val="0"/>
        <w:widowControl/>
        <w:spacing w:line="434" w:lineRule="exact" w:before="28" w:after="0"/>
        <w:ind w:left="448" w:right="4032" w:firstLine="0"/>
        <w:jc w:val="left"/>
      </w:pPr>
      <w:r>
        <w:rPr>
          <w:w w:val="98.6471448625837"/>
          <w:rFonts w:ascii="CIDFont+F2" w:hAnsi="CIDFont+F2" w:eastAsia="CIDFont+F2"/>
          <w:b w:val="0"/>
          <w:i w:val="0"/>
          <w:color w:val="00497B"/>
          <w:sz w:val="21"/>
        </w:rPr>
        <w:t xml:space="preserve">Key Trust Fund Activity </w:t>
      </w:r>
      <w:r>
        <w:br/>
      </w:r>
      <w:r>
        <w:rPr>
          <w:w w:val="101.77799987792969"/>
          <w:rFonts w:ascii="CIDFont+F5" w:hAnsi="CIDFont+F5" w:eastAsia="CIDFont+F5"/>
          <w:b/>
          <w:i w:val="0"/>
          <w:color w:val="00497B"/>
          <w:sz w:val="25"/>
        </w:rPr>
        <w:t>Composition of Active Trust Funds</w:t>
      </w:r>
      <w:r>
        <w:rPr>
          <w:rFonts w:ascii="CIDFont+F2" w:hAnsi="CIDFont+F2" w:eastAsia="CIDFont+F2"/>
          <w:b w:val="0"/>
          <w:i w:val="0"/>
          <w:color w:val="173356"/>
          <w:sz w:val="13"/>
        </w:rPr>
        <w:t>3</w:t>
      </w:r>
      <w:r>
        <w:rPr>
          <w:rFonts w:ascii="CIDFont+F5" w:hAnsi="CIDFont+F5" w:eastAsia="CIDFont+F5"/>
          <w:b/>
          <w:i w:val="0"/>
          <w:color w:val="FFFFFF"/>
          <w:sz w:val="17"/>
        </w:rPr>
        <w:t>2</w:t>
      </w:r>
    </w:p>
    <w:p>
      <w:pPr>
        <w:autoSpaceDN w:val="0"/>
        <w:autoSpaceDE w:val="0"/>
        <w:widowControl/>
        <w:spacing w:line="240" w:lineRule="auto" w:before="460" w:after="0"/>
        <w:ind w:left="4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805680" cy="553974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5539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exact" w:before="234" w:after="0"/>
        <w:ind w:left="432" w:right="288" w:firstLine="0"/>
        <w:jc w:val="left"/>
      </w:pP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The FIF portfolio has continued to grow, from a base of 9 programs in 2008 to 26 in 2024. The major sectors in FIF 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are Environment and Climate change (12 FIF programs), Health (4 FIF programs) and Agriculture (3 FIF programs). </w:t>
      </w:r>
    </w:p>
    <w:p>
      <w:pPr>
        <w:autoSpaceDN w:val="0"/>
        <w:autoSpaceDE w:val="0"/>
        <w:widowControl/>
        <w:spacing w:line="166" w:lineRule="exact" w:before="1080" w:after="0"/>
        <w:ind w:left="432" w:right="302" w:firstLine="0"/>
        <w:jc w:val="both"/>
      </w:pPr>
      <w:r>
        <w:rPr>
          <w:w w:val="101.3277530670166"/>
          <w:rFonts w:ascii="CIDFont+F7" w:hAnsi="CIDFont+F7" w:eastAsia="CIDFont+F7"/>
          <w:b w:val="0"/>
          <w:i w:val="0"/>
          <w:color w:val="000000"/>
          <w:sz w:val="12"/>
        </w:rPr>
        <w:t>3</w:t>
      </w:r>
      <w:r>
        <w:rPr>
          <w:w w:val="101.32767813546317"/>
          <w:rFonts w:ascii="CIDFont+F8" w:hAnsi="CIDFont+F8" w:eastAsia="CIDFont+F8"/>
          <w:b w:val="0"/>
          <w:i/>
          <w:color w:val="000000"/>
          <w:sz w:val="14"/>
        </w:rPr>
        <w:t xml:space="preserve">The count is based on number of trust funds established as trustees under program types - Umbrella, Programmatic, Standalone and </w:t>
      </w:r>
      <w:r>
        <w:rPr>
          <w:w w:val="101.32767813546317"/>
          <w:rFonts w:ascii="CIDFont+F8" w:hAnsi="CIDFont+F8" w:eastAsia="CIDFont+F8"/>
          <w:b w:val="0"/>
          <w:i/>
          <w:color w:val="000000"/>
          <w:sz w:val="14"/>
        </w:rPr>
        <w:t xml:space="preserve">Free-standing. Apart from the active trust funds above there are DP balance accounts established to hold unused funds from closed trust </w:t>
      </w:r>
      <w:r>
        <w:rPr>
          <w:w w:val="101.32767813546317"/>
          <w:rFonts w:ascii="CIDFont+F8" w:hAnsi="CIDFont+F8" w:eastAsia="CIDFont+F8"/>
          <w:b w:val="0"/>
          <w:i/>
          <w:color w:val="000000"/>
          <w:sz w:val="14"/>
        </w:rPr>
        <w:t xml:space="preserve">funds, investment income earned on active trust fund balances, or to hold DP contributions temporarily awaiting establishment of a project </w:t>
      </w:r>
      <w:r>
        <w:rPr>
          <w:w w:val="101.32767813546317"/>
          <w:rFonts w:ascii="CIDFont+F8" w:hAnsi="CIDFont+F8" w:eastAsia="CIDFont+F8"/>
          <w:b w:val="0"/>
          <w:i/>
          <w:color w:val="000000"/>
          <w:sz w:val="14"/>
        </w:rPr>
        <w:t>trust fund. The total number of such active DP balance accounts as of June 30, 2024, is 343 and June 30, 2023 is 312.</w:t>
      </w:r>
    </w:p>
    <w:p>
      <w:pPr>
        <w:autoSpaceDN w:val="0"/>
        <w:autoSpaceDE w:val="0"/>
        <w:widowControl/>
        <w:spacing w:line="182" w:lineRule="exact" w:before="278" w:after="0"/>
        <w:ind w:left="432" w:right="288" w:firstLine="0"/>
        <w:jc w:val="left"/>
      </w:pPr>
      <w:r>
        <w:rPr>
          <w:w w:val="101.3277530670166"/>
          <w:rFonts w:ascii="CIDFont+F1" w:hAnsi="CIDFont+F1" w:eastAsia="CIDFont+F1"/>
          <w:b w:val="0"/>
          <w:i/>
          <w:color w:val="000000"/>
          <w:sz w:val="12"/>
        </w:rPr>
        <w:t>4</w:t>
      </w:r>
      <w:r>
        <w:rPr>
          <w:w w:val="101.32767813546317"/>
          <w:rFonts w:ascii="CIDFont+F8" w:hAnsi="CIDFont+F8" w:eastAsia="CIDFont+F8"/>
          <w:b w:val="0"/>
          <w:i/>
          <w:color w:val="000000"/>
          <w:sz w:val="14"/>
        </w:rPr>
        <w:t xml:space="preserve">FIF Programs may be administered through the use of multiple accounts. There are 26 FIF programs (June 2023: 26) comprising multiple </w:t>
      </w:r>
      <w:r>
        <w:rPr>
          <w:w w:val="101.32767813546317"/>
          <w:rFonts w:ascii="CIDFont+F8" w:hAnsi="CIDFont+F8" w:eastAsia="CIDFont+F8"/>
          <w:b w:val="0"/>
          <w:i/>
          <w:color w:val="000000"/>
          <w:sz w:val="14"/>
        </w:rPr>
        <w:t>FIF trustee accounts.</w:t>
      </w:r>
    </w:p>
    <w:p>
      <w:pPr>
        <w:autoSpaceDN w:val="0"/>
        <w:tabs>
          <w:tab w:pos="8822" w:val="left"/>
        </w:tabs>
        <w:autoSpaceDE w:val="0"/>
        <w:widowControl/>
        <w:spacing w:line="336" w:lineRule="exact" w:before="80" w:after="0"/>
        <w:ind w:left="432" w:right="288" w:firstLine="0"/>
        <w:jc w:val="left"/>
      </w:pPr>
      <w:r>
        <w:tab/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9 </w:t>
      </w:r>
      <w:r>
        <w:rPr>
          <w:w w:val="101.3277530670166"/>
          <w:rFonts w:ascii="CIDFont+F2" w:hAnsi="CIDFont+F2" w:eastAsia="CIDFont+F2"/>
          <w:b w:val="0"/>
          <w:i w:val="0"/>
          <w:color w:val="FFFFFF"/>
          <w:sz w:val="12"/>
        </w:rPr>
        <w:t>1</w:t>
      </w:r>
    </w:p>
    <w:p>
      <w:pPr>
        <w:sectPr>
          <w:pgSz w:w="12240" w:h="15840"/>
          <w:pgMar w:top="356" w:right="1440" w:bottom="4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174" w:lineRule="exact" w:before="0" w:after="0"/>
        <w:ind w:left="5974" w:right="288" w:hanging="2120"/>
        <w:jc w:val="left"/>
      </w:pPr>
      <w:r>
        <w:rPr>
          <w:w w:val="101.32767813546317"/>
          <w:rFonts w:ascii="CIDFont+F1" w:hAnsi="CIDFont+F1" w:eastAsia="CIDFont+F1"/>
          <w:b w:val="0"/>
          <w:i/>
          <w:color w:val="000000"/>
          <w:sz w:val="14"/>
        </w:rPr>
        <w:t xml:space="preserve">Trust Fund Financial Information Summary for fiscal years ended June 30, 2024 and 2023 </w:t>
      </w:r>
      <w:r>
        <w:rPr>
          <w:w w:val="101.32767813546317"/>
          <w:rFonts w:ascii="CIDFont+F1" w:hAnsi="CIDFont+F1" w:eastAsia="CIDFont+F1"/>
          <w:b w:val="0"/>
          <w:i/>
          <w:color w:val="000000"/>
          <w:sz w:val="14"/>
        </w:rPr>
        <w:t xml:space="preserve">All amounts in USD millions, unless otherwise noted </w:t>
      </w:r>
    </w:p>
    <w:p>
      <w:pPr>
        <w:autoSpaceDN w:val="0"/>
        <w:autoSpaceDE w:val="0"/>
        <w:widowControl/>
        <w:spacing w:line="252" w:lineRule="exact" w:before="210" w:after="0"/>
        <w:ind w:left="448" w:right="0" w:firstLine="0"/>
        <w:jc w:val="left"/>
      </w:pPr>
      <w:r>
        <w:rPr>
          <w:w w:val="98.6471448625837"/>
          <w:rFonts w:ascii="CIDFont+F2" w:hAnsi="CIDFont+F2" w:eastAsia="CIDFont+F2"/>
          <w:b w:val="0"/>
          <w:i w:val="0"/>
          <w:color w:val="00497B"/>
          <w:sz w:val="21"/>
        </w:rPr>
        <w:t xml:space="preserve">Key Trust Fund Activity </w:t>
      </w:r>
    </w:p>
    <w:p>
      <w:pPr>
        <w:autoSpaceDN w:val="0"/>
        <w:autoSpaceDE w:val="0"/>
        <w:widowControl/>
        <w:spacing w:line="288" w:lineRule="exact" w:before="146" w:after="0"/>
        <w:ind w:left="448" w:right="0" w:firstLine="0"/>
        <w:jc w:val="left"/>
      </w:pPr>
      <w:r>
        <w:rPr>
          <w:w w:val="101.77799987792969"/>
          <w:rFonts w:ascii="CIDFont+F5" w:hAnsi="CIDFont+F5" w:eastAsia="CIDFont+F5"/>
          <w:b/>
          <w:i w:val="0"/>
          <w:color w:val="00497B"/>
          <w:sz w:val="25"/>
        </w:rPr>
        <w:t>Composition of Active Umbrella Trust Funds</w:t>
      </w:r>
      <w:r>
        <w:rPr>
          <w:rFonts w:ascii="CIDFont+F5" w:hAnsi="CIDFont+F5" w:eastAsia="CIDFont+F5"/>
          <w:b/>
          <w:i w:val="0"/>
          <w:color w:val="FFFFFF"/>
          <w:sz w:val="17"/>
        </w:rPr>
        <w:t>3</w:t>
      </w:r>
    </w:p>
    <w:p>
      <w:pPr>
        <w:autoSpaceDN w:val="0"/>
        <w:autoSpaceDE w:val="0"/>
        <w:widowControl/>
        <w:spacing w:line="230" w:lineRule="exact" w:before="296" w:after="228"/>
        <w:ind w:left="432" w:right="288" w:firstLine="0"/>
        <w:jc w:val="left"/>
      </w:pP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As of June 30, 2024, 70 umbrella programs comprising of 140 TFs have Funds-Held in Trust (FHIT) of $5,481m. 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Cash contributions and Disbursements of these programs during FY24 were $1,936m and $2,576m.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13"/>
        </w:trPr>
        <w:tc>
          <w:tcPr>
            <w:tcW w:type="dxa" w:w="2492"/>
            <w:vMerge w:val="restart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6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00497B"/>
                <w:sz w:val="16"/>
              </w:rPr>
              <w:t>Description</w:t>
            </w:r>
          </w:p>
        </w:tc>
        <w:tc>
          <w:tcPr>
            <w:tcW w:type="dxa" w:w="2026"/>
            <w:gridSpan w:val="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00497B"/>
                <w:sz w:val="16"/>
              </w:rPr>
              <w:t>As of June 2024</w:t>
            </w:r>
          </w:p>
        </w:tc>
        <w:tc>
          <w:tcPr>
            <w:tcW w:type="dxa" w:w="2576"/>
            <w:gridSpan w:val="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00497B"/>
                <w:sz w:val="16"/>
              </w:rPr>
              <w:t>FY24</w:t>
            </w:r>
          </w:p>
        </w:tc>
      </w:tr>
      <w:tr>
        <w:trPr>
          <w:trHeight w:hRule="exact" w:val="372"/>
        </w:trPr>
        <w:tc>
          <w:tcPr>
            <w:tcW w:type="dxa" w:w="1872"/>
            <w:vMerge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</w:tcPr>
          <w:p/>
        </w:tc>
        <w:tc>
          <w:tcPr>
            <w:tcW w:type="dxa" w:w="102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00497B"/>
                <w:sz w:val="16"/>
              </w:rPr>
              <w:t>FHIT</w:t>
            </w:r>
          </w:p>
        </w:tc>
        <w:tc>
          <w:tcPr>
            <w:tcW w:type="dxa" w:w="100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44" w:right="144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00497B"/>
                <w:sz w:val="16"/>
              </w:rPr>
              <w:t xml:space="preserve">No of </w:t>
            </w:r>
            <w:r>
              <w:br/>
            </w:r>
            <w:r>
              <w:rPr>
                <w:rFonts w:ascii="CIDFont+F7" w:hAnsi="CIDFont+F7" w:eastAsia="CIDFont+F7"/>
                <w:b w:val="0"/>
                <w:i w:val="0"/>
                <w:color w:val="00497B"/>
                <w:sz w:val="16"/>
              </w:rPr>
              <w:t>Programs</w:t>
            </w:r>
          </w:p>
        </w:tc>
        <w:tc>
          <w:tcPr>
            <w:tcW w:type="dxa" w:w="133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00497B"/>
                <w:sz w:val="16"/>
              </w:rPr>
              <w:t>Cash Contribution</w:t>
            </w:r>
          </w:p>
        </w:tc>
        <w:tc>
          <w:tcPr>
            <w:tcW w:type="dxa" w:w="124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00497B"/>
                <w:sz w:val="16"/>
              </w:rPr>
              <w:t>Disbursement</w:t>
            </w:r>
          </w:p>
        </w:tc>
      </w:tr>
      <w:tr>
        <w:trPr>
          <w:trHeight w:hRule="exact" w:val="254"/>
        </w:trPr>
        <w:tc>
          <w:tcPr>
            <w:tcW w:type="dxa" w:w="249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26" w:right="0" w:firstLine="0"/>
              <w:jc w:val="lef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6"/>
              </w:rPr>
              <w:t>Global Practices</w:t>
            </w:r>
          </w:p>
        </w:tc>
        <w:tc>
          <w:tcPr>
            <w:tcW w:type="dxa" w:w="102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6"/>
              </w:rPr>
              <w:t>3,423</w:t>
            </w:r>
          </w:p>
        </w:tc>
        <w:tc>
          <w:tcPr>
            <w:tcW w:type="dxa" w:w="100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6"/>
              </w:rPr>
              <w:t>49</w:t>
            </w:r>
          </w:p>
        </w:tc>
        <w:tc>
          <w:tcPr>
            <w:tcW w:type="dxa" w:w="133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6"/>
              </w:rPr>
              <w:t>947</w:t>
            </w:r>
          </w:p>
        </w:tc>
        <w:tc>
          <w:tcPr>
            <w:tcW w:type="dxa" w:w="124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6"/>
              </w:rPr>
              <w:t>813</w:t>
            </w:r>
          </w:p>
        </w:tc>
      </w:tr>
      <w:tr>
        <w:trPr>
          <w:trHeight w:hRule="exact" w:val="256"/>
        </w:trPr>
        <w:tc>
          <w:tcPr>
            <w:tcW w:type="dxa" w:w="249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6" w:after="0"/>
              <w:ind w:left="26" w:right="0" w:firstLine="0"/>
              <w:jc w:val="lef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6"/>
              </w:rPr>
              <w:t>Regions</w:t>
            </w:r>
          </w:p>
        </w:tc>
        <w:tc>
          <w:tcPr>
            <w:tcW w:type="dxa" w:w="102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6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6"/>
              </w:rPr>
              <w:t>2,058</w:t>
            </w:r>
          </w:p>
        </w:tc>
        <w:tc>
          <w:tcPr>
            <w:tcW w:type="dxa" w:w="100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6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6"/>
              </w:rPr>
              <w:t>21</w:t>
            </w:r>
          </w:p>
        </w:tc>
        <w:tc>
          <w:tcPr>
            <w:tcW w:type="dxa" w:w="133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6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6"/>
              </w:rPr>
              <w:t>989</w:t>
            </w:r>
          </w:p>
        </w:tc>
        <w:tc>
          <w:tcPr>
            <w:tcW w:type="dxa" w:w="124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6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6"/>
              </w:rPr>
              <w:t>1,763</w:t>
            </w:r>
          </w:p>
        </w:tc>
      </w:tr>
      <w:tr>
        <w:trPr>
          <w:trHeight w:hRule="exact" w:val="254"/>
        </w:trPr>
        <w:tc>
          <w:tcPr>
            <w:tcW w:type="dxa" w:w="249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26" w:right="0" w:firstLine="0"/>
              <w:jc w:val="left"/>
            </w:pPr>
            <w:r>
              <w:rPr>
                <w:rFonts w:ascii="CIDFont+F11" w:hAnsi="CIDFont+F11" w:eastAsia="CIDFont+F11"/>
                <w:b/>
                <w:i w:val="0"/>
                <w:color w:val="393E2D"/>
                <w:sz w:val="16"/>
              </w:rPr>
              <w:t xml:space="preserve">Total </w:t>
            </w:r>
          </w:p>
        </w:tc>
        <w:tc>
          <w:tcPr>
            <w:tcW w:type="dxa" w:w="102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CIDFont+F11" w:hAnsi="CIDFont+F11" w:eastAsia="CIDFont+F11"/>
                <w:b/>
                <w:i w:val="0"/>
                <w:color w:val="393E2D"/>
                <w:sz w:val="16"/>
              </w:rPr>
              <w:t>$5,481</w:t>
            </w:r>
          </w:p>
        </w:tc>
        <w:tc>
          <w:tcPr>
            <w:tcW w:type="dxa" w:w="100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CIDFont+F11" w:hAnsi="CIDFont+F11" w:eastAsia="CIDFont+F11"/>
                <w:b/>
                <w:i w:val="0"/>
                <w:color w:val="393E2D"/>
                <w:sz w:val="16"/>
              </w:rPr>
              <w:t>70</w:t>
            </w:r>
          </w:p>
        </w:tc>
        <w:tc>
          <w:tcPr>
            <w:tcW w:type="dxa" w:w="133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CIDFont+F11" w:hAnsi="CIDFont+F11" w:eastAsia="CIDFont+F11"/>
                <w:b/>
                <w:i w:val="0"/>
                <w:color w:val="393E2D"/>
                <w:sz w:val="16"/>
              </w:rPr>
              <w:t>$1,936</w:t>
            </w:r>
          </w:p>
        </w:tc>
        <w:tc>
          <w:tcPr>
            <w:tcW w:type="dxa" w:w="124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CIDFont+F11" w:hAnsi="CIDFont+F11" w:eastAsia="CIDFont+F11"/>
                <w:b/>
                <w:i w:val="0"/>
                <w:color w:val="393E2D"/>
                <w:sz w:val="16"/>
              </w:rPr>
              <w:t>$2,576</w:t>
            </w:r>
          </w:p>
        </w:tc>
      </w:tr>
    </w:tbl>
    <w:p>
      <w:pPr>
        <w:autoSpaceDN w:val="0"/>
        <w:autoSpaceDE w:val="0"/>
        <w:widowControl/>
        <w:spacing w:line="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08"/>
        </w:trPr>
        <w:tc>
          <w:tcPr>
            <w:tcW w:type="dxa" w:w="2868"/>
            <w:vMerge w:val="restart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92" w:after="0"/>
              <w:ind w:left="26" w:right="0" w:firstLine="0"/>
              <w:jc w:val="left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00497B"/>
                <w:sz w:val="15"/>
              </w:rPr>
              <w:t>Global Practices</w:t>
            </w:r>
          </w:p>
        </w:tc>
        <w:tc>
          <w:tcPr>
            <w:tcW w:type="dxa" w:w="1982"/>
            <w:gridSpan w:val="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6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00497B"/>
                <w:sz w:val="15"/>
              </w:rPr>
              <w:t>As of June 2024</w:t>
            </w:r>
          </w:p>
        </w:tc>
        <w:tc>
          <w:tcPr>
            <w:tcW w:type="dxa" w:w="2186"/>
            <w:gridSpan w:val="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6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00497B"/>
                <w:sz w:val="15"/>
              </w:rPr>
              <w:t>FY24</w:t>
            </w:r>
          </w:p>
        </w:tc>
      </w:tr>
      <w:tr>
        <w:trPr>
          <w:trHeight w:hRule="exact" w:val="361"/>
        </w:trPr>
        <w:tc>
          <w:tcPr>
            <w:tcW w:type="dxa" w:w="1872"/>
            <w:vMerge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</w:tcPr>
          <w:p/>
        </w:tc>
        <w:tc>
          <w:tcPr>
            <w:tcW w:type="dxa" w:w="99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6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00497B"/>
                <w:sz w:val="15"/>
              </w:rPr>
              <w:t>FHIT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144" w:right="144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00497B"/>
                <w:sz w:val="15"/>
              </w:rPr>
              <w:t xml:space="preserve">No of </w:t>
            </w:r>
            <w:r>
              <w:br/>
            </w: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00497B"/>
                <w:sz w:val="15"/>
              </w:rPr>
              <w:t>Programs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00497B"/>
                <w:sz w:val="15"/>
              </w:rPr>
              <w:t xml:space="preserve">Cash </w:t>
            </w:r>
            <w:r>
              <w:br/>
            </w: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00497B"/>
                <w:sz w:val="15"/>
              </w:rPr>
              <w:t>Contribution</w:t>
            </w:r>
          </w:p>
        </w:tc>
        <w:tc>
          <w:tcPr>
            <w:tcW w:type="dxa" w:w="119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6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00497B"/>
                <w:sz w:val="15"/>
              </w:rPr>
              <w:t>Disbursement</w:t>
            </w:r>
          </w:p>
        </w:tc>
      </w:tr>
      <w:tr>
        <w:trPr>
          <w:trHeight w:hRule="exact" w:val="494"/>
        </w:trPr>
        <w:tc>
          <w:tcPr>
            <w:tcW w:type="dxa" w:w="286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150" w:right="288" w:firstLine="0"/>
              <w:jc w:val="left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 xml:space="preserve">GP-Health, Nutrition and Population </w:t>
            </w: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(HNP)</w:t>
            </w:r>
          </w:p>
        </w:tc>
        <w:tc>
          <w:tcPr>
            <w:tcW w:type="dxa" w:w="99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8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1,405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8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4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8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263</w:t>
            </w:r>
          </w:p>
        </w:tc>
        <w:tc>
          <w:tcPr>
            <w:tcW w:type="dxa" w:w="119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8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265</w:t>
            </w:r>
          </w:p>
        </w:tc>
      </w:tr>
      <w:tr>
        <w:trPr>
          <w:trHeight w:hRule="exact" w:val="497"/>
        </w:trPr>
        <w:tc>
          <w:tcPr>
            <w:tcW w:type="dxa" w:w="286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6" w:after="0"/>
              <w:ind w:left="150" w:right="144" w:firstLine="0"/>
              <w:jc w:val="left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 xml:space="preserve">GP-Environment, Natural Resources </w:t>
            </w: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and Blue Economy (ENB)</w:t>
            </w:r>
          </w:p>
        </w:tc>
        <w:tc>
          <w:tcPr>
            <w:tcW w:type="dxa" w:w="99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62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415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62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3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62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102</w:t>
            </w:r>
          </w:p>
        </w:tc>
        <w:tc>
          <w:tcPr>
            <w:tcW w:type="dxa" w:w="119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62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63</w:t>
            </w:r>
          </w:p>
        </w:tc>
      </w:tr>
      <w:tr>
        <w:trPr>
          <w:trHeight w:hRule="exact" w:val="640"/>
        </w:trPr>
        <w:tc>
          <w:tcPr>
            <w:tcW w:type="dxa" w:w="286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32" w:after="0"/>
              <w:ind w:left="150" w:right="0" w:firstLine="0"/>
              <w:jc w:val="left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GP-Energy and Extractives (EEX)</w:t>
            </w:r>
          </w:p>
        </w:tc>
        <w:tc>
          <w:tcPr>
            <w:tcW w:type="dxa" w:w="99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32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388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32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2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32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95</w:t>
            </w:r>
          </w:p>
        </w:tc>
        <w:tc>
          <w:tcPr>
            <w:tcW w:type="dxa" w:w="119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32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90</w:t>
            </w:r>
          </w:p>
        </w:tc>
      </w:tr>
      <w:tr>
        <w:trPr>
          <w:trHeight w:hRule="exact" w:val="496"/>
        </w:trPr>
        <w:tc>
          <w:tcPr>
            <w:tcW w:type="dxa" w:w="286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60" w:after="0"/>
              <w:ind w:left="150" w:right="0" w:firstLine="0"/>
              <w:jc w:val="left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GP-Agriculture (AGF)</w:t>
            </w:r>
          </w:p>
        </w:tc>
        <w:tc>
          <w:tcPr>
            <w:tcW w:type="dxa" w:w="99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60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210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60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1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60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52</w:t>
            </w:r>
          </w:p>
        </w:tc>
        <w:tc>
          <w:tcPr>
            <w:tcW w:type="dxa" w:w="119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60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26</w:t>
            </w:r>
          </w:p>
        </w:tc>
      </w:tr>
      <w:tr>
        <w:trPr>
          <w:trHeight w:hRule="exact" w:val="494"/>
        </w:trPr>
        <w:tc>
          <w:tcPr>
            <w:tcW w:type="dxa" w:w="286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58" w:after="0"/>
              <w:ind w:left="150" w:right="0" w:firstLine="0"/>
              <w:jc w:val="left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GT- Climate (CCG)</w:t>
            </w:r>
          </w:p>
        </w:tc>
        <w:tc>
          <w:tcPr>
            <w:tcW w:type="dxa" w:w="99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58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202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58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3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58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68</w:t>
            </w:r>
          </w:p>
        </w:tc>
        <w:tc>
          <w:tcPr>
            <w:tcW w:type="dxa" w:w="119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58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53</w:t>
            </w:r>
          </w:p>
        </w:tc>
      </w:tr>
      <w:tr>
        <w:trPr>
          <w:trHeight w:hRule="exact" w:val="496"/>
        </w:trPr>
        <w:tc>
          <w:tcPr>
            <w:tcW w:type="dxa" w:w="286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62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GP-Urban, Resilience and Land (URL)</w:t>
            </w:r>
          </w:p>
        </w:tc>
        <w:tc>
          <w:tcPr>
            <w:tcW w:type="dxa" w:w="99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62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158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62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4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62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60</w:t>
            </w:r>
          </w:p>
        </w:tc>
        <w:tc>
          <w:tcPr>
            <w:tcW w:type="dxa" w:w="119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62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52</w:t>
            </w:r>
          </w:p>
        </w:tc>
      </w:tr>
      <w:tr>
        <w:trPr>
          <w:trHeight w:hRule="exact" w:val="496"/>
        </w:trPr>
        <w:tc>
          <w:tcPr>
            <w:tcW w:type="dxa" w:w="286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8" w:after="0"/>
              <w:ind w:left="150" w:right="0" w:firstLine="0"/>
              <w:jc w:val="left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GP-Education (EDU)</w:t>
            </w:r>
          </w:p>
        </w:tc>
        <w:tc>
          <w:tcPr>
            <w:tcW w:type="dxa" w:w="99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8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93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8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2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8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43</w:t>
            </w:r>
          </w:p>
        </w:tc>
        <w:tc>
          <w:tcPr>
            <w:tcW w:type="dxa" w:w="119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8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29</w:t>
            </w:r>
          </w:p>
        </w:tc>
      </w:tr>
      <w:tr>
        <w:trPr>
          <w:trHeight w:hRule="exact" w:val="495"/>
        </w:trPr>
        <w:tc>
          <w:tcPr>
            <w:tcW w:type="dxa" w:w="286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60" w:after="0"/>
              <w:ind w:left="150" w:right="0" w:firstLine="0"/>
              <w:jc w:val="left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Others</w:t>
            </w:r>
          </w:p>
        </w:tc>
        <w:tc>
          <w:tcPr>
            <w:tcW w:type="dxa" w:w="99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60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552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60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30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60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264</w:t>
            </w:r>
          </w:p>
        </w:tc>
        <w:tc>
          <w:tcPr>
            <w:tcW w:type="dxa" w:w="119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60" w:after="0"/>
              <w:ind w:left="0" w:right="0" w:firstLine="0"/>
              <w:jc w:val="center"/>
            </w:pPr>
            <w:r>
              <w:rPr>
                <w:w w:val="103.199526468912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235</w:t>
            </w:r>
          </w:p>
        </w:tc>
      </w:tr>
      <w:tr>
        <w:trPr>
          <w:trHeight w:hRule="exact" w:val="250"/>
        </w:trPr>
        <w:tc>
          <w:tcPr>
            <w:tcW w:type="dxa" w:w="2868"/>
            <w:tcBorders>
              <w:start w:sz="3.0" w:val="single" w:color="#000000"/>
              <w:top w:sz="3.0" w:val="single" w:color="#000000"/>
              <w:end w:sz="3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0" w:after="0"/>
              <w:ind w:left="0" w:right="0" w:firstLine="0"/>
              <w:jc w:val="center"/>
            </w:pPr>
            <w:r>
              <w:rPr>
                <w:w w:val="103.19952646891275"/>
                <w:rFonts w:ascii="CIDFont+F11" w:hAnsi="CIDFont+F11" w:eastAsia="CIDFont+F11"/>
                <w:b/>
                <w:i w:val="0"/>
                <w:color w:val="393E2D"/>
                <w:sz w:val="15"/>
              </w:rPr>
              <w:t>Total</w:t>
            </w:r>
          </w:p>
        </w:tc>
        <w:tc>
          <w:tcPr>
            <w:tcW w:type="dxa" w:w="99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0" w:after="0"/>
              <w:ind w:left="0" w:right="0" w:firstLine="0"/>
              <w:jc w:val="center"/>
            </w:pPr>
            <w:r>
              <w:rPr>
                <w:w w:val="103.19952646891275"/>
                <w:rFonts w:ascii="CIDFont+F11" w:hAnsi="CIDFont+F11" w:eastAsia="CIDFont+F11"/>
                <w:b/>
                <w:i w:val="0"/>
                <w:color w:val="393E2D"/>
                <w:sz w:val="15"/>
              </w:rPr>
              <w:t>$3,423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0" w:after="0"/>
              <w:ind w:left="0" w:right="0" w:firstLine="0"/>
              <w:jc w:val="center"/>
            </w:pPr>
            <w:r>
              <w:rPr>
                <w:w w:val="103.19952646891275"/>
                <w:rFonts w:ascii="CIDFont+F11" w:hAnsi="CIDFont+F11" w:eastAsia="CIDFont+F11"/>
                <w:b/>
                <w:i w:val="0"/>
                <w:color w:val="393E2D"/>
                <w:sz w:val="15"/>
              </w:rPr>
              <w:t>49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0" w:after="0"/>
              <w:ind w:left="0" w:right="0" w:firstLine="0"/>
              <w:jc w:val="center"/>
            </w:pPr>
            <w:r>
              <w:rPr>
                <w:w w:val="103.19952646891275"/>
                <w:rFonts w:ascii="CIDFont+F11" w:hAnsi="CIDFont+F11" w:eastAsia="CIDFont+F11"/>
                <w:b/>
                <w:i w:val="0"/>
                <w:color w:val="393E2D"/>
                <w:sz w:val="15"/>
              </w:rPr>
              <w:t>$947</w:t>
            </w:r>
          </w:p>
        </w:tc>
        <w:tc>
          <w:tcPr>
            <w:tcW w:type="dxa" w:w="1196"/>
            <w:tcBorders>
              <w:start w:sz="3.0" w:val="single" w:color="#000000"/>
              <w:top w:sz="3.0" w:val="single" w:color="#000000"/>
              <w:end w:sz="3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0" w:after="0"/>
              <w:ind w:left="0" w:right="0" w:firstLine="0"/>
              <w:jc w:val="center"/>
            </w:pPr>
            <w:r>
              <w:rPr>
                <w:w w:val="103.19952646891275"/>
                <w:rFonts w:ascii="CIDFont+F11" w:hAnsi="CIDFont+F11" w:eastAsia="CIDFont+F11"/>
                <w:b/>
                <w:i w:val="0"/>
                <w:color w:val="393E2D"/>
                <w:sz w:val="15"/>
              </w:rPr>
              <w:t>$813</w:t>
            </w:r>
          </w:p>
        </w:tc>
      </w:tr>
    </w:tbl>
    <w:p>
      <w:pPr>
        <w:autoSpaceDN w:val="0"/>
        <w:autoSpaceDE w:val="0"/>
        <w:widowControl/>
        <w:spacing w:line="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49"/>
        </w:trPr>
        <w:tc>
          <w:tcPr>
            <w:tcW w:type="dxa" w:w="2868"/>
            <w:vMerge w:val="restart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10" w:after="0"/>
              <w:ind w:left="26" w:right="0" w:firstLine="0"/>
              <w:jc w:val="left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00497B"/>
                <w:sz w:val="15"/>
              </w:rPr>
              <w:t>Regions</w:t>
            </w:r>
          </w:p>
        </w:tc>
        <w:tc>
          <w:tcPr>
            <w:tcW w:type="dxa" w:w="1982"/>
            <w:gridSpan w:val="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34" w:after="0"/>
              <w:ind w:left="0" w:right="0" w:firstLine="0"/>
              <w:jc w:val="center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00497B"/>
                <w:sz w:val="15"/>
              </w:rPr>
              <w:t>As of June 2024</w:t>
            </w:r>
          </w:p>
        </w:tc>
        <w:tc>
          <w:tcPr>
            <w:tcW w:type="dxa" w:w="2186"/>
            <w:gridSpan w:val="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34" w:after="0"/>
              <w:ind w:left="0" w:right="0" w:firstLine="0"/>
              <w:jc w:val="center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00497B"/>
                <w:sz w:val="15"/>
              </w:rPr>
              <w:t>FY24</w:t>
            </w:r>
          </w:p>
        </w:tc>
      </w:tr>
      <w:tr>
        <w:trPr>
          <w:trHeight w:hRule="exact" w:val="349"/>
        </w:trPr>
        <w:tc>
          <w:tcPr>
            <w:tcW w:type="dxa" w:w="1872"/>
            <w:vMerge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</w:tcPr>
          <w:p/>
        </w:tc>
        <w:tc>
          <w:tcPr>
            <w:tcW w:type="dxa" w:w="99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4" w:after="0"/>
              <w:ind w:left="0" w:right="0" w:firstLine="0"/>
              <w:jc w:val="center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00497B"/>
                <w:sz w:val="15"/>
              </w:rPr>
              <w:t>FHIT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144" w:right="144" w:firstLine="0"/>
              <w:jc w:val="center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00497B"/>
                <w:sz w:val="15"/>
              </w:rPr>
              <w:t xml:space="preserve">No of </w:t>
            </w:r>
            <w:r>
              <w:br/>
            </w: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00497B"/>
                <w:sz w:val="15"/>
              </w:rPr>
              <w:t>Programs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center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00497B"/>
                <w:sz w:val="15"/>
              </w:rPr>
              <w:t xml:space="preserve">Cash </w:t>
            </w:r>
            <w:r>
              <w:br/>
            </w: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00497B"/>
                <w:sz w:val="15"/>
              </w:rPr>
              <w:t>Contribution</w:t>
            </w:r>
          </w:p>
        </w:tc>
        <w:tc>
          <w:tcPr>
            <w:tcW w:type="dxa" w:w="119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4" w:after="0"/>
              <w:ind w:left="0" w:right="0" w:firstLine="0"/>
              <w:jc w:val="center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00497B"/>
                <w:sz w:val="15"/>
              </w:rPr>
              <w:t>Disbursement</w:t>
            </w:r>
          </w:p>
        </w:tc>
      </w:tr>
      <w:tr>
        <w:trPr>
          <w:trHeight w:hRule="exact" w:val="495"/>
        </w:trPr>
        <w:tc>
          <w:tcPr>
            <w:tcW w:type="dxa" w:w="286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8" w:after="0"/>
              <w:ind w:left="150" w:right="0" w:firstLine="0"/>
              <w:jc w:val="left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Europe and Central Asia (ECA)</w:t>
            </w:r>
          </w:p>
        </w:tc>
        <w:tc>
          <w:tcPr>
            <w:tcW w:type="dxa" w:w="99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8" w:after="0"/>
              <w:ind w:left="0" w:right="0" w:firstLine="0"/>
              <w:jc w:val="center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791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8" w:after="0"/>
              <w:ind w:left="0" w:right="0" w:firstLine="0"/>
              <w:jc w:val="center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2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8" w:after="0"/>
              <w:ind w:left="0" w:right="0" w:firstLine="0"/>
              <w:jc w:val="center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683</w:t>
            </w:r>
          </w:p>
        </w:tc>
        <w:tc>
          <w:tcPr>
            <w:tcW w:type="dxa" w:w="119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8" w:after="0"/>
              <w:ind w:left="0" w:right="0" w:firstLine="0"/>
              <w:jc w:val="center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1024</w:t>
            </w:r>
          </w:p>
        </w:tc>
      </w:tr>
      <w:tr>
        <w:trPr>
          <w:trHeight w:hRule="exact" w:val="495"/>
        </w:trPr>
        <w:tc>
          <w:tcPr>
            <w:tcW w:type="dxa" w:w="286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60" w:after="0"/>
              <w:ind w:left="150" w:right="0" w:firstLine="0"/>
              <w:jc w:val="left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South Asia (SAR)</w:t>
            </w:r>
          </w:p>
        </w:tc>
        <w:tc>
          <w:tcPr>
            <w:tcW w:type="dxa" w:w="99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60" w:after="0"/>
              <w:ind w:left="0" w:right="0" w:firstLine="0"/>
              <w:jc w:val="center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547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60" w:after="0"/>
              <w:ind w:left="0" w:right="0" w:firstLine="0"/>
              <w:jc w:val="center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4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60" w:after="0"/>
              <w:ind w:left="0" w:right="0" w:firstLine="0"/>
              <w:jc w:val="center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175</w:t>
            </w:r>
          </w:p>
        </w:tc>
        <w:tc>
          <w:tcPr>
            <w:tcW w:type="dxa" w:w="119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60" w:after="0"/>
              <w:ind w:left="0" w:right="0" w:firstLine="0"/>
              <w:jc w:val="center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549</w:t>
            </w:r>
          </w:p>
        </w:tc>
      </w:tr>
      <w:tr>
        <w:trPr>
          <w:trHeight w:hRule="exact" w:val="495"/>
        </w:trPr>
        <w:tc>
          <w:tcPr>
            <w:tcW w:type="dxa" w:w="286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58" w:after="0"/>
              <w:ind w:left="150" w:right="0" w:firstLine="0"/>
              <w:jc w:val="left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Africa East (AFE)</w:t>
            </w:r>
          </w:p>
        </w:tc>
        <w:tc>
          <w:tcPr>
            <w:tcW w:type="dxa" w:w="99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58" w:after="0"/>
              <w:ind w:left="0" w:right="0" w:firstLine="0"/>
              <w:jc w:val="center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525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58" w:after="0"/>
              <w:ind w:left="0" w:right="0" w:firstLine="0"/>
              <w:jc w:val="center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6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58" w:after="0"/>
              <w:ind w:left="0" w:right="0" w:firstLine="0"/>
              <w:jc w:val="center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44</w:t>
            </w:r>
          </w:p>
        </w:tc>
        <w:tc>
          <w:tcPr>
            <w:tcW w:type="dxa" w:w="119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58" w:after="0"/>
              <w:ind w:left="0" w:right="0" w:firstLine="0"/>
              <w:jc w:val="center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67</w:t>
            </w:r>
          </w:p>
        </w:tc>
      </w:tr>
      <w:tr>
        <w:trPr>
          <w:trHeight w:hRule="exact" w:val="494"/>
        </w:trPr>
        <w:tc>
          <w:tcPr>
            <w:tcW w:type="dxa" w:w="286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58" w:after="0"/>
              <w:ind w:left="150" w:right="0" w:firstLine="0"/>
              <w:jc w:val="left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Middle East and North Africa (MNA)</w:t>
            </w:r>
          </w:p>
        </w:tc>
        <w:tc>
          <w:tcPr>
            <w:tcW w:type="dxa" w:w="99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58" w:after="0"/>
              <w:ind w:left="0" w:right="0" w:firstLine="0"/>
              <w:jc w:val="center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95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58" w:after="0"/>
              <w:ind w:left="0" w:right="0" w:firstLine="0"/>
              <w:jc w:val="center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6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58" w:after="0"/>
              <w:ind w:left="0" w:right="0" w:firstLine="0"/>
              <w:jc w:val="center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62</w:t>
            </w:r>
          </w:p>
        </w:tc>
        <w:tc>
          <w:tcPr>
            <w:tcW w:type="dxa" w:w="119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58" w:after="0"/>
              <w:ind w:left="0" w:right="0" w:firstLine="0"/>
              <w:jc w:val="center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73</w:t>
            </w:r>
          </w:p>
        </w:tc>
      </w:tr>
      <w:tr>
        <w:trPr>
          <w:trHeight w:hRule="exact" w:val="495"/>
        </w:trPr>
        <w:tc>
          <w:tcPr>
            <w:tcW w:type="dxa" w:w="286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6" w:after="0"/>
              <w:ind w:left="150" w:right="0" w:firstLine="0"/>
              <w:jc w:val="left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East Asia and Pacific (EAP)</w:t>
            </w:r>
          </w:p>
        </w:tc>
        <w:tc>
          <w:tcPr>
            <w:tcW w:type="dxa" w:w="99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6" w:after="0"/>
              <w:ind w:left="0" w:right="0" w:firstLine="0"/>
              <w:jc w:val="center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73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6" w:after="0"/>
              <w:ind w:left="0" w:right="0" w:firstLine="0"/>
              <w:jc w:val="center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2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6" w:after="0"/>
              <w:ind w:left="0" w:right="0" w:firstLine="0"/>
              <w:jc w:val="center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15</w:t>
            </w:r>
          </w:p>
        </w:tc>
        <w:tc>
          <w:tcPr>
            <w:tcW w:type="dxa" w:w="119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6" w:after="0"/>
              <w:ind w:left="0" w:right="0" w:firstLine="0"/>
              <w:jc w:val="center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43</w:t>
            </w:r>
          </w:p>
        </w:tc>
      </w:tr>
      <w:tr>
        <w:trPr>
          <w:trHeight w:hRule="exact" w:val="495"/>
        </w:trPr>
        <w:tc>
          <w:tcPr>
            <w:tcW w:type="dxa" w:w="286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6" w:after="0"/>
              <w:ind w:left="150" w:right="0" w:firstLine="0"/>
              <w:jc w:val="left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Africa West (AFW)</w:t>
            </w:r>
          </w:p>
        </w:tc>
        <w:tc>
          <w:tcPr>
            <w:tcW w:type="dxa" w:w="99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6" w:after="0"/>
              <w:ind w:left="0" w:right="0" w:firstLine="0"/>
              <w:jc w:val="center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27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6" w:after="0"/>
              <w:ind w:left="0" w:right="0" w:firstLine="0"/>
              <w:jc w:val="center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1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6" w:after="0"/>
              <w:ind w:left="0" w:right="0" w:firstLine="0"/>
              <w:jc w:val="center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10</w:t>
            </w:r>
          </w:p>
        </w:tc>
        <w:tc>
          <w:tcPr>
            <w:tcW w:type="dxa" w:w="119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6" w:after="0"/>
              <w:ind w:left="0" w:right="0" w:firstLine="0"/>
              <w:jc w:val="center"/>
            </w:pPr>
            <w:r>
              <w:rPr>
                <w:w w:val="103.10940424601236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7</w:t>
            </w:r>
          </w:p>
        </w:tc>
      </w:tr>
      <w:tr>
        <w:trPr>
          <w:trHeight w:hRule="exact" w:val="249"/>
        </w:trPr>
        <w:tc>
          <w:tcPr>
            <w:tcW w:type="dxa" w:w="2868"/>
            <w:tcBorders>
              <w:start w:sz="3.0" w:val="single" w:color="#000000"/>
              <w:top w:sz="3.0" w:val="single" w:color="#000000"/>
              <w:end w:sz="3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8" w:after="0"/>
              <w:ind w:left="0" w:right="0" w:firstLine="0"/>
              <w:jc w:val="center"/>
            </w:pPr>
            <w:r>
              <w:rPr>
                <w:w w:val="103.10940424601236"/>
                <w:rFonts w:ascii="CIDFont+F11" w:hAnsi="CIDFont+F11" w:eastAsia="CIDFont+F11"/>
                <w:b/>
                <w:i w:val="0"/>
                <w:color w:val="393E2D"/>
                <w:sz w:val="15"/>
              </w:rPr>
              <w:t>Total</w:t>
            </w:r>
          </w:p>
        </w:tc>
        <w:tc>
          <w:tcPr>
            <w:tcW w:type="dxa" w:w="99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8" w:after="0"/>
              <w:ind w:left="0" w:right="0" w:firstLine="0"/>
              <w:jc w:val="center"/>
            </w:pPr>
            <w:r>
              <w:rPr>
                <w:w w:val="103.10940424601236"/>
                <w:rFonts w:ascii="CIDFont+F11" w:hAnsi="CIDFont+F11" w:eastAsia="CIDFont+F11"/>
                <w:b/>
                <w:i w:val="0"/>
                <w:color w:val="393E2D"/>
                <w:sz w:val="15"/>
              </w:rPr>
              <w:t>$2,058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8" w:after="0"/>
              <w:ind w:left="0" w:right="0" w:firstLine="0"/>
              <w:jc w:val="center"/>
            </w:pPr>
            <w:r>
              <w:rPr>
                <w:w w:val="103.10940424601236"/>
                <w:rFonts w:ascii="CIDFont+F11" w:hAnsi="CIDFont+F11" w:eastAsia="CIDFont+F11"/>
                <w:b/>
                <w:i w:val="0"/>
                <w:color w:val="393E2D"/>
                <w:sz w:val="15"/>
              </w:rPr>
              <w:t>21</w:t>
            </w:r>
          </w:p>
        </w:tc>
        <w:tc>
          <w:tcPr>
            <w:tcW w:type="dxa" w:w="99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8" w:after="0"/>
              <w:ind w:left="0" w:right="0" w:firstLine="0"/>
              <w:jc w:val="center"/>
            </w:pPr>
            <w:r>
              <w:rPr>
                <w:w w:val="103.10940424601236"/>
                <w:rFonts w:ascii="CIDFont+F11" w:hAnsi="CIDFont+F11" w:eastAsia="CIDFont+F11"/>
                <w:b/>
                <w:i w:val="0"/>
                <w:color w:val="393E2D"/>
                <w:sz w:val="15"/>
              </w:rPr>
              <w:t>$989</w:t>
            </w:r>
          </w:p>
        </w:tc>
        <w:tc>
          <w:tcPr>
            <w:tcW w:type="dxa" w:w="119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8" w:after="0"/>
              <w:ind w:left="0" w:right="0" w:firstLine="0"/>
              <w:jc w:val="center"/>
            </w:pPr>
            <w:r>
              <w:rPr>
                <w:w w:val="103.10940424601236"/>
                <w:rFonts w:ascii="CIDFont+F11" w:hAnsi="CIDFont+F11" w:eastAsia="CIDFont+F11"/>
                <w:b/>
                <w:i w:val="0"/>
                <w:color w:val="393E2D"/>
                <w:sz w:val="15"/>
              </w:rPr>
              <w:t>$1,763</w:t>
            </w:r>
          </w:p>
        </w:tc>
      </w:tr>
    </w:tbl>
    <w:p>
      <w:pPr>
        <w:autoSpaceDN w:val="0"/>
        <w:autoSpaceDE w:val="0"/>
        <w:widowControl/>
        <w:spacing w:line="228" w:lineRule="exact" w:before="886" w:after="0"/>
        <w:ind w:left="0" w:right="402" w:firstLine="0"/>
        <w:jc w:val="right"/>
      </w:pP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10 </w:t>
      </w:r>
    </w:p>
    <w:p>
      <w:pPr>
        <w:autoSpaceDN w:val="0"/>
        <w:autoSpaceDE w:val="0"/>
        <w:widowControl/>
        <w:spacing w:line="148" w:lineRule="exact" w:before="188" w:after="0"/>
        <w:ind w:left="432" w:right="0" w:firstLine="0"/>
        <w:jc w:val="left"/>
      </w:pPr>
      <w:r>
        <w:rPr>
          <w:w w:val="101.3277530670166"/>
          <w:rFonts w:ascii="CIDFont+F2" w:hAnsi="CIDFont+F2" w:eastAsia="CIDFont+F2"/>
          <w:b w:val="0"/>
          <w:i w:val="0"/>
          <w:color w:val="FFFFFF"/>
          <w:sz w:val="12"/>
        </w:rPr>
        <w:t>1</w:t>
      </w:r>
    </w:p>
    <w:p>
      <w:pPr>
        <w:sectPr>
          <w:pgSz w:w="12240" w:h="15840"/>
          <w:pgMar w:top="356" w:right="1440" w:bottom="4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174" w:lineRule="exact" w:before="0" w:after="0"/>
        <w:ind w:left="5974" w:right="288" w:hanging="2120"/>
        <w:jc w:val="left"/>
      </w:pPr>
      <w:r>
        <w:rPr>
          <w:w w:val="101.33335930960519"/>
          <w:rFonts w:ascii="CIDFont+F1" w:hAnsi="CIDFont+F1" w:eastAsia="CIDFont+F1"/>
          <w:b w:val="0"/>
          <w:i/>
          <w:color w:val="000000"/>
          <w:sz w:val="14"/>
        </w:rPr>
        <w:t xml:space="preserve">Trust Fund Financial Information Summary for fiscal years ended June 30, 2024 and 2023 </w:t>
      </w:r>
      <w:r>
        <w:rPr>
          <w:w w:val="101.33335930960519"/>
          <w:rFonts w:ascii="CIDFont+F1" w:hAnsi="CIDFont+F1" w:eastAsia="CIDFont+F1"/>
          <w:b w:val="0"/>
          <w:i/>
          <w:color w:val="000000"/>
          <w:sz w:val="14"/>
        </w:rPr>
        <w:t xml:space="preserve">All amounts in USD millions, unless otherwise noted </w:t>
      </w:r>
    </w:p>
    <w:p>
      <w:pPr>
        <w:autoSpaceDN w:val="0"/>
        <w:autoSpaceDE w:val="0"/>
        <w:widowControl/>
        <w:spacing w:line="252" w:lineRule="exact" w:before="210" w:after="0"/>
        <w:ind w:left="448" w:right="0" w:firstLine="0"/>
        <w:jc w:val="left"/>
      </w:pPr>
      <w:r>
        <w:rPr>
          <w:w w:val="98.65285782586962"/>
          <w:rFonts w:ascii="CIDFont+F2" w:hAnsi="CIDFont+F2" w:eastAsia="CIDFont+F2"/>
          <w:b w:val="0"/>
          <w:i w:val="0"/>
          <w:color w:val="00497B"/>
          <w:sz w:val="21"/>
        </w:rPr>
        <w:t xml:space="preserve">Key Trust Fund Activity </w:t>
      </w:r>
    </w:p>
    <w:p>
      <w:pPr>
        <w:autoSpaceDN w:val="0"/>
        <w:autoSpaceDE w:val="0"/>
        <w:widowControl/>
        <w:spacing w:line="288" w:lineRule="exact" w:before="144" w:after="0"/>
        <w:ind w:left="448" w:right="0" w:firstLine="0"/>
        <w:jc w:val="left"/>
      </w:pPr>
      <w:r>
        <w:rPr>
          <w:w w:val="101.78400421142577"/>
          <w:rFonts w:ascii="CIDFont+F5" w:hAnsi="CIDFont+F5" w:eastAsia="CIDFont+F5"/>
          <w:b/>
          <w:i w:val="0"/>
          <w:color w:val="00497B"/>
          <w:sz w:val="25"/>
        </w:rPr>
        <w:t>Active Grants</w:t>
      </w:r>
      <w:r>
        <w:rPr>
          <w:rFonts w:ascii="CIDFont+F5" w:hAnsi="CIDFont+F5" w:eastAsia="CIDFont+F5"/>
          <w:b/>
          <w:i w:val="0"/>
          <w:color w:val="FFFFFF"/>
          <w:sz w:val="17"/>
        </w:rPr>
        <w:t>4</w:t>
      </w:r>
    </w:p>
    <w:p>
      <w:pPr>
        <w:autoSpaceDN w:val="0"/>
        <w:autoSpaceDE w:val="0"/>
        <w:widowControl/>
        <w:spacing w:line="228" w:lineRule="exact" w:before="234" w:after="0"/>
        <w:ind w:left="432" w:right="0" w:firstLine="0"/>
        <w:jc w:val="left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Grants represents funds which are provided from a trust fund to the Bank or a recipient to implement the trust </w:t>
      </w:r>
    </w:p>
    <w:p>
      <w:pPr>
        <w:autoSpaceDN w:val="0"/>
        <w:autoSpaceDE w:val="0"/>
        <w:widowControl/>
        <w:spacing w:line="228" w:lineRule="exact" w:before="36" w:after="0"/>
        <w:ind w:left="432" w:right="0" w:firstLine="0"/>
        <w:jc w:val="left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fund activities. </w:t>
      </w:r>
    </w:p>
    <w:p>
      <w:pPr>
        <w:autoSpaceDN w:val="0"/>
        <w:autoSpaceDE w:val="0"/>
        <w:widowControl/>
        <w:spacing w:line="192" w:lineRule="exact" w:before="298" w:after="216"/>
        <w:ind w:left="432" w:right="0" w:firstLine="0"/>
        <w:jc w:val="left"/>
      </w:pPr>
      <w:r>
        <w:rPr>
          <w:rFonts w:ascii="CIDFont+F5" w:hAnsi="CIDFont+F5" w:eastAsia="CIDFont+F5"/>
          <w:b/>
          <w:i w:val="0"/>
          <w:color w:val="00497B"/>
          <w:sz w:val="17"/>
        </w:rPr>
        <w:t xml:space="preserve">Total Number of Active Grants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4680"/>
        <w:gridCol w:w="4680"/>
      </w:tblGrid>
      <w:tr>
        <w:trPr>
          <w:trHeight w:hRule="exact" w:val="802"/>
        </w:trPr>
        <w:tc>
          <w:tcPr>
            <w:tcW w:type="dxa" w:w="64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0.0" w:type="dxa"/>
            </w:tblPr>
            <w:tblGrid>
              <w:gridCol w:w="3236"/>
              <w:gridCol w:w="3236"/>
            </w:tblGrid>
            <w:tr>
              <w:trPr>
                <w:trHeight w:hRule="exact" w:val="480"/>
              </w:trPr>
              <w:tc>
                <w:tcPr>
                  <w:tcW w:type="dxa" w:w="2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30" w:after="0"/>
                    <w:ind w:left="0" w:right="222" w:firstLine="0"/>
                    <w:jc w:val="right"/>
                  </w:pPr>
                  <w:r>
                    <w:rPr>
                      <w:rFonts w:ascii="CIDFont+F2" w:hAnsi="CIDFont+F2" w:eastAsia="CIDFont+F2"/>
                      <w:b w:val="0"/>
                      <w:i w:val="0"/>
                      <w:color w:val="00497B"/>
                      <w:sz w:val="21"/>
                    </w:rPr>
                    <w:t>BE Activities</w:t>
                  </w:r>
                </w:p>
              </w:tc>
              <w:tc>
                <w:tcPr>
                  <w:tcW w:type="dxa" w:w="221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30" w:after="0"/>
                    <w:ind w:left="236" w:right="0" w:firstLine="0"/>
                    <w:jc w:val="left"/>
                  </w:pPr>
                  <w:r>
                    <w:rPr>
                      <w:rFonts w:ascii="CIDFont+F2" w:hAnsi="CIDFont+F2" w:eastAsia="CIDFont+F2"/>
                      <w:b w:val="0"/>
                      <w:i w:val="0"/>
                      <w:color w:val="00497B"/>
                      <w:sz w:val="21"/>
                    </w:rPr>
                    <w:t>RE Activities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12.0" w:type="dxa"/>
            </w:tblPr>
            <w:tblGrid>
              <w:gridCol w:w="6472"/>
            </w:tblGrid>
            <w:tr>
              <w:trPr>
                <w:trHeight w:hRule="exact" w:val="272"/>
              </w:trPr>
              <w:tc>
                <w:tcPr>
                  <w:tcW w:type="dxa" w:w="660"/>
                  <w:tcBorders/>
                  <w:shd w:fill="b6b6b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 w:val="0"/>
                      <w:i w:val="0"/>
                      <w:color w:val="FFFFFF"/>
                      <w:sz w:val="21"/>
                    </w:rPr>
                    <w:t>1,087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0" w:after="0"/>
              <w:ind w:left="152" w:right="0" w:firstLine="0"/>
              <w:jc w:val="left"/>
            </w:pPr>
            <w:r>
              <w:rPr>
                <w:rFonts w:ascii="CIDFont+F11" w:hAnsi="CIDFont+F11" w:eastAsia="CIDFont+F11"/>
                <w:b/>
                <w:i w:val="0"/>
                <w:color w:val="000000"/>
                <w:sz w:val="22"/>
              </w:rPr>
              <w:t>8,913</w:t>
            </w:r>
          </w:p>
        </w:tc>
      </w:tr>
      <w:tr>
        <w:trPr>
          <w:trHeight w:hRule="exact" w:val="1022"/>
        </w:trPr>
        <w:tc>
          <w:tcPr>
            <w:tcW w:type="dxa" w:w="647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10" w:after="0"/>
              <w:ind w:left="152" w:right="0" w:firstLine="0"/>
              <w:jc w:val="left"/>
            </w:pPr>
            <w:r>
              <w:rPr>
                <w:rFonts w:ascii="CIDFont+F11" w:hAnsi="CIDFont+F11" w:eastAsia="CIDFont+F11"/>
                <w:b/>
                <w:i w:val="0"/>
                <w:color w:val="000000"/>
                <w:sz w:val="22"/>
              </w:rPr>
              <w:t>8,407</w:t>
            </w:r>
          </w:p>
        </w:tc>
      </w:tr>
    </w:tbl>
    <w:p>
      <w:pPr>
        <w:autoSpaceDN w:val="0"/>
        <w:autoSpaceDE w:val="0"/>
        <w:widowControl/>
        <w:spacing w:line="192" w:lineRule="exact" w:before="302" w:after="268"/>
        <w:ind w:left="432" w:right="0" w:firstLine="0"/>
        <w:jc w:val="left"/>
      </w:pPr>
      <w:r>
        <w:rPr>
          <w:rFonts w:ascii="CIDFont+F5" w:hAnsi="CIDFont+F5" w:eastAsia="CIDFont+F5"/>
          <w:b/>
          <w:i w:val="0"/>
          <w:color w:val="00497B"/>
          <w:sz w:val="17"/>
        </w:rPr>
        <w:t xml:space="preserve">Total Value of Active Grants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86"/>
        </w:trPr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14" w:after="0"/>
              <w:ind w:left="0" w:right="56" w:firstLine="0"/>
              <w:jc w:val="right"/>
            </w:pPr>
            <w:r>
              <w:rPr>
                <w:w w:val="96.89806620279948"/>
                <w:rFonts w:ascii="CIDFont+F7" w:hAnsi="CIDFont+F7" w:eastAsia="CIDFont+F7"/>
                <w:b w:val="0"/>
                <w:i w:val="0"/>
                <w:color w:val="3A3E2D"/>
                <w:sz w:val="15"/>
              </w:rPr>
              <w:t>June 30</w:t>
            </w:r>
          </w:p>
        </w:tc>
        <w:tc>
          <w:tcPr>
            <w:tcW w:type="dxa" w:w="2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0.0" w:type="dxa"/>
            </w:tblPr>
            <w:tblGrid>
              <w:gridCol w:w="1140"/>
              <w:gridCol w:w="1140"/>
            </w:tblGrid>
            <w:tr>
              <w:trPr>
                <w:trHeight w:hRule="exact" w:val="308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83.9999999999998" w:type="dxa"/>
                  </w:tblPr>
                  <w:tblGrid>
                    <w:gridCol w:w="660"/>
                  </w:tblGrid>
                  <w:tr>
                    <w:trPr>
                      <w:trHeight w:hRule="exact" w:val="82"/>
                    </w:trPr>
                    <w:tc>
                      <w:tcPr>
                        <w:tcW w:type="dxa" w:w="62"/>
                        <w:tcBorders>
                          <w:end w:sz="9.600000381469727" w:val="single" w:color="#FFFFF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30" w:after="0"/>
                    <w:ind w:left="26" w:right="0" w:firstLine="0"/>
                    <w:jc w:val="left"/>
                  </w:pPr>
                  <w:r>
                    <w:rPr>
                      <w:w w:val="102.95476913452148"/>
                      <w:rFonts w:ascii="CIDFont+F2" w:hAnsi="CIDFont+F2" w:eastAsia="CIDFont+F2"/>
                      <w:b w:val="0"/>
                      <w:i w:val="0"/>
                      <w:color w:val="00497B"/>
                      <w:sz w:val="16"/>
                    </w:rPr>
                    <w:t>BE Activities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0" w:after="0"/>
              <w:ind w:left="0" w:right="72" w:firstLine="0"/>
              <w:jc w:val="right"/>
            </w:pPr>
            <w:r>
              <w:rPr>
                <w:w w:val="102.95476913452148"/>
                <w:rFonts w:ascii="CIDFont+F2" w:hAnsi="CIDFont+F2" w:eastAsia="CIDFont+F2"/>
                <w:b w:val="0"/>
                <w:i w:val="0"/>
                <w:color w:val="00497B"/>
                <w:sz w:val="16"/>
              </w:rPr>
              <w:t>RE Activities</w:t>
            </w:r>
          </w:p>
        </w:tc>
        <w:tc>
          <w:tcPr>
            <w:tcW w:type="dxa" w:w="34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0.0" w:type="dxa"/>
            </w:tblPr>
            <w:tblGrid>
              <w:gridCol w:w="3416"/>
            </w:tblGrid>
            <w:tr>
              <w:trPr>
                <w:trHeight w:hRule="exact" w:val="246"/>
              </w:trPr>
              <w:tc>
                <w:tcPr>
                  <w:tcW w:type="dxa" w:w="3136"/>
                  <w:tcBorders/>
                  <w:shd w:fill="b6b6b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exact" w:before="38" w:after="0"/>
                    <w:ind w:left="286" w:right="0" w:firstLine="0"/>
                    <w:jc w:val="left"/>
                  </w:pPr>
                  <w:r>
                    <w:rPr>
                      <w:w w:val="102.59731517118567"/>
                      <w:rFonts w:ascii="CIDFont+F7" w:hAnsi="CIDFont+F7" w:eastAsia="CIDFont+F7"/>
                      <w:b w:val="0"/>
                      <w:i w:val="0"/>
                      <w:color w:val="FFFFFF"/>
                      <w:sz w:val="17"/>
                    </w:rPr>
                    <w:t>$39,872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18" w:after="0"/>
              <w:ind w:left="62" w:right="0" w:firstLine="0"/>
              <w:jc w:val="left"/>
            </w:pPr>
            <w:r>
              <w:rPr>
                <w:w w:val="102.59731517118567"/>
                <w:rFonts w:ascii="CIDFont+F11" w:hAnsi="CIDFont+F11" w:eastAsia="CIDFont+F11"/>
                <w:b/>
                <w:i w:val="0"/>
                <w:color w:val="000000"/>
                <w:sz w:val="17"/>
              </w:rPr>
              <w:t>$47,662</w:t>
            </w:r>
          </w:p>
        </w:tc>
      </w:tr>
      <w:tr>
        <w:trPr>
          <w:trHeight w:hRule="exact" w:val="138"/>
        </w:trPr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0" w:right="148" w:firstLine="0"/>
              <w:jc w:val="right"/>
            </w:pPr>
            <w:r>
              <w:rPr>
                <w:w w:val="96.89806620279948"/>
                <w:rFonts w:ascii="CIDFont+F7" w:hAnsi="CIDFont+F7" w:eastAsia="CIDFont+F7"/>
                <w:b w:val="0"/>
                <w:i w:val="0"/>
                <w:color w:val="3A3E2D"/>
                <w:sz w:val="15"/>
              </w:rPr>
              <w:t>2024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4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3416"/>
            </w:tblGrid>
            <w:tr>
              <w:trPr>
                <w:trHeight w:hRule="exact" w:val="244"/>
              </w:trPr>
              <w:tc>
                <w:tcPr>
                  <w:tcW w:type="dxa" w:w="2468"/>
                  <w:tcBorders/>
                  <w:shd w:fill="b6b6b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exact" w:before="32" w:after="0"/>
                    <w:ind w:left="42" w:right="0" w:firstLine="0"/>
                    <w:jc w:val="left"/>
                  </w:pPr>
                  <w:r>
                    <w:rPr>
                      <w:w w:val="102.59731517118567"/>
                      <w:rFonts w:ascii="CIDFont+F7" w:hAnsi="CIDFont+F7" w:eastAsia="CIDFont+F7"/>
                      <w:b w:val="0"/>
                      <w:i w:val="0"/>
                      <w:color w:val="FFFFFF"/>
                      <w:sz w:val="17"/>
                    </w:rPr>
                    <w:t>$33,305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48" w:after="0"/>
              <w:ind w:left="62" w:right="0" w:firstLine="0"/>
              <w:jc w:val="left"/>
            </w:pPr>
            <w:r>
              <w:rPr>
                <w:w w:val="102.59731517118567"/>
                <w:rFonts w:ascii="CIDFont+F11" w:hAnsi="CIDFont+F11" w:eastAsia="CIDFont+F11"/>
                <w:b/>
                <w:i w:val="0"/>
                <w:color w:val="000000"/>
                <w:sz w:val="17"/>
              </w:rPr>
              <w:t>$40,782</w:t>
            </w:r>
          </w:p>
        </w:tc>
      </w:tr>
      <w:tr>
        <w:trPr>
          <w:trHeight w:hRule="exact" w:val="320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48" w:after="0"/>
              <w:ind w:left="0" w:right="56" w:firstLine="0"/>
              <w:jc w:val="right"/>
            </w:pPr>
            <w:r>
              <w:rPr>
                <w:w w:val="96.89806620279948"/>
                <w:rFonts w:ascii="CIDFont+F7" w:hAnsi="CIDFont+F7" w:eastAsia="CIDFont+F7"/>
                <w:b w:val="0"/>
                <w:i w:val="0"/>
                <w:color w:val="3A3E2D"/>
                <w:sz w:val="15"/>
              </w:rPr>
              <w:t>June 30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392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6" w:after="0"/>
              <w:ind w:left="0" w:right="148" w:firstLine="0"/>
              <w:jc w:val="right"/>
            </w:pPr>
            <w:r>
              <w:rPr>
                <w:w w:val="96.89806620279948"/>
                <w:rFonts w:ascii="CIDFont+F7" w:hAnsi="CIDFont+F7" w:eastAsia="CIDFont+F7"/>
                <w:b w:val="0"/>
                <w:i w:val="0"/>
                <w:color w:val="3A3E2D"/>
                <w:sz w:val="15"/>
              </w:rPr>
              <w:t>2023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0" w:lineRule="exact" w:before="266" w:after="0"/>
        <w:ind w:left="432" w:right="0" w:firstLine="0"/>
        <w:jc w:val="left"/>
      </w:pPr>
      <w:r>
        <w:rPr>
          <w:rFonts w:ascii="CIDFont+F5" w:hAnsi="CIDFont+F5" w:eastAsia="CIDFont+F5"/>
          <w:b/>
          <w:i w:val="0"/>
          <w:color w:val="00497B"/>
          <w:sz w:val="17"/>
        </w:rPr>
        <w:t xml:space="preserve">Top 5 Trust Funds by Grant Amount (as of June 30 2024) </w:t>
      </w:r>
    </w:p>
    <w:p>
      <w:pPr>
        <w:autoSpaceDN w:val="0"/>
        <w:autoSpaceDE w:val="0"/>
        <w:widowControl/>
        <w:spacing w:line="240" w:lineRule="auto" w:before="458" w:after="0"/>
        <w:ind w:left="4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18610" cy="234823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18610" cy="2348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934" w:after="0"/>
        <w:ind w:left="432" w:right="0" w:firstLine="0"/>
        <w:jc w:val="left"/>
      </w:pPr>
      <w:r>
        <w:rPr>
          <w:w w:val="105.08649614122179"/>
          <w:rFonts w:ascii="CIDFont+F8" w:hAnsi="CIDFont+F8" w:eastAsia="CIDFont+F8"/>
          <w:b w:val="0"/>
          <w:i/>
          <w:color w:val="000000"/>
          <w:sz w:val="9"/>
        </w:rPr>
        <w:t xml:space="preserve">5 </w:t>
      </w:r>
      <w:r>
        <w:rPr>
          <w:w w:val="101.33335930960519"/>
          <w:rFonts w:ascii="CIDFont+F8" w:hAnsi="CIDFont+F8" w:eastAsia="CIDFont+F8"/>
          <w:b w:val="0"/>
          <w:i/>
          <w:color w:val="000000"/>
          <w:sz w:val="14"/>
        </w:rPr>
        <w:t>Grants shown under GPEF and CIF represent projects under their implementing agency/secretariat trust funds.</w:t>
      </w:r>
    </w:p>
    <w:p>
      <w:pPr>
        <w:autoSpaceDN w:val="0"/>
        <w:autoSpaceDE w:val="0"/>
        <w:widowControl/>
        <w:spacing w:line="228" w:lineRule="exact" w:before="188" w:after="0"/>
        <w:ind w:left="0" w:right="400" w:firstLine="0"/>
        <w:jc w:val="right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11 </w:t>
      </w:r>
    </w:p>
    <w:p>
      <w:pPr>
        <w:autoSpaceDN w:val="0"/>
        <w:autoSpaceDE w:val="0"/>
        <w:widowControl/>
        <w:spacing w:line="148" w:lineRule="exact" w:before="186" w:after="0"/>
        <w:ind w:left="432" w:right="0" w:firstLine="0"/>
        <w:jc w:val="left"/>
      </w:pPr>
      <w:r>
        <w:rPr>
          <w:w w:val="101.3333797454834"/>
          <w:rFonts w:ascii="CIDFont+F2" w:hAnsi="CIDFont+F2" w:eastAsia="CIDFont+F2"/>
          <w:b w:val="0"/>
          <w:i w:val="0"/>
          <w:color w:val="FFFFFF"/>
          <w:sz w:val="12"/>
        </w:rPr>
        <w:t>1</w:t>
      </w:r>
    </w:p>
    <w:p>
      <w:pPr>
        <w:sectPr>
          <w:pgSz w:w="12240" w:h="15840"/>
          <w:pgMar w:top="358" w:right="1440" w:bottom="4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174" w:lineRule="exact" w:before="0" w:after="0"/>
        <w:ind w:left="5974" w:right="288" w:hanging="2120"/>
        <w:jc w:val="left"/>
      </w:pPr>
      <w:r>
        <w:rPr>
          <w:w w:val="101.33335930960519"/>
          <w:rFonts w:ascii="CIDFont+F1" w:hAnsi="CIDFont+F1" w:eastAsia="CIDFont+F1"/>
          <w:b w:val="0"/>
          <w:i/>
          <w:color w:val="000000"/>
          <w:sz w:val="14"/>
        </w:rPr>
        <w:t xml:space="preserve">Trust Fund Financial Information Summary for fiscal years ended June 30, 2024 and 2023 </w:t>
      </w:r>
      <w:r>
        <w:rPr>
          <w:w w:val="101.33335930960519"/>
          <w:rFonts w:ascii="CIDFont+F1" w:hAnsi="CIDFont+F1" w:eastAsia="CIDFont+F1"/>
          <w:b w:val="0"/>
          <w:i/>
          <w:color w:val="000000"/>
          <w:sz w:val="14"/>
        </w:rPr>
        <w:t xml:space="preserve">All amounts in USD millions, unless otherwise noted </w:t>
      </w:r>
    </w:p>
    <w:p>
      <w:pPr>
        <w:autoSpaceDN w:val="0"/>
        <w:autoSpaceDE w:val="0"/>
        <w:widowControl/>
        <w:spacing w:line="252" w:lineRule="exact" w:before="172" w:after="0"/>
        <w:ind w:left="432" w:right="0" w:firstLine="0"/>
        <w:jc w:val="left"/>
      </w:pPr>
      <w:r>
        <w:rPr>
          <w:w w:val="98.65285782586962"/>
          <w:rFonts w:ascii="CIDFont+F2" w:hAnsi="CIDFont+F2" w:eastAsia="CIDFont+F2"/>
          <w:b w:val="0"/>
          <w:i w:val="0"/>
          <w:color w:val="00497B"/>
          <w:sz w:val="21"/>
        </w:rPr>
        <w:t>Key Trust Fund Activity</w:t>
      </w:r>
    </w:p>
    <w:p>
      <w:pPr>
        <w:autoSpaceDN w:val="0"/>
        <w:autoSpaceDE w:val="0"/>
        <w:widowControl/>
        <w:spacing w:line="298" w:lineRule="exact" w:before="162" w:after="182"/>
        <w:ind w:left="432" w:right="0" w:firstLine="0"/>
        <w:jc w:val="left"/>
      </w:pPr>
      <w:r>
        <w:rPr>
          <w:w w:val="101.33307530329778"/>
          <w:rFonts w:ascii="CIDFont+F5" w:hAnsi="CIDFont+F5" w:eastAsia="CIDFont+F5"/>
          <w:b/>
          <w:i w:val="0"/>
          <w:color w:val="00497B"/>
          <w:sz w:val="26"/>
        </w:rPr>
        <w:t xml:space="preserve">Disbursements and FIF Transfers </w:t>
      </w:r>
      <w:r>
        <w:rPr>
          <w:rFonts w:ascii="CIDFont+F6" w:hAnsi="CIDFont+F6" w:eastAsia="CIDFont+F6"/>
          <w:b w:val="0"/>
          <w:i w:val="0"/>
          <w:color w:val="00497B"/>
          <w:sz w:val="13"/>
        </w:rPr>
        <w:t>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120"/>
        <w:gridCol w:w="3120"/>
        <w:gridCol w:w="3120"/>
      </w:tblGrid>
      <w:tr>
        <w:trPr>
          <w:trHeight w:hRule="exact" w:val="31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434" w:firstLine="0"/>
              <w:jc w:val="right"/>
            </w:pPr>
            <w:r>
              <w:rPr>
                <w:rFonts w:ascii="CIDFont+F7" w:hAnsi="CIDFont+F7" w:eastAsia="CIDFont+F7"/>
                <w:b w:val="0"/>
                <w:i w:val="0"/>
                <w:color w:val="00497B"/>
                <w:sz w:val="17"/>
              </w:rPr>
              <w:t>2024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" cy="762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558" w:right="0" w:firstLine="0"/>
              <w:jc w:val="left"/>
            </w:pPr>
            <w:r>
              <w:rPr>
                <w:rFonts w:ascii="CIDFont+F7" w:hAnsi="CIDFont+F7" w:eastAsia="CIDFont+F7"/>
                <w:b w:val="0"/>
                <w:i w:val="0"/>
                <w:color w:val="00497B"/>
                <w:sz w:val="17"/>
              </w:rPr>
              <w:t>2023</w:t>
            </w:r>
          </w:p>
        </w:tc>
      </w:tr>
      <w:tr>
        <w:trPr>
          <w:trHeight w:hRule="exact" w:val="44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82" w:after="0"/>
              <w:ind w:left="384" w:right="0" w:firstLine="0"/>
              <w:jc w:val="left"/>
            </w:pPr>
            <w:r>
              <w:rPr>
                <w:rFonts w:ascii="CIDFont+F7" w:hAnsi="CIDFont+F7" w:eastAsia="CIDFont+F7"/>
                <w:b w:val="0"/>
                <w:i w:val="0"/>
                <w:color w:val="00497B"/>
                <w:sz w:val="27"/>
              </w:rPr>
              <w:t>$18,761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82" w:after="0"/>
              <w:ind w:left="220" w:right="0" w:firstLine="0"/>
              <w:jc w:val="left"/>
            </w:pPr>
            <w:r>
              <w:rPr>
                <w:rFonts w:ascii="CIDFont+F7" w:hAnsi="CIDFont+F7" w:eastAsia="CIDFont+F7"/>
                <w:b w:val="0"/>
                <w:i w:val="0"/>
                <w:color w:val="00497B"/>
                <w:sz w:val="27"/>
              </w:rPr>
              <w:t>$28,803</w:t>
            </w:r>
          </w:p>
        </w:tc>
      </w:tr>
    </w:tbl>
    <w:p>
      <w:pPr>
        <w:autoSpaceDN w:val="0"/>
        <w:autoSpaceDE w:val="0"/>
        <w:widowControl/>
        <w:spacing w:line="230" w:lineRule="exact" w:before="286" w:after="0"/>
        <w:ind w:left="432" w:right="406" w:firstLine="0"/>
        <w:jc w:val="both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There has been an overall decrease in disbursements and FIF transfers by $10,042m (35%) during FY24 as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compared to FY23. FIF transfers increased by $1,196m (mostly due to GFATM and CEPI), disbursements from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IBRD/IDA and IFC trust funds have decreased by $11,264m and increased by $26m respectively. </w:t>
      </w:r>
    </w:p>
    <w:p>
      <w:pPr>
        <w:autoSpaceDN w:val="0"/>
        <w:autoSpaceDE w:val="0"/>
        <w:widowControl/>
        <w:spacing w:line="240" w:lineRule="auto" w:before="182" w:after="0"/>
        <w:ind w:left="4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22520" cy="393572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3935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6" w:lineRule="exact" w:before="0" w:after="0"/>
        <w:ind w:left="432" w:right="0" w:firstLine="0"/>
        <w:jc w:val="left"/>
      </w:pPr>
      <w:r>
        <w:rPr>
          <w:rFonts w:ascii="CIDFont+F2" w:hAnsi="CIDFont+F2" w:eastAsia="CIDFont+F2"/>
          <w:b w:val="0"/>
          <w:i w:val="0"/>
          <w:color w:val="000000"/>
          <w:sz w:val="17"/>
        </w:rPr>
        <w:t>*includes Indirects costs of $88m for FY23 ($92m for FY23).</w:t>
      </w:r>
    </w:p>
    <w:p>
      <w:pPr>
        <w:autoSpaceDN w:val="0"/>
        <w:autoSpaceDE w:val="0"/>
        <w:widowControl/>
        <w:spacing w:line="230" w:lineRule="exact" w:before="114" w:after="0"/>
        <w:ind w:left="432" w:right="296" w:firstLine="0"/>
        <w:jc w:val="both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In FIF programs, the top 3 FIFs constituted 74% of the total FIF disbursements (FY23 71%) of which GFATM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constituted about 53% (FY23 49%). FIF disbursements increased by $ 1,196m primarily due to increase in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disbursements for GFATM ($925m) and CEPI ($465m). </w:t>
      </w:r>
    </w:p>
    <w:p>
      <w:pPr>
        <w:autoSpaceDN w:val="0"/>
        <w:autoSpaceDE w:val="0"/>
        <w:widowControl/>
        <w:spacing w:line="230" w:lineRule="exact" w:before="116" w:after="0"/>
        <w:ind w:left="432" w:right="298" w:firstLine="0"/>
        <w:jc w:val="both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In IBRD/IDA TF, disbursements for RE activities were $ 8,156m (FY23 $19,480m) and 79% of these were in ECA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and AFE regions (FY23 93%). SALNTF and URTF were the leading programs in these regions in which $5,266m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(FY23 17,074m) disbursements are related to Ukraine. Disbursements for RE activities are generally affected by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the prevailing country environment, including capacity constraints, political environment, etc. </w:t>
      </w:r>
    </w:p>
    <w:p>
      <w:pPr>
        <w:autoSpaceDN w:val="0"/>
        <w:autoSpaceDE w:val="0"/>
        <w:widowControl/>
        <w:spacing w:line="230" w:lineRule="exact" w:before="230" w:after="0"/>
        <w:ind w:left="432" w:right="296" w:firstLine="0"/>
        <w:jc w:val="both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Disbursements for BE activities increased by $60m (5%) in FY24 when compared to FY23 due to increase in travel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and media workshops related to in-person meetings/consultations and associated travels, and other costs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primarily due to increase in advisory management expenses. Staff costs also contributed to the overall increase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by $26m while STC and ETC costs increased by $10m. </w:t>
      </w:r>
    </w:p>
    <w:p>
      <w:pPr>
        <w:autoSpaceDN w:val="0"/>
        <w:autoSpaceDE w:val="0"/>
        <w:widowControl/>
        <w:spacing w:line="178" w:lineRule="exact" w:before="52" w:after="0"/>
        <w:ind w:left="432" w:right="288" w:firstLine="0"/>
        <w:jc w:val="left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________________ </w:t>
      </w:r>
      <w:r>
        <w:br/>
      </w:r>
      <w:r>
        <w:rPr>
          <w:w w:val="95.07817162407768"/>
          <w:rFonts w:ascii="CIDFont+F1" w:hAnsi="CIDFont+F1" w:eastAsia="CIDFont+F1"/>
          <w:b w:val="0"/>
          <w:i/>
          <w:color w:val="000000"/>
          <w:sz w:val="9"/>
        </w:rPr>
        <w:t>6</w:t>
      </w:r>
      <w:r>
        <w:rPr>
          <w:w w:val="101.33335930960519"/>
          <w:rFonts w:ascii="CIDFont+F8" w:hAnsi="CIDFont+F8" w:eastAsia="CIDFont+F8"/>
          <w:b w:val="0"/>
          <w:i/>
          <w:color w:val="000000"/>
          <w:sz w:val="14"/>
        </w:rPr>
        <w:t xml:space="preserve">FIF transfers exclude transfers made from FIFs to (i) IBRD/IDA/IFC as implementing Agency (IA) (ii) IBRD/IDA for administrative </w:t>
      </w:r>
      <w:r>
        <w:rPr>
          <w:w w:val="101.33335930960519"/>
          <w:rFonts w:ascii="CIDFont+F8" w:hAnsi="CIDFont+F8" w:eastAsia="CIDFont+F8"/>
          <w:b w:val="0"/>
          <w:i/>
          <w:color w:val="000000"/>
          <w:sz w:val="14"/>
        </w:rPr>
        <w:t xml:space="preserve">expenses as trustee and the expenses of in-house secretariats which are included in disbursements from IBRD/IDA trust funds. </w:t>
      </w:r>
      <w:r>
        <w:rPr>
          <w:w w:val="101.3333797454834"/>
          <w:rFonts w:ascii="CIDFont+F2" w:hAnsi="CIDFont+F2" w:eastAsia="CIDFont+F2"/>
          <w:b w:val="0"/>
          <w:i w:val="0"/>
          <w:color w:val="000000"/>
          <w:sz w:val="12"/>
        </w:rPr>
        <w:t>7</w:t>
      </w:r>
      <w:r>
        <w:rPr>
          <w:w w:val="101.33335930960519"/>
          <w:rFonts w:ascii="CIDFont+F8" w:hAnsi="CIDFont+F8" w:eastAsia="CIDFont+F8"/>
          <w:b w:val="0"/>
          <w:i/>
          <w:color w:val="000000"/>
          <w:sz w:val="14"/>
        </w:rPr>
        <w:t xml:space="preserve">Includes disbursements by IBRD/IFC as Implementing Agency and Secretariat costs. </w:t>
      </w:r>
    </w:p>
    <w:p>
      <w:pPr>
        <w:autoSpaceDN w:val="0"/>
        <w:autoSpaceDE w:val="0"/>
        <w:widowControl/>
        <w:spacing w:line="228" w:lineRule="exact" w:before="218" w:after="0"/>
        <w:ind w:left="0" w:right="400" w:firstLine="0"/>
        <w:jc w:val="right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12 </w:t>
      </w:r>
    </w:p>
    <w:p>
      <w:pPr>
        <w:autoSpaceDN w:val="0"/>
        <w:autoSpaceDE w:val="0"/>
        <w:widowControl/>
        <w:spacing w:line="148" w:lineRule="exact" w:before="186" w:after="0"/>
        <w:ind w:left="432" w:right="0" w:firstLine="0"/>
        <w:jc w:val="left"/>
      </w:pPr>
      <w:r>
        <w:rPr>
          <w:w w:val="101.3333797454834"/>
          <w:rFonts w:ascii="CIDFont+F2" w:hAnsi="CIDFont+F2" w:eastAsia="CIDFont+F2"/>
          <w:b w:val="0"/>
          <w:i w:val="0"/>
          <w:color w:val="FFFFFF"/>
          <w:sz w:val="12"/>
        </w:rPr>
        <w:t>1</w:t>
      </w:r>
    </w:p>
    <w:p>
      <w:pPr>
        <w:sectPr>
          <w:pgSz w:w="12240" w:h="15840"/>
          <w:pgMar w:top="358" w:right="1440" w:bottom="4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174" w:lineRule="exact" w:before="0" w:after="0"/>
        <w:ind w:left="5974" w:right="432" w:hanging="2120"/>
        <w:jc w:val="left"/>
      </w:pPr>
      <w:r>
        <w:rPr>
          <w:w w:val="101.33335930960519"/>
          <w:rFonts w:ascii="CIDFont+F1" w:hAnsi="CIDFont+F1" w:eastAsia="CIDFont+F1"/>
          <w:b w:val="0"/>
          <w:i/>
          <w:color w:val="000000"/>
          <w:sz w:val="14"/>
        </w:rPr>
        <w:t xml:space="preserve">Trust Fund Financial Information Summary for fiscal years ended June 30, 2024 and 2023 </w:t>
      </w:r>
      <w:r>
        <w:rPr>
          <w:w w:val="101.33335930960519"/>
          <w:rFonts w:ascii="CIDFont+F1" w:hAnsi="CIDFont+F1" w:eastAsia="CIDFont+F1"/>
          <w:b w:val="0"/>
          <w:i/>
          <w:color w:val="000000"/>
          <w:sz w:val="14"/>
        </w:rPr>
        <w:t xml:space="preserve">All amounts in USD millions, unless otherwise noted </w:t>
      </w:r>
    </w:p>
    <w:p>
      <w:pPr>
        <w:autoSpaceDN w:val="0"/>
        <w:autoSpaceDE w:val="0"/>
        <w:widowControl/>
        <w:spacing w:line="252" w:lineRule="exact" w:before="172" w:after="0"/>
        <w:ind w:left="622" w:right="0" w:firstLine="0"/>
        <w:jc w:val="left"/>
      </w:pPr>
      <w:r>
        <w:rPr>
          <w:w w:val="98.65285782586962"/>
          <w:rFonts w:ascii="CIDFont+F2" w:hAnsi="CIDFont+F2" w:eastAsia="CIDFont+F2"/>
          <w:b w:val="0"/>
          <w:i w:val="0"/>
          <w:color w:val="00497B"/>
          <w:sz w:val="21"/>
        </w:rPr>
        <w:t xml:space="preserve">Key Trust Fund Activity </w:t>
      </w:r>
    </w:p>
    <w:p>
      <w:pPr>
        <w:autoSpaceDN w:val="0"/>
        <w:autoSpaceDE w:val="0"/>
        <w:widowControl/>
        <w:spacing w:line="300" w:lineRule="exact" w:before="132" w:after="0"/>
        <w:ind w:left="622" w:right="0" w:firstLine="0"/>
        <w:jc w:val="left"/>
      </w:pPr>
      <w:r>
        <w:rPr>
          <w:w w:val="101.33307530329778"/>
          <w:rFonts w:ascii="CIDFont+F5" w:hAnsi="CIDFont+F5" w:eastAsia="CIDFont+F5"/>
          <w:b/>
          <w:i w:val="0"/>
          <w:color w:val="00497B"/>
          <w:sz w:val="26"/>
        </w:rPr>
        <w:t>Undisbursed Commitments</w:t>
      </w:r>
      <w:r>
        <w:rPr>
          <w:rFonts w:ascii="CIDFont+F5" w:hAnsi="CIDFont+F5" w:eastAsia="CIDFont+F5"/>
          <w:b/>
          <w:i w:val="0"/>
          <w:color w:val="FFFFFF"/>
          <w:sz w:val="17"/>
        </w:rPr>
        <w:t>5</w:t>
      </w:r>
    </w:p>
    <w:p>
      <w:pPr>
        <w:autoSpaceDN w:val="0"/>
        <w:autoSpaceDE w:val="0"/>
        <w:widowControl/>
        <w:spacing w:line="230" w:lineRule="exact" w:before="232" w:after="0"/>
        <w:ind w:left="622" w:right="432" w:firstLine="0"/>
        <w:jc w:val="left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Commitments refer to the amount of financing approved for project(s) or activity(ies) at the grant level.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Undisbursed commitments refer to balance of commitments pending disbursement or transfers. </w:t>
      </w:r>
    </w:p>
    <w:p>
      <w:pPr>
        <w:autoSpaceDN w:val="0"/>
        <w:autoSpaceDE w:val="0"/>
        <w:widowControl/>
        <w:spacing w:line="240" w:lineRule="auto" w:before="224" w:after="0"/>
        <w:ind w:left="6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33929" cy="508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33929" cy="5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2" w:after="0"/>
        <w:ind w:left="4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21580" cy="115823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1158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6" w:after="502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50080" cy="2311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311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1.9999999999999" w:type="dxa"/>
      </w:tblPr>
      <w:tblGrid>
        <w:gridCol w:w="4739"/>
        <w:gridCol w:w="4739"/>
      </w:tblGrid>
      <w:tr>
        <w:trPr>
          <w:trHeight w:hRule="exact" w:val="3350"/>
        </w:trPr>
        <w:tc>
          <w:tcPr>
            <w:tcW w:type="dxa" w:w="448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4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19070" cy="16891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9070" cy="1689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4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60979" cy="167894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979" cy="1678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90" w:after="0"/>
        <w:ind w:left="0" w:right="0" w:firstLine="0"/>
        <w:jc w:val="center"/>
      </w:pPr>
      <w:r>
        <w:rPr>
          <w:w w:val="105.08649614122179"/>
          <w:rFonts w:ascii="CIDFont+F8" w:hAnsi="CIDFont+F8" w:eastAsia="CIDFont+F8"/>
          <w:b w:val="0"/>
          <w:i/>
          <w:color w:val="000000"/>
          <w:sz w:val="9"/>
        </w:rPr>
        <w:t xml:space="preserve">8 </w:t>
      </w:r>
      <w:r>
        <w:rPr>
          <w:w w:val="101.33335930960519"/>
          <w:rFonts w:ascii="CIDFont+F8" w:hAnsi="CIDFont+F8" w:eastAsia="CIDFont+F8"/>
          <w:b w:val="0"/>
          <w:i/>
          <w:color w:val="000000"/>
          <w:sz w:val="14"/>
        </w:rPr>
        <w:t xml:space="preserve">For FIFs, liabilities to implementing agencies for projects, fees and administrative budgets are considered as undisbursed commitments. </w:t>
      </w:r>
    </w:p>
    <w:p>
      <w:pPr>
        <w:autoSpaceDN w:val="0"/>
        <w:autoSpaceDE w:val="0"/>
        <w:widowControl/>
        <w:spacing w:line="186" w:lineRule="exact" w:before="58" w:after="0"/>
        <w:ind w:left="432" w:right="864" w:firstLine="0"/>
        <w:jc w:val="left"/>
      </w:pPr>
      <w:r>
        <w:rPr>
          <w:w w:val="105.08649614122179"/>
          <w:rFonts w:ascii="CIDFont+F8" w:hAnsi="CIDFont+F8" w:eastAsia="CIDFont+F8"/>
          <w:b w:val="0"/>
          <w:i/>
          <w:color w:val="000000"/>
          <w:sz w:val="9"/>
        </w:rPr>
        <w:t xml:space="preserve">9 </w:t>
      </w:r>
      <w:r>
        <w:rPr>
          <w:w w:val="101.33335930960519"/>
          <w:rFonts w:ascii="CIDFont+F8" w:hAnsi="CIDFont+F8" w:eastAsia="CIDFont+F8"/>
          <w:b w:val="0"/>
          <w:i/>
          <w:color w:val="000000"/>
          <w:sz w:val="14"/>
        </w:rPr>
        <w:t xml:space="preserve">The available fund balances in disbursing funds are considered as undisbursed commitments for BE activities and IFC trust funds. </w:t>
      </w:r>
      <w:r>
        <w:rPr>
          <w:w w:val="105.08649614122179"/>
          <w:rFonts w:ascii="CIDFont+F8" w:hAnsi="CIDFont+F8" w:eastAsia="CIDFont+F8"/>
          <w:b w:val="0"/>
          <w:i/>
          <w:color w:val="000000"/>
          <w:sz w:val="9"/>
        </w:rPr>
        <w:t xml:space="preserve">10 </w:t>
      </w:r>
      <w:r>
        <w:rPr>
          <w:w w:val="101.33335930960519"/>
          <w:rFonts w:ascii="CIDFont+F8" w:hAnsi="CIDFont+F8" w:eastAsia="CIDFont+F8"/>
          <w:b w:val="0"/>
          <w:i/>
          <w:color w:val="000000"/>
          <w:sz w:val="14"/>
        </w:rPr>
        <w:t>Includes undisbursed commitments of trust funds where IBRD/IFC is an Implementing Agency/Secretariat.</w:t>
      </w:r>
    </w:p>
    <w:p>
      <w:pPr>
        <w:autoSpaceDN w:val="0"/>
        <w:autoSpaceDE w:val="0"/>
        <w:widowControl/>
        <w:spacing w:line="228" w:lineRule="exact" w:before="188" w:after="0"/>
        <w:ind w:left="0" w:right="518" w:firstLine="0"/>
        <w:jc w:val="right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13 </w:t>
      </w:r>
    </w:p>
    <w:p>
      <w:pPr>
        <w:autoSpaceDN w:val="0"/>
        <w:autoSpaceDE w:val="0"/>
        <w:widowControl/>
        <w:spacing w:line="148" w:lineRule="exact" w:before="186" w:after="0"/>
        <w:ind w:left="432" w:right="0" w:firstLine="0"/>
        <w:jc w:val="left"/>
      </w:pPr>
      <w:r>
        <w:rPr>
          <w:w w:val="101.3333797454834"/>
          <w:rFonts w:ascii="CIDFont+F2" w:hAnsi="CIDFont+F2" w:eastAsia="CIDFont+F2"/>
          <w:b w:val="0"/>
          <w:i w:val="0"/>
          <w:color w:val="FFFFFF"/>
          <w:sz w:val="12"/>
        </w:rPr>
        <w:t>1</w:t>
      </w:r>
    </w:p>
    <w:p>
      <w:pPr>
        <w:sectPr>
          <w:pgSz w:w="12240" w:h="15840"/>
          <w:pgMar w:top="358" w:right="1322" w:bottom="4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174" w:lineRule="exact" w:before="0" w:after="0"/>
        <w:ind w:left="5974" w:right="288" w:hanging="2120"/>
        <w:jc w:val="left"/>
      </w:pPr>
      <w:r>
        <w:rPr>
          <w:w w:val="101.33335930960519"/>
          <w:rFonts w:ascii="CIDFont+F1" w:hAnsi="CIDFont+F1" w:eastAsia="CIDFont+F1"/>
          <w:b w:val="0"/>
          <w:i/>
          <w:color w:val="000000"/>
          <w:sz w:val="14"/>
        </w:rPr>
        <w:t xml:space="preserve">Trust Fund Financial Information Summary for fiscal years ended June 30, 2024 and 2023 </w:t>
      </w:r>
      <w:r>
        <w:rPr>
          <w:w w:val="101.33335930960519"/>
          <w:rFonts w:ascii="CIDFont+F1" w:hAnsi="CIDFont+F1" w:eastAsia="CIDFont+F1"/>
          <w:b w:val="0"/>
          <w:i/>
          <w:color w:val="000000"/>
          <w:sz w:val="14"/>
        </w:rPr>
        <w:t xml:space="preserve">All amounts in USD millions, unless otherwise noted </w:t>
      </w:r>
    </w:p>
    <w:p>
      <w:pPr>
        <w:autoSpaceDN w:val="0"/>
        <w:autoSpaceDE w:val="0"/>
        <w:widowControl/>
        <w:spacing w:line="252" w:lineRule="exact" w:before="462" w:after="0"/>
        <w:ind w:left="622" w:right="0" w:firstLine="0"/>
        <w:jc w:val="left"/>
      </w:pPr>
      <w:r>
        <w:rPr>
          <w:w w:val="98.65285782586962"/>
          <w:rFonts w:ascii="CIDFont+F2" w:hAnsi="CIDFont+F2" w:eastAsia="CIDFont+F2"/>
          <w:b w:val="0"/>
          <w:i w:val="0"/>
          <w:color w:val="00497B"/>
          <w:sz w:val="21"/>
        </w:rPr>
        <w:t>Key Trust Fund Activity</w:t>
      </w:r>
    </w:p>
    <w:p>
      <w:pPr>
        <w:autoSpaceDN w:val="0"/>
        <w:autoSpaceDE w:val="0"/>
        <w:widowControl/>
        <w:spacing w:line="300" w:lineRule="exact" w:before="142" w:after="0"/>
        <w:ind w:left="622" w:right="0" w:firstLine="0"/>
        <w:jc w:val="left"/>
      </w:pPr>
      <w:r>
        <w:rPr>
          <w:w w:val="101.33307530329778"/>
          <w:rFonts w:ascii="CIDFont+F5" w:hAnsi="CIDFont+F5" w:eastAsia="CIDFont+F5"/>
          <w:b/>
          <w:i w:val="0"/>
          <w:color w:val="00497B"/>
          <w:sz w:val="26"/>
        </w:rPr>
        <w:t xml:space="preserve">New Commitments </w:t>
      </w:r>
    </w:p>
    <w:p>
      <w:pPr>
        <w:autoSpaceDN w:val="0"/>
        <w:autoSpaceDE w:val="0"/>
        <w:widowControl/>
        <w:spacing w:line="228" w:lineRule="exact" w:before="304" w:after="166"/>
        <w:ind w:left="622" w:right="288" w:firstLine="0"/>
        <w:jc w:val="left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New commitments for BE activities and IFC trust funds represents the balance after netting out cancellations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of unused commitments when trust funds are closed.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680"/>
        <w:gridCol w:w="4680"/>
      </w:tblGrid>
      <w:tr>
        <w:trPr>
          <w:trHeight w:hRule="exact" w:val="938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2" w:after="0"/>
              <w:ind w:left="0" w:right="30" w:firstLine="0"/>
              <w:jc w:val="right"/>
            </w:pPr>
            <w:r>
              <w:rPr>
                <w:rFonts w:ascii="CIDFont+F5" w:hAnsi="CIDFont+F5" w:eastAsia="CIDFont+F5"/>
                <w:b/>
                <w:i w:val="0"/>
                <w:color w:val="FFFFFF"/>
                <w:sz w:val="17"/>
              </w:rPr>
              <w:t>6</w:t>
            </w:r>
          </w:p>
        </w:tc>
        <w:tc>
          <w:tcPr>
            <w:tcW w:type="dxa" w:w="5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88820" cy="51943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820" cy="519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296" w:after="0"/>
        <w:ind w:left="6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88609" cy="100203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88609" cy="1002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2" w:lineRule="exact" w:before="26" w:after="0"/>
        <w:ind w:left="622" w:right="0" w:firstLine="0"/>
        <w:jc w:val="left"/>
      </w:pPr>
      <w:r>
        <w:rPr>
          <w:rFonts w:ascii="CIDFont+F5" w:hAnsi="CIDFont+F5" w:eastAsia="CIDFont+F5"/>
          <w:b/>
          <w:i w:val="0"/>
          <w:color w:val="FFFFFF"/>
          <w:sz w:val="17"/>
        </w:rPr>
        <w:t>7</w:t>
      </w:r>
    </w:p>
    <w:p>
      <w:pPr>
        <w:autoSpaceDN w:val="0"/>
        <w:autoSpaceDE w:val="0"/>
        <w:widowControl/>
        <w:spacing w:line="228" w:lineRule="exact" w:before="432" w:after="0"/>
        <w:ind w:left="648" w:right="0" w:firstLine="0"/>
        <w:jc w:val="left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In FIF programs, commitments towards GFATM, GCF and GPEF have increased significantly by $926m, $743m </w:t>
      </w:r>
    </w:p>
    <w:p>
      <w:pPr>
        <w:autoSpaceDN w:val="0"/>
        <w:autoSpaceDE w:val="0"/>
        <w:widowControl/>
        <w:spacing w:line="228" w:lineRule="exact" w:before="36" w:after="0"/>
        <w:ind w:left="648" w:right="0" w:firstLine="0"/>
        <w:jc w:val="left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and $486m respectively. </w:t>
      </w:r>
    </w:p>
    <w:p>
      <w:pPr>
        <w:autoSpaceDN w:val="0"/>
        <w:autoSpaceDE w:val="0"/>
        <w:widowControl/>
        <w:spacing w:line="230" w:lineRule="exact" w:before="298" w:after="0"/>
        <w:ind w:left="648" w:right="404" w:firstLine="0"/>
        <w:jc w:val="both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In IBRD/IDA TFs, new commitments have decreased due to lower commitments towards SALNTF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(↓$12,856m) primarily of which are for TFs supporting Ukraine. This was partially offset by increase in new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commitments for URTF (↑$1,300m), GAFSP (↑$85m) and ESMAP (↑$82m). </w:t>
      </w:r>
    </w:p>
    <w:p>
      <w:pPr>
        <w:autoSpaceDN w:val="0"/>
        <w:autoSpaceDE w:val="0"/>
        <w:widowControl/>
        <w:spacing w:line="228" w:lineRule="exact" w:before="6324" w:after="0"/>
        <w:ind w:left="0" w:right="400" w:firstLine="0"/>
        <w:jc w:val="right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14 </w:t>
      </w:r>
    </w:p>
    <w:p>
      <w:pPr>
        <w:autoSpaceDN w:val="0"/>
        <w:autoSpaceDE w:val="0"/>
        <w:widowControl/>
        <w:spacing w:line="148" w:lineRule="exact" w:before="186" w:after="0"/>
        <w:ind w:left="432" w:right="0" w:firstLine="0"/>
        <w:jc w:val="left"/>
      </w:pPr>
      <w:r>
        <w:rPr>
          <w:w w:val="101.3333797454834"/>
          <w:rFonts w:ascii="CIDFont+F2" w:hAnsi="CIDFont+F2" w:eastAsia="CIDFont+F2"/>
          <w:b w:val="0"/>
          <w:i w:val="0"/>
          <w:color w:val="FFFFFF"/>
          <w:sz w:val="12"/>
        </w:rPr>
        <w:t>1</w:t>
      </w:r>
    </w:p>
    <w:p>
      <w:pPr>
        <w:sectPr>
          <w:pgSz w:w="12240" w:h="15840"/>
          <w:pgMar w:top="358" w:right="1440" w:bottom="4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174" w:lineRule="exact" w:before="0" w:after="0"/>
        <w:ind w:left="5974" w:right="576" w:hanging="2120"/>
        <w:jc w:val="left"/>
      </w:pPr>
      <w:r>
        <w:rPr>
          <w:w w:val="101.33335930960519"/>
          <w:rFonts w:ascii="CIDFont+F1" w:hAnsi="CIDFont+F1" w:eastAsia="CIDFont+F1"/>
          <w:b w:val="0"/>
          <w:i/>
          <w:color w:val="000000"/>
          <w:sz w:val="14"/>
        </w:rPr>
        <w:t xml:space="preserve">Trust Fund Financial Information Summary for fiscal years ended June 30, 2024 and 2023 </w:t>
      </w:r>
      <w:r>
        <w:rPr>
          <w:w w:val="101.33335930960519"/>
          <w:rFonts w:ascii="CIDFont+F1" w:hAnsi="CIDFont+F1" w:eastAsia="CIDFont+F1"/>
          <w:b w:val="0"/>
          <w:i/>
          <w:color w:val="000000"/>
          <w:sz w:val="14"/>
        </w:rPr>
        <w:t xml:space="preserve">All amounts in USD millions, unless otherwise noted </w:t>
      </w:r>
    </w:p>
    <w:p>
      <w:pPr>
        <w:autoSpaceDN w:val="0"/>
        <w:autoSpaceDE w:val="0"/>
        <w:widowControl/>
        <w:spacing w:line="252" w:lineRule="exact" w:before="172" w:after="0"/>
        <w:ind w:left="536" w:right="0" w:firstLine="0"/>
        <w:jc w:val="left"/>
      </w:pPr>
      <w:r>
        <w:rPr>
          <w:w w:val="98.65285782586962"/>
          <w:rFonts w:ascii="CIDFont+F2" w:hAnsi="CIDFont+F2" w:eastAsia="CIDFont+F2"/>
          <w:b w:val="0"/>
          <w:i w:val="0"/>
          <w:color w:val="00497B"/>
          <w:sz w:val="21"/>
        </w:rPr>
        <w:t>Trust Fund Activity</w:t>
      </w:r>
    </w:p>
    <w:p>
      <w:pPr>
        <w:autoSpaceDN w:val="0"/>
        <w:autoSpaceDE w:val="0"/>
        <w:widowControl/>
        <w:spacing w:line="300" w:lineRule="exact" w:before="144" w:after="0"/>
        <w:ind w:left="536" w:right="0" w:firstLine="0"/>
        <w:jc w:val="left"/>
      </w:pPr>
      <w:r>
        <w:rPr>
          <w:w w:val="101.33307530329778"/>
          <w:rFonts w:ascii="CIDFont+F5" w:hAnsi="CIDFont+F5" w:eastAsia="CIDFont+F5"/>
          <w:b/>
          <w:i w:val="0"/>
          <w:color w:val="00497B"/>
          <w:sz w:val="26"/>
        </w:rPr>
        <w:t xml:space="preserve">New Administration Agreements </w:t>
      </w:r>
    </w:p>
    <w:p>
      <w:pPr>
        <w:autoSpaceDN w:val="0"/>
        <w:autoSpaceDE w:val="0"/>
        <w:widowControl/>
        <w:spacing w:line="228" w:lineRule="exact" w:before="232" w:after="0"/>
        <w:ind w:left="536" w:right="650" w:firstLine="0"/>
        <w:jc w:val="both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New administration agreements signed between the Bank Group and DPs represents contributions made to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new trust funds and additional contributions made to existing trust funds. These are presented net of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cancellations. The negative amounts are where the current period cancellations are greater than additional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contributions. </w:t>
      </w:r>
    </w:p>
    <w:p>
      <w:pPr>
        <w:autoSpaceDN w:val="0"/>
        <w:autoSpaceDE w:val="0"/>
        <w:widowControl/>
        <w:spacing w:line="240" w:lineRule="auto" w:before="0" w:after="0"/>
        <w:ind w:left="5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83200" cy="17653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176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2" w:lineRule="exact" w:before="54" w:after="0"/>
        <w:ind w:left="536" w:right="0" w:firstLine="0"/>
        <w:jc w:val="left"/>
      </w:pPr>
      <w:r>
        <w:rPr>
          <w:rFonts w:ascii="CIDFont+F5" w:hAnsi="CIDFont+F5" w:eastAsia="CIDFont+F5"/>
          <w:b/>
          <w:i w:val="0"/>
          <w:color w:val="00497B"/>
          <w:sz w:val="17"/>
        </w:rPr>
        <w:t xml:space="preserve">Top 10 Sovereign Countries and EU 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11800" cy="385190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3851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2" w:lineRule="exact" w:before="1442" w:after="0"/>
        <w:ind w:left="432" w:right="0" w:firstLine="0"/>
        <w:jc w:val="left"/>
      </w:pPr>
      <w:r>
        <w:rPr>
          <w:w w:val="105.08649614122179"/>
          <w:rFonts w:ascii="CIDFont+F8" w:hAnsi="CIDFont+F8" w:eastAsia="CIDFont+F8"/>
          <w:b w:val="0"/>
          <w:i/>
          <w:color w:val="000000"/>
          <w:sz w:val="9"/>
        </w:rPr>
        <w:t xml:space="preserve">11 </w:t>
      </w:r>
      <w:r>
        <w:rPr>
          <w:w w:val="101.33335930960519"/>
          <w:rFonts w:ascii="CIDFont+F8" w:hAnsi="CIDFont+F8" w:eastAsia="CIDFont+F8"/>
          <w:b w:val="0"/>
          <w:i/>
          <w:color w:val="000000"/>
          <w:sz w:val="14"/>
        </w:rPr>
        <w:t xml:space="preserve">Other DPs includes multilateral development banks, United Nations agencies, and public and private institutions. Out of the total $5,707m </w:t>
      </w:r>
    </w:p>
    <w:p>
      <w:pPr>
        <w:autoSpaceDN w:val="0"/>
        <w:autoSpaceDE w:val="0"/>
        <w:widowControl/>
        <w:spacing w:line="158" w:lineRule="exact" w:before="26" w:after="0"/>
        <w:ind w:left="432" w:right="0" w:firstLine="0"/>
        <w:jc w:val="left"/>
      </w:pPr>
      <w:r>
        <w:rPr>
          <w:w w:val="101.33335930960519"/>
          <w:rFonts w:ascii="CIDFont+F8" w:hAnsi="CIDFont+F8" w:eastAsia="CIDFont+F8"/>
          <w:b w:val="0"/>
          <w:i/>
          <w:color w:val="000000"/>
          <w:sz w:val="14"/>
        </w:rPr>
        <w:t xml:space="preserve">in Other DPs, $4,470m pertains to GFATM Secretariat. </w:t>
      </w:r>
    </w:p>
    <w:p>
      <w:pPr>
        <w:autoSpaceDN w:val="0"/>
        <w:autoSpaceDE w:val="0"/>
        <w:widowControl/>
        <w:spacing w:line="228" w:lineRule="exact" w:before="216" w:after="0"/>
        <w:ind w:left="0" w:right="700" w:firstLine="0"/>
        <w:jc w:val="right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15 </w:t>
      </w:r>
    </w:p>
    <w:p>
      <w:pPr>
        <w:autoSpaceDN w:val="0"/>
        <w:autoSpaceDE w:val="0"/>
        <w:widowControl/>
        <w:spacing w:line="148" w:lineRule="exact" w:before="186" w:after="0"/>
        <w:ind w:left="432" w:right="0" w:firstLine="0"/>
        <w:jc w:val="left"/>
      </w:pPr>
      <w:r>
        <w:rPr>
          <w:w w:val="101.3333797454834"/>
          <w:rFonts w:ascii="CIDFont+F2" w:hAnsi="CIDFont+F2" w:eastAsia="CIDFont+F2"/>
          <w:b w:val="0"/>
          <w:i w:val="0"/>
          <w:color w:val="FFFFFF"/>
          <w:sz w:val="12"/>
        </w:rPr>
        <w:t>1</w:t>
      </w:r>
    </w:p>
    <w:p>
      <w:pPr>
        <w:sectPr>
          <w:pgSz w:w="12240" w:h="15840"/>
          <w:pgMar w:top="358" w:right="1140" w:bottom="4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174" w:lineRule="exact" w:before="0" w:after="0"/>
        <w:ind w:left="5974" w:right="288" w:hanging="2120"/>
        <w:jc w:val="left"/>
      </w:pPr>
      <w:r>
        <w:rPr>
          <w:w w:val="101.33335930960519"/>
          <w:rFonts w:ascii="CIDFont+F1" w:hAnsi="CIDFont+F1" w:eastAsia="CIDFont+F1"/>
          <w:b w:val="0"/>
          <w:i/>
          <w:color w:val="000000"/>
          <w:sz w:val="14"/>
        </w:rPr>
        <w:t xml:space="preserve">Trust Fund Financial Information Summary for fiscal years ended June 30, 2024 and 2023 </w:t>
      </w:r>
      <w:r>
        <w:rPr>
          <w:w w:val="101.33335930960519"/>
          <w:rFonts w:ascii="CIDFont+F1" w:hAnsi="CIDFont+F1" w:eastAsia="CIDFont+F1"/>
          <w:b w:val="0"/>
          <w:i/>
          <w:color w:val="000000"/>
          <w:sz w:val="14"/>
        </w:rPr>
        <w:t xml:space="preserve">All amounts in USD millions, unless otherwise noted </w:t>
      </w:r>
    </w:p>
    <w:p>
      <w:pPr>
        <w:autoSpaceDN w:val="0"/>
        <w:autoSpaceDE w:val="0"/>
        <w:widowControl/>
        <w:spacing w:line="252" w:lineRule="exact" w:before="172" w:after="0"/>
        <w:ind w:left="432" w:right="0" w:firstLine="0"/>
        <w:jc w:val="left"/>
      </w:pPr>
      <w:r>
        <w:rPr>
          <w:w w:val="98.65285782586962"/>
          <w:rFonts w:ascii="CIDFont+F2" w:hAnsi="CIDFont+F2" w:eastAsia="CIDFont+F2"/>
          <w:b w:val="0"/>
          <w:i w:val="0"/>
          <w:color w:val="00497B"/>
          <w:sz w:val="21"/>
        </w:rPr>
        <w:t>Key Trust Fund Activity</w:t>
      </w:r>
    </w:p>
    <w:p>
      <w:pPr>
        <w:autoSpaceDN w:val="0"/>
        <w:autoSpaceDE w:val="0"/>
        <w:widowControl/>
        <w:spacing w:line="300" w:lineRule="exact" w:before="144" w:after="0"/>
        <w:ind w:left="432" w:right="0" w:firstLine="0"/>
        <w:jc w:val="left"/>
      </w:pPr>
      <w:r>
        <w:rPr>
          <w:w w:val="101.33307530329778"/>
          <w:rFonts w:ascii="CIDFont+F5" w:hAnsi="CIDFont+F5" w:eastAsia="CIDFont+F5"/>
          <w:b/>
          <w:i w:val="0"/>
          <w:color w:val="00497B"/>
          <w:sz w:val="26"/>
        </w:rPr>
        <w:t xml:space="preserve">New Administration Agreements (Cont’d) </w:t>
      </w:r>
    </w:p>
    <w:p>
      <w:pPr>
        <w:autoSpaceDN w:val="0"/>
        <w:autoSpaceDE w:val="0"/>
        <w:widowControl/>
        <w:spacing w:line="240" w:lineRule="auto" w:before="294" w:after="0"/>
        <w:ind w:left="4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153660" cy="178688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1786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2" w:after="0"/>
        <w:ind w:left="4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71670" cy="330835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71670" cy="3308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exact" w:before="272" w:after="0"/>
        <w:ind w:left="432" w:right="288" w:firstLine="0"/>
        <w:jc w:val="left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In FIF programs, new agreements were signed during FY24 towards GCFTF and GFATM for $9,567m constituting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>72% of total FIF contributions. For FY24, Germany and France are the top donors for GCFTF.</w:t>
      </w:r>
    </w:p>
    <w:p>
      <w:pPr>
        <w:autoSpaceDN w:val="0"/>
        <w:autoSpaceDE w:val="0"/>
        <w:widowControl/>
        <w:spacing w:line="228" w:lineRule="exact" w:before="214" w:after="0"/>
        <w:ind w:left="432" w:right="298" w:firstLine="0"/>
        <w:jc w:val="both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In IBRD/IDA TFs, new agreements have been signed in FY24 primarily towards SALNTF for trust funds supporting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Ukraine’s credit enhancement ($7,188m), co-financing of the public expenditures for administrative capacity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endurance ($2,892m) and reconstruction and economy support ($87m). New agreements have also been signed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for URTF and PHRD amounting to $661m and $624m, respectively. There was an overall decrease in new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administration agreements signed in FY24 as compared to FY23. </w:t>
      </w:r>
    </w:p>
    <w:p>
      <w:pPr>
        <w:autoSpaceDN w:val="0"/>
        <w:autoSpaceDE w:val="0"/>
        <w:widowControl/>
        <w:spacing w:line="162" w:lineRule="exact" w:before="758" w:after="0"/>
        <w:ind w:left="432" w:right="288" w:firstLine="0"/>
        <w:jc w:val="left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______________________ </w:t>
      </w:r>
      <w:r>
        <w:br/>
      </w:r>
      <w:r>
        <w:rPr>
          <w:w w:val="95.07817162407768"/>
          <w:rFonts w:ascii="CIDFont+F8" w:hAnsi="CIDFont+F8" w:eastAsia="CIDFont+F8"/>
          <w:b w:val="0"/>
          <w:i/>
          <w:color w:val="000000"/>
          <w:sz w:val="9"/>
        </w:rPr>
        <w:t xml:space="preserve">12 </w:t>
      </w:r>
      <w:r>
        <w:rPr>
          <w:w w:val="101.33335930960519"/>
          <w:rFonts w:ascii="CIDFont+F8" w:hAnsi="CIDFont+F8" w:eastAsia="CIDFont+F8"/>
          <w:b w:val="0"/>
          <w:i/>
          <w:color w:val="000000"/>
          <w:sz w:val="14"/>
        </w:rPr>
        <w:t xml:space="preserve">Other DPs includes multilateral development banks, United Nations agencies, and public and private institutions. Out of the total $4,986m </w:t>
      </w:r>
      <w:r>
        <w:rPr>
          <w:w w:val="101.33335930960519"/>
          <w:rFonts w:ascii="CIDFont+F8" w:hAnsi="CIDFont+F8" w:eastAsia="CIDFont+F8"/>
          <w:b w:val="0"/>
          <w:i/>
          <w:color w:val="000000"/>
          <w:sz w:val="14"/>
        </w:rPr>
        <w:t>in Other DPs, $4,470m pertains to GFATM Secretariat</w:t>
      </w:r>
      <w:r>
        <w:rPr>
          <w:rFonts w:ascii="CIDFont+F8" w:hAnsi="CIDFont+F8" w:eastAsia="CIDFont+F8"/>
          <w:b w:val="0"/>
          <w:i/>
          <w:color w:val="000000"/>
          <w:sz w:val="13"/>
        </w:rPr>
        <w:t xml:space="preserve">. </w:t>
      </w:r>
    </w:p>
    <w:p>
      <w:pPr>
        <w:autoSpaceDN w:val="0"/>
        <w:autoSpaceDE w:val="0"/>
        <w:widowControl/>
        <w:spacing w:line="228" w:lineRule="exact" w:before="456" w:after="0"/>
        <w:ind w:left="0" w:right="400" w:firstLine="0"/>
        <w:jc w:val="right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16 </w:t>
      </w:r>
    </w:p>
    <w:p>
      <w:pPr>
        <w:autoSpaceDN w:val="0"/>
        <w:autoSpaceDE w:val="0"/>
        <w:widowControl/>
        <w:spacing w:line="148" w:lineRule="exact" w:before="186" w:after="0"/>
        <w:ind w:left="432" w:right="0" w:firstLine="0"/>
        <w:jc w:val="left"/>
      </w:pPr>
      <w:r>
        <w:rPr>
          <w:w w:val="101.3333797454834"/>
          <w:rFonts w:ascii="CIDFont+F2" w:hAnsi="CIDFont+F2" w:eastAsia="CIDFont+F2"/>
          <w:b w:val="0"/>
          <w:i w:val="0"/>
          <w:color w:val="FFFFFF"/>
          <w:sz w:val="12"/>
        </w:rPr>
        <w:t>1</w:t>
      </w:r>
    </w:p>
    <w:p>
      <w:pPr>
        <w:sectPr>
          <w:pgSz w:w="12240" w:h="15840"/>
          <w:pgMar w:top="358" w:right="1440" w:bottom="4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2159000</wp:posOffset>
            </wp:positionV>
            <wp:extent cx="5295900" cy="6350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635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4" w:lineRule="exact" w:before="0" w:after="0"/>
        <w:ind w:left="5974" w:right="576" w:hanging="2120"/>
        <w:jc w:val="left"/>
      </w:pPr>
      <w:r>
        <w:rPr>
          <w:w w:val="101.32767813546317"/>
          <w:rFonts w:ascii="CIDFont+F1" w:hAnsi="CIDFont+F1" w:eastAsia="CIDFont+F1"/>
          <w:b w:val="0"/>
          <w:i/>
          <w:color w:val="000000"/>
          <w:sz w:val="14"/>
        </w:rPr>
        <w:t xml:space="preserve">Trust Fund Financial Information Summary for fiscal years ended June 30, 2024 and 2023 </w:t>
      </w:r>
      <w:r>
        <w:rPr>
          <w:w w:val="101.32767813546317"/>
          <w:rFonts w:ascii="CIDFont+F1" w:hAnsi="CIDFont+F1" w:eastAsia="CIDFont+F1"/>
          <w:b w:val="0"/>
          <w:i/>
          <w:color w:val="000000"/>
          <w:sz w:val="14"/>
        </w:rPr>
        <w:t xml:space="preserve">All amounts in USD millions, unless otherwise noted </w:t>
      </w:r>
    </w:p>
    <w:p>
      <w:pPr>
        <w:autoSpaceDN w:val="0"/>
        <w:autoSpaceDE w:val="0"/>
        <w:widowControl/>
        <w:spacing w:line="228" w:lineRule="exact" w:before="174" w:after="0"/>
        <w:ind w:left="532" w:right="0" w:firstLine="0"/>
        <w:jc w:val="left"/>
      </w:pPr>
      <w:r>
        <w:rPr>
          <w:w w:val="98.36526168020147"/>
          <w:rFonts w:ascii="CIDFont+F2" w:hAnsi="CIDFont+F2" w:eastAsia="CIDFont+F2"/>
          <w:b w:val="0"/>
          <w:i w:val="0"/>
          <w:color w:val="1F497D"/>
          <w:sz w:val="19"/>
        </w:rPr>
        <w:t xml:space="preserve">Contribution and Receivables </w:t>
      </w:r>
    </w:p>
    <w:p>
      <w:pPr>
        <w:autoSpaceDN w:val="0"/>
        <w:autoSpaceDE w:val="0"/>
        <w:widowControl/>
        <w:spacing w:line="300" w:lineRule="exact" w:before="106" w:after="92"/>
        <w:ind w:left="532" w:right="0" w:firstLine="0"/>
        <w:jc w:val="left"/>
      </w:pPr>
      <w:r>
        <w:rPr>
          <w:w w:val="101.32788144625151"/>
          <w:rFonts w:ascii="CIDFont+F5" w:hAnsi="CIDFont+F5" w:eastAsia="CIDFont+F5"/>
          <w:b/>
          <w:i w:val="0"/>
          <w:color w:val="1F497D"/>
          <w:sz w:val="26"/>
        </w:rPr>
        <w:t xml:space="preserve">Cash Contributions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591"/>
        <w:gridCol w:w="1591"/>
        <w:gridCol w:w="1591"/>
        <w:gridCol w:w="1591"/>
        <w:gridCol w:w="1591"/>
        <w:gridCol w:w="1591"/>
      </w:tblGrid>
      <w:tr>
        <w:trPr>
          <w:trHeight w:hRule="exact" w:val="34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360" w:firstLine="0"/>
              <w:jc w:val="right"/>
            </w:pPr>
            <w:r>
              <w:rPr>
                <w:rFonts w:ascii="CIDFont+F7" w:hAnsi="CIDFont+F7" w:eastAsia="CIDFont+F7"/>
                <w:b w:val="0"/>
                <w:i w:val="0"/>
                <w:color w:val="00497B"/>
                <w:sz w:val="17"/>
              </w:rPr>
              <w:t>2024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298" w:firstLine="0"/>
              <w:jc w:val="right"/>
            </w:pPr>
            <w:r>
              <w:rPr>
                <w:rFonts w:ascii="CIDFont+F7" w:hAnsi="CIDFont+F7" w:eastAsia="CIDFont+F7"/>
                <w:b w:val="0"/>
                <w:i w:val="0"/>
                <w:color w:val="00497B"/>
                <w:sz w:val="17"/>
              </w:rPr>
              <w:t>2023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032" w:after="0"/>
              <w:ind w:left="82" w:right="0" w:firstLine="0"/>
              <w:jc w:val="left"/>
            </w:pPr>
            <w:r>
              <w:rPr>
                <w:w w:val="97.97096888224284"/>
                <w:rFonts w:ascii="CIDFont+F7" w:hAnsi="CIDFont+F7" w:eastAsia="CIDFont+F7"/>
                <w:b w:val="0"/>
                <w:i w:val="0"/>
                <w:color w:val="3A3E2D"/>
                <w:sz w:val="15"/>
              </w:rPr>
              <w:t>World Bank Group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032" w:after="0"/>
              <w:ind w:left="0" w:right="0" w:firstLine="0"/>
              <w:jc w:val="right"/>
            </w:pPr>
            <w:r>
              <w:rPr>
                <w:w w:val="97.97096888224284"/>
                <w:rFonts w:ascii="CIDFont+F7" w:hAnsi="CIDFont+F7" w:eastAsia="CIDFont+F7"/>
                <w:b w:val="0"/>
                <w:i w:val="0"/>
                <w:color w:val="3A3E2D"/>
                <w:sz w:val="15"/>
              </w:rPr>
              <w:t>Other DPs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948" w:after="0"/>
              <w:ind w:left="8" w:right="0" w:firstLine="0"/>
              <w:jc w:val="left"/>
            </w:pPr>
            <w:r>
              <w:rPr>
                <w:w w:val="103.73308181762695"/>
                <w:rFonts w:ascii="CIDFont+F2" w:hAnsi="CIDFont+F2" w:eastAsia="CIDFont+F2"/>
                <w:b w:val="0"/>
                <w:i w:val="0"/>
                <w:color w:val="00497B"/>
                <w:sz w:val="10"/>
              </w:rPr>
              <w:t>13</w:t>
            </w:r>
          </w:p>
        </w:tc>
      </w:tr>
      <w:tr>
        <w:trPr>
          <w:trHeight w:hRule="exact" w:val="52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94" w:after="0"/>
              <w:ind w:left="0" w:right="120" w:firstLine="0"/>
              <w:jc w:val="right"/>
            </w:pPr>
            <w:r>
              <w:rPr>
                <w:rFonts w:ascii="CIDFont+F7" w:hAnsi="CIDFont+F7" w:eastAsia="CIDFont+F7"/>
                <w:b w:val="0"/>
                <w:i w:val="0"/>
                <w:color w:val="00497B"/>
                <w:sz w:val="26"/>
              </w:rPr>
              <w:t>$17,471</w:t>
            </w:r>
          </w:p>
        </w:tc>
        <w:tc>
          <w:tcPr>
            <w:tcW w:type="dxa" w:w="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762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94" w:after="0"/>
              <w:ind w:left="150" w:right="0" w:firstLine="0"/>
              <w:jc w:val="left"/>
            </w:pPr>
            <w:r>
              <w:rPr>
                <w:rFonts w:ascii="CIDFont+F7" w:hAnsi="CIDFont+F7" w:eastAsia="CIDFont+F7"/>
                <w:b w:val="0"/>
                <w:i w:val="0"/>
                <w:color w:val="00497B"/>
                <w:sz w:val="26"/>
              </w:rPr>
              <w:t>$34,870</w:t>
            </w:r>
          </w:p>
        </w:tc>
        <w:tc>
          <w:tcPr>
            <w:tcW w:type="dxa" w:w="1591"/>
            <w:vMerge/>
            <w:tcBorders/>
          </w:tcPr>
          <w:p/>
        </w:tc>
        <w:tc>
          <w:tcPr>
            <w:tcW w:type="dxa" w:w="1591"/>
            <w:vMerge/>
            <w:tcBorders/>
          </w:tcPr>
          <w:p/>
        </w:tc>
        <w:tc>
          <w:tcPr>
            <w:tcW w:type="dxa" w:w="1591"/>
            <w:vMerge/>
            <w:tcBorders/>
          </w:tcPr>
          <w:p/>
        </w:tc>
      </w:tr>
      <w:tr>
        <w:trPr>
          <w:trHeight w:hRule="exact" w:val="402"/>
        </w:trPr>
        <w:tc>
          <w:tcPr>
            <w:tcW w:type="dxa" w:w="32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72" w:after="0"/>
              <w:ind w:left="0" w:right="468" w:firstLine="0"/>
              <w:jc w:val="right"/>
            </w:pPr>
            <w:r>
              <w:rPr>
                <w:w w:val="97.97096888224284"/>
                <w:rFonts w:ascii="CIDFont+F7" w:hAnsi="CIDFont+F7" w:eastAsia="CIDFont+F7"/>
                <w:b w:val="0"/>
                <w:i w:val="0"/>
                <w:color w:val="3A3E2D"/>
                <w:sz w:val="15"/>
              </w:rPr>
              <w:t>Sovereign Countries &amp; EU</w:t>
            </w:r>
          </w:p>
        </w:tc>
        <w:tc>
          <w:tcPr>
            <w:tcW w:type="dxa" w:w="1591"/>
            <w:vMerge/>
            <w:tcBorders/>
          </w:tcPr>
          <w:p/>
        </w:tc>
        <w:tc>
          <w:tcPr>
            <w:tcW w:type="dxa" w:w="1591"/>
            <w:vMerge/>
            <w:tcBorders/>
          </w:tcPr>
          <w:p/>
        </w:tc>
        <w:tc>
          <w:tcPr>
            <w:tcW w:type="dxa" w:w="159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0" w:lineRule="exact" w:before="94" w:after="48"/>
        <w:ind w:left="0" w:right="4842" w:firstLine="0"/>
        <w:jc w:val="right"/>
      </w:pPr>
      <w:r>
        <w:rPr>
          <w:w w:val="97.97096888224284"/>
          <w:rFonts w:ascii="CIDFont+F11" w:hAnsi="CIDFont+F11" w:eastAsia="CIDFont+F11"/>
          <w:b/>
          <w:i w:val="0"/>
          <w:color w:val="000000"/>
          <w:sz w:val="15"/>
        </w:rPr>
        <w:t>$318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4774"/>
        <w:gridCol w:w="4774"/>
      </w:tblGrid>
      <w:tr>
        <w:trPr>
          <w:trHeight w:hRule="exact" w:val="262"/>
        </w:trPr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8" w:after="0"/>
              <w:ind w:left="0" w:right="1040" w:firstLine="0"/>
              <w:jc w:val="right"/>
            </w:pPr>
            <w:r>
              <w:rPr>
                <w:w w:val="97.97096888224284"/>
                <w:rFonts w:ascii="CIDFont+F11" w:hAnsi="CIDFont+F11" w:eastAsia="CIDFont+F11"/>
                <w:b/>
                <w:i w:val="0"/>
                <w:color w:val="FFFFFF"/>
                <w:sz w:val="15"/>
              </w:rPr>
              <w:t xml:space="preserve">$12,269 </w:t>
            </w:r>
          </w:p>
        </w:tc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8" w:after="0"/>
              <w:ind w:left="0" w:right="1986" w:firstLine="0"/>
              <w:jc w:val="right"/>
            </w:pPr>
            <w:r>
              <w:rPr>
                <w:w w:val="97.97096888224284"/>
                <w:rFonts w:ascii="CIDFont+F11" w:hAnsi="CIDFont+F11" w:eastAsia="CIDFont+F11"/>
                <w:b/>
                <w:i w:val="0"/>
                <w:color w:val="000000"/>
                <w:sz w:val="15"/>
              </w:rPr>
              <w:t>$4,884</w:t>
            </w:r>
          </w:p>
        </w:tc>
      </w:tr>
    </w:tbl>
    <w:p>
      <w:pPr>
        <w:autoSpaceDN w:val="0"/>
        <w:autoSpaceDE w:val="0"/>
        <w:widowControl/>
        <w:spacing w:line="168" w:lineRule="exact" w:before="44" w:after="30"/>
        <w:ind w:left="0" w:right="1498" w:firstLine="0"/>
        <w:jc w:val="right"/>
      </w:pPr>
      <w:r>
        <w:rPr>
          <w:w w:val="97.97096888224284"/>
          <w:rFonts w:ascii="CIDFont+F11" w:hAnsi="CIDFont+F11" w:eastAsia="CIDFont+F11"/>
          <w:b/>
          <w:i w:val="0"/>
          <w:color w:val="000000"/>
          <w:sz w:val="15"/>
        </w:rPr>
        <w:t>$187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80.0" w:type="dxa"/>
      </w:tblPr>
      <w:tblGrid>
        <w:gridCol w:w="4774"/>
        <w:gridCol w:w="4774"/>
      </w:tblGrid>
      <w:tr>
        <w:trPr>
          <w:trHeight w:hRule="exact" w:val="262"/>
        </w:trPr>
        <w:tc>
          <w:tcPr>
            <w:tcW w:type="dxa" w:w="4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2" w:after="0"/>
              <w:ind w:left="0" w:right="1778" w:firstLine="0"/>
              <w:jc w:val="right"/>
            </w:pPr>
            <w:r>
              <w:rPr>
                <w:w w:val="97.97096888224284"/>
                <w:rFonts w:ascii="CIDFont+F11" w:hAnsi="CIDFont+F11" w:eastAsia="CIDFont+F11"/>
                <w:b/>
                <w:i w:val="0"/>
                <w:color w:val="FFFFFF"/>
                <w:sz w:val="15"/>
              </w:rPr>
              <w:t>$30,357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2" w:after="0"/>
              <w:ind w:left="0" w:right="424" w:firstLine="0"/>
              <w:jc w:val="right"/>
            </w:pPr>
            <w:r>
              <w:rPr>
                <w:w w:val="97.97096888224284"/>
                <w:rFonts w:ascii="CIDFont+F11" w:hAnsi="CIDFont+F11" w:eastAsia="CIDFont+F11"/>
                <w:b/>
                <w:i w:val="0"/>
                <w:color w:val="000000"/>
                <w:sz w:val="15"/>
              </w:rPr>
              <w:t>$4,326</w:t>
            </w:r>
          </w:p>
        </w:tc>
      </w:tr>
    </w:tbl>
    <w:p>
      <w:pPr>
        <w:autoSpaceDN w:val="0"/>
        <w:autoSpaceDE w:val="0"/>
        <w:widowControl/>
        <w:spacing w:line="212" w:lineRule="exact" w:before="276" w:after="2"/>
        <w:ind w:left="532" w:right="0" w:firstLine="0"/>
        <w:jc w:val="left"/>
      </w:pPr>
      <w:r>
        <w:rPr>
          <w:w w:val="98.36526168020147"/>
          <w:rFonts w:ascii="CIDFont+F5" w:hAnsi="CIDFont+F5" w:eastAsia="CIDFont+F5"/>
          <w:b/>
          <w:i w:val="0"/>
          <w:color w:val="1F497D"/>
          <w:sz w:val="19"/>
        </w:rPr>
        <w:t xml:space="preserve">Top 10 Sovereign Countries and EU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8.0000000000001" w:type="dxa"/>
      </w:tblPr>
      <w:tblGrid>
        <w:gridCol w:w="1364"/>
        <w:gridCol w:w="1364"/>
        <w:gridCol w:w="1364"/>
        <w:gridCol w:w="1364"/>
        <w:gridCol w:w="1364"/>
        <w:gridCol w:w="1364"/>
        <w:gridCol w:w="1364"/>
      </w:tblGrid>
      <w:tr>
        <w:trPr>
          <w:trHeight w:hRule="exact" w:val="273"/>
        </w:trPr>
        <w:tc>
          <w:tcPr>
            <w:tcW w:type="dxa" w:w="2600"/>
            <w:vMerge w:val="restart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10" w:after="0"/>
              <w:ind w:left="26" w:right="0" w:firstLine="0"/>
              <w:jc w:val="left"/>
            </w:pPr>
            <w:r>
              <w:rPr>
                <w:rFonts w:ascii="CIDFont+F7" w:hAnsi="CIDFont+F7" w:eastAsia="CIDFont+F7"/>
                <w:b w:val="0"/>
                <w:i w:val="0"/>
                <w:color w:val="00497B"/>
                <w:sz w:val="17"/>
              </w:rPr>
              <w:t>Sovereign Countries and EU</w:t>
            </w:r>
          </w:p>
        </w:tc>
        <w:tc>
          <w:tcPr>
            <w:tcW w:type="dxa" w:w="2910"/>
            <w:gridSpan w:val="3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00497B"/>
                <w:sz w:val="17"/>
              </w:rPr>
              <w:t>2024</w:t>
            </w:r>
          </w:p>
        </w:tc>
        <w:tc>
          <w:tcPr>
            <w:tcW w:type="dxa" w:w="2792"/>
            <w:gridSpan w:val="3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00497B"/>
                <w:sz w:val="17"/>
              </w:rPr>
              <w:t>2023</w:t>
            </w:r>
          </w:p>
        </w:tc>
      </w:tr>
      <w:tr>
        <w:trPr>
          <w:trHeight w:hRule="exact" w:val="556"/>
        </w:trPr>
        <w:tc>
          <w:tcPr>
            <w:tcW w:type="dxa" w:w="1364"/>
            <w:vMerge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</w:tcPr>
          <w:p/>
        </w:tc>
        <w:tc>
          <w:tcPr>
            <w:tcW w:type="dxa" w:w="101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74" w:after="0"/>
              <w:ind w:left="142" w:right="0" w:firstLine="0"/>
              <w:jc w:val="left"/>
            </w:pPr>
            <w:r>
              <w:rPr>
                <w:rFonts w:ascii="CIDFont+F7" w:hAnsi="CIDFont+F7" w:eastAsia="CIDFont+F7"/>
                <w:b w:val="0"/>
                <w:i w:val="0"/>
                <w:color w:val="00497B"/>
                <w:sz w:val="17"/>
              </w:rPr>
              <w:t>Multi-Donor</w:t>
            </w:r>
          </w:p>
        </w:tc>
        <w:tc>
          <w:tcPr>
            <w:tcW w:type="dxa" w:w="105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74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00497B"/>
                <w:sz w:val="17"/>
              </w:rPr>
              <w:t>Single-Donor</w:t>
            </w:r>
          </w:p>
        </w:tc>
        <w:tc>
          <w:tcPr>
            <w:tcW w:type="dxa" w:w="84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74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00497B"/>
                <w:sz w:val="17"/>
              </w:rPr>
              <w:t>Total</w:t>
            </w:r>
          </w:p>
        </w:tc>
        <w:tc>
          <w:tcPr>
            <w:tcW w:type="dxa" w:w="94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74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00497B"/>
                <w:sz w:val="17"/>
              </w:rPr>
              <w:t>Multi-Donor</w:t>
            </w:r>
          </w:p>
        </w:tc>
        <w:tc>
          <w:tcPr>
            <w:tcW w:type="dxa" w:w="103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74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00497B"/>
                <w:sz w:val="17"/>
              </w:rPr>
              <w:t>Single-Donor</w:t>
            </w:r>
          </w:p>
        </w:tc>
        <w:tc>
          <w:tcPr>
            <w:tcW w:type="dxa" w:w="81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74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00497B"/>
                <w:sz w:val="17"/>
              </w:rPr>
              <w:t>Total</w:t>
            </w:r>
          </w:p>
        </w:tc>
      </w:tr>
      <w:tr>
        <w:trPr>
          <w:trHeight w:hRule="exact" w:val="274"/>
        </w:trPr>
        <w:tc>
          <w:tcPr>
            <w:tcW w:type="dxa" w:w="260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5989B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1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5989B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74" w:firstLine="0"/>
              <w:jc w:val="right"/>
            </w:pPr>
            <w:r>
              <w:rPr>
                <w:rFonts w:ascii="CIDFont+F11" w:hAnsi="CIDFont+F11" w:eastAsia="CIDFont+F11"/>
                <w:b/>
                <w:i w:val="0"/>
                <w:color w:val="636363"/>
                <w:sz w:val="17"/>
              </w:rPr>
              <w:t>11,058</w:t>
            </w:r>
          </w:p>
        </w:tc>
        <w:tc>
          <w:tcPr>
            <w:tcW w:type="dxa" w:w="105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5989B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74" w:firstLine="0"/>
              <w:jc w:val="right"/>
            </w:pPr>
            <w:r>
              <w:rPr>
                <w:rFonts w:ascii="CIDFont+F11" w:hAnsi="CIDFont+F11" w:eastAsia="CIDFont+F11"/>
                <w:b/>
                <w:i w:val="0"/>
                <w:color w:val="636363"/>
                <w:sz w:val="17"/>
              </w:rPr>
              <w:t>1,211</w:t>
            </w:r>
          </w:p>
        </w:tc>
        <w:tc>
          <w:tcPr>
            <w:tcW w:type="dxa" w:w="84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5989B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164" w:right="0" w:firstLine="0"/>
              <w:jc w:val="left"/>
            </w:pPr>
            <w:r>
              <w:rPr>
                <w:rFonts w:ascii="CIDFont+F11" w:hAnsi="CIDFont+F11" w:eastAsia="CIDFont+F11"/>
                <w:b/>
                <w:i w:val="0"/>
                <w:color w:val="636363"/>
                <w:sz w:val="17"/>
              </w:rPr>
              <w:t>$12,269</w:t>
            </w:r>
          </w:p>
        </w:tc>
        <w:tc>
          <w:tcPr>
            <w:tcW w:type="dxa" w:w="94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5989B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76" w:firstLine="0"/>
              <w:jc w:val="right"/>
            </w:pPr>
            <w:r>
              <w:rPr>
                <w:rFonts w:ascii="CIDFont+F11" w:hAnsi="CIDFont+F11" w:eastAsia="CIDFont+F11"/>
                <w:b/>
                <w:i w:val="0"/>
                <w:color w:val="636363"/>
                <w:sz w:val="17"/>
              </w:rPr>
              <w:t>$27,443</w:t>
            </w:r>
          </w:p>
        </w:tc>
        <w:tc>
          <w:tcPr>
            <w:tcW w:type="dxa" w:w="103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5989B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74" w:firstLine="0"/>
              <w:jc w:val="right"/>
            </w:pPr>
            <w:r>
              <w:rPr>
                <w:rFonts w:ascii="CIDFont+F11" w:hAnsi="CIDFont+F11" w:eastAsia="CIDFont+F11"/>
                <w:b/>
                <w:i w:val="0"/>
                <w:color w:val="636363"/>
                <w:sz w:val="17"/>
              </w:rPr>
              <w:t>$2,914</w:t>
            </w:r>
          </w:p>
        </w:tc>
        <w:tc>
          <w:tcPr>
            <w:tcW w:type="dxa" w:w="81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5989B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0" w:firstLine="0"/>
              <w:jc w:val="center"/>
            </w:pPr>
            <w:r>
              <w:rPr>
                <w:rFonts w:ascii="CIDFont+F11" w:hAnsi="CIDFont+F11" w:eastAsia="CIDFont+F11"/>
                <w:b/>
                <w:i w:val="0"/>
                <w:color w:val="636363"/>
                <w:sz w:val="17"/>
              </w:rPr>
              <w:t>$30,357</w:t>
            </w:r>
          </w:p>
        </w:tc>
      </w:tr>
      <w:tr>
        <w:trPr>
          <w:trHeight w:hRule="exact" w:val="6120"/>
        </w:trPr>
        <w:tc>
          <w:tcPr>
            <w:tcW w:type="dxa" w:w="2600"/>
            <w:tcBorders>
              <w:start w:sz="3.0" w:val="single" w:color="#000000"/>
              <w:top w:sz="3.0" w:val="single" w:color="#5989B3"/>
              <w:end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74" w:after="0"/>
              <w:ind w:left="26" w:right="0" w:firstLine="0"/>
              <w:jc w:val="lef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>United States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26" w:right="0" w:firstLine="0"/>
              <w:jc w:val="lef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>United Kingdom</w:t>
            </w:r>
          </w:p>
          <w:p>
            <w:pPr>
              <w:autoSpaceDN w:val="0"/>
              <w:autoSpaceDE w:val="0"/>
              <w:widowControl/>
              <w:spacing w:line="192" w:lineRule="exact" w:before="364" w:after="0"/>
              <w:ind w:left="26" w:right="0" w:firstLine="0"/>
              <w:jc w:val="lef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>Japan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26" w:right="0" w:firstLine="0"/>
              <w:jc w:val="lef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>Germany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26" w:right="0" w:firstLine="0"/>
              <w:jc w:val="lef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>France</w:t>
            </w:r>
          </w:p>
          <w:p>
            <w:pPr>
              <w:autoSpaceDN w:val="0"/>
              <w:autoSpaceDE w:val="0"/>
              <w:widowControl/>
              <w:spacing w:line="190" w:lineRule="exact" w:before="368" w:after="0"/>
              <w:ind w:left="26" w:right="0" w:firstLine="0"/>
              <w:jc w:val="lef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>EU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26" w:right="0" w:firstLine="0"/>
              <w:jc w:val="lef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>Norway</w:t>
            </w:r>
          </w:p>
          <w:p>
            <w:pPr>
              <w:autoSpaceDN w:val="0"/>
              <w:autoSpaceDE w:val="0"/>
              <w:widowControl/>
              <w:spacing w:line="192" w:lineRule="exact" w:before="366" w:after="0"/>
              <w:ind w:left="26" w:right="0" w:firstLine="0"/>
              <w:jc w:val="lef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>Canada</w:t>
            </w:r>
          </w:p>
          <w:p>
            <w:pPr>
              <w:autoSpaceDN w:val="0"/>
              <w:autoSpaceDE w:val="0"/>
              <w:widowControl/>
              <w:spacing w:line="190" w:lineRule="exact" w:before="364" w:after="0"/>
              <w:ind w:left="26" w:right="0" w:firstLine="0"/>
              <w:jc w:val="lef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>Netherlands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26" w:right="0" w:firstLine="0"/>
              <w:jc w:val="lef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>Sweden</w:t>
            </w:r>
          </w:p>
          <w:p>
            <w:pPr>
              <w:autoSpaceDN w:val="0"/>
              <w:autoSpaceDE w:val="0"/>
              <w:widowControl/>
              <w:spacing w:line="192" w:lineRule="exact" w:before="366" w:after="0"/>
              <w:ind w:left="26" w:right="0" w:firstLine="0"/>
              <w:jc w:val="lef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>Other sovereign countries</w:t>
            </w:r>
          </w:p>
        </w:tc>
        <w:tc>
          <w:tcPr>
            <w:tcW w:type="dxa" w:w="1012"/>
            <w:tcBorders>
              <w:start w:sz="3.0" w:val="single" w:color="#000000"/>
              <w:top w:sz="3.0" w:val="single" w:color="#5989B3"/>
              <w:end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74" w:after="0"/>
              <w:ind w:left="0" w:right="0" w:firstLine="0"/>
              <w:jc w:val="righ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3,317 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0" w:right="0" w:firstLine="0"/>
              <w:jc w:val="righ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1,274 </w:t>
            </w:r>
          </w:p>
          <w:p>
            <w:pPr>
              <w:autoSpaceDN w:val="0"/>
              <w:autoSpaceDE w:val="0"/>
              <w:widowControl/>
              <w:spacing w:line="192" w:lineRule="exact" w:before="364" w:after="0"/>
              <w:ind w:left="0" w:right="0" w:firstLine="0"/>
              <w:jc w:val="righ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517 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0" w:right="0" w:firstLine="0"/>
              <w:jc w:val="righ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1,119 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0" w:right="0" w:firstLine="0"/>
              <w:jc w:val="righ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739 </w:t>
            </w:r>
          </w:p>
          <w:p>
            <w:pPr>
              <w:autoSpaceDN w:val="0"/>
              <w:autoSpaceDE w:val="0"/>
              <w:widowControl/>
              <w:spacing w:line="190" w:lineRule="exact" w:before="368" w:after="0"/>
              <w:ind w:left="0" w:right="0" w:firstLine="0"/>
              <w:jc w:val="righ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543 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0" w:right="0" w:firstLine="0"/>
              <w:jc w:val="righ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627 </w:t>
            </w:r>
          </w:p>
          <w:p>
            <w:pPr>
              <w:autoSpaceDN w:val="0"/>
              <w:autoSpaceDE w:val="0"/>
              <w:widowControl/>
              <w:spacing w:line="192" w:lineRule="exact" w:before="366" w:after="0"/>
              <w:ind w:left="0" w:right="0" w:firstLine="0"/>
              <w:jc w:val="righ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514 </w:t>
            </w:r>
          </w:p>
          <w:p>
            <w:pPr>
              <w:autoSpaceDN w:val="0"/>
              <w:autoSpaceDE w:val="0"/>
              <w:widowControl/>
              <w:spacing w:line="190" w:lineRule="exact" w:before="364" w:after="0"/>
              <w:ind w:left="0" w:right="0" w:firstLine="0"/>
              <w:jc w:val="righ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482 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0" w:right="0" w:firstLine="0"/>
              <w:jc w:val="righ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410 </w:t>
            </w:r>
          </w:p>
          <w:p>
            <w:pPr>
              <w:autoSpaceDN w:val="0"/>
              <w:autoSpaceDE w:val="0"/>
              <w:widowControl/>
              <w:spacing w:line="192" w:lineRule="exact" w:before="366" w:after="0"/>
              <w:ind w:left="0" w:right="0" w:firstLine="0"/>
              <w:jc w:val="righ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1,516 </w:t>
            </w:r>
          </w:p>
        </w:tc>
        <w:tc>
          <w:tcPr>
            <w:tcW w:type="dxa" w:w="1056"/>
            <w:tcBorders>
              <w:start w:sz="3.0" w:val="single" w:color="#000000"/>
              <w:top w:sz="3.0" w:val="single" w:color="#5989B3"/>
              <w:end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74" w:after="0"/>
              <w:ind w:left="0" w:right="0" w:firstLine="0"/>
              <w:jc w:val="righ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6 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                24 </w:t>
            </w:r>
          </w:p>
          <w:p>
            <w:pPr>
              <w:autoSpaceDN w:val="0"/>
              <w:autoSpaceDE w:val="0"/>
              <w:widowControl/>
              <w:spacing w:line="192" w:lineRule="exact" w:before="364" w:after="0"/>
              <w:ind w:left="0" w:right="0" w:firstLine="0"/>
              <w:jc w:val="righ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639 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                29 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0" w:right="0" w:firstLine="0"/>
              <w:jc w:val="righ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1 </w:t>
            </w:r>
          </w:p>
          <w:p>
            <w:pPr>
              <w:autoSpaceDN w:val="0"/>
              <w:autoSpaceDE w:val="0"/>
              <w:widowControl/>
              <w:spacing w:line="190" w:lineRule="exact" w:before="368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              173 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                13 </w:t>
            </w:r>
          </w:p>
          <w:p>
            <w:pPr>
              <w:autoSpaceDN w:val="0"/>
              <w:autoSpaceDE w:val="0"/>
              <w:widowControl/>
              <w:spacing w:line="192" w:lineRule="exact" w:before="366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                  4 </w:t>
            </w:r>
          </w:p>
          <w:p>
            <w:pPr>
              <w:autoSpaceDN w:val="0"/>
              <w:autoSpaceDE w:val="0"/>
              <w:widowControl/>
              <w:spacing w:line="190" w:lineRule="exact" w:before="364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                28 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118" w:right="0" w:firstLine="0"/>
              <w:jc w:val="lef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                 1 </w:t>
            </w:r>
          </w:p>
          <w:p>
            <w:pPr>
              <w:autoSpaceDN w:val="0"/>
              <w:autoSpaceDE w:val="0"/>
              <w:widowControl/>
              <w:spacing w:line="192" w:lineRule="exact" w:before="366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              293 </w:t>
            </w:r>
          </w:p>
        </w:tc>
        <w:tc>
          <w:tcPr>
            <w:tcW w:type="dxa" w:w="842"/>
            <w:tcBorders>
              <w:start w:sz="3.0" w:val="single" w:color="#000000"/>
              <w:top w:sz="3.0" w:val="single" w:color="#5989B3"/>
              <w:end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4" w:after="0"/>
              <w:ind w:left="0" w:right="0" w:firstLine="0"/>
              <w:jc w:val="lef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6 </w:t>
            </w:r>
            <w:r>
              <w:rPr>
                <w:rFonts w:ascii="CIDFont+F11" w:hAnsi="CIDFont+F11" w:eastAsia="CIDFont+F11"/>
                <w:b/>
                <w:i w:val="0"/>
                <w:color w:val="636363"/>
                <w:sz w:val="17"/>
              </w:rPr>
              <w:t xml:space="preserve">       3,323 </w:t>
            </w:r>
          </w:p>
          <w:p>
            <w:pPr>
              <w:autoSpaceDN w:val="0"/>
              <w:autoSpaceDE w:val="0"/>
              <w:widowControl/>
              <w:spacing w:line="190" w:lineRule="exact" w:before="368" w:after="0"/>
              <w:ind w:left="0" w:right="0" w:firstLine="0"/>
              <w:jc w:val="center"/>
            </w:pPr>
            <w:r>
              <w:rPr>
                <w:rFonts w:ascii="CIDFont+F11" w:hAnsi="CIDFont+F11" w:eastAsia="CIDFont+F11"/>
                <w:b/>
                <w:i w:val="0"/>
                <w:color w:val="636363"/>
                <w:sz w:val="17"/>
              </w:rPr>
              <w:t xml:space="preserve">       1,298 </w:t>
            </w:r>
          </w:p>
          <w:p>
            <w:pPr>
              <w:autoSpaceDN w:val="0"/>
              <w:autoSpaceDE w:val="0"/>
              <w:widowControl/>
              <w:spacing w:line="190" w:lineRule="exact" w:before="364" w:after="0"/>
              <w:ind w:left="0" w:right="12" w:firstLine="0"/>
              <w:jc w:val="right"/>
            </w:pPr>
            <w:r>
              <w:rPr>
                <w:rFonts w:ascii="CIDFont+F11" w:hAnsi="CIDFont+F11" w:eastAsia="CIDFont+F11"/>
                <w:b/>
                <w:i w:val="0"/>
                <w:color w:val="636363"/>
                <w:sz w:val="17"/>
              </w:rPr>
              <w:t xml:space="preserve"> 1,156 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0" w:right="0" w:firstLine="0"/>
              <w:jc w:val="center"/>
            </w:pPr>
            <w:r>
              <w:rPr>
                <w:rFonts w:ascii="CIDFont+F11" w:hAnsi="CIDFont+F11" w:eastAsia="CIDFont+F11"/>
                <w:b/>
                <w:i w:val="0"/>
                <w:color w:val="636363"/>
                <w:sz w:val="17"/>
              </w:rPr>
              <w:t xml:space="preserve">       1,148 </w:t>
            </w:r>
          </w:p>
          <w:p>
            <w:pPr>
              <w:autoSpaceDN w:val="0"/>
              <w:autoSpaceDE w:val="0"/>
              <w:widowControl/>
              <w:spacing w:line="194" w:lineRule="exact" w:before="364" w:after="0"/>
              <w:ind w:left="0" w:right="0" w:firstLine="0"/>
              <w:jc w:val="lef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1 </w:t>
            </w:r>
            <w:r>
              <w:rPr>
                <w:rFonts w:ascii="CIDFont+F11" w:hAnsi="CIDFont+F11" w:eastAsia="CIDFont+F11"/>
                <w:b/>
                <w:i w:val="0"/>
                <w:color w:val="636363"/>
                <w:sz w:val="17"/>
              </w:rPr>
              <w:t xml:space="preserve">          740 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0" w:right="0" w:firstLine="0"/>
              <w:jc w:val="center"/>
            </w:pPr>
            <w:r>
              <w:rPr>
                <w:rFonts w:ascii="CIDFont+F11" w:hAnsi="CIDFont+F11" w:eastAsia="CIDFont+F11"/>
                <w:b/>
                <w:i w:val="0"/>
                <w:color w:val="636363"/>
                <w:sz w:val="17"/>
              </w:rPr>
              <w:t xml:space="preserve">          716 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0" w:right="0" w:firstLine="0"/>
              <w:jc w:val="center"/>
            </w:pPr>
            <w:r>
              <w:rPr>
                <w:rFonts w:ascii="CIDFont+F11" w:hAnsi="CIDFont+F11" w:eastAsia="CIDFont+F11"/>
                <w:b/>
                <w:i w:val="0"/>
                <w:color w:val="636363"/>
                <w:sz w:val="17"/>
              </w:rPr>
              <w:t xml:space="preserve">          640 </w:t>
            </w:r>
          </w:p>
          <w:p>
            <w:pPr>
              <w:autoSpaceDN w:val="0"/>
              <w:autoSpaceDE w:val="0"/>
              <w:widowControl/>
              <w:spacing w:line="190" w:lineRule="exact" w:before="368" w:after="0"/>
              <w:ind w:left="0" w:right="0" w:firstLine="0"/>
              <w:jc w:val="center"/>
            </w:pPr>
            <w:r>
              <w:rPr>
                <w:rFonts w:ascii="CIDFont+F11" w:hAnsi="CIDFont+F11" w:eastAsia="CIDFont+F11"/>
                <w:b/>
                <w:i w:val="0"/>
                <w:color w:val="636363"/>
                <w:sz w:val="17"/>
              </w:rPr>
              <w:t xml:space="preserve">          518 </w:t>
            </w:r>
          </w:p>
          <w:p>
            <w:pPr>
              <w:autoSpaceDN w:val="0"/>
              <w:autoSpaceDE w:val="0"/>
              <w:widowControl/>
              <w:spacing w:line="190" w:lineRule="exact" w:before="364" w:after="0"/>
              <w:ind w:left="0" w:right="0" w:firstLine="0"/>
              <w:jc w:val="center"/>
            </w:pPr>
            <w:r>
              <w:rPr>
                <w:rFonts w:ascii="CIDFont+F11" w:hAnsi="CIDFont+F11" w:eastAsia="CIDFont+F11"/>
                <w:b/>
                <w:i w:val="0"/>
                <w:color w:val="636363"/>
                <w:sz w:val="17"/>
              </w:rPr>
              <w:t xml:space="preserve">          510 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0" w:right="0" w:firstLine="0"/>
              <w:jc w:val="center"/>
            </w:pPr>
            <w:r>
              <w:rPr>
                <w:rFonts w:ascii="CIDFont+F11" w:hAnsi="CIDFont+F11" w:eastAsia="CIDFont+F11"/>
                <w:b/>
                <w:i w:val="0"/>
                <w:color w:val="636363"/>
                <w:sz w:val="17"/>
              </w:rPr>
              <w:t xml:space="preserve">          411 </w:t>
            </w:r>
          </w:p>
          <w:p>
            <w:pPr>
              <w:autoSpaceDN w:val="0"/>
              <w:autoSpaceDE w:val="0"/>
              <w:widowControl/>
              <w:spacing w:line="190" w:lineRule="exact" w:before="368" w:after="0"/>
              <w:ind w:left="0" w:right="0" w:firstLine="0"/>
              <w:jc w:val="center"/>
            </w:pPr>
            <w:r>
              <w:rPr>
                <w:rFonts w:ascii="CIDFont+F11" w:hAnsi="CIDFont+F11" w:eastAsia="CIDFont+F11"/>
                <w:b/>
                <w:i w:val="0"/>
                <w:color w:val="636363"/>
                <w:sz w:val="17"/>
              </w:rPr>
              <w:t xml:space="preserve">       1,809 </w:t>
            </w:r>
          </w:p>
        </w:tc>
        <w:tc>
          <w:tcPr>
            <w:tcW w:type="dxa" w:w="942"/>
            <w:tcBorders>
              <w:start w:sz="3.0" w:val="single" w:color="#000000"/>
              <w:top w:sz="3.0" w:val="single" w:color="#5989B3"/>
              <w:end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74" w:after="0"/>
              <w:ind w:left="0" w:right="10" w:firstLine="0"/>
              <w:jc w:val="righ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18,844 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0" w:right="10" w:firstLine="0"/>
              <w:jc w:val="righ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615 </w:t>
            </w:r>
          </w:p>
          <w:p>
            <w:pPr>
              <w:autoSpaceDN w:val="0"/>
              <w:autoSpaceDE w:val="0"/>
              <w:widowControl/>
              <w:spacing w:line="192" w:lineRule="exact" w:before="364" w:after="0"/>
              <w:ind w:left="0" w:right="10" w:firstLine="0"/>
              <w:jc w:val="righ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687 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0" w:right="10" w:firstLine="0"/>
              <w:jc w:val="righ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1,912 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0" w:right="10" w:firstLine="0"/>
              <w:jc w:val="righ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750 </w:t>
            </w:r>
          </w:p>
          <w:p>
            <w:pPr>
              <w:autoSpaceDN w:val="0"/>
              <w:autoSpaceDE w:val="0"/>
              <w:widowControl/>
              <w:spacing w:line="190" w:lineRule="exact" w:before="368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           433 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0" w:right="10" w:firstLine="0"/>
              <w:jc w:val="righ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869 </w:t>
            </w:r>
          </w:p>
          <w:p>
            <w:pPr>
              <w:autoSpaceDN w:val="0"/>
              <w:autoSpaceDE w:val="0"/>
              <w:widowControl/>
              <w:spacing w:line="192" w:lineRule="exact" w:before="366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           721 </w:t>
            </w:r>
          </w:p>
          <w:p>
            <w:pPr>
              <w:autoSpaceDN w:val="0"/>
              <w:autoSpaceDE w:val="0"/>
              <w:widowControl/>
              <w:spacing w:line="190" w:lineRule="exact" w:before="364" w:after="0"/>
              <w:ind w:left="0" w:right="10" w:firstLine="0"/>
              <w:jc w:val="righ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636 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           416 </w:t>
            </w:r>
          </w:p>
          <w:p>
            <w:pPr>
              <w:autoSpaceDN w:val="0"/>
              <w:autoSpaceDE w:val="0"/>
              <w:widowControl/>
              <w:spacing w:line="192" w:lineRule="exact" w:before="366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        1,560 </w:t>
            </w:r>
          </w:p>
        </w:tc>
        <w:tc>
          <w:tcPr>
            <w:tcW w:type="dxa" w:w="1032"/>
            <w:tcBorders>
              <w:start w:sz="3.0" w:val="single" w:color="#000000"/>
              <w:top w:sz="3.0" w:val="single" w:color="#5989B3"/>
              <w:end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74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          1,720 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               18 </w:t>
            </w:r>
          </w:p>
          <w:p>
            <w:pPr>
              <w:autoSpaceDN w:val="0"/>
              <w:autoSpaceDE w:val="0"/>
              <w:widowControl/>
              <w:spacing w:line="192" w:lineRule="exact" w:before="364" w:after="0"/>
              <w:ind w:left="0" w:right="6" w:firstLine="0"/>
              <w:jc w:val="righ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627 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               65 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                 1 </w:t>
            </w:r>
          </w:p>
          <w:p>
            <w:pPr>
              <w:autoSpaceDN w:val="0"/>
              <w:autoSpaceDE w:val="0"/>
              <w:widowControl/>
              <w:spacing w:line="190" w:lineRule="exact" w:before="368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             270 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               20 </w:t>
            </w:r>
          </w:p>
          <w:p>
            <w:pPr>
              <w:autoSpaceDN w:val="0"/>
              <w:autoSpaceDE w:val="0"/>
              <w:widowControl/>
              <w:spacing w:line="192" w:lineRule="exact" w:before="366" w:after="0"/>
              <w:ind w:left="0" w:right="8" w:firstLine="0"/>
              <w:jc w:val="righ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4 </w:t>
            </w:r>
          </w:p>
          <w:p>
            <w:pPr>
              <w:autoSpaceDN w:val="0"/>
              <w:autoSpaceDE w:val="0"/>
              <w:widowControl/>
              <w:spacing w:line="190" w:lineRule="exact" w:before="364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               30 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                 5 </w:t>
            </w:r>
          </w:p>
          <w:p>
            <w:pPr>
              <w:autoSpaceDN w:val="0"/>
              <w:autoSpaceDE w:val="0"/>
              <w:widowControl/>
              <w:spacing w:line="192" w:lineRule="exact" w:before="366" w:after="0"/>
              <w:ind w:left="0" w:right="0" w:firstLine="0"/>
              <w:jc w:val="center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             154 </w:t>
            </w:r>
          </w:p>
        </w:tc>
        <w:tc>
          <w:tcPr>
            <w:tcW w:type="dxa" w:w="818"/>
            <w:tcBorders>
              <w:start w:sz="3.0" w:val="single" w:color="#000000"/>
              <w:top w:sz="3.0" w:val="single" w:color="#5989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76" w:after="0"/>
              <w:ind w:left="0" w:right="0" w:firstLine="0"/>
              <w:jc w:val="center"/>
            </w:pPr>
            <w:r>
              <w:rPr>
                <w:rFonts w:ascii="CIDFont+F11" w:hAnsi="CIDFont+F11" w:eastAsia="CIDFont+F11"/>
                <w:b/>
                <w:i w:val="0"/>
                <w:color w:val="636363"/>
                <w:sz w:val="17"/>
              </w:rPr>
              <w:t xml:space="preserve">    20,564 </w:t>
            </w:r>
          </w:p>
          <w:p>
            <w:pPr>
              <w:autoSpaceDN w:val="0"/>
              <w:autoSpaceDE w:val="0"/>
              <w:widowControl/>
              <w:spacing w:line="190" w:lineRule="exact" w:before="368" w:after="0"/>
              <w:ind w:left="0" w:right="0" w:firstLine="0"/>
              <w:jc w:val="center"/>
            </w:pPr>
            <w:r>
              <w:rPr>
                <w:rFonts w:ascii="CIDFont+F11" w:hAnsi="CIDFont+F11" w:eastAsia="CIDFont+F11"/>
                <w:b/>
                <w:i w:val="0"/>
                <w:color w:val="636363"/>
                <w:sz w:val="17"/>
              </w:rPr>
              <w:t xml:space="preserve">         633 </w:t>
            </w:r>
          </w:p>
          <w:p>
            <w:pPr>
              <w:autoSpaceDN w:val="0"/>
              <w:autoSpaceDE w:val="0"/>
              <w:widowControl/>
              <w:spacing w:line="190" w:lineRule="exact" w:before="364" w:after="0"/>
              <w:ind w:left="0" w:right="0" w:firstLine="0"/>
              <w:jc w:val="center"/>
            </w:pPr>
            <w:r>
              <w:rPr>
                <w:rFonts w:ascii="CIDFont+F11" w:hAnsi="CIDFont+F11" w:eastAsia="CIDFont+F11"/>
                <w:b/>
                <w:i w:val="0"/>
                <w:color w:val="636363"/>
                <w:sz w:val="17"/>
              </w:rPr>
              <w:t xml:space="preserve">      1,314 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0" w:right="0" w:firstLine="0"/>
              <w:jc w:val="center"/>
            </w:pPr>
            <w:r>
              <w:rPr>
                <w:rFonts w:ascii="CIDFont+F11" w:hAnsi="CIDFont+F11" w:eastAsia="CIDFont+F11"/>
                <w:b/>
                <w:i w:val="0"/>
                <w:color w:val="636363"/>
                <w:sz w:val="17"/>
              </w:rPr>
              <w:t xml:space="preserve">      1,977 </w:t>
            </w:r>
          </w:p>
          <w:p>
            <w:pPr>
              <w:autoSpaceDN w:val="0"/>
              <w:autoSpaceDE w:val="0"/>
              <w:widowControl/>
              <w:spacing w:line="192" w:lineRule="exact" w:before="366" w:after="0"/>
              <w:ind w:left="0" w:right="0" w:firstLine="0"/>
              <w:jc w:val="center"/>
            </w:pPr>
            <w:r>
              <w:rPr>
                <w:rFonts w:ascii="CIDFont+F11" w:hAnsi="CIDFont+F11" w:eastAsia="CIDFont+F11"/>
                <w:b/>
                <w:i w:val="0"/>
                <w:color w:val="636363"/>
                <w:sz w:val="17"/>
              </w:rPr>
              <w:t xml:space="preserve">         751 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0" w:right="0" w:firstLine="0"/>
              <w:jc w:val="center"/>
            </w:pPr>
            <w:r>
              <w:rPr>
                <w:rFonts w:ascii="CIDFont+F11" w:hAnsi="CIDFont+F11" w:eastAsia="CIDFont+F11"/>
                <w:b/>
                <w:i w:val="0"/>
                <w:color w:val="636363"/>
                <w:sz w:val="17"/>
              </w:rPr>
              <w:t xml:space="preserve">         703 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0" w:right="0" w:firstLine="0"/>
              <w:jc w:val="center"/>
            </w:pPr>
            <w:r>
              <w:rPr>
                <w:rFonts w:ascii="CIDFont+F11" w:hAnsi="CIDFont+F11" w:eastAsia="CIDFont+F11"/>
                <w:b/>
                <w:i w:val="0"/>
                <w:color w:val="636363"/>
                <w:sz w:val="17"/>
              </w:rPr>
              <w:t xml:space="preserve">         889 </w:t>
            </w:r>
          </w:p>
          <w:p>
            <w:pPr>
              <w:autoSpaceDN w:val="0"/>
              <w:autoSpaceDE w:val="0"/>
              <w:widowControl/>
              <w:spacing w:line="194" w:lineRule="exact" w:before="364" w:after="0"/>
              <w:ind w:left="0" w:right="0" w:firstLine="0"/>
              <w:jc w:val="left"/>
            </w:pPr>
            <w:r>
              <w:rPr>
                <w:rFonts w:ascii="CIDFont+F7" w:hAnsi="CIDFont+F7" w:eastAsia="CIDFont+F7"/>
                <w:b w:val="0"/>
                <w:i w:val="0"/>
                <w:color w:val="636363"/>
                <w:sz w:val="17"/>
              </w:rPr>
              <w:t xml:space="preserve"> 4 </w:t>
            </w:r>
            <w:r>
              <w:rPr>
                <w:rFonts w:ascii="CIDFont+F11" w:hAnsi="CIDFont+F11" w:eastAsia="CIDFont+F11"/>
                <w:b/>
                <w:i w:val="0"/>
                <w:color w:val="636363"/>
                <w:sz w:val="17"/>
              </w:rPr>
              <w:t xml:space="preserve">         725 </w:t>
            </w:r>
          </w:p>
          <w:p>
            <w:pPr>
              <w:autoSpaceDN w:val="0"/>
              <w:autoSpaceDE w:val="0"/>
              <w:widowControl/>
              <w:spacing w:line="190" w:lineRule="exact" w:before="364" w:after="0"/>
              <w:ind w:left="0" w:right="0" w:firstLine="0"/>
              <w:jc w:val="center"/>
            </w:pPr>
            <w:r>
              <w:rPr>
                <w:rFonts w:ascii="CIDFont+F11" w:hAnsi="CIDFont+F11" w:eastAsia="CIDFont+F11"/>
                <w:b/>
                <w:i w:val="0"/>
                <w:color w:val="636363"/>
                <w:sz w:val="17"/>
              </w:rPr>
              <w:t xml:space="preserve">         666 </w:t>
            </w:r>
          </w:p>
          <w:p>
            <w:pPr>
              <w:autoSpaceDN w:val="0"/>
              <w:autoSpaceDE w:val="0"/>
              <w:widowControl/>
              <w:spacing w:line="190" w:lineRule="exact" w:before="366" w:after="0"/>
              <w:ind w:left="0" w:right="0" w:firstLine="0"/>
              <w:jc w:val="center"/>
            </w:pPr>
            <w:r>
              <w:rPr>
                <w:rFonts w:ascii="CIDFont+F11" w:hAnsi="CIDFont+F11" w:eastAsia="CIDFont+F11"/>
                <w:b/>
                <w:i w:val="0"/>
                <w:color w:val="636363"/>
                <w:sz w:val="17"/>
              </w:rPr>
              <w:t xml:space="preserve">         421 </w:t>
            </w:r>
          </w:p>
          <w:p>
            <w:pPr>
              <w:autoSpaceDN w:val="0"/>
              <w:autoSpaceDE w:val="0"/>
              <w:widowControl/>
              <w:spacing w:line="190" w:lineRule="exact" w:before="368" w:after="0"/>
              <w:ind w:left="0" w:right="24" w:firstLine="0"/>
              <w:jc w:val="right"/>
            </w:pPr>
            <w:r>
              <w:rPr>
                <w:rFonts w:ascii="CIDFont+F11" w:hAnsi="CIDFont+F11" w:eastAsia="CIDFont+F11"/>
                <w:b/>
                <w:i w:val="0"/>
                <w:color w:val="636363"/>
                <w:sz w:val="17"/>
              </w:rPr>
              <w:t xml:space="preserve"> 1,714 </w:t>
            </w:r>
          </w:p>
        </w:tc>
      </w:tr>
    </w:tbl>
    <w:p>
      <w:pPr>
        <w:autoSpaceDN w:val="0"/>
        <w:autoSpaceDE w:val="0"/>
        <w:widowControl/>
        <w:spacing w:line="300" w:lineRule="exact" w:before="1452" w:after="0"/>
        <w:ind w:left="532" w:right="0" w:firstLine="0"/>
        <w:jc w:val="left"/>
      </w:pPr>
      <w:r>
        <w:rPr>
          <w:w w:val="101.32788144625151"/>
          <w:rFonts w:ascii="CIDFont+F5" w:hAnsi="CIDFont+F5" w:eastAsia="CIDFont+F5"/>
          <w:b/>
          <w:i w:val="0"/>
          <w:color w:val="000000"/>
          <w:sz w:val="26"/>
        </w:rPr>
        <w:t>__________________</w:t>
      </w:r>
    </w:p>
    <w:p>
      <w:pPr>
        <w:autoSpaceDN w:val="0"/>
        <w:autoSpaceDE w:val="0"/>
        <w:widowControl/>
        <w:spacing w:line="164" w:lineRule="exact" w:before="46" w:after="0"/>
        <w:ind w:left="532" w:right="0" w:firstLine="0"/>
        <w:jc w:val="left"/>
      </w:pPr>
      <w:r>
        <w:rPr>
          <w:w w:val="105.08066813151042"/>
          <w:rFonts w:ascii="CIDFont+F8" w:hAnsi="CIDFont+F8" w:eastAsia="CIDFont+F8"/>
          <w:b w:val="0"/>
          <w:i/>
          <w:color w:val="000000"/>
          <w:sz w:val="9"/>
        </w:rPr>
        <w:t>13</w:t>
      </w:r>
      <w:r>
        <w:rPr>
          <w:w w:val="101.32767813546317"/>
          <w:rFonts w:ascii="CIDFont+F8" w:hAnsi="CIDFont+F8" w:eastAsia="CIDFont+F8"/>
          <w:b w:val="0"/>
          <w:i/>
          <w:color w:val="000000"/>
          <w:sz w:val="14"/>
        </w:rPr>
        <w:t xml:space="preserve"> Other DPs includes multilateral development banks, United Nations agencies, and public and private institutions. Out of the total $4,884m in </w:t>
      </w:r>
    </w:p>
    <w:p>
      <w:pPr>
        <w:autoSpaceDN w:val="0"/>
        <w:autoSpaceDE w:val="0"/>
        <w:widowControl/>
        <w:spacing w:line="158" w:lineRule="exact" w:before="26" w:after="0"/>
        <w:ind w:left="532" w:right="0" w:firstLine="0"/>
        <w:jc w:val="left"/>
      </w:pPr>
      <w:r>
        <w:rPr>
          <w:w w:val="101.32767813546317"/>
          <w:rFonts w:ascii="CIDFont+F8" w:hAnsi="CIDFont+F8" w:eastAsia="CIDFont+F8"/>
          <w:b w:val="0"/>
          <w:i/>
          <w:color w:val="000000"/>
          <w:sz w:val="14"/>
        </w:rPr>
        <w:t xml:space="preserve">other DPs, $4,470m pertains to GFATM Secretariat </w:t>
      </w:r>
    </w:p>
    <w:p>
      <w:pPr>
        <w:autoSpaceDN w:val="0"/>
        <w:autoSpaceDE w:val="0"/>
        <w:widowControl/>
        <w:spacing w:line="228" w:lineRule="exact" w:before="240" w:after="0"/>
        <w:ind w:left="0" w:right="590" w:firstLine="0"/>
        <w:jc w:val="right"/>
      </w:pP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17 </w:t>
      </w:r>
    </w:p>
    <w:p>
      <w:pPr>
        <w:autoSpaceDN w:val="0"/>
        <w:autoSpaceDE w:val="0"/>
        <w:widowControl/>
        <w:spacing w:line="148" w:lineRule="exact" w:before="188" w:after="0"/>
        <w:ind w:left="432" w:right="0" w:firstLine="0"/>
        <w:jc w:val="left"/>
      </w:pPr>
      <w:r>
        <w:rPr>
          <w:w w:val="101.3277530670166"/>
          <w:rFonts w:ascii="CIDFont+F2" w:hAnsi="CIDFont+F2" w:eastAsia="CIDFont+F2"/>
          <w:b w:val="0"/>
          <w:i w:val="0"/>
          <w:color w:val="FFFFFF"/>
          <w:sz w:val="12"/>
        </w:rPr>
        <w:t>1</w:t>
      </w:r>
    </w:p>
    <w:p>
      <w:pPr>
        <w:sectPr>
          <w:pgSz w:w="12240" w:h="15840"/>
          <w:pgMar w:top="356" w:right="1252" w:bottom="4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174" w:lineRule="exact" w:before="0" w:after="0"/>
        <w:ind w:left="5974" w:right="576" w:hanging="2120"/>
        <w:jc w:val="left"/>
      </w:pPr>
      <w:r>
        <w:rPr>
          <w:w w:val="101.33335930960519"/>
          <w:rFonts w:ascii="CIDFont+F1" w:hAnsi="CIDFont+F1" w:eastAsia="CIDFont+F1"/>
          <w:b w:val="0"/>
          <w:i/>
          <w:color w:val="000000"/>
          <w:sz w:val="14"/>
        </w:rPr>
        <w:t xml:space="preserve">Trust Fund Financial Information Summary for fiscal years ended June 30, 2024 and 2023 </w:t>
      </w:r>
      <w:r>
        <w:rPr>
          <w:w w:val="101.33335930960519"/>
          <w:rFonts w:ascii="CIDFont+F1" w:hAnsi="CIDFont+F1" w:eastAsia="CIDFont+F1"/>
          <w:b w:val="0"/>
          <w:i/>
          <w:color w:val="000000"/>
          <w:sz w:val="14"/>
        </w:rPr>
        <w:t xml:space="preserve">All amounts in USD millions, unless otherwise noted </w:t>
      </w:r>
    </w:p>
    <w:p>
      <w:pPr>
        <w:autoSpaceDN w:val="0"/>
        <w:autoSpaceDE w:val="0"/>
        <w:widowControl/>
        <w:spacing w:line="252" w:lineRule="exact" w:before="172" w:after="0"/>
        <w:ind w:left="536" w:right="0" w:firstLine="0"/>
        <w:jc w:val="left"/>
      </w:pPr>
      <w:r>
        <w:rPr>
          <w:w w:val="98.65285782586962"/>
          <w:rFonts w:ascii="CIDFont+F2" w:hAnsi="CIDFont+F2" w:eastAsia="CIDFont+F2"/>
          <w:b w:val="0"/>
          <w:i w:val="0"/>
          <w:color w:val="00497B"/>
          <w:sz w:val="21"/>
        </w:rPr>
        <w:t>Contribution and Receivables</w:t>
      </w:r>
    </w:p>
    <w:p>
      <w:pPr>
        <w:autoSpaceDN w:val="0"/>
        <w:autoSpaceDE w:val="0"/>
        <w:widowControl/>
        <w:spacing w:line="300" w:lineRule="exact" w:before="144" w:after="0"/>
        <w:ind w:left="536" w:right="0" w:firstLine="0"/>
        <w:jc w:val="left"/>
      </w:pPr>
      <w:r>
        <w:rPr>
          <w:w w:val="101.33307530329778"/>
          <w:rFonts w:ascii="CIDFont+F5" w:hAnsi="CIDFont+F5" w:eastAsia="CIDFont+F5"/>
          <w:b/>
          <w:i w:val="0"/>
          <w:color w:val="00497B"/>
          <w:sz w:val="26"/>
        </w:rPr>
        <w:t xml:space="preserve">Cash Contributions (cont’d) </w:t>
      </w:r>
    </w:p>
    <w:p>
      <w:pPr>
        <w:autoSpaceDN w:val="0"/>
        <w:autoSpaceDE w:val="0"/>
        <w:widowControl/>
        <w:spacing w:line="192" w:lineRule="exact" w:before="108" w:after="214"/>
        <w:ind w:left="536" w:right="0" w:firstLine="0"/>
        <w:jc w:val="left"/>
      </w:pPr>
      <w:r>
        <w:rPr>
          <w:rFonts w:ascii="CIDFont+F5" w:hAnsi="CIDFont+F5" w:eastAsia="CIDFont+F5"/>
          <w:b/>
          <w:i w:val="0"/>
          <w:color w:val="00497B"/>
          <w:sz w:val="17"/>
        </w:rPr>
        <w:t>Contributions received from WBG and Other DPs</w:t>
      </w:r>
      <w:r>
        <w:rPr>
          <w:w w:val="97.58049647013345"/>
          <w:rFonts w:ascii="CIDFont+F5" w:hAnsi="CIDFont+F5" w:eastAsia="CIDFont+F5"/>
          <w:b/>
          <w:i w:val="0"/>
          <w:color w:val="FFFFFF"/>
          <w:sz w:val="3"/>
        </w:rPr>
        <w:t>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8.0000000000001" w:type="dxa"/>
      </w:tblPr>
      <w:tblGrid>
        <w:gridCol w:w="3206"/>
        <w:gridCol w:w="3206"/>
        <w:gridCol w:w="3206"/>
      </w:tblGrid>
      <w:tr>
        <w:trPr>
          <w:trHeight w:hRule="exact" w:val="231"/>
        </w:trPr>
        <w:tc>
          <w:tcPr>
            <w:tcW w:type="dxa" w:w="2324"/>
            <w:vMerge w:val="restart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0" w:after="0"/>
              <w:ind w:left="0" w:right="0" w:firstLine="0"/>
              <w:jc w:val="center"/>
            </w:pPr>
            <w:r>
              <w:rPr>
                <w:w w:val="98.85260264078775"/>
                <w:rFonts w:ascii="CIDFont+F7" w:hAnsi="CIDFont+F7" w:eastAsia="CIDFont+F7"/>
                <w:b w:val="0"/>
                <w:i w:val="0"/>
                <w:color w:val="00497B"/>
                <w:sz w:val="15"/>
              </w:rPr>
              <w:t>2024</w:t>
            </w:r>
          </w:p>
        </w:tc>
        <w:tc>
          <w:tcPr>
            <w:tcW w:type="dxa" w:w="249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0" w:after="0"/>
              <w:ind w:left="0" w:right="0" w:firstLine="0"/>
              <w:jc w:val="center"/>
            </w:pPr>
            <w:r>
              <w:rPr>
                <w:w w:val="98.85260264078775"/>
                <w:rFonts w:ascii="CIDFont+F7" w:hAnsi="CIDFont+F7" w:eastAsia="CIDFont+F7"/>
                <w:b w:val="0"/>
                <w:i w:val="0"/>
                <w:color w:val="00497B"/>
                <w:sz w:val="15"/>
              </w:rPr>
              <w:t>2023</w:t>
            </w:r>
          </w:p>
        </w:tc>
      </w:tr>
      <w:tr>
        <w:trPr>
          <w:trHeight w:hRule="exact" w:val="463"/>
        </w:trPr>
        <w:tc>
          <w:tcPr>
            <w:tcW w:type="dxa" w:w="3206"/>
            <w:vMerge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</w:tcPr>
          <w:p/>
        </w:tc>
        <w:tc>
          <w:tcPr>
            <w:tcW w:type="dxa" w:w="260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6.000000000000227" w:type="dxa"/>
            </w:tblPr>
            <w:tblGrid>
              <w:gridCol w:w="867"/>
              <w:gridCol w:w="867"/>
              <w:gridCol w:w="867"/>
            </w:tblGrid>
            <w:tr>
              <w:trPr>
                <w:trHeight w:hRule="exact" w:val="262"/>
              </w:trPr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60" w:after="0"/>
                    <w:ind w:left="0" w:right="0" w:firstLine="0"/>
                    <w:jc w:val="center"/>
                  </w:pPr>
                  <w:r>
                    <w:rPr>
                      <w:w w:val="98.85260264078775"/>
                      <w:rFonts w:ascii="CIDFont+F7" w:hAnsi="CIDFont+F7" w:eastAsia="CIDFont+F7"/>
                      <w:b w:val="0"/>
                      <w:i w:val="0"/>
                      <w:color w:val="00497B"/>
                      <w:sz w:val="15"/>
                    </w:rPr>
                    <w:t>Multi-Donor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60" w:after="0"/>
                    <w:ind w:left="0" w:right="0" w:firstLine="0"/>
                    <w:jc w:val="center"/>
                  </w:pPr>
                  <w:r>
                    <w:rPr>
                      <w:w w:val="98.85260264078775"/>
                      <w:rFonts w:ascii="CIDFont+F7" w:hAnsi="CIDFont+F7" w:eastAsia="CIDFont+F7"/>
                      <w:b w:val="0"/>
                      <w:i w:val="0"/>
                      <w:color w:val="00497B"/>
                      <w:sz w:val="15"/>
                    </w:rPr>
                    <w:t>Single Donor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60" w:after="0"/>
                    <w:ind w:left="0" w:right="0" w:firstLine="0"/>
                    <w:jc w:val="center"/>
                  </w:pPr>
                  <w:r>
                    <w:rPr>
                      <w:w w:val="98.85260264078775"/>
                      <w:rFonts w:ascii="CIDFont+F7" w:hAnsi="CIDFont+F7" w:eastAsia="CIDFont+F7"/>
                      <w:b w:val="0"/>
                      <w:i w:val="0"/>
                      <w:color w:val="00497B"/>
                      <w:sz w:val="15"/>
                    </w:rPr>
                    <w:t>Total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9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62" w:val="left"/>
              </w:tabs>
              <w:autoSpaceDE w:val="0"/>
              <w:widowControl/>
              <w:spacing w:line="162" w:lineRule="exact" w:before="146" w:after="0"/>
              <w:ind w:left="22" w:right="0" w:firstLine="0"/>
              <w:jc w:val="left"/>
            </w:pPr>
            <w:r>
              <w:rPr>
                <w:w w:val="98.85260264078775"/>
                <w:rFonts w:ascii="CIDFont+F7" w:hAnsi="CIDFont+F7" w:eastAsia="CIDFont+F7"/>
                <w:b w:val="0"/>
                <w:i w:val="0"/>
                <w:color w:val="00497B"/>
                <w:sz w:val="15"/>
              </w:rPr>
              <w:t>Multi-Donor</w:t>
            </w:r>
            <w:r>
              <w:rPr>
                <w:w w:val="98.85260264078775"/>
                <w:rFonts w:ascii="CIDFont+F7" w:hAnsi="CIDFont+F7" w:eastAsia="CIDFont+F7"/>
                <w:b w:val="0"/>
                <w:i w:val="0"/>
                <w:color w:val="00497B"/>
                <w:sz w:val="15"/>
              </w:rPr>
              <w:t xml:space="preserve">Single-Donor </w:t>
            </w:r>
            <w:r>
              <w:tab/>
            </w:r>
            <w:r>
              <w:rPr>
                <w:w w:val="98.85260264078775"/>
                <w:rFonts w:ascii="CIDFont+F7" w:hAnsi="CIDFont+F7" w:eastAsia="CIDFont+F7"/>
                <w:b w:val="0"/>
                <w:i w:val="0"/>
                <w:color w:val="00497B"/>
                <w:sz w:val="15"/>
              </w:rPr>
              <w:t>Total</w:t>
            </w:r>
          </w:p>
        </w:tc>
      </w:tr>
      <w:tr>
        <w:trPr>
          <w:trHeight w:hRule="exact" w:val="460"/>
        </w:trPr>
        <w:tc>
          <w:tcPr>
            <w:tcW w:type="dxa" w:w="2324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0" w:after="0"/>
              <w:ind w:left="24" w:right="0" w:firstLine="0"/>
              <w:jc w:val="left"/>
            </w:pPr>
            <w:r>
              <w:rPr>
                <w:w w:val="98.85260264078775"/>
                <w:rFonts w:ascii="CIDFont+F11" w:hAnsi="CIDFont+F11" w:eastAsia="CIDFont+F11"/>
                <w:b/>
                <w:i w:val="0"/>
                <w:color w:val="636363"/>
                <w:sz w:val="15"/>
              </w:rPr>
              <w:t>WBG</w:t>
            </w:r>
          </w:p>
        </w:tc>
        <w:tc>
          <w:tcPr>
            <w:tcW w:type="dxa" w:w="260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3.9999999999998" w:type="dxa"/>
            </w:tblPr>
            <w:tblGrid>
              <w:gridCol w:w="867"/>
              <w:gridCol w:w="867"/>
              <w:gridCol w:w="867"/>
            </w:tblGrid>
            <w:tr>
              <w:trPr>
                <w:trHeight w:hRule="exact" w:val="262"/>
              </w:trPr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60" w:after="0"/>
                    <w:ind w:left="0" w:right="0" w:firstLine="0"/>
                    <w:jc w:val="center"/>
                  </w:pPr>
                  <w:r>
                    <w:rPr>
                      <w:w w:val="98.85260264078775"/>
                      <w:rFonts w:ascii="CIDFont+F11" w:hAnsi="CIDFont+F11" w:eastAsia="CIDFont+F11"/>
                      <w:b/>
                      <w:i w:val="0"/>
                      <w:color w:val="636363"/>
                      <w:sz w:val="15"/>
                    </w:rPr>
                    <w:t>$32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60" w:after="0"/>
                    <w:ind w:left="0" w:right="200" w:firstLine="0"/>
                    <w:jc w:val="right"/>
                  </w:pPr>
                  <w:r>
                    <w:rPr>
                      <w:w w:val="98.85260264078775"/>
                      <w:rFonts w:ascii="CIDFont+F11" w:hAnsi="CIDFont+F11" w:eastAsia="CIDFont+F11"/>
                      <w:b/>
                      <w:i w:val="0"/>
                      <w:color w:val="636363"/>
                      <w:sz w:val="15"/>
                    </w:rPr>
                    <w:t>$286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60" w:after="0"/>
                    <w:ind w:left="0" w:right="30" w:firstLine="0"/>
                    <w:jc w:val="right"/>
                  </w:pPr>
                  <w:r>
                    <w:rPr>
                      <w:w w:val="98.85260264078775"/>
                      <w:rFonts w:ascii="CIDFont+F11" w:hAnsi="CIDFont+F11" w:eastAsia="CIDFont+F11"/>
                      <w:b/>
                      <w:i w:val="0"/>
                      <w:color w:val="636363"/>
                      <w:sz w:val="15"/>
                    </w:rPr>
                    <w:t>$318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9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3.99999999999977" w:type="dxa"/>
            </w:tblPr>
            <w:tblGrid>
              <w:gridCol w:w="833"/>
              <w:gridCol w:w="833"/>
              <w:gridCol w:w="833"/>
            </w:tblGrid>
            <w:tr>
              <w:trPr>
                <w:trHeight w:hRule="exact" w:val="262"/>
              </w:trPr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60" w:after="0"/>
                    <w:ind w:left="0" w:right="0" w:firstLine="0"/>
                    <w:jc w:val="center"/>
                  </w:pPr>
                  <w:r>
                    <w:rPr>
                      <w:w w:val="98.85260264078775"/>
                      <w:rFonts w:ascii="CIDFont+F11" w:hAnsi="CIDFont+F11" w:eastAsia="CIDFont+F11"/>
                      <w:b/>
                      <w:i w:val="0"/>
                      <w:color w:val="636363"/>
                      <w:sz w:val="15"/>
                    </w:rPr>
                    <w:t>$32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60" w:after="0"/>
                    <w:ind w:left="0" w:right="182" w:firstLine="0"/>
                    <w:jc w:val="right"/>
                  </w:pPr>
                  <w:r>
                    <w:rPr>
                      <w:w w:val="98.85260264078775"/>
                      <w:rFonts w:ascii="CIDFont+F11" w:hAnsi="CIDFont+F11" w:eastAsia="CIDFont+F11"/>
                      <w:b/>
                      <w:i w:val="0"/>
                      <w:color w:val="636363"/>
                      <w:sz w:val="15"/>
                    </w:rPr>
                    <w:t>$155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60" w:after="0"/>
                    <w:ind w:left="0" w:right="34" w:firstLine="0"/>
                    <w:jc w:val="right"/>
                  </w:pPr>
                  <w:r>
                    <w:rPr>
                      <w:w w:val="98.85260264078775"/>
                      <w:rFonts w:ascii="CIDFont+F11" w:hAnsi="CIDFont+F11" w:eastAsia="CIDFont+F11"/>
                      <w:b/>
                      <w:i w:val="0"/>
                      <w:color w:val="636363"/>
                      <w:sz w:val="15"/>
                    </w:rPr>
                    <w:t>$187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939"/>
        </w:trPr>
        <w:tc>
          <w:tcPr>
            <w:tcW w:type="dxa" w:w="2324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8" w:after="0"/>
              <w:ind w:left="24" w:right="0" w:firstLine="0"/>
              <w:jc w:val="left"/>
            </w:pPr>
            <w:r>
              <w:rPr>
                <w:w w:val="98.852602640787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IBRD</w:t>
            </w:r>
          </w:p>
          <w:p>
            <w:pPr>
              <w:autoSpaceDN w:val="0"/>
              <w:autoSpaceDE w:val="0"/>
              <w:widowControl/>
              <w:spacing w:line="160" w:lineRule="exact" w:before="300" w:after="0"/>
              <w:ind w:left="24" w:right="0" w:firstLine="0"/>
              <w:jc w:val="left"/>
            </w:pPr>
            <w:r>
              <w:rPr>
                <w:w w:val="98.85260264078775"/>
                <w:rFonts w:ascii="CIDFont+F7" w:hAnsi="CIDFont+F7" w:eastAsia="CIDFont+F7"/>
                <w:b w:val="0"/>
                <w:i w:val="0"/>
                <w:color w:val="636363"/>
                <w:sz w:val="15"/>
              </w:rPr>
              <w:t>IFC</w:t>
            </w:r>
          </w:p>
        </w:tc>
        <w:tc>
          <w:tcPr>
            <w:tcW w:type="dxa" w:w="260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3.9999999999998" w:type="dxa"/>
            </w:tblPr>
            <w:tblGrid>
              <w:gridCol w:w="867"/>
              <w:gridCol w:w="867"/>
              <w:gridCol w:w="867"/>
            </w:tblGrid>
            <w:tr>
              <w:trPr>
                <w:trHeight w:hRule="exact" w:val="370"/>
              </w:trPr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60" w:after="0"/>
                    <w:ind w:left="0" w:right="0" w:firstLine="0"/>
                    <w:jc w:val="center"/>
                  </w:pPr>
                  <w:r>
                    <w:rPr>
                      <w:w w:val="98.85260264078775"/>
                      <w:rFonts w:ascii="CIDFont+F11" w:hAnsi="CIDFont+F11" w:eastAsia="CIDFont+F11"/>
                      <w:b/>
                      <w:i w:val="0"/>
                      <w:color w:val="636363"/>
                      <w:sz w:val="15"/>
                    </w:rPr>
                    <w:t>32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60" w:after="0"/>
                    <w:ind w:left="0" w:right="250" w:firstLine="0"/>
                    <w:jc w:val="right"/>
                  </w:pPr>
                  <w:r>
                    <w:rPr>
                      <w:w w:val="98.85260264078775"/>
                      <w:rFonts w:ascii="CIDFont+F11" w:hAnsi="CIDFont+F11" w:eastAsia="CIDFont+F11"/>
                      <w:b/>
                      <w:i w:val="0"/>
                      <w:color w:val="636363"/>
                      <w:sz w:val="15"/>
                    </w:rPr>
                    <w:t>125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60" w:after="0"/>
                    <w:ind w:left="0" w:right="0" w:firstLine="0"/>
                    <w:jc w:val="right"/>
                  </w:pPr>
                  <w:r>
                    <w:rPr>
                      <w:w w:val="98.85260264078775"/>
                      <w:rFonts w:ascii="CIDFont+F11" w:hAnsi="CIDFont+F11" w:eastAsia="CIDFont+F11"/>
                      <w:b/>
                      <w:i w:val="0"/>
                      <w:color w:val="636363"/>
                      <w:sz w:val="15"/>
                    </w:rPr>
                    <w:t>157</w:t>
                  </w:r>
                </w:p>
              </w:tc>
            </w:tr>
            <w:tr>
              <w:trPr>
                <w:trHeight w:hRule="exact" w:val="356"/>
              </w:trPr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156" w:after="0"/>
                    <w:ind w:left="0" w:right="338" w:firstLine="0"/>
                    <w:jc w:val="right"/>
                  </w:pPr>
                  <w:r>
                    <w:rPr>
                      <w:w w:val="98.85260264078775"/>
                      <w:rFonts w:ascii="CIDFont+F7" w:hAnsi="CIDFont+F7" w:eastAsia="CIDFont+F7"/>
                      <w:b w:val="0"/>
                      <w:i w:val="0"/>
                      <w:color w:val="636363"/>
                      <w:sz w:val="15"/>
                    </w:rPr>
                    <w:t>-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156" w:after="0"/>
                    <w:ind w:left="0" w:right="250" w:firstLine="0"/>
                    <w:jc w:val="right"/>
                  </w:pPr>
                  <w:r>
                    <w:rPr>
                      <w:w w:val="98.85260264078775"/>
                      <w:rFonts w:ascii="CIDFont+F7" w:hAnsi="CIDFont+F7" w:eastAsia="CIDFont+F7"/>
                      <w:b w:val="0"/>
                      <w:i w:val="0"/>
                      <w:color w:val="636363"/>
                      <w:sz w:val="15"/>
                    </w:rPr>
                    <w:t>161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156" w:after="0"/>
                    <w:ind w:left="0" w:right="0" w:firstLine="0"/>
                    <w:jc w:val="right"/>
                  </w:pPr>
                  <w:r>
                    <w:rPr>
                      <w:w w:val="98.85260264078775"/>
                      <w:rFonts w:ascii="CIDFont+F7" w:hAnsi="CIDFont+F7" w:eastAsia="CIDFont+F7"/>
                      <w:b w:val="0"/>
                      <w:i w:val="0"/>
                      <w:color w:val="636363"/>
                      <w:sz w:val="15"/>
                    </w:rPr>
                    <w:t>161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9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3.9999999999998" w:type="dxa"/>
            </w:tblPr>
            <w:tblGrid>
              <w:gridCol w:w="833"/>
              <w:gridCol w:w="833"/>
              <w:gridCol w:w="833"/>
            </w:tblGrid>
            <w:tr>
              <w:trPr>
                <w:trHeight w:hRule="exact" w:val="370"/>
              </w:trPr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60" w:after="0"/>
                    <w:ind w:left="0" w:right="0" w:firstLine="0"/>
                    <w:jc w:val="center"/>
                  </w:pPr>
                  <w:r>
                    <w:rPr>
                      <w:w w:val="98.85260264078775"/>
                      <w:rFonts w:ascii="CIDFont+F11" w:hAnsi="CIDFont+F11" w:eastAsia="CIDFont+F11"/>
                      <w:b/>
                      <w:i w:val="0"/>
                      <w:color w:val="636363"/>
                      <w:sz w:val="15"/>
                    </w:rPr>
                    <w:t>32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60" w:after="0"/>
                    <w:ind w:left="0" w:right="232" w:firstLine="0"/>
                    <w:jc w:val="right"/>
                  </w:pPr>
                  <w:r>
                    <w:rPr>
                      <w:w w:val="98.85260264078775"/>
                      <w:rFonts w:ascii="CIDFont+F11" w:hAnsi="CIDFont+F11" w:eastAsia="CIDFont+F11"/>
                      <w:b/>
                      <w:i w:val="0"/>
                      <w:color w:val="636363"/>
                      <w:sz w:val="15"/>
                    </w:rPr>
                    <w:t>85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60" w:after="0"/>
                    <w:ind w:left="0" w:right="2" w:firstLine="0"/>
                    <w:jc w:val="right"/>
                  </w:pPr>
                  <w:r>
                    <w:rPr>
                      <w:w w:val="98.85260264078775"/>
                      <w:rFonts w:ascii="CIDFont+F11" w:hAnsi="CIDFont+F11" w:eastAsia="CIDFont+F11"/>
                      <w:b/>
                      <w:i w:val="0"/>
                      <w:color w:val="636363"/>
                      <w:sz w:val="15"/>
                    </w:rPr>
                    <w:t>117</w:t>
                  </w:r>
                </w:p>
              </w:tc>
            </w:tr>
            <w:tr>
              <w:trPr>
                <w:trHeight w:hRule="exact" w:val="356"/>
              </w:trPr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156" w:after="0"/>
                    <w:ind w:left="0" w:right="0" w:firstLine="0"/>
                    <w:jc w:val="center"/>
                  </w:pPr>
                  <w:r>
                    <w:rPr>
                      <w:w w:val="98.85260264078775"/>
                      <w:rFonts w:ascii="CIDFont+F7" w:hAnsi="CIDFont+F7" w:eastAsia="CIDFont+F7"/>
                      <w:b w:val="0"/>
                      <w:i w:val="0"/>
                      <w:color w:val="636363"/>
                      <w:sz w:val="15"/>
                    </w:rPr>
                    <w:t>-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156" w:after="0"/>
                    <w:ind w:left="0" w:right="282" w:firstLine="0"/>
                    <w:jc w:val="right"/>
                  </w:pPr>
                  <w:r>
                    <w:rPr>
                      <w:w w:val="98.85260264078775"/>
                      <w:rFonts w:ascii="CIDFont+F7" w:hAnsi="CIDFont+F7" w:eastAsia="CIDFont+F7"/>
                      <w:b w:val="0"/>
                      <w:i w:val="0"/>
                      <w:color w:val="636363"/>
                      <w:sz w:val="15"/>
                    </w:rPr>
                    <w:t>70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156" w:after="0"/>
                    <w:ind w:left="0" w:right="54" w:firstLine="0"/>
                    <w:jc w:val="right"/>
                  </w:pPr>
                  <w:r>
                    <w:rPr>
                      <w:w w:val="98.85260264078775"/>
                      <w:rFonts w:ascii="CIDFont+F7" w:hAnsi="CIDFont+F7" w:eastAsia="CIDFont+F7"/>
                      <w:b w:val="0"/>
                      <w:i w:val="0"/>
                      <w:color w:val="636363"/>
                      <w:sz w:val="15"/>
                    </w:rPr>
                    <w:t>70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7"/>
        </w:trPr>
        <w:tc>
          <w:tcPr>
            <w:tcW w:type="dxa" w:w="2324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6" w:after="0"/>
              <w:ind w:left="24" w:right="0" w:firstLine="0"/>
              <w:jc w:val="left"/>
            </w:pPr>
            <w:r>
              <w:rPr>
                <w:w w:val="98.85260264078775"/>
                <w:rFonts w:ascii="CIDFont+F11" w:hAnsi="CIDFont+F11" w:eastAsia="CIDFont+F11"/>
                <w:b/>
                <w:i w:val="0"/>
                <w:color w:val="636363"/>
                <w:sz w:val="15"/>
              </w:rPr>
              <w:t xml:space="preserve">Other DPs </w:t>
            </w:r>
            <w:r>
              <w:rPr>
                <w:w w:val="98.85180473327637"/>
                <w:rFonts w:ascii="CIDFont+F11" w:hAnsi="CIDFont+F11" w:eastAsia="CIDFont+F11"/>
                <w:b/>
                <w:i w:val="0"/>
                <w:color w:val="4D4746"/>
                <w:sz w:val="10"/>
              </w:rPr>
              <w:t>14</w:t>
            </w:r>
          </w:p>
        </w:tc>
        <w:tc>
          <w:tcPr>
            <w:tcW w:type="dxa" w:w="260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3.99999999999977" w:type="dxa"/>
            </w:tblPr>
            <w:tblGrid>
              <w:gridCol w:w="867"/>
              <w:gridCol w:w="867"/>
              <w:gridCol w:w="867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60" w:after="0"/>
                    <w:ind w:left="204" w:right="0" w:firstLine="0"/>
                    <w:jc w:val="left"/>
                  </w:pPr>
                  <w:r>
                    <w:rPr>
                      <w:w w:val="98.85260264078775"/>
                      <w:rFonts w:ascii="CIDFont+F11" w:hAnsi="CIDFont+F11" w:eastAsia="CIDFont+F11"/>
                      <w:b/>
                      <w:i w:val="0"/>
                      <w:color w:val="636363"/>
                      <w:sz w:val="15"/>
                    </w:rPr>
                    <w:t>$4,813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60" w:after="0"/>
                    <w:ind w:left="0" w:right="140" w:firstLine="0"/>
                    <w:jc w:val="right"/>
                  </w:pPr>
                  <w:r>
                    <w:rPr>
                      <w:w w:val="98.85260264078775"/>
                      <w:rFonts w:ascii="CIDFont+F11" w:hAnsi="CIDFont+F11" w:eastAsia="CIDFont+F11"/>
                      <w:b/>
                      <w:i w:val="0"/>
                      <w:color w:val="636363"/>
                      <w:sz w:val="15"/>
                    </w:rPr>
                    <w:t>$71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60" w:after="0"/>
                    <w:ind w:left="160" w:right="0" w:firstLine="0"/>
                    <w:jc w:val="left"/>
                  </w:pPr>
                  <w:r>
                    <w:rPr>
                      <w:w w:val="98.85260264078775"/>
                      <w:rFonts w:ascii="CIDFont+F11" w:hAnsi="CIDFont+F11" w:eastAsia="CIDFont+F11"/>
                      <w:b/>
                      <w:i w:val="0"/>
                      <w:color w:val="636363"/>
                      <w:sz w:val="15"/>
                    </w:rPr>
                    <w:t>$4,884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9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3.99999999999977" w:type="dxa"/>
            </w:tblPr>
            <w:tblGrid>
              <w:gridCol w:w="833"/>
              <w:gridCol w:w="833"/>
              <w:gridCol w:w="833"/>
            </w:tblGrid>
            <w:tr>
              <w:trPr>
                <w:trHeight w:hRule="exact" w:val="260"/>
              </w:trPr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60" w:after="0"/>
                    <w:ind w:left="164" w:right="0" w:firstLine="0"/>
                    <w:jc w:val="left"/>
                  </w:pPr>
                  <w:r>
                    <w:rPr>
                      <w:w w:val="98.85260264078775"/>
                      <w:rFonts w:ascii="CIDFont+F11" w:hAnsi="CIDFont+F11" w:eastAsia="CIDFont+F11"/>
                      <w:b/>
                      <w:i w:val="0"/>
                      <w:color w:val="636363"/>
                      <w:sz w:val="15"/>
                    </w:rPr>
                    <w:t>$4,262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60" w:after="0"/>
                    <w:ind w:left="0" w:right="124" w:firstLine="0"/>
                    <w:jc w:val="right"/>
                  </w:pPr>
                  <w:r>
                    <w:rPr>
                      <w:w w:val="98.85260264078775"/>
                      <w:rFonts w:ascii="CIDFont+F11" w:hAnsi="CIDFont+F11" w:eastAsia="CIDFont+F11"/>
                      <w:b/>
                      <w:i w:val="0"/>
                      <w:color w:val="636363"/>
                      <w:sz w:val="15"/>
                    </w:rPr>
                    <w:t>$64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60" w:after="0"/>
                    <w:ind w:left="158" w:right="0" w:firstLine="0"/>
                    <w:jc w:val="left"/>
                  </w:pPr>
                  <w:r>
                    <w:rPr>
                      <w:w w:val="98.85260264078775"/>
                      <w:rFonts w:ascii="CIDFont+F11" w:hAnsi="CIDFont+F11" w:eastAsia="CIDFont+F11"/>
                      <w:b/>
                      <w:i w:val="0"/>
                      <w:color w:val="636363"/>
                      <w:sz w:val="15"/>
                    </w:rPr>
                    <w:t>$4,326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32" w:after="0"/>
        <w:ind w:left="5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46550" cy="376301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3763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exact" w:before="4" w:after="0"/>
        <w:ind w:left="518" w:right="604" w:firstLine="0"/>
        <w:jc w:val="both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In FIF programs, GFATM has been the leading FIF constituting 42% of the total FIF contributions in FY24 (32% in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FY23). Health sector accounts for 51% (47% in FY23) of the total FIF contributions mainly due to GFATM followed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by IFFIM. Further, Climate sector accounts for 35% in FY24 (38% in FY23) primarily represented by GCF and GEF. </w:t>
      </w:r>
    </w:p>
    <w:p>
      <w:pPr>
        <w:autoSpaceDN w:val="0"/>
        <w:autoSpaceDE w:val="0"/>
        <w:widowControl/>
        <w:spacing w:line="264" w:lineRule="exact" w:before="264" w:after="0"/>
        <w:ind w:left="518" w:right="556" w:firstLine="0"/>
        <w:jc w:val="both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In IBRD/IDA TFs, contributions have significantly decreased in FY24 due to majority of contributions being fully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paid in FY23 for TFs supporting Ukraine. United States have contributed additional $2,630m in FY24 to TFs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supporting Ukraine through URTF and SALNTF. The contributions to these programs are largely influenced by the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prevailing country environment, including capacity constraints, political environment, donor appropriations, etc. </w:t>
      </w:r>
    </w:p>
    <w:p>
      <w:pPr>
        <w:autoSpaceDN w:val="0"/>
        <w:autoSpaceDE w:val="0"/>
        <w:widowControl/>
        <w:spacing w:line="188" w:lineRule="exact" w:before="732" w:after="0"/>
        <w:ind w:left="432" w:right="432" w:firstLine="0"/>
        <w:jc w:val="left"/>
      </w:pPr>
      <w:r>
        <w:rPr>
          <w:w w:val="105.08649614122179"/>
          <w:rFonts w:ascii="CIDFont+F7" w:hAnsi="CIDFont+F7" w:eastAsia="CIDFont+F7"/>
          <w:b w:val="0"/>
          <w:i w:val="0"/>
          <w:color w:val="000000"/>
          <w:sz w:val="9"/>
        </w:rPr>
        <w:t>14</w:t>
      </w:r>
      <w:r>
        <w:rPr>
          <w:w w:val="101.33335930960519"/>
          <w:rFonts w:ascii="CIDFont+F8" w:hAnsi="CIDFont+F8" w:eastAsia="CIDFont+F8"/>
          <w:b w:val="0"/>
          <w:i/>
          <w:color w:val="000000"/>
          <w:sz w:val="14"/>
        </w:rPr>
        <w:t xml:space="preserve">Other DPs includes multilateral development banks, United Nations agencies, and public and private institutions. Out of the total $4,884m </w:t>
      </w:r>
      <w:r>
        <w:rPr>
          <w:w w:val="101.33335930960519"/>
          <w:rFonts w:ascii="CIDFont+F8" w:hAnsi="CIDFont+F8" w:eastAsia="CIDFont+F8"/>
          <w:b w:val="0"/>
          <w:i/>
          <w:color w:val="000000"/>
          <w:sz w:val="14"/>
        </w:rPr>
        <w:t xml:space="preserve">in other DPs, $4,470m pertains to GFATM Secretariat. </w:t>
      </w:r>
    </w:p>
    <w:p>
      <w:pPr>
        <w:autoSpaceDN w:val="0"/>
        <w:autoSpaceDE w:val="0"/>
        <w:widowControl/>
        <w:spacing w:line="228" w:lineRule="exact" w:before="216" w:after="0"/>
        <w:ind w:left="0" w:right="658" w:firstLine="0"/>
        <w:jc w:val="right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18 </w:t>
      </w:r>
    </w:p>
    <w:p>
      <w:pPr>
        <w:autoSpaceDN w:val="0"/>
        <w:autoSpaceDE w:val="0"/>
        <w:widowControl/>
        <w:spacing w:line="148" w:lineRule="exact" w:before="186" w:after="0"/>
        <w:ind w:left="432" w:right="0" w:firstLine="0"/>
        <w:jc w:val="left"/>
      </w:pPr>
      <w:r>
        <w:rPr>
          <w:w w:val="101.3333797454834"/>
          <w:rFonts w:ascii="CIDFont+F2" w:hAnsi="CIDFont+F2" w:eastAsia="CIDFont+F2"/>
          <w:b w:val="0"/>
          <w:i w:val="0"/>
          <w:color w:val="FFFFFF"/>
          <w:sz w:val="12"/>
        </w:rPr>
        <w:t>1</w:t>
      </w:r>
    </w:p>
    <w:p>
      <w:pPr>
        <w:sectPr>
          <w:pgSz w:w="12240" w:h="15840"/>
          <w:pgMar w:top="358" w:right="1182" w:bottom="4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2159000</wp:posOffset>
            </wp:positionV>
            <wp:extent cx="1320800" cy="13081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130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4" w:lineRule="exact" w:before="0" w:after="0"/>
        <w:ind w:left="5974" w:right="288" w:hanging="2120"/>
        <w:jc w:val="left"/>
      </w:pPr>
      <w:r>
        <w:rPr>
          <w:w w:val="101.32767813546317"/>
          <w:rFonts w:ascii="CIDFont+F1" w:hAnsi="CIDFont+F1" w:eastAsia="CIDFont+F1"/>
          <w:b w:val="0"/>
          <w:i/>
          <w:color w:val="000000"/>
          <w:sz w:val="14"/>
        </w:rPr>
        <w:t xml:space="preserve">Trust Fund Financial Information Summary for fiscal years ended June 30, 2024 and 2023 </w:t>
      </w:r>
      <w:r>
        <w:rPr>
          <w:w w:val="101.32767813546317"/>
          <w:rFonts w:ascii="CIDFont+F1" w:hAnsi="CIDFont+F1" w:eastAsia="CIDFont+F1"/>
          <w:b w:val="0"/>
          <w:i/>
          <w:color w:val="000000"/>
          <w:sz w:val="14"/>
        </w:rPr>
        <w:t xml:space="preserve">All amounts in USD millions, unless otherwise noted </w:t>
      </w:r>
    </w:p>
    <w:p>
      <w:pPr>
        <w:autoSpaceDN w:val="0"/>
        <w:autoSpaceDE w:val="0"/>
        <w:widowControl/>
        <w:spacing w:line="254" w:lineRule="exact" w:before="170" w:after="0"/>
        <w:ind w:left="532" w:right="0" w:firstLine="0"/>
        <w:jc w:val="left"/>
      </w:pPr>
      <w:r>
        <w:rPr>
          <w:w w:val="98.6471448625837"/>
          <w:rFonts w:ascii="CIDFont+F2" w:hAnsi="CIDFont+F2" w:eastAsia="CIDFont+F2"/>
          <w:b w:val="0"/>
          <w:i w:val="0"/>
          <w:color w:val="00497B"/>
          <w:sz w:val="21"/>
        </w:rPr>
        <w:t>Contribution and Receivables</w:t>
      </w:r>
    </w:p>
    <w:p>
      <w:pPr>
        <w:autoSpaceDN w:val="0"/>
        <w:autoSpaceDE w:val="0"/>
        <w:widowControl/>
        <w:spacing w:line="300" w:lineRule="exact" w:before="144" w:after="0"/>
        <w:ind w:left="516" w:right="0" w:firstLine="0"/>
        <w:jc w:val="left"/>
      </w:pPr>
      <w:r>
        <w:rPr>
          <w:w w:val="101.32788144625151"/>
          <w:rFonts w:ascii="CIDFont+F5" w:hAnsi="CIDFont+F5" w:eastAsia="CIDFont+F5"/>
          <w:b/>
          <w:i w:val="0"/>
          <w:color w:val="00497B"/>
          <w:sz w:val="26"/>
        </w:rPr>
        <w:t>Contributions Receivable (Cont’d)</w:t>
      </w:r>
      <w:r>
        <w:rPr>
          <w:rFonts w:ascii="CIDFont+F5" w:hAnsi="CIDFont+F5" w:eastAsia="CIDFont+F5"/>
          <w:b/>
          <w:i w:val="0"/>
          <w:color w:val="FFFFFF"/>
          <w:sz w:val="17"/>
        </w:rPr>
        <w:t>10</w:t>
      </w:r>
    </w:p>
    <w:p>
      <w:pPr>
        <w:autoSpaceDN w:val="0"/>
        <w:autoSpaceDE w:val="0"/>
        <w:widowControl/>
        <w:spacing w:line="184" w:lineRule="exact" w:before="634" w:after="236"/>
        <w:ind w:left="652" w:right="0" w:firstLine="0"/>
        <w:jc w:val="left"/>
      </w:pPr>
      <w:r>
        <w:rPr>
          <w:w w:val="101.3606309890747"/>
          <w:rFonts w:ascii="CIDFont+F6" w:hAnsi="CIDFont+F6" w:eastAsia="CIDFont+F6"/>
          <w:b w:val="0"/>
          <w:i w:val="0"/>
          <w:color w:val="00497B"/>
          <w:sz w:val="16"/>
        </w:rPr>
        <w:t>Contributions Receivable by Currency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4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78"/>
        </w:trPr>
        <w:tc>
          <w:tcPr>
            <w:tcW w:type="dxa" w:w="18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124" w:right="0" w:firstLine="0"/>
              <w:jc w:val="left"/>
            </w:pPr>
            <w:r>
              <w:rPr>
                <w:w w:val="101.3606309890747"/>
                <w:rFonts w:ascii="CIDFont+F7" w:hAnsi="CIDFont+F7" w:eastAsia="CIDFont+F7"/>
                <w:b w:val="0"/>
                <w:i w:val="0"/>
                <w:color w:val="00497B"/>
                <w:sz w:val="16"/>
              </w:rPr>
              <w:t>Euro</w:t>
            </w:r>
          </w:p>
        </w:tc>
        <w:tc>
          <w:tcPr>
            <w:tcW w:type="dxa" w:w="3520"/>
            <w:vMerge w:val="restart"/>
            <w:tcBorders>
              <w:bottom w:sz="30.40000000000009" w:val="single" w:color="#3F6789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20.0" w:type="dxa"/>
            </w:tblPr>
            <w:tblGrid>
              <w:gridCol w:w="1760"/>
              <w:gridCol w:w="1760"/>
            </w:tblGrid>
            <w:tr>
              <w:trPr>
                <w:trHeight w:hRule="exact" w:val="388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210" w:after="0"/>
                    <w:ind w:left="0" w:right="414" w:firstLine="0"/>
                    <w:jc w:val="right"/>
                  </w:pPr>
                  <w:r>
                    <w:rPr>
                      <w:w w:val="101.3606309890747"/>
                      <w:rFonts w:ascii="CIDFont+F2" w:hAnsi="CIDFont+F2" w:eastAsia="CIDFont+F2"/>
                      <w:b w:val="0"/>
                      <w:i w:val="0"/>
                      <w:color w:val="00497B"/>
                      <w:sz w:val="16"/>
                    </w:rPr>
                    <w:t>37%</w:t>
                  </w:r>
                </w:p>
              </w:tc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2" w:after="0"/>
                    <w:ind w:left="0" w:right="24" w:firstLine="0"/>
                    <w:jc w:val="right"/>
                  </w:pPr>
                  <w:r>
                    <w:rPr>
                      <w:w w:val="98.48766326904297"/>
                      <w:rFonts w:ascii="CIDFont+F2" w:hAnsi="CIDFont+F2" w:eastAsia="CIDFont+F2"/>
                      <w:b w:val="0"/>
                      <w:i w:val="0"/>
                      <w:color w:val="00497B"/>
                      <w:sz w:val="19"/>
                    </w:rPr>
                    <w:t>June 30, 2024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40"/>
            <w:vMerge w:val="restart"/>
            <w:tcBorders>
              <w:bottom w:sz="30.40000000000009" w:val="single" w:color="#3F6789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vMerge w:val="restart"/>
            <w:tcBorders>
              <w:bottom w:sz="30.40000000000009" w:val="single" w:color="#3F6789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4" w:after="0"/>
              <w:ind w:left="0" w:right="0" w:firstLine="0"/>
              <w:jc w:val="center"/>
            </w:pPr>
            <w:r>
              <w:rPr>
                <w:w w:val="101.3606309890747"/>
                <w:rFonts w:ascii="CIDFont+F2" w:hAnsi="CIDFont+F2" w:eastAsia="CIDFont+F2"/>
                <w:b w:val="0"/>
                <w:i w:val="0"/>
                <w:color w:val="00497B"/>
                <w:sz w:val="16"/>
              </w:rPr>
              <w:t>32%</w:t>
            </w:r>
          </w:p>
        </w:tc>
        <w:tc>
          <w:tcPr>
            <w:tcW w:type="dxa" w:w="1600"/>
            <w:vMerge w:val="restart"/>
            <w:tcBorders>
              <w:bottom w:sz="30.40000000000009" w:val="single" w:color="#3F6789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0" w:after="0"/>
              <w:ind w:left="382" w:right="0" w:firstLine="0"/>
              <w:jc w:val="left"/>
            </w:pPr>
            <w:r>
              <w:rPr>
                <w:w w:val="98.48766326904297"/>
                <w:rFonts w:ascii="CIDFont+F2" w:hAnsi="CIDFont+F2" w:eastAsia="CIDFont+F2"/>
                <w:b w:val="0"/>
                <w:i w:val="0"/>
                <w:color w:val="00497B"/>
                <w:sz w:val="19"/>
              </w:rPr>
              <w:t>June 30, 2023</w:t>
            </w:r>
          </w:p>
        </w:tc>
      </w:tr>
      <w:tr>
        <w:trPr>
          <w:trHeight w:hRule="exact" w:val="162"/>
        </w:trPr>
        <w:tc>
          <w:tcPr>
            <w:tcW w:type="dxa" w:w="1836"/>
            <w:tcBorders>
              <w:bottom w:sz="30.40000000000009" w:val="single" w:color="#3F6789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72"/>
            <w:vMerge/>
            <w:tcBorders>
              <w:bottom w:sz="30.40000000000009" w:val="single" w:color="#3F6789"/>
            </w:tcBorders>
          </w:tcPr>
          <w:p/>
        </w:tc>
        <w:tc>
          <w:tcPr>
            <w:tcW w:type="dxa" w:w="1872"/>
            <w:vMerge/>
            <w:tcBorders>
              <w:bottom w:sz="30.40000000000009" w:val="single" w:color="#3F6789"/>
            </w:tcBorders>
          </w:tcPr>
          <w:p/>
        </w:tc>
        <w:tc>
          <w:tcPr>
            <w:tcW w:type="dxa" w:w="1872"/>
            <w:vMerge/>
            <w:tcBorders>
              <w:bottom w:sz="30.40000000000009" w:val="single" w:color="#3F6789"/>
            </w:tcBorders>
          </w:tcPr>
          <w:p/>
        </w:tc>
        <w:tc>
          <w:tcPr>
            <w:tcW w:type="dxa" w:w="1872"/>
            <w:vMerge/>
            <w:tcBorders>
              <w:bottom w:sz="30.40000000000009" w:val="single" w:color="#3F6789"/>
            </w:tcBorders>
          </w:tcPr>
          <w:p/>
        </w:tc>
      </w:tr>
      <w:tr>
        <w:trPr>
          <w:trHeight w:hRule="exact" w:val="138"/>
        </w:trPr>
        <w:tc>
          <w:tcPr>
            <w:tcW w:type="dxa" w:w="1836"/>
            <w:tcBorders>
              <w:top w:sz="30.40000000000009" w:val="single" w:color="#3F678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24" w:right="0" w:firstLine="0"/>
              <w:jc w:val="left"/>
            </w:pPr>
            <w:r>
              <w:rPr>
                <w:w w:val="101.3606309890747"/>
                <w:rFonts w:ascii="CIDFont+F7" w:hAnsi="CIDFont+F7" w:eastAsia="CIDFont+F7"/>
                <w:b w:val="0"/>
                <w:i w:val="0"/>
                <w:color w:val="00497B"/>
                <w:sz w:val="16"/>
              </w:rPr>
              <w:t>US Dollar</w:t>
            </w:r>
          </w:p>
        </w:tc>
        <w:tc>
          <w:tcPr>
            <w:tcW w:type="dxa" w:w="3520"/>
            <w:vMerge w:val="restart"/>
            <w:tcBorders>
              <w:top w:sz="30.40000000000009" w:val="single" w:color="#3F6789"/>
              <w:bottom w:sz="34.40000000000009" w:val="single" w:color="#BCCFE1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vMerge w:val="restart"/>
            <w:tcBorders>
              <w:top w:sz="30.40000000000009" w:val="single" w:color="#3F6789"/>
              <w:bottom w:sz="34.40000000000009" w:val="single" w:color="#BCCFE1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vMerge w:val="restart"/>
            <w:tcBorders>
              <w:top w:sz="30.40000000000009" w:val="single" w:color="#3F6789"/>
              <w:bottom w:sz="34.40000000000009" w:val="single" w:color="#BCCFE1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vMerge w:val="restart"/>
            <w:tcBorders>
              <w:top w:sz="30.40000000000009" w:val="single" w:color="#3F6789"/>
              <w:bottom w:sz="34.40000000000009" w:val="single" w:color="#BCCFE1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18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124" w:right="0" w:firstLine="0"/>
              <w:jc w:val="left"/>
            </w:pPr>
            <w:r>
              <w:rPr>
                <w:w w:val="101.3606309890747"/>
                <w:rFonts w:ascii="CIDFont+F7" w:hAnsi="CIDFont+F7" w:eastAsia="CIDFont+F7"/>
                <w:b w:val="0"/>
                <w:i w:val="0"/>
                <w:color w:val="00497B"/>
                <w:sz w:val="16"/>
              </w:rPr>
              <w:t>Pound Sterling</w:t>
            </w:r>
          </w:p>
        </w:tc>
        <w:tc>
          <w:tcPr>
            <w:tcW w:type="dxa" w:w="1872"/>
            <w:vMerge/>
            <w:tcBorders>
              <w:top w:sz="30.40000000000009" w:val="single" w:color="#3F6789"/>
              <w:bottom w:sz="34.40000000000009" w:val="single" w:color="#BCCFE1"/>
            </w:tcBorders>
          </w:tcPr>
          <w:p/>
        </w:tc>
        <w:tc>
          <w:tcPr>
            <w:tcW w:type="dxa" w:w="1872"/>
            <w:vMerge/>
            <w:tcBorders>
              <w:top w:sz="30.40000000000009" w:val="single" w:color="#3F6789"/>
              <w:bottom w:sz="34.40000000000009" w:val="single" w:color="#BCCFE1"/>
            </w:tcBorders>
          </w:tcPr>
          <w:p/>
        </w:tc>
        <w:tc>
          <w:tcPr>
            <w:tcW w:type="dxa" w:w="1872"/>
            <w:vMerge/>
            <w:tcBorders>
              <w:top w:sz="30.40000000000009" w:val="single" w:color="#3F6789"/>
              <w:bottom w:sz="34.40000000000009" w:val="single" w:color="#BCCFE1"/>
            </w:tcBorders>
          </w:tcPr>
          <w:p/>
        </w:tc>
        <w:tc>
          <w:tcPr>
            <w:tcW w:type="dxa" w:w="1872"/>
            <w:vMerge/>
            <w:tcBorders>
              <w:top w:sz="30.40000000000009" w:val="single" w:color="#3F6789"/>
              <w:bottom w:sz="34.40000000000009" w:val="single" w:color="#BCCFE1"/>
            </w:tcBorders>
          </w:tcPr>
          <w:p/>
        </w:tc>
      </w:tr>
      <w:tr>
        <w:trPr>
          <w:trHeight w:hRule="exact" w:val="164"/>
        </w:trPr>
        <w:tc>
          <w:tcPr>
            <w:tcW w:type="dxa" w:w="1836"/>
            <w:tcBorders>
              <w:bottom w:sz="34.40000000000009" w:val="single" w:color="#BCCFE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24" w:right="0" w:firstLine="0"/>
              <w:jc w:val="left"/>
            </w:pPr>
            <w:r>
              <w:rPr>
                <w:w w:val="101.3606309890747"/>
                <w:rFonts w:ascii="CIDFont+F7" w:hAnsi="CIDFont+F7" w:eastAsia="CIDFont+F7"/>
                <w:b w:val="0"/>
                <w:i w:val="0"/>
                <w:color w:val="00497B"/>
                <w:sz w:val="16"/>
              </w:rPr>
              <w:t>Norwegian Kroner</w:t>
            </w:r>
          </w:p>
        </w:tc>
        <w:tc>
          <w:tcPr>
            <w:tcW w:type="dxa" w:w="1872"/>
            <w:vMerge/>
            <w:tcBorders>
              <w:top w:sz="30.40000000000009" w:val="single" w:color="#3F6789"/>
              <w:bottom w:sz="34.40000000000009" w:val="single" w:color="#BCCFE1"/>
            </w:tcBorders>
          </w:tcPr>
          <w:p/>
        </w:tc>
        <w:tc>
          <w:tcPr>
            <w:tcW w:type="dxa" w:w="1872"/>
            <w:vMerge/>
            <w:tcBorders>
              <w:top w:sz="30.40000000000009" w:val="single" w:color="#3F6789"/>
              <w:bottom w:sz="34.40000000000009" w:val="single" w:color="#BCCFE1"/>
            </w:tcBorders>
          </w:tcPr>
          <w:p/>
        </w:tc>
        <w:tc>
          <w:tcPr>
            <w:tcW w:type="dxa" w:w="1872"/>
            <w:vMerge/>
            <w:tcBorders>
              <w:top w:sz="30.40000000000009" w:val="single" w:color="#3F6789"/>
              <w:bottom w:sz="34.40000000000009" w:val="single" w:color="#BCCFE1"/>
            </w:tcBorders>
          </w:tcPr>
          <w:p/>
        </w:tc>
        <w:tc>
          <w:tcPr>
            <w:tcW w:type="dxa" w:w="1872"/>
            <w:vMerge/>
            <w:tcBorders>
              <w:top w:sz="30.40000000000009" w:val="single" w:color="#3F6789"/>
              <w:bottom w:sz="34.40000000000009" w:val="single" w:color="#BCCFE1"/>
            </w:tcBorders>
          </w:tcPr>
          <w:p/>
        </w:tc>
      </w:tr>
      <w:tr>
        <w:trPr>
          <w:trHeight w:hRule="exact" w:val="136"/>
        </w:trPr>
        <w:tc>
          <w:tcPr>
            <w:tcW w:type="dxa" w:w="1836"/>
            <w:tcBorders>
              <w:top w:sz="34.40000000000009" w:val="single" w:color="#BCCFE1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0"/>
            <w:vMerge w:val="restart"/>
            <w:tcBorders>
              <w:top w:sz="34.40000000000009" w:val="single" w:color="#BCCFE1"/>
              <w:bottom w:sz="34.40000000000009" w:val="single" w:color="#B6B6B6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90" w:after="0"/>
              <w:ind w:left="380" w:right="0" w:firstLine="0"/>
              <w:jc w:val="left"/>
            </w:pPr>
            <w:r>
              <w:rPr>
                <w:w w:val="101.3606309890747"/>
                <w:rFonts w:ascii="CIDFont+F2" w:hAnsi="CIDFont+F2" w:eastAsia="CIDFont+F2"/>
                <w:b w:val="0"/>
                <w:i w:val="0"/>
                <w:color w:val="00497B"/>
                <w:sz w:val="16"/>
              </w:rPr>
              <w:t>7%</w:t>
            </w:r>
          </w:p>
        </w:tc>
        <w:tc>
          <w:tcPr>
            <w:tcW w:type="dxa" w:w="640"/>
            <w:vMerge w:val="restart"/>
            <w:tcBorders>
              <w:top w:sz="34.40000000000009" w:val="single" w:color="#BCCFE1"/>
              <w:bottom w:sz="34.40000000000009" w:val="single" w:color="#B6B6B6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vMerge w:val="restart"/>
            <w:tcBorders>
              <w:top w:sz="34.40000000000009" w:val="single" w:color="#BCCFE1"/>
              <w:bottom w:sz="34.40000000000009" w:val="single" w:color="#B6B6B6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vMerge w:val="restart"/>
            <w:tcBorders>
              <w:top w:sz="34.40000000000009" w:val="single" w:color="#BCCFE1"/>
              <w:bottom w:sz="34.40000000000009" w:val="single" w:color="#B6B6B6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0" w:right="166" w:firstLine="0"/>
              <w:jc w:val="right"/>
            </w:pPr>
            <w:r>
              <w:rPr>
                <w:w w:val="101.3606309890747"/>
                <w:rFonts w:ascii="CIDFont+F2" w:hAnsi="CIDFont+F2" w:eastAsia="CIDFont+F2"/>
                <w:b w:val="0"/>
                <w:i w:val="0"/>
                <w:color w:val="00497B"/>
                <w:sz w:val="16"/>
              </w:rPr>
              <w:t>24%</w:t>
            </w:r>
          </w:p>
        </w:tc>
      </w:tr>
      <w:tr>
        <w:trPr>
          <w:trHeight w:hRule="exact" w:val="280"/>
        </w:trPr>
        <w:tc>
          <w:tcPr>
            <w:tcW w:type="dxa" w:w="18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124" w:right="0" w:firstLine="0"/>
              <w:jc w:val="left"/>
            </w:pPr>
            <w:r>
              <w:rPr>
                <w:w w:val="101.3606309890747"/>
                <w:rFonts w:ascii="CIDFont+F7" w:hAnsi="CIDFont+F7" w:eastAsia="CIDFont+F7"/>
                <w:b w:val="0"/>
                <w:i w:val="0"/>
                <w:color w:val="00497B"/>
                <w:sz w:val="16"/>
              </w:rPr>
              <w:t>Canadian Dollar</w:t>
            </w:r>
          </w:p>
        </w:tc>
        <w:tc>
          <w:tcPr>
            <w:tcW w:type="dxa" w:w="1872"/>
            <w:vMerge/>
            <w:tcBorders>
              <w:top w:sz="34.40000000000009" w:val="single" w:color="#BCCFE1"/>
              <w:bottom w:sz="34.40000000000009" w:val="single" w:color="#B6B6B6"/>
            </w:tcBorders>
          </w:tcPr>
          <w:p/>
        </w:tc>
        <w:tc>
          <w:tcPr>
            <w:tcW w:type="dxa" w:w="1872"/>
            <w:vMerge/>
            <w:tcBorders>
              <w:top w:sz="34.40000000000009" w:val="single" w:color="#BCCFE1"/>
              <w:bottom w:sz="34.40000000000009" w:val="single" w:color="#B6B6B6"/>
            </w:tcBorders>
          </w:tcPr>
          <w:p/>
        </w:tc>
        <w:tc>
          <w:tcPr>
            <w:tcW w:type="dxa" w:w="1872"/>
            <w:vMerge/>
            <w:tcBorders>
              <w:top w:sz="34.40000000000009" w:val="single" w:color="#BCCFE1"/>
              <w:bottom w:sz="34.40000000000009" w:val="single" w:color="#B6B6B6"/>
            </w:tcBorders>
          </w:tcPr>
          <w:p/>
        </w:tc>
        <w:tc>
          <w:tcPr>
            <w:tcW w:type="dxa" w:w="1872"/>
            <w:vMerge/>
            <w:tcBorders>
              <w:top w:sz="34.40000000000009" w:val="single" w:color="#BCCFE1"/>
              <w:bottom w:sz="34.40000000000009" w:val="single" w:color="#B6B6B6"/>
            </w:tcBorders>
          </w:tcPr>
          <w:p/>
        </w:tc>
      </w:tr>
      <w:tr>
        <w:trPr>
          <w:trHeight w:hRule="exact" w:val="156"/>
        </w:trPr>
        <w:tc>
          <w:tcPr>
            <w:tcW w:type="dxa" w:w="1836"/>
            <w:tcBorders>
              <w:bottom w:sz="34.40000000000009" w:val="single" w:color="#B6B6B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72"/>
            <w:vMerge/>
            <w:tcBorders>
              <w:top w:sz="34.40000000000009" w:val="single" w:color="#BCCFE1"/>
              <w:bottom w:sz="34.40000000000009" w:val="single" w:color="#B6B6B6"/>
            </w:tcBorders>
          </w:tcPr>
          <w:p/>
        </w:tc>
        <w:tc>
          <w:tcPr>
            <w:tcW w:type="dxa" w:w="1872"/>
            <w:vMerge/>
            <w:tcBorders>
              <w:top w:sz="34.40000000000009" w:val="single" w:color="#BCCFE1"/>
              <w:bottom w:sz="34.40000000000009" w:val="single" w:color="#B6B6B6"/>
            </w:tcBorders>
          </w:tcPr>
          <w:p/>
        </w:tc>
        <w:tc>
          <w:tcPr>
            <w:tcW w:type="dxa" w:w="1872"/>
            <w:vMerge/>
            <w:tcBorders>
              <w:top w:sz="34.40000000000009" w:val="single" w:color="#BCCFE1"/>
              <w:bottom w:sz="34.40000000000009" w:val="single" w:color="#B6B6B6"/>
            </w:tcBorders>
          </w:tcPr>
          <w:p/>
        </w:tc>
        <w:tc>
          <w:tcPr>
            <w:tcW w:type="dxa" w:w="1872"/>
            <w:vMerge/>
            <w:tcBorders>
              <w:top w:sz="34.40000000000009" w:val="single" w:color="#BCCFE1"/>
              <w:bottom w:sz="34.40000000000009" w:val="single" w:color="#B6B6B6"/>
            </w:tcBorders>
          </w:tcPr>
          <w:p/>
        </w:tc>
      </w:tr>
      <w:tr>
        <w:trPr>
          <w:trHeight w:hRule="exact" w:val="284"/>
        </w:trPr>
        <w:tc>
          <w:tcPr>
            <w:tcW w:type="dxa" w:w="1836"/>
            <w:vMerge w:val="restart"/>
            <w:tcBorders>
              <w:top w:sz="34.40000000000009" w:val="single" w:color="#B6B6B6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124" w:right="0" w:firstLine="0"/>
              <w:jc w:val="left"/>
            </w:pPr>
            <w:r>
              <w:rPr>
                <w:w w:val="101.3606309890747"/>
                <w:rFonts w:ascii="CIDFont+F7" w:hAnsi="CIDFont+F7" w:eastAsia="CIDFont+F7"/>
                <w:b w:val="0"/>
                <w:i w:val="0"/>
                <w:color w:val="00497B"/>
                <w:sz w:val="16"/>
              </w:rPr>
              <w:t>Others</w:t>
            </w:r>
          </w:p>
        </w:tc>
        <w:tc>
          <w:tcPr>
            <w:tcW w:type="dxa" w:w="3520"/>
            <w:vMerge w:val="restart"/>
            <w:tcBorders>
              <w:top w:sz="34.40000000000009" w:val="single" w:color="#B6B6B6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760"/>
              <w:gridCol w:w="1760"/>
            </w:tblGrid>
            <w:tr>
              <w:trPr>
                <w:trHeight w:hRule="exact" w:val="498"/>
              </w:trPr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60" w:after="0"/>
                    <w:ind w:left="232" w:right="0" w:firstLine="0"/>
                    <w:jc w:val="left"/>
                  </w:pPr>
                  <w:r>
                    <w:rPr>
                      <w:w w:val="101.3606309890747"/>
                      <w:rFonts w:ascii="CIDFont+F2" w:hAnsi="CIDFont+F2" w:eastAsia="CIDFont+F2"/>
                      <w:b w:val="0"/>
                      <w:i w:val="0"/>
                      <w:color w:val="00497B"/>
                      <w:sz w:val="16"/>
                    </w:rPr>
                    <w:t>3%</w:t>
                  </w:r>
                </w:p>
              </w:tc>
              <w:tc>
                <w:tcPr>
                  <w:tcW w:type="dxa" w:w="1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240" w:after="0"/>
                    <w:ind w:left="0" w:right="278" w:firstLine="0"/>
                    <w:jc w:val="right"/>
                  </w:pPr>
                  <w:r>
                    <w:rPr>
                      <w:w w:val="101.3606309890747"/>
                      <w:rFonts w:ascii="CIDFont+F2" w:hAnsi="CIDFont+F2" w:eastAsia="CIDFont+F2"/>
                      <w:b w:val="0"/>
                      <w:i w:val="0"/>
                      <w:color w:val="00497B"/>
                      <w:sz w:val="16"/>
                    </w:rPr>
                    <w:t>34%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8" w:lineRule="exact" w:before="260" w:after="0"/>
              <w:ind w:left="0" w:right="2210" w:firstLine="0"/>
              <w:jc w:val="right"/>
            </w:pPr>
            <w:r>
              <w:rPr>
                <w:w w:val="101.3606309890747"/>
                <w:rFonts w:ascii="CIDFont+F2" w:hAnsi="CIDFont+F2" w:eastAsia="CIDFont+F2"/>
                <w:b w:val="0"/>
                <w:i w:val="0"/>
                <w:color w:val="00497B"/>
                <w:sz w:val="16"/>
              </w:rPr>
              <w:t>14%</w:t>
            </w:r>
          </w:p>
        </w:tc>
        <w:tc>
          <w:tcPr>
            <w:tcW w:type="dxa" w:w="640"/>
            <w:tcBorders>
              <w:top w:sz="34.40000000000009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20" w:right="0" w:firstLine="0"/>
              <w:jc w:val="left"/>
            </w:pPr>
            <w:r>
              <w:rPr>
                <w:w w:val="101.3606309890747"/>
                <w:rFonts w:ascii="CIDFont+F2" w:hAnsi="CIDFont+F2" w:eastAsia="CIDFont+F2"/>
                <w:b w:val="0"/>
                <w:i w:val="0"/>
                <w:color w:val="00497B"/>
                <w:sz w:val="16"/>
              </w:rPr>
              <w:t>12%</w:t>
            </w:r>
          </w:p>
        </w:tc>
        <w:tc>
          <w:tcPr>
            <w:tcW w:type="dxa" w:w="700"/>
            <w:vMerge w:val="restart"/>
            <w:tcBorders>
              <w:top w:sz="34.40000000000009" w:val="single" w:color="#B6B6B6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76" w:after="0"/>
              <w:ind w:left="48" w:right="0" w:firstLine="0"/>
              <w:jc w:val="left"/>
            </w:pPr>
            <w:r>
              <w:rPr>
                <w:w w:val="101.3606309890747"/>
                <w:rFonts w:ascii="CIDFont+F2" w:hAnsi="CIDFont+F2" w:eastAsia="CIDFont+F2"/>
                <w:b w:val="0"/>
                <w:i w:val="0"/>
                <w:color w:val="00497B"/>
                <w:sz w:val="16"/>
              </w:rPr>
              <w:t>6%</w:t>
            </w:r>
          </w:p>
        </w:tc>
        <w:tc>
          <w:tcPr>
            <w:tcW w:type="dxa" w:w="1600"/>
            <w:vMerge w:val="restart"/>
            <w:tcBorders>
              <w:top w:sz="34.40000000000009" w:val="single" w:color="#B6B6B6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2" w:after="0"/>
              <w:ind w:left="220" w:right="0" w:firstLine="0"/>
              <w:jc w:val="left"/>
            </w:pPr>
            <w:r>
              <w:rPr>
                <w:w w:val="101.3606309890747"/>
                <w:rFonts w:ascii="CIDFont+F2" w:hAnsi="CIDFont+F2" w:eastAsia="CIDFont+F2"/>
                <w:b w:val="0"/>
                <w:i w:val="0"/>
                <w:color w:val="00497B"/>
                <w:sz w:val="16"/>
              </w:rPr>
              <w:t>21%</w:t>
            </w:r>
          </w:p>
        </w:tc>
      </w:tr>
      <w:tr>
        <w:trPr>
          <w:trHeight w:hRule="exact" w:val="804"/>
        </w:trPr>
        <w:tc>
          <w:tcPr>
            <w:tcW w:type="dxa" w:w="1872"/>
            <w:vMerge/>
            <w:tcBorders>
              <w:top w:sz="34.40000000000009" w:val="single" w:color="#B6B6B6"/>
            </w:tcBorders>
          </w:tcPr>
          <w:p/>
        </w:tc>
        <w:tc>
          <w:tcPr>
            <w:tcW w:type="dxa" w:w="1872"/>
            <w:vMerge/>
            <w:tcBorders>
              <w:top w:sz="34.40000000000009" w:val="single" w:color="#B6B6B6"/>
            </w:tcBorders>
          </w:tcPr>
          <w:p/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38" w:firstLine="0"/>
              <w:jc w:val="right"/>
            </w:pPr>
            <w:r>
              <w:rPr>
                <w:w w:val="101.3606309890747"/>
                <w:rFonts w:ascii="CIDFont+F2" w:hAnsi="CIDFont+F2" w:eastAsia="CIDFont+F2"/>
                <w:b w:val="0"/>
                <w:i w:val="0"/>
                <w:color w:val="00497B"/>
                <w:sz w:val="16"/>
              </w:rPr>
              <w:t>5%</w:t>
            </w:r>
          </w:p>
        </w:tc>
        <w:tc>
          <w:tcPr>
            <w:tcW w:type="dxa" w:w="1872"/>
            <w:vMerge/>
            <w:tcBorders>
              <w:top w:sz="34.40000000000009" w:val="single" w:color="#B6B6B6"/>
            </w:tcBorders>
          </w:tcPr>
          <w:p/>
        </w:tc>
        <w:tc>
          <w:tcPr>
            <w:tcW w:type="dxa" w:w="1872"/>
            <w:vMerge/>
            <w:tcBorders>
              <w:top w:sz="34.40000000000009" w:val="single" w:color="#B6B6B6"/>
            </w:tcBorders>
          </w:tcPr>
          <w:p/>
        </w:tc>
      </w:tr>
    </w:tbl>
    <w:p>
      <w:pPr>
        <w:autoSpaceDN w:val="0"/>
        <w:autoSpaceDE w:val="0"/>
        <w:widowControl/>
        <w:spacing w:line="192" w:lineRule="exact" w:before="478" w:after="218"/>
        <w:ind w:left="602" w:right="0" w:firstLine="0"/>
        <w:jc w:val="left"/>
      </w:pPr>
      <w:r>
        <w:rPr>
          <w:rFonts w:ascii="CIDFont+F5" w:hAnsi="CIDFont+F5" w:eastAsia="CIDFont+F5"/>
          <w:b/>
          <w:i w:val="0"/>
          <w:color w:val="00497B"/>
          <w:sz w:val="17"/>
        </w:rPr>
        <w:t>Top 5 Sovereign Countries, EU and Other DPs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4.0" w:type="dxa"/>
      </w:tblPr>
      <w:tblGrid>
        <w:gridCol w:w="3120"/>
        <w:gridCol w:w="3120"/>
        <w:gridCol w:w="3120"/>
      </w:tblGrid>
      <w:tr>
        <w:trPr>
          <w:trHeight w:hRule="exact" w:val="228"/>
        </w:trPr>
        <w:tc>
          <w:tcPr>
            <w:tcW w:type="dxa" w:w="338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0" w:after="0"/>
              <w:ind w:left="0" w:right="0" w:firstLine="0"/>
              <w:jc w:val="center"/>
            </w:pPr>
            <w:r>
              <w:rPr>
                <w:w w:val="102.31286562406099"/>
                <w:rFonts w:ascii="CIDFont+F11" w:hAnsi="CIDFont+F11" w:eastAsia="CIDFont+F11"/>
                <w:b/>
                <w:i w:val="0"/>
                <w:color w:val="00497B"/>
                <w:sz w:val="13"/>
              </w:rPr>
              <w:t>June 30, 2024</w:t>
            </w:r>
          </w:p>
        </w:tc>
        <w:tc>
          <w:tcPr>
            <w:tcW w:type="dxa" w:w="254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0" w:after="0"/>
              <w:ind w:left="0" w:right="0" w:firstLine="0"/>
              <w:jc w:val="center"/>
            </w:pPr>
            <w:r>
              <w:rPr>
                <w:w w:val="102.31286562406099"/>
                <w:rFonts w:ascii="CIDFont+F11" w:hAnsi="CIDFont+F11" w:eastAsia="CIDFont+F11"/>
                <w:b/>
                <w:i w:val="0"/>
                <w:color w:val="00497B"/>
                <w:sz w:val="13"/>
              </w:rPr>
              <w:t>June 30, 2023</w:t>
            </w:r>
          </w:p>
        </w:tc>
      </w:tr>
      <w:tr>
        <w:trPr>
          <w:trHeight w:hRule="exact" w:val="466"/>
        </w:trPr>
        <w:tc>
          <w:tcPr>
            <w:tcW w:type="dxa" w:w="338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46" w:after="0"/>
              <w:ind w:left="28" w:right="0" w:firstLine="0"/>
              <w:jc w:val="left"/>
            </w:pPr>
            <w:r>
              <w:rPr>
                <w:w w:val="102.31286562406099"/>
                <w:rFonts w:ascii="CIDFont+F11" w:hAnsi="CIDFont+F11" w:eastAsia="CIDFont+F11"/>
                <w:b/>
                <w:i w:val="0"/>
                <w:color w:val="636363"/>
                <w:sz w:val="13"/>
              </w:rPr>
              <w:t>Sovereign Countries and EU</w:t>
            </w:r>
          </w:p>
        </w:tc>
        <w:tc>
          <w:tcPr>
            <w:tcW w:type="dxa" w:w="254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46" w:after="0"/>
              <w:ind w:left="0" w:right="1104" w:firstLine="0"/>
              <w:jc w:val="right"/>
            </w:pPr>
            <w:r>
              <w:rPr>
                <w:w w:val="102.31286562406099"/>
                <w:rFonts w:ascii="CIDFont+F11" w:hAnsi="CIDFont+F11" w:eastAsia="CIDFont+F11"/>
                <w:b/>
                <w:i w:val="0"/>
                <w:color w:val="636363"/>
                <w:sz w:val="13"/>
              </w:rPr>
              <w:t>$16,603</w:t>
            </w:r>
          </w:p>
        </w:tc>
        <w:tc>
          <w:tcPr>
            <w:tcW w:type="dxa" w:w="254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46" w:after="0"/>
              <w:ind w:left="0" w:right="0" w:firstLine="0"/>
              <w:jc w:val="center"/>
            </w:pPr>
            <w:r>
              <w:rPr>
                <w:w w:val="102.31286562406099"/>
                <w:rFonts w:ascii="CIDFont+F11" w:hAnsi="CIDFont+F11" w:eastAsia="CIDFont+F11"/>
                <w:b/>
                <w:i w:val="0"/>
                <w:color w:val="636363"/>
                <w:sz w:val="13"/>
              </w:rPr>
              <w:t>$12,935</w:t>
            </w:r>
          </w:p>
        </w:tc>
      </w:tr>
      <w:tr>
        <w:trPr>
          <w:trHeight w:hRule="exact" w:val="2739"/>
        </w:trPr>
        <w:tc>
          <w:tcPr>
            <w:tcW w:type="dxa" w:w="338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30" w:after="0"/>
              <w:ind w:left="124" w:right="0" w:firstLine="0"/>
              <w:jc w:val="left"/>
            </w:pPr>
            <w:r>
              <w:rPr>
                <w:w w:val="102.31286562406099"/>
                <w:rFonts w:ascii="CIDFont+F7" w:hAnsi="CIDFont+F7" w:eastAsia="CIDFont+F7"/>
                <w:b w:val="0"/>
                <w:i w:val="0"/>
                <w:color w:val="636363"/>
                <w:sz w:val="13"/>
              </w:rPr>
              <w:t>Japan</w:t>
            </w:r>
          </w:p>
          <w:p>
            <w:pPr>
              <w:autoSpaceDN w:val="0"/>
              <w:autoSpaceDE w:val="0"/>
              <w:widowControl/>
              <w:spacing w:line="152" w:lineRule="exact" w:before="304" w:after="0"/>
              <w:ind w:left="124" w:right="0" w:firstLine="0"/>
              <w:jc w:val="left"/>
            </w:pPr>
            <w:r>
              <w:rPr>
                <w:w w:val="102.31286562406099"/>
                <w:rFonts w:ascii="CIDFont+F7" w:hAnsi="CIDFont+F7" w:eastAsia="CIDFont+F7"/>
                <w:b w:val="0"/>
                <w:i w:val="0"/>
                <w:color w:val="636363"/>
                <w:sz w:val="13"/>
              </w:rPr>
              <w:t>United Kingdom</w:t>
            </w:r>
          </w:p>
          <w:p>
            <w:pPr>
              <w:autoSpaceDN w:val="0"/>
              <w:autoSpaceDE w:val="0"/>
              <w:widowControl/>
              <w:spacing w:line="152" w:lineRule="exact" w:before="304" w:after="0"/>
              <w:ind w:left="124" w:right="0" w:firstLine="0"/>
              <w:jc w:val="left"/>
            </w:pPr>
            <w:r>
              <w:rPr>
                <w:w w:val="102.31286562406099"/>
                <w:rFonts w:ascii="CIDFont+F7" w:hAnsi="CIDFont+F7" w:eastAsia="CIDFont+F7"/>
                <w:b w:val="0"/>
                <w:i w:val="0"/>
                <w:color w:val="636363"/>
                <w:sz w:val="13"/>
              </w:rPr>
              <w:t>Germany</w:t>
            </w:r>
          </w:p>
          <w:p>
            <w:pPr>
              <w:autoSpaceDN w:val="0"/>
              <w:autoSpaceDE w:val="0"/>
              <w:widowControl/>
              <w:spacing w:line="152" w:lineRule="exact" w:before="292" w:after="0"/>
              <w:ind w:left="124" w:right="0" w:firstLine="0"/>
              <w:jc w:val="left"/>
            </w:pPr>
            <w:r>
              <w:rPr>
                <w:w w:val="102.31286562406099"/>
                <w:rFonts w:ascii="CIDFont+F7" w:hAnsi="CIDFont+F7" w:eastAsia="CIDFont+F7"/>
                <w:b w:val="0"/>
                <w:i w:val="0"/>
                <w:color w:val="636363"/>
                <w:sz w:val="13"/>
              </w:rPr>
              <w:t>France</w:t>
            </w:r>
          </w:p>
          <w:p>
            <w:pPr>
              <w:autoSpaceDN w:val="0"/>
              <w:autoSpaceDE w:val="0"/>
              <w:widowControl/>
              <w:spacing w:line="152" w:lineRule="exact" w:before="292" w:after="0"/>
              <w:ind w:left="124" w:right="0" w:firstLine="0"/>
              <w:jc w:val="left"/>
            </w:pPr>
            <w:r>
              <w:rPr>
                <w:w w:val="102.31286562406099"/>
                <w:rFonts w:ascii="CIDFont+F7" w:hAnsi="CIDFont+F7" w:eastAsia="CIDFont+F7"/>
                <w:b w:val="0"/>
                <w:i w:val="0"/>
                <w:color w:val="636363"/>
                <w:sz w:val="13"/>
              </w:rPr>
              <w:t>United States</w:t>
            </w:r>
          </w:p>
          <w:p>
            <w:pPr>
              <w:autoSpaceDN w:val="0"/>
              <w:autoSpaceDE w:val="0"/>
              <w:widowControl/>
              <w:spacing w:line="152" w:lineRule="exact" w:before="314" w:after="0"/>
              <w:ind w:left="124" w:right="0" w:firstLine="0"/>
              <w:jc w:val="left"/>
            </w:pPr>
            <w:r>
              <w:rPr>
                <w:w w:val="102.31286562406099"/>
                <w:rFonts w:ascii="CIDFont+F7" w:hAnsi="CIDFont+F7" w:eastAsia="CIDFont+F7"/>
                <w:b w:val="0"/>
                <w:i w:val="0"/>
                <w:color w:val="636363"/>
                <w:sz w:val="13"/>
              </w:rPr>
              <w:t>Other sovereign countries</w:t>
            </w:r>
          </w:p>
        </w:tc>
        <w:tc>
          <w:tcPr>
            <w:tcW w:type="dxa" w:w="254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30" w:after="0"/>
              <w:ind w:left="0" w:right="1180" w:firstLine="0"/>
              <w:jc w:val="right"/>
            </w:pPr>
            <w:r>
              <w:rPr>
                <w:w w:val="102.31286562406099"/>
                <w:rFonts w:ascii="CIDFont+F7" w:hAnsi="CIDFont+F7" w:eastAsia="CIDFont+F7"/>
                <w:b w:val="0"/>
                <w:i w:val="0"/>
                <w:color w:val="636363"/>
                <w:sz w:val="13"/>
              </w:rPr>
              <w:t>2,632</w:t>
            </w:r>
          </w:p>
          <w:p>
            <w:pPr>
              <w:autoSpaceDN w:val="0"/>
              <w:autoSpaceDE w:val="0"/>
              <w:widowControl/>
              <w:spacing w:line="152" w:lineRule="exact" w:before="304" w:after="0"/>
              <w:ind w:left="0" w:right="1180" w:firstLine="0"/>
              <w:jc w:val="right"/>
            </w:pPr>
            <w:r>
              <w:rPr>
                <w:w w:val="102.31286562406099"/>
                <w:rFonts w:ascii="CIDFont+F7" w:hAnsi="CIDFont+F7" w:eastAsia="CIDFont+F7"/>
                <w:b w:val="0"/>
                <w:i w:val="0"/>
                <w:color w:val="636363"/>
                <w:sz w:val="13"/>
              </w:rPr>
              <w:t>2,516</w:t>
            </w:r>
          </w:p>
          <w:p>
            <w:pPr>
              <w:autoSpaceDN w:val="0"/>
              <w:autoSpaceDE w:val="0"/>
              <w:widowControl/>
              <w:spacing w:line="152" w:lineRule="exact" w:before="304" w:after="0"/>
              <w:ind w:left="0" w:right="1180" w:firstLine="0"/>
              <w:jc w:val="right"/>
            </w:pPr>
            <w:r>
              <w:rPr>
                <w:w w:val="102.31286562406099"/>
                <w:rFonts w:ascii="CIDFont+F7" w:hAnsi="CIDFont+F7" w:eastAsia="CIDFont+F7"/>
                <w:b w:val="0"/>
                <w:i w:val="0"/>
                <w:color w:val="636363"/>
                <w:sz w:val="13"/>
              </w:rPr>
              <w:t>2,446</w:t>
            </w:r>
          </w:p>
          <w:p>
            <w:pPr>
              <w:autoSpaceDN w:val="0"/>
              <w:autoSpaceDE w:val="0"/>
              <w:widowControl/>
              <w:spacing w:line="152" w:lineRule="exact" w:before="292" w:after="0"/>
              <w:ind w:left="0" w:right="1180" w:firstLine="0"/>
              <w:jc w:val="right"/>
            </w:pPr>
            <w:r>
              <w:rPr>
                <w:w w:val="102.31286562406099"/>
                <w:rFonts w:ascii="CIDFont+F7" w:hAnsi="CIDFont+F7" w:eastAsia="CIDFont+F7"/>
                <w:b w:val="0"/>
                <w:i w:val="0"/>
                <w:color w:val="636363"/>
                <w:sz w:val="13"/>
              </w:rPr>
              <w:t>1,542</w:t>
            </w:r>
          </w:p>
          <w:p>
            <w:pPr>
              <w:autoSpaceDN w:val="0"/>
              <w:autoSpaceDE w:val="0"/>
              <w:widowControl/>
              <w:spacing w:line="152" w:lineRule="exact" w:before="292" w:after="0"/>
              <w:ind w:left="0" w:right="1180" w:firstLine="0"/>
              <w:jc w:val="right"/>
            </w:pPr>
            <w:r>
              <w:rPr>
                <w:w w:val="102.31286562406099"/>
                <w:rFonts w:ascii="CIDFont+F7" w:hAnsi="CIDFont+F7" w:eastAsia="CIDFont+F7"/>
                <w:b w:val="0"/>
                <w:i w:val="0"/>
                <w:color w:val="636363"/>
                <w:sz w:val="13"/>
              </w:rPr>
              <w:t>1,430</w:t>
            </w:r>
          </w:p>
          <w:p>
            <w:pPr>
              <w:autoSpaceDN w:val="0"/>
              <w:autoSpaceDE w:val="0"/>
              <w:widowControl/>
              <w:spacing w:line="152" w:lineRule="exact" w:before="314" w:after="0"/>
              <w:ind w:left="0" w:right="1180" w:firstLine="0"/>
              <w:jc w:val="right"/>
            </w:pPr>
            <w:r>
              <w:rPr>
                <w:w w:val="102.31286562406099"/>
                <w:rFonts w:ascii="CIDFont+F7" w:hAnsi="CIDFont+F7" w:eastAsia="CIDFont+F7"/>
                <w:b w:val="0"/>
                <w:i w:val="0"/>
                <w:color w:val="636363"/>
                <w:sz w:val="13"/>
              </w:rPr>
              <w:t>6,037</w:t>
            </w:r>
          </w:p>
        </w:tc>
        <w:tc>
          <w:tcPr>
            <w:tcW w:type="dxa" w:w="2548"/>
            <w:tcBorders>
              <w:start w:sz="3.0" w:val="single" w:color="#000000"/>
              <w:top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30" w:after="0"/>
              <w:ind w:left="0" w:right="0" w:firstLine="0"/>
              <w:jc w:val="center"/>
            </w:pPr>
            <w:r>
              <w:rPr>
                <w:w w:val="102.31286562406099"/>
                <w:rFonts w:ascii="CIDFont+F7" w:hAnsi="CIDFont+F7" w:eastAsia="CIDFont+F7"/>
                <w:b w:val="0"/>
                <w:i w:val="0"/>
                <w:color w:val="636363"/>
                <w:sz w:val="13"/>
              </w:rPr>
              <w:t>695</w:t>
            </w:r>
          </w:p>
          <w:p>
            <w:pPr>
              <w:autoSpaceDN w:val="0"/>
              <w:autoSpaceDE w:val="0"/>
              <w:widowControl/>
              <w:spacing w:line="152" w:lineRule="exact" w:before="304" w:after="0"/>
              <w:ind w:left="0" w:right="0" w:firstLine="0"/>
              <w:jc w:val="center"/>
            </w:pPr>
            <w:r>
              <w:rPr>
                <w:w w:val="102.31286562406099"/>
                <w:rFonts w:ascii="CIDFont+F7" w:hAnsi="CIDFont+F7" w:eastAsia="CIDFont+F7"/>
                <w:b w:val="0"/>
                <w:i w:val="0"/>
                <w:color w:val="636363"/>
                <w:sz w:val="13"/>
              </w:rPr>
              <w:t>2,956</w:t>
            </w:r>
          </w:p>
          <w:p>
            <w:pPr>
              <w:autoSpaceDN w:val="0"/>
              <w:autoSpaceDE w:val="0"/>
              <w:widowControl/>
              <w:spacing w:line="152" w:lineRule="exact" w:before="304" w:after="0"/>
              <w:ind w:left="0" w:right="0" w:firstLine="0"/>
              <w:jc w:val="center"/>
            </w:pPr>
            <w:r>
              <w:rPr>
                <w:w w:val="102.31286562406099"/>
                <w:rFonts w:ascii="CIDFont+F7" w:hAnsi="CIDFont+F7" w:eastAsia="CIDFont+F7"/>
                <w:b w:val="0"/>
                <w:i w:val="0"/>
                <w:color w:val="636363"/>
                <w:sz w:val="13"/>
              </w:rPr>
              <w:t>1,777</w:t>
            </w:r>
          </w:p>
          <w:p>
            <w:pPr>
              <w:autoSpaceDN w:val="0"/>
              <w:autoSpaceDE w:val="0"/>
              <w:widowControl/>
              <w:spacing w:line="152" w:lineRule="exact" w:before="292" w:after="0"/>
              <w:ind w:left="0" w:right="0" w:firstLine="0"/>
              <w:jc w:val="center"/>
            </w:pPr>
            <w:r>
              <w:rPr>
                <w:w w:val="102.31286562406099"/>
                <w:rFonts w:ascii="CIDFont+F7" w:hAnsi="CIDFont+F7" w:eastAsia="CIDFont+F7"/>
                <w:b w:val="0"/>
                <w:i w:val="0"/>
                <w:color w:val="636363"/>
                <w:sz w:val="13"/>
              </w:rPr>
              <w:t>746</w:t>
            </w:r>
          </w:p>
          <w:p>
            <w:pPr>
              <w:autoSpaceDN w:val="0"/>
              <w:autoSpaceDE w:val="0"/>
              <w:widowControl/>
              <w:spacing w:line="152" w:lineRule="exact" w:before="292" w:after="0"/>
              <w:ind w:left="0" w:right="0" w:firstLine="0"/>
              <w:jc w:val="center"/>
            </w:pPr>
            <w:r>
              <w:rPr>
                <w:w w:val="102.31286562406099"/>
                <w:rFonts w:ascii="CIDFont+F7" w:hAnsi="CIDFont+F7" w:eastAsia="CIDFont+F7"/>
                <w:b w:val="0"/>
                <w:i w:val="0"/>
                <w:color w:val="636363"/>
                <w:sz w:val="13"/>
              </w:rPr>
              <w:t>990</w:t>
            </w:r>
          </w:p>
          <w:p>
            <w:pPr>
              <w:autoSpaceDN w:val="0"/>
              <w:autoSpaceDE w:val="0"/>
              <w:widowControl/>
              <w:spacing w:line="152" w:lineRule="exact" w:before="314" w:after="0"/>
              <w:ind w:left="0" w:right="0" w:firstLine="0"/>
              <w:jc w:val="center"/>
            </w:pPr>
            <w:r>
              <w:rPr>
                <w:w w:val="102.31286562406099"/>
                <w:rFonts w:ascii="CIDFont+F7" w:hAnsi="CIDFont+F7" w:eastAsia="CIDFont+F7"/>
                <w:b w:val="0"/>
                <w:i w:val="0"/>
                <w:color w:val="636363"/>
                <w:sz w:val="13"/>
              </w:rPr>
              <w:t>5,771</w:t>
            </w:r>
          </w:p>
        </w:tc>
      </w:tr>
      <w:tr>
        <w:trPr>
          <w:trHeight w:hRule="exact" w:val="460"/>
        </w:trPr>
        <w:tc>
          <w:tcPr>
            <w:tcW w:type="dxa" w:w="3380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28" w:after="0"/>
              <w:ind w:left="28" w:right="0" w:firstLine="0"/>
              <w:jc w:val="left"/>
            </w:pPr>
            <w:r>
              <w:rPr>
                <w:w w:val="102.31286562406099"/>
                <w:rFonts w:ascii="CIDFont+F11" w:hAnsi="CIDFont+F11" w:eastAsia="CIDFont+F11"/>
                <w:b/>
                <w:i w:val="0"/>
                <w:color w:val="636363"/>
                <w:sz w:val="13"/>
              </w:rPr>
              <w:t xml:space="preserve">Other DPs </w:t>
            </w:r>
            <w:r>
              <w:rPr>
                <w:w w:val="98.52537579006619"/>
                <w:rFonts w:ascii="CIDFont+F11" w:hAnsi="CIDFont+F11" w:eastAsia="CIDFont+F11"/>
                <w:b/>
                <w:i w:val="0"/>
                <w:color w:val="636363"/>
                <w:sz w:val="9"/>
              </w:rPr>
              <w:t>16</w:t>
            </w:r>
          </w:p>
        </w:tc>
        <w:tc>
          <w:tcPr>
            <w:tcW w:type="dxa" w:w="254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40" w:after="0"/>
              <w:ind w:left="0" w:right="1106" w:firstLine="0"/>
              <w:jc w:val="right"/>
            </w:pPr>
            <w:r>
              <w:rPr>
                <w:w w:val="102.31286562406099"/>
                <w:rFonts w:ascii="CIDFont+F11" w:hAnsi="CIDFont+F11" w:eastAsia="CIDFont+F11"/>
                <w:b/>
                <w:i w:val="0"/>
                <w:color w:val="636363"/>
                <w:sz w:val="13"/>
              </w:rPr>
              <w:t xml:space="preserve">$1,308 </w:t>
            </w:r>
          </w:p>
        </w:tc>
        <w:tc>
          <w:tcPr>
            <w:tcW w:type="dxa" w:w="254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40" w:after="0"/>
              <w:ind w:left="0" w:right="0" w:firstLine="0"/>
              <w:jc w:val="center"/>
            </w:pPr>
            <w:r>
              <w:rPr>
                <w:w w:val="102.31286562406099"/>
                <w:rFonts w:ascii="CIDFont+F11" w:hAnsi="CIDFont+F11" w:eastAsia="CIDFont+F11"/>
                <w:b/>
                <w:i w:val="0"/>
                <w:color w:val="636363"/>
                <w:sz w:val="13"/>
              </w:rPr>
              <w:t xml:space="preserve">$1,330 </w:t>
            </w:r>
          </w:p>
        </w:tc>
      </w:tr>
    </w:tbl>
    <w:p>
      <w:pPr>
        <w:autoSpaceDN w:val="0"/>
        <w:autoSpaceDE w:val="0"/>
        <w:widowControl/>
        <w:spacing w:line="162" w:lineRule="exact" w:before="3394" w:after="0"/>
        <w:ind w:left="432" w:right="0" w:firstLine="0"/>
        <w:jc w:val="left"/>
      </w:pPr>
      <w:r>
        <w:rPr>
          <w:w w:val="105.08066813151042"/>
          <w:rFonts w:ascii="CIDFont+F7" w:hAnsi="CIDFont+F7" w:eastAsia="CIDFont+F7"/>
          <w:b w:val="0"/>
          <w:i w:val="0"/>
          <w:color w:val="000000"/>
          <w:sz w:val="9"/>
        </w:rPr>
        <w:t>16</w:t>
      </w:r>
      <w:r>
        <w:rPr>
          <w:w w:val="101.32767813546317"/>
          <w:rFonts w:ascii="CIDFont+F8" w:hAnsi="CIDFont+F8" w:eastAsia="CIDFont+F8"/>
          <w:b w:val="0"/>
          <w:i/>
          <w:color w:val="000000"/>
          <w:sz w:val="14"/>
        </w:rPr>
        <w:t xml:space="preserve">Other DPs includes multilateral development banks, United Nations agencies, and public and private institutions but does not include </w:t>
      </w:r>
    </w:p>
    <w:p>
      <w:pPr>
        <w:autoSpaceDN w:val="0"/>
        <w:autoSpaceDE w:val="0"/>
        <w:widowControl/>
        <w:spacing w:line="158" w:lineRule="exact" w:before="26" w:after="0"/>
        <w:ind w:left="432" w:right="0" w:firstLine="0"/>
        <w:jc w:val="left"/>
      </w:pPr>
      <w:r>
        <w:rPr>
          <w:w w:val="101.32767813546317"/>
          <w:rFonts w:ascii="CIDFont+F8" w:hAnsi="CIDFont+F8" w:eastAsia="CIDFont+F8"/>
          <w:b w:val="0"/>
          <w:i/>
          <w:color w:val="000000"/>
          <w:sz w:val="14"/>
        </w:rPr>
        <w:t>receivables from entities of WBG amounting to $14m as of June 30,2024 ($15m as of June 30, 2023).</w:t>
      </w:r>
    </w:p>
    <w:p>
      <w:pPr>
        <w:autoSpaceDN w:val="0"/>
        <w:autoSpaceDE w:val="0"/>
        <w:widowControl/>
        <w:spacing w:line="228" w:lineRule="exact" w:before="214" w:after="0"/>
        <w:ind w:left="0" w:right="402" w:firstLine="0"/>
        <w:jc w:val="right"/>
      </w:pP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20 </w:t>
      </w:r>
    </w:p>
    <w:p>
      <w:pPr>
        <w:autoSpaceDN w:val="0"/>
        <w:autoSpaceDE w:val="0"/>
        <w:widowControl/>
        <w:spacing w:line="148" w:lineRule="exact" w:before="188" w:after="0"/>
        <w:ind w:left="432" w:right="0" w:firstLine="0"/>
        <w:jc w:val="left"/>
      </w:pPr>
      <w:r>
        <w:rPr>
          <w:w w:val="101.3277530670166"/>
          <w:rFonts w:ascii="CIDFont+F2" w:hAnsi="CIDFont+F2" w:eastAsia="CIDFont+F2"/>
          <w:b w:val="0"/>
          <w:i w:val="0"/>
          <w:color w:val="FFFFFF"/>
          <w:sz w:val="12"/>
        </w:rPr>
        <w:t>1</w:t>
      </w:r>
    </w:p>
    <w:p>
      <w:pPr>
        <w:sectPr>
          <w:pgSz w:w="12240" w:h="15840"/>
          <w:pgMar w:top="356" w:right="1440" w:bottom="4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174" w:lineRule="exact" w:before="0" w:after="0"/>
        <w:ind w:left="5974" w:right="288" w:hanging="2120"/>
        <w:jc w:val="left"/>
      </w:pPr>
      <w:r>
        <w:rPr>
          <w:w w:val="101.33335930960519"/>
          <w:rFonts w:ascii="CIDFont+F1" w:hAnsi="CIDFont+F1" w:eastAsia="CIDFont+F1"/>
          <w:b w:val="0"/>
          <w:i/>
          <w:color w:val="000000"/>
          <w:sz w:val="14"/>
        </w:rPr>
        <w:t xml:space="preserve">Trust Fund Financial Information Summary for fiscal years ended June 30, 2024 and 2023 </w:t>
      </w:r>
      <w:r>
        <w:rPr>
          <w:w w:val="101.33335930960519"/>
          <w:rFonts w:ascii="CIDFont+F1" w:hAnsi="CIDFont+F1" w:eastAsia="CIDFont+F1"/>
          <w:b w:val="0"/>
          <w:i/>
          <w:color w:val="000000"/>
          <w:sz w:val="14"/>
        </w:rPr>
        <w:t xml:space="preserve">All amounts in USD millions, unless otherwise noted </w:t>
      </w:r>
    </w:p>
    <w:p>
      <w:pPr>
        <w:autoSpaceDN w:val="0"/>
        <w:autoSpaceDE w:val="0"/>
        <w:widowControl/>
        <w:spacing w:line="434" w:lineRule="exact" w:before="28" w:after="136"/>
        <w:ind w:left="536" w:right="4608" w:firstLine="0"/>
        <w:jc w:val="left"/>
      </w:pPr>
      <w:r>
        <w:rPr>
          <w:w w:val="98.65285782586962"/>
          <w:rFonts w:ascii="CIDFont+F2" w:hAnsi="CIDFont+F2" w:eastAsia="CIDFont+F2"/>
          <w:b w:val="0"/>
          <w:i w:val="0"/>
          <w:color w:val="00497B"/>
          <w:sz w:val="21"/>
        </w:rPr>
        <w:t xml:space="preserve">Contributions and Receivables </w:t>
      </w:r>
      <w:r>
        <w:br/>
      </w:r>
      <w:r>
        <w:rPr>
          <w:w w:val="101.33307530329778"/>
          <w:rFonts w:ascii="CIDFont+F5" w:hAnsi="CIDFont+F5" w:eastAsia="CIDFont+F5"/>
          <w:b/>
          <w:i w:val="0"/>
          <w:color w:val="00497B"/>
          <w:sz w:val="26"/>
        </w:rPr>
        <w:t>Promissory Notes Receivable</w:t>
      </w:r>
      <w:r>
        <w:rPr>
          <w:rFonts w:ascii="CIDFont+F5" w:hAnsi="CIDFont+F5" w:eastAsia="CIDFont+F5"/>
          <w:b/>
          <w:i w:val="0"/>
          <w:color w:val="FFFFFF"/>
          <w:sz w:val="17"/>
        </w:rPr>
        <w:t>11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2340"/>
        <w:gridCol w:w="2340"/>
        <w:gridCol w:w="2340"/>
        <w:gridCol w:w="2340"/>
      </w:tblGrid>
      <w:tr>
        <w:trPr>
          <w:trHeight w:hRule="exact" w:val="306"/>
        </w:trPr>
        <w:tc>
          <w:tcPr>
            <w:tcW w:type="dxa" w:w="1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10" w:after="0"/>
              <w:ind w:left="0" w:right="112" w:firstLine="0"/>
              <w:jc w:val="right"/>
            </w:pPr>
            <w:r>
              <w:rPr>
                <w:rFonts w:ascii="CIDFont+F7" w:hAnsi="CIDFont+F7" w:eastAsia="CIDFont+F7"/>
                <w:b w:val="0"/>
                <w:i w:val="0"/>
                <w:color w:val="00497B"/>
                <w:sz w:val="17"/>
              </w:rPr>
              <w:t>June 30, 2024</w:t>
            </w:r>
          </w:p>
        </w:tc>
        <w:tc>
          <w:tcPr>
            <w:tcW w:type="dxa" w:w="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" cy="762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10" w:after="0"/>
              <w:ind w:left="172" w:right="0" w:firstLine="0"/>
              <w:jc w:val="left"/>
            </w:pPr>
            <w:r>
              <w:rPr>
                <w:rFonts w:ascii="CIDFont+F7" w:hAnsi="CIDFont+F7" w:eastAsia="CIDFont+F7"/>
                <w:b w:val="0"/>
                <w:i w:val="0"/>
                <w:color w:val="00497B"/>
                <w:sz w:val="17"/>
              </w:rPr>
              <w:t>June 30, 2023</w:t>
            </w:r>
          </w:p>
        </w:tc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0" w:after="0"/>
              <w:ind w:left="420" w:right="0" w:firstLine="0"/>
              <w:jc w:val="left"/>
            </w:pPr>
            <w:r>
              <w:rPr>
                <w:w w:val="98.37079299123663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In certain programs, contributions receivable are settled </w:t>
            </w:r>
          </w:p>
        </w:tc>
      </w:tr>
      <w:tr>
        <w:trPr>
          <w:trHeight w:hRule="exact" w:val="260"/>
        </w:trPr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" w:after="0"/>
              <w:ind w:left="420" w:right="0" w:firstLine="0"/>
              <w:jc w:val="left"/>
            </w:pPr>
            <w:r>
              <w:rPr>
                <w:w w:val="98.37079299123663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through deposit of promissory notes, which are </w:t>
            </w:r>
          </w:p>
        </w:tc>
      </w:tr>
      <w:tr>
        <w:trPr>
          <w:trHeight w:hRule="exact" w:val="260"/>
        </w:trPr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" w:after="0"/>
              <w:ind w:left="0" w:right="208" w:firstLine="0"/>
              <w:jc w:val="right"/>
            </w:pPr>
            <w:r>
              <w:rPr>
                <w:rFonts w:ascii="CIDFont+F7" w:hAnsi="CIDFont+F7" w:eastAsia="CIDFont+F7"/>
                <w:b w:val="0"/>
                <w:i w:val="0"/>
                <w:color w:val="00497B"/>
                <w:sz w:val="26"/>
              </w:rPr>
              <w:t>$12,376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" w:after="0"/>
              <w:ind w:left="240" w:right="0" w:firstLine="0"/>
              <w:jc w:val="left"/>
            </w:pPr>
            <w:r>
              <w:rPr>
                <w:rFonts w:ascii="CIDFont+F7" w:hAnsi="CIDFont+F7" w:eastAsia="CIDFont+F7"/>
                <w:b w:val="0"/>
                <w:i w:val="0"/>
                <w:color w:val="00497B"/>
                <w:sz w:val="26"/>
              </w:rPr>
              <w:t>$6,504</w:t>
            </w:r>
          </w:p>
        </w:tc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2" w:after="0"/>
              <w:ind w:left="420" w:right="0" w:firstLine="0"/>
              <w:jc w:val="left"/>
            </w:pPr>
            <w:r>
              <w:rPr>
                <w:w w:val="98.37079299123663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subsequently encashed based on schedules agreed with </w:t>
            </w:r>
          </w:p>
        </w:tc>
      </w:tr>
      <w:tr>
        <w:trPr>
          <w:trHeight w:hRule="exact" w:val="272"/>
        </w:trPr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6" w:after="0"/>
              <w:ind w:left="420" w:right="0" w:firstLine="0"/>
              <w:jc w:val="left"/>
            </w:pPr>
            <w:r>
              <w:rPr>
                <w:w w:val="98.37079299123663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the DPs, and are recorded as cash contributions upon </w:t>
            </w:r>
          </w:p>
        </w:tc>
      </w:tr>
    </w:tbl>
    <w:p>
      <w:pPr>
        <w:autoSpaceDN w:val="0"/>
        <w:autoSpaceDE w:val="0"/>
        <w:widowControl/>
        <w:spacing w:line="228" w:lineRule="exact" w:before="16" w:after="0"/>
        <w:ind w:left="0" w:right="3668" w:firstLine="0"/>
        <w:jc w:val="right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encashment. </w:t>
      </w:r>
    </w:p>
    <w:p>
      <w:pPr>
        <w:autoSpaceDN w:val="0"/>
        <w:autoSpaceDE w:val="0"/>
        <w:widowControl/>
        <w:spacing w:line="240" w:lineRule="auto" w:before="1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93260" cy="191135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93260" cy="1911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8" w:after="0"/>
        <w:ind w:left="4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890770" cy="3742689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90770" cy="3742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exact" w:before="0" w:after="0"/>
        <w:ind w:left="432" w:right="864" w:firstLine="0"/>
        <w:jc w:val="left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In FY24, promissory note receivable increased significantly for SALNTF program primarily due to Japan’s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contribution ($5,000m) for trust fund supporting advancing needed credit enhancement for Ukraine. </w:t>
      </w:r>
    </w:p>
    <w:p>
      <w:pPr>
        <w:autoSpaceDN w:val="0"/>
        <w:autoSpaceDE w:val="0"/>
        <w:widowControl/>
        <w:spacing w:line="160" w:lineRule="exact" w:before="684" w:after="0"/>
        <w:ind w:left="432" w:right="0" w:firstLine="0"/>
        <w:jc w:val="left"/>
      </w:pPr>
      <w:r>
        <w:rPr>
          <w:w w:val="105.08649614122179"/>
          <w:rFonts w:ascii="CIDFont+F7" w:hAnsi="CIDFont+F7" w:eastAsia="CIDFont+F7"/>
          <w:b w:val="0"/>
          <w:i w:val="0"/>
          <w:color w:val="000000"/>
          <w:sz w:val="9"/>
        </w:rPr>
        <w:t xml:space="preserve">17 </w:t>
      </w:r>
      <w:r>
        <w:rPr>
          <w:w w:val="101.33335930960519"/>
          <w:rFonts w:ascii="CIDFont+F8" w:hAnsi="CIDFont+F8" w:eastAsia="CIDFont+F8"/>
          <w:b w:val="0"/>
          <w:i/>
          <w:color w:val="000000"/>
          <w:sz w:val="14"/>
        </w:rPr>
        <w:t xml:space="preserve">Other DPs includes multilateral development banks, United Nations agencies, and public and private institutions. </w:t>
      </w:r>
    </w:p>
    <w:p>
      <w:pPr>
        <w:autoSpaceDN w:val="0"/>
        <w:autoSpaceDE w:val="0"/>
        <w:widowControl/>
        <w:spacing w:line="228" w:lineRule="exact" w:before="216" w:after="0"/>
        <w:ind w:left="0" w:right="400" w:firstLine="0"/>
        <w:jc w:val="right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21 </w:t>
      </w:r>
    </w:p>
    <w:p>
      <w:pPr>
        <w:autoSpaceDN w:val="0"/>
        <w:autoSpaceDE w:val="0"/>
        <w:widowControl/>
        <w:spacing w:line="148" w:lineRule="exact" w:before="186" w:after="0"/>
        <w:ind w:left="432" w:right="0" w:firstLine="0"/>
        <w:jc w:val="left"/>
      </w:pPr>
      <w:r>
        <w:rPr>
          <w:w w:val="101.3333797454834"/>
          <w:rFonts w:ascii="CIDFont+F2" w:hAnsi="CIDFont+F2" w:eastAsia="CIDFont+F2"/>
          <w:b w:val="0"/>
          <w:i w:val="0"/>
          <w:color w:val="FFFFFF"/>
          <w:sz w:val="12"/>
        </w:rPr>
        <w:t>1</w:t>
      </w:r>
    </w:p>
    <w:p>
      <w:pPr>
        <w:sectPr>
          <w:pgSz w:w="12240" w:h="15840"/>
          <w:pgMar w:top="358" w:right="1440" w:bottom="4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174" w:lineRule="exact" w:before="0" w:after="0"/>
        <w:ind w:left="5974" w:right="720" w:hanging="2120"/>
        <w:jc w:val="left"/>
      </w:pPr>
      <w:r>
        <w:rPr>
          <w:w w:val="101.32767813546317"/>
          <w:rFonts w:ascii="CIDFont+F1" w:hAnsi="CIDFont+F1" w:eastAsia="CIDFont+F1"/>
          <w:b w:val="0"/>
          <w:i/>
          <w:color w:val="000000"/>
          <w:sz w:val="14"/>
        </w:rPr>
        <w:t xml:space="preserve">Trust Fund Financial Information Summary for fiscal years ended June 30, 2024 and 2023 </w:t>
      </w:r>
      <w:r>
        <w:rPr>
          <w:w w:val="101.32767813546317"/>
          <w:rFonts w:ascii="CIDFont+F1" w:hAnsi="CIDFont+F1" w:eastAsia="CIDFont+F1"/>
          <w:b w:val="0"/>
          <w:i/>
          <w:color w:val="000000"/>
          <w:sz w:val="14"/>
        </w:rPr>
        <w:t xml:space="preserve">All amounts in USD millions, unless otherwise noted </w:t>
      </w:r>
    </w:p>
    <w:p>
      <w:pPr>
        <w:autoSpaceDN w:val="0"/>
        <w:autoSpaceDE w:val="0"/>
        <w:widowControl/>
        <w:spacing w:line="254" w:lineRule="exact" w:before="180" w:after="0"/>
        <w:ind w:left="622" w:right="0" w:firstLine="0"/>
        <w:jc w:val="left"/>
      </w:pPr>
      <w:r>
        <w:rPr>
          <w:w w:val="98.6471448625837"/>
          <w:rFonts w:ascii="CIDFont+F2" w:hAnsi="CIDFont+F2" w:eastAsia="CIDFont+F2"/>
          <w:b w:val="0"/>
          <w:i w:val="0"/>
          <w:color w:val="00497B"/>
          <w:sz w:val="21"/>
        </w:rPr>
        <w:t xml:space="preserve">Contributions and Receivables </w:t>
      </w:r>
    </w:p>
    <w:p>
      <w:pPr>
        <w:autoSpaceDN w:val="0"/>
        <w:autoSpaceDE w:val="0"/>
        <w:widowControl/>
        <w:spacing w:line="298" w:lineRule="exact" w:before="140" w:after="0"/>
        <w:ind w:left="622" w:right="0" w:firstLine="0"/>
        <w:jc w:val="left"/>
      </w:pPr>
      <w:r>
        <w:rPr>
          <w:w w:val="101.32788144625151"/>
          <w:rFonts w:ascii="CIDFont+F5" w:hAnsi="CIDFont+F5" w:eastAsia="CIDFont+F5"/>
          <w:b/>
          <w:i w:val="0"/>
          <w:color w:val="00497B"/>
          <w:sz w:val="26"/>
        </w:rPr>
        <w:t xml:space="preserve">Commitment Authority </w:t>
      </w:r>
    </w:p>
    <w:p>
      <w:pPr>
        <w:autoSpaceDN w:val="0"/>
        <w:autoSpaceDE w:val="0"/>
        <w:widowControl/>
        <w:spacing w:line="264" w:lineRule="exact" w:before="156" w:after="220"/>
        <w:ind w:left="602" w:right="816" w:firstLine="0"/>
        <w:jc w:val="both"/>
      </w:pP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Commitment authority represents an upper limit up to which task teams can commit future disbursements at 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the individual TF level. The classes of assets that a trust fund could commit upon form the trust fund’s Basis 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of Commitment (BoC).  The asset classes that can be committed against are either (i) cash, (ii) cash plus 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promissory notes, or (iii) cash plus promissory notes and contributions receivable. The default BoC for a trust 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fund is cash, but may be modified to include promissory notes receivable and/or contributions receivable with 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the approval of Director(s) in the unit managing the trust fund. The trust funds grouped by BoC types and the 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funds available for commitments is presented in the table below: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4.0" w:type="dxa"/>
      </w:tblPr>
      <w:tblGrid>
        <w:gridCol w:w="1221"/>
        <w:gridCol w:w="1221"/>
        <w:gridCol w:w="1221"/>
        <w:gridCol w:w="1221"/>
        <w:gridCol w:w="1221"/>
        <w:gridCol w:w="1221"/>
        <w:gridCol w:w="1221"/>
        <w:gridCol w:w="1221"/>
      </w:tblGrid>
      <w:tr>
        <w:trPr>
          <w:trHeight w:hRule="exact" w:val="837"/>
        </w:trPr>
        <w:tc>
          <w:tcPr>
            <w:tcW w:type="dxa" w:w="251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20" w:after="0"/>
              <w:ind w:left="432" w:right="432" w:firstLine="0"/>
              <w:jc w:val="center"/>
            </w:pPr>
            <w:r>
              <w:rPr>
                <w:w w:val="98.88814779428336"/>
                <w:rFonts w:ascii="CIDFont+F11" w:hAnsi="CIDFont+F11" w:eastAsia="CIDFont+F11"/>
                <w:b/>
                <w:i w:val="0"/>
                <w:color w:val="00497B"/>
                <w:sz w:val="13"/>
              </w:rPr>
              <w:t xml:space="preserve">Trust funds with Basis of </w:t>
            </w:r>
            <w:r>
              <w:rPr>
                <w:w w:val="98.88814779428336"/>
                <w:rFonts w:ascii="CIDFont+F11" w:hAnsi="CIDFont+F11" w:eastAsia="CIDFont+F11"/>
                <w:b/>
                <w:i w:val="0"/>
                <w:color w:val="00497B"/>
                <w:sz w:val="13"/>
              </w:rPr>
              <w:t>Commitment as</w:t>
            </w:r>
          </w:p>
        </w:tc>
        <w:tc>
          <w:tcPr>
            <w:tcW w:type="dxa" w:w="94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20" w:after="0"/>
              <w:ind w:left="0" w:right="0" w:firstLine="0"/>
              <w:jc w:val="center"/>
            </w:pPr>
            <w:r>
              <w:rPr>
                <w:w w:val="98.88814779428336"/>
                <w:rFonts w:ascii="CIDFont+F11" w:hAnsi="CIDFont+F11" w:eastAsia="CIDFont+F11"/>
                <w:b/>
                <w:i w:val="0"/>
                <w:color w:val="00497B"/>
                <w:sz w:val="13"/>
              </w:rPr>
              <w:t xml:space="preserve">Contribution </w:t>
            </w:r>
            <w:r>
              <w:rPr>
                <w:w w:val="98.88814779428336"/>
                <w:rFonts w:ascii="CIDFont+F11" w:hAnsi="CIDFont+F11" w:eastAsia="CIDFont+F11"/>
                <w:b/>
                <w:i w:val="0"/>
                <w:color w:val="00497B"/>
                <w:sz w:val="13"/>
              </w:rPr>
              <w:t>Receivable</w:t>
            </w:r>
          </w:p>
        </w:tc>
        <w:tc>
          <w:tcPr>
            <w:tcW w:type="dxa" w:w="954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30" w:after="0"/>
              <w:ind w:left="0" w:right="0" w:firstLine="0"/>
              <w:jc w:val="center"/>
            </w:pPr>
            <w:r>
              <w:rPr>
                <w:w w:val="98.88814779428336"/>
                <w:rFonts w:ascii="CIDFont+F11" w:hAnsi="CIDFont+F11" w:eastAsia="CIDFont+F11"/>
                <w:b/>
                <w:i w:val="0"/>
                <w:color w:val="00497B"/>
                <w:sz w:val="13"/>
              </w:rPr>
              <w:t xml:space="preserve">Promissory </w:t>
            </w:r>
            <w:r>
              <w:rPr>
                <w:w w:val="98.88814779428336"/>
                <w:rFonts w:ascii="CIDFont+F11" w:hAnsi="CIDFont+F11" w:eastAsia="CIDFont+F11"/>
                <w:b/>
                <w:i w:val="0"/>
                <w:color w:val="00497B"/>
                <w:sz w:val="13"/>
              </w:rPr>
              <w:t xml:space="preserve">Notes </w:t>
            </w:r>
            <w:r>
              <w:br/>
            </w:r>
            <w:r>
              <w:rPr>
                <w:w w:val="98.88814779428336"/>
                <w:rFonts w:ascii="CIDFont+F11" w:hAnsi="CIDFont+F11" w:eastAsia="CIDFont+F11"/>
                <w:b/>
                <w:i w:val="0"/>
                <w:color w:val="00497B"/>
                <w:sz w:val="13"/>
              </w:rPr>
              <w:t>Receivable</w:t>
            </w:r>
          </w:p>
        </w:tc>
        <w:tc>
          <w:tcPr>
            <w:tcW w:type="dxa" w:w="78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0" w:after="0"/>
              <w:ind w:left="0" w:right="0" w:firstLine="0"/>
              <w:jc w:val="center"/>
            </w:pPr>
            <w:r>
              <w:rPr>
                <w:w w:val="98.88814779428336"/>
                <w:rFonts w:ascii="CIDFont+F11" w:hAnsi="CIDFont+F11" w:eastAsia="CIDFont+F11"/>
                <w:b/>
                <w:i w:val="0"/>
                <w:color w:val="00497B"/>
                <w:sz w:val="13"/>
              </w:rPr>
              <w:t xml:space="preserve">Cash </w:t>
            </w:r>
            <w:r>
              <w:rPr>
                <w:w w:val="95.22652096218533"/>
                <w:rFonts w:ascii="CIDFont+F11" w:hAnsi="CIDFont+F11" w:eastAsia="CIDFont+F11"/>
                <w:b/>
                <w:i w:val="0"/>
                <w:color w:val="00497B"/>
                <w:sz w:val="9"/>
              </w:rPr>
              <w:t>18</w:t>
            </w:r>
          </w:p>
        </w:tc>
        <w:tc>
          <w:tcPr>
            <w:tcW w:type="dxa" w:w="81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20" w:after="0"/>
              <w:ind w:left="144" w:right="0" w:firstLine="0"/>
              <w:jc w:val="center"/>
            </w:pPr>
            <w:r>
              <w:rPr>
                <w:w w:val="98.88814779428336"/>
                <w:rFonts w:ascii="CIDFont+F11" w:hAnsi="CIDFont+F11" w:eastAsia="CIDFont+F11"/>
                <w:b/>
                <w:i w:val="0"/>
                <w:color w:val="00497B"/>
                <w:sz w:val="13"/>
              </w:rPr>
              <w:t xml:space="preserve">Total TF </w:t>
            </w:r>
            <w:r>
              <w:rPr>
                <w:w w:val="98.88814779428336"/>
                <w:rFonts w:ascii="CIDFont+F11" w:hAnsi="CIDFont+F11" w:eastAsia="CIDFont+F11"/>
                <w:b/>
                <w:i w:val="0"/>
                <w:color w:val="00497B"/>
                <w:sz w:val="13"/>
              </w:rPr>
              <w:t>Assets</w:t>
            </w:r>
          </w:p>
        </w:tc>
        <w:tc>
          <w:tcPr>
            <w:tcW w:type="dxa" w:w="92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20" w:after="0"/>
              <w:ind w:left="0" w:right="0" w:firstLine="0"/>
              <w:jc w:val="center"/>
            </w:pPr>
            <w:r>
              <w:rPr>
                <w:w w:val="98.88814779428336"/>
                <w:rFonts w:ascii="CIDFont+F11" w:hAnsi="CIDFont+F11" w:eastAsia="CIDFont+F11"/>
                <w:b/>
                <w:i w:val="0"/>
                <w:color w:val="00497B"/>
                <w:sz w:val="13"/>
              </w:rPr>
              <w:t xml:space="preserve">Outstanding </w:t>
            </w:r>
            <w:r>
              <w:rPr>
                <w:w w:val="98.88814779428336"/>
                <w:rFonts w:ascii="CIDFont+F11" w:hAnsi="CIDFont+F11" w:eastAsia="CIDFont+F11"/>
                <w:b/>
                <w:i w:val="0"/>
                <w:color w:val="00497B"/>
                <w:sz w:val="13"/>
              </w:rPr>
              <w:t>Commitments</w:t>
            </w:r>
          </w:p>
        </w:tc>
        <w:tc>
          <w:tcPr>
            <w:tcW w:type="dxa" w:w="98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0" w:firstLine="0"/>
              <w:jc w:val="center"/>
            </w:pPr>
            <w:r>
              <w:rPr>
                <w:w w:val="98.88814779428336"/>
                <w:rFonts w:ascii="CIDFont+F11" w:hAnsi="CIDFont+F11" w:eastAsia="CIDFont+F11"/>
                <w:b/>
                <w:i w:val="0"/>
                <w:color w:val="00497B"/>
                <w:sz w:val="13"/>
              </w:rPr>
              <w:t xml:space="preserve">Balance </w:t>
            </w:r>
            <w:r>
              <w:br/>
            </w:r>
            <w:r>
              <w:rPr>
                <w:w w:val="98.88814779428336"/>
                <w:rFonts w:ascii="CIDFont+F11" w:hAnsi="CIDFont+F11" w:eastAsia="CIDFont+F11"/>
                <w:b/>
                <w:i w:val="0"/>
                <w:color w:val="00497B"/>
                <w:sz w:val="13"/>
              </w:rPr>
              <w:t xml:space="preserve">Available to </w:t>
            </w:r>
            <w:r>
              <w:rPr>
                <w:w w:val="98.88814779428336"/>
                <w:rFonts w:ascii="CIDFont+F11" w:hAnsi="CIDFont+F11" w:eastAsia="CIDFont+F11"/>
                <w:b/>
                <w:i w:val="0"/>
                <w:color w:val="00497B"/>
                <w:sz w:val="13"/>
              </w:rPr>
              <w:t xml:space="preserve">Commit </w:t>
            </w:r>
            <w:r>
              <w:br/>
            </w:r>
            <w:r>
              <w:rPr>
                <w:w w:val="98.88814779428336"/>
                <w:rFonts w:ascii="CIDFont+F11" w:hAnsi="CIDFont+F11" w:eastAsia="CIDFont+F11"/>
                <w:b/>
                <w:i w:val="0"/>
                <w:color w:val="00497B"/>
                <w:sz w:val="13"/>
              </w:rPr>
              <w:t xml:space="preserve">as of </w:t>
            </w:r>
            <w:r>
              <w:br/>
            </w:r>
            <w:r>
              <w:rPr>
                <w:w w:val="98.88814779428336"/>
                <w:rFonts w:ascii="CIDFont+F11" w:hAnsi="CIDFont+F11" w:eastAsia="CIDFont+F11"/>
                <w:b/>
                <w:i w:val="0"/>
                <w:color w:val="00497B"/>
                <w:sz w:val="13"/>
              </w:rPr>
              <w:t>June 30, 2024</w:t>
            </w:r>
          </w:p>
        </w:tc>
        <w:tc>
          <w:tcPr>
            <w:tcW w:type="dxa" w:w="55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4"/>
        </w:trPr>
        <w:tc>
          <w:tcPr>
            <w:tcW w:type="dxa" w:w="251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4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8" w:after="0"/>
              <w:ind w:left="0" w:right="0" w:firstLine="0"/>
              <w:jc w:val="center"/>
            </w:pPr>
            <w:r>
              <w:rPr>
                <w:w w:val="98.88814779428336"/>
                <w:rFonts w:ascii="CIDFont+F11" w:hAnsi="CIDFont+F11" w:eastAsia="CIDFont+F11"/>
                <w:b/>
                <w:i w:val="0"/>
                <w:color w:val="00497B"/>
                <w:sz w:val="13"/>
              </w:rPr>
              <w:t>A</w:t>
            </w:r>
          </w:p>
        </w:tc>
        <w:tc>
          <w:tcPr>
            <w:tcW w:type="dxa" w:w="954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8" w:after="0"/>
              <w:ind w:left="0" w:right="0" w:firstLine="0"/>
              <w:jc w:val="center"/>
            </w:pPr>
            <w:r>
              <w:rPr>
                <w:w w:val="98.88814779428336"/>
                <w:rFonts w:ascii="CIDFont+F11" w:hAnsi="CIDFont+F11" w:eastAsia="CIDFont+F11"/>
                <w:b/>
                <w:i w:val="0"/>
                <w:color w:val="00497B"/>
                <w:sz w:val="13"/>
              </w:rPr>
              <w:t>B</w:t>
            </w:r>
          </w:p>
        </w:tc>
        <w:tc>
          <w:tcPr>
            <w:tcW w:type="dxa" w:w="78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8" w:after="0"/>
              <w:ind w:left="0" w:right="0" w:firstLine="0"/>
              <w:jc w:val="center"/>
            </w:pPr>
            <w:r>
              <w:rPr>
                <w:w w:val="98.88814779428336"/>
                <w:rFonts w:ascii="CIDFont+F11" w:hAnsi="CIDFont+F11" w:eastAsia="CIDFont+F11"/>
                <w:b/>
                <w:i w:val="0"/>
                <w:color w:val="00497B"/>
                <w:sz w:val="13"/>
              </w:rPr>
              <w:t>C</w:t>
            </w:r>
          </w:p>
        </w:tc>
        <w:tc>
          <w:tcPr>
            <w:tcW w:type="dxa" w:w="81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8" w:after="0"/>
              <w:ind w:left="0" w:right="0" w:firstLine="0"/>
              <w:jc w:val="center"/>
            </w:pPr>
            <w:r>
              <w:rPr>
                <w:w w:val="98.88814779428336"/>
                <w:rFonts w:ascii="CIDFont+F11" w:hAnsi="CIDFont+F11" w:eastAsia="CIDFont+F11"/>
                <w:b/>
                <w:i w:val="0"/>
                <w:color w:val="00497B"/>
                <w:sz w:val="13"/>
              </w:rPr>
              <w:t>D=A+B+C</w:t>
            </w:r>
          </w:p>
        </w:tc>
        <w:tc>
          <w:tcPr>
            <w:tcW w:type="dxa" w:w="922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8" w:after="0"/>
              <w:ind w:left="0" w:right="0" w:firstLine="0"/>
              <w:jc w:val="center"/>
            </w:pPr>
            <w:r>
              <w:rPr>
                <w:w w:val="98.88814779428336"/>
                <w:rFonts w:ascii="CIDFont+F11" w:hAnsi="CIDFont+F11" w:eastAsia="CIDFont+F11"/>
                <w:b/>
                <w:i w:val="0"/>
                <w:color w:val="00497B"/>
                <w:sz w:val="13"/>
              </w:rPr>
              <w:t>E</w:t>
            </w:r>
          </w:p>
        </w:tc>
        <w:tc>
          <w:tcPr>
            <w:tcW w:type="dxa" w:w="98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8" w:after="0"/>
              <w:ind w:left="0" w:right="0" w:firstLine="0"/>
              <w:jc w:val="center"/>
            </w:pPr>
            <w:r>
              <w:rPr>
                <w:w w:val="98.88814779428336"/>
                <w:rFonts w:ascii="CIDFont+F11" w:hAnsi="CIDFont+F11" w:eastAsia="CIDFont+F11"/>
                <w:b/>
                <w:i w:val="0"/>
                <w:color w:val="00497B"/>
                <w:sz w:val="13"/>
              </w:rPr>
              <w:t>F</w:t>
            </w:r>
          </w:p>
        </w:tc>
        <w:tc>
          <w:tcPr>
            <w:tcW w:type="dxa" w:w="55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46"/>
        </w:trPr>
        <w:tc>
          <w:tcPr>
            <w:tcW w:type="dxa" w:w="2518"/>
            <w:vMerge w:val="restart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66" w:after="0"/>
              <w:ind w:left="26" w:right="0" w:firstLine="0"/>
              <w:jc w:val="left"/>
            </w:pPr>
            <w:r>
              <w:rPr>
                <w:w w:val="98.88814779428336"/>
                <w:rFonts w:ascii="CIDFont+F7" w:hAnsi="CIDFont+F7" w:eastAsia="CIDFont+F7"/>
                <w:b w:val="0"/>
                <w:i w:val="0"/>
                <w:color w:val="797979"/>
                <w:sz w:val="13"/>
              </w:rPr>
              <w:t>Cash (63% of TFs )</w:t>
            </w:r>
          </w:p>
          <w:p>
            <w:pPr>
              <w:autoSpaceDN w:val="0"/>
              <w:autoSpaceDE w:val="0"/>
              <w:widowControl/>
              <w:spacing w:line="144" w:lineRule="exact" w:before="338" w:after="0"/>
              <w:ind w:left="26" w:right="0" w:firstLine="0"/>
              <w:jc w:val="left"/>
            </w:pPr>
            <w:r>
              <w:rPr>
                <w:w w:val="98.88814779428336"/>
                <w:rFonts w:ascii="CIDFont+F7" w:hAnsi="CIDFont+F7" w:eastAsia="CIDFont+F7"/>
                <w:b w:val="0"/>
                <w:i w:val="0"/>
                <w:color w:val="797979"/>
                <w:sz w:val="13"/>
              </w:rPr>
              <w:t>Cash and Promissory Notes Receivable</w:t>
            </w:r>
          </w:p>
          <w:p>
            <w:pPr>
              <w:autoSpaceDN w:val="0"/>
              <w:autoSpaceDE w:val="0"/>
              <w:widowControl/>
              <w:spacing w:line="144" w:lineRule="exact" w:before="26" w:after="0"/>
              <w:ind w:left="26" w:right="0" w:firstLine="0"/>
              <w:jc w:val="left"/>
            </w:pPr>
            <w:r>
              <w:rPr>
                <w:w w:val="98.88814779428336"/>
                <w:rFonts w:ascii="CIDFont+F7" w:hAnsi="CIDFont+F7" w:eastAsia="CIDFont+F7"/>
                <w:b w:val="0"/>
                <w:i w:val="0"/>
                <w:color w:val="797979"/>
                <w:sz w:val="13"/>
              </w:rPr>
              <w:t>(4% of TFs)</w:t>
            </w:r>
          </w:p>
          <w:p>
            <w:pPr>
              <w:autoSpaceDN w:val="0"/>
              <w:autoSpaceDE w:val="0"/>
              <w:widowControl/>
              <w:spacing w:line="144" w:lineRule="exact" w:before="382" w:after="0"/>
              <w:ind w:left="0" w:right="0" w:firstLine="0"/>
              <w:jc w:val="center"/>
            </w:pPr>
            <w:r>
              <w:rPr>
                <w:w w:val="98.88814779428336"/>
                <w:rFonts w:ascii="CIDFont+F7" w:hAnsi="CIDFont+F7" w:eastAsia="CIDFont+F7"/>
                <w:b w:val="0"/>
                <w:i w:val="0"/>
                <w:color w:val="797979"/>
                <w:sz w:val="13"/>
              </w:rPr>
              <w:t xml:space="preserve">Cash, Promissory Notes Receivable, and </w:t>
            </w:r>
          </w:p>
          <w:p>
            <w:pPr>
              <w:autoSpaceDN w:val="0"/>
              <w:autoSpaceDE w:val="0"/>
              <w:widowControl/>
              <w:spacing w:line="144" w:lineRule="exact" w:before="28" w:after="0"/>
              <w:ind w:left="26" w:right="0" w:firstLine="0"/>
              <w:jc w:val="left"/>
            </w:pPr>
            <w:r>
              <w:rPr>
                <w:w w:val="98.88814779428336"/>
                <w:rFonts w:ascii="CIDFont+F7" w:hAnsi="CIDFont+F7" w:eastAsia="CIDFont+F7"/>
                <w:b w:val="0"/>
                <w:i w:val="0"/>
                <w:color w:val="797979"/>
                <w:sz w:val="13"/>
              </w:rPr>
              <w:t>Contributions Receivable (33% of TFs)</w:t>
            </w:r>
          </w:p>
        </w:tc>
        <w:tc>
          <w:tcPr>
            <w:tcW w:type="dxa" w:w="942"/>
            <w:vMerge w:val="restart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66" w:after="0"/>
              <w:ind w:left="0" w:right="0" w:firstLine="0"/>
              <w:jc w:val="center"/>
            </w:pPr>
            <w:r>
              <w:rPr>
                <w:w w:val="98.88814779428336"/>
                <w:rFonts w:ascii="CIDFont+F7" w:hAnsi="CIDFont+F7" w:eastAsia="CIDFont+F7"/>
                <w:b w:val="0"/>
                <w:i w:val="0"/>
                <w:color w:val="797979"/>
                <w:sz w:val="13"/>
              </w:rPr>
              <w:t>5,416</w:t>
            </w:r>
          </w:p>
          <w:p>
            <w:pPr>
              <w:autoSpaceDN w:val="0"/>
              <w:autoSpaceDE w:val="0"/>
              <w:widowControl/>
              <w:spacing w:line="144" w:lineRule="exact" w:before="424" w:after="0"/>
              <w:ind w:left="0" w:right="0" w:firstLine="0"/>
              <w:jc w:val="center"/>
            </w:pPr>
            <w:r>
              <w:rPr>
                <w:w w:val="98.88814779428336"/>
                <w:rFonts w:ascii="CIDFont+F7" w:hAnsi="CIDFont+F7" w:eastAsia="CIDFont+F7"/>
                <w:b w:val="0"/>
                <w:i w:val="0"/>
                <w:color w:val="797979"/>
                <w:sz w:val="13"/>
              </w:rPr>
              <w:t>6,370</w:t>
            </w:r>
          </w:p>
          <w:p>
            <w:pPr>
              <w:autoSpaceDN w:val="0"/>
              <w:autoSpaceDE w:val="0"/>
              <w:widowControl/>
              <w:spacing w:line="144" w:lineRule="exact" w:before="552" w:after="0"/>
              <w:ind w:left="0" w:right="0" w:firstLine="0"/>
              <w:jc w:val="center"/>
            </w:pPr>
            <w:r>
              <w:rPr>
                <w:w w:val="98.88814779428336"/>
                <w:rFonts w:ascii="CIDFont+F7" w:hAnsi="CIDFont+F7" w:eastAsia="CIDFont+F7"/>
                <w:b w:val="0"/>
                <w:i w:val="0"/>
                <w:color w:val="797979"/>
                <w:sz w:val="13"/>
              </w:rPr>
              <w:t>6,140</w:t>
            </w:r>
          </w:p>
        </w:tc>
        <w:tc>
          <w:tcPr>
            <w:tcW w:type="dxa" w:w="954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66" w:after="0"/>
              <w:ind w:left="0" w:right="0" w:firstLine="0"/>
              <w:jc w:val="center"/>
            </w:pPr>
            <w:r>
              <w:rPr>
                <w:w w:val="98.88814779428336"/>
                <w:rFonts w:ascii="CIDFont+F7" w:hAnsi="CIDFont+F7" w:eastAsia="CIDFont+F7"/>
                <w:b w:val="0"/>
                <w:i w:val="0"/>
                <w:color w:val="797979"/>
                <w:sz w:val="13"/>
              </w:rPr>
              <w:t>1,761</w:t>
            </w:r>
          </w:p>
          <w:p>
            <w:pPr>
              <w:autoSpaceDN w:val="0"/>
              <w:autoSpaceDE w:val="0"/>
              <w:widowControl/>
              <w:spacing w:line="144" w:lineRule="exact" w:before="424" w:after="0"/>
              <w:ind w:left="0" w:right="0" w:firstLine="0"/>
              <w:jc w:val="center"/>
            </w:pPr>
            <w:r>
              <w:rPr>
                <w:w w:val="98.88814779428336"/>
                <w:rFonts w:ascii="CIDFont+F7" w:hAnsi="CIDFont+F7" w:eastAsia="CIDFont+F7"/>
                <w:b w:val="0"/>
                <w:i w:val="0"/>
                <w:color w:val="797979"/>
                <w:sz w:val="13"/>
              </w:rPr>
              <w:t>5,421</w:t>
            </w:r>
          </w:p>
        </w:tc>
        <w:tc>
          <w:tcPr>
            <w:tcW w:type="dxa" w:w="782"/>
            <w:vMerge w:val="restart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66" w:after="0"/>
              <w:ind w:left="0" w:right="0" w:firstLine="0"/>
              <w:jc w:val="center"/>
            </w:pPr>
            <w:r>
              <w:rPr>
                <w:w w:val="98.88814779428336"/>
                <w:rFonts w:ascii="CIDFont+F7" w:hAnsi="CIDFont+F7" w:eastAsia="CIDFont+F7"/>
                <w:b w:val="0"/>
                <w:i w:val="0"/>
                <w:color w:val="797979"/>
                <w:sz w:val="13"/>
              </w:rPr>
              <w:t>16,490</w:t>
            </w:r>
          </w:p>
          <w:p>
            <w:pPr>
              <w:autoSpaceDN w:val="0"/>
              <w:autoSpaceDE w:val="0"/>
              <w:widowControl/>
              <w:spacing w:line="144" w:lineRule="exact" w:before="424" w:after="0"/>
              <w:ind w:left="0" w:right="0" w:firstLine="0"/>
              <w:jc w:val="center"/>
            </w:pPr>
            <w:r>
              <w:rPr>
                <w:w w:val="98.88814779428336"/>
                <w:rFonts w:ascii="CIDFont+F7" w:hAnsi="CIDFont+F7" w:eastAsia="CIDFont+F7"/>
                <w:b w:val="0"/>
                <w:i w:val="0"/>
                <w:color w:val="797979"/>
                <w:sz w:val="13"/>
              </w:rPr>
              <w:t>22,608</w:t>
            </w:r>
          </w:p>
          <w:p>
            <w:pPr>
              <w:autoSpaceDN w:val="0"/>
              <w:autoSpaceDE w:val="0"/>
              <w:widowControl/>
              <w:spacing w:line="144" w:lineRule="exact" w:before="552" w:after="0"/>
              <w:ind w:left="0" w:right="0" w:firstLine="0"/>
              <w:jc w:val="center"/>
            </w:pPr>
            <w:r>
              <w:rPr>
                <w:w w:val="98.88814779428336"/>
                <w:rFonts w:ascii="CIDFont+F7" w:hAnsi="CIDFont+F7" w:eastAsia="CIDFont+F7"/>
                <w:b w:val="0"/>
                <w:i w:val="0"/>
                <w:color w:val="797979"/>
                <w:sz w:val="13"/>
              </w:rPr>
              <w:t>4,655</w:t>
            </w:r>
          </w:p>
        </w:tc>
        <w:tc>
          <w:tcPr>
            <w:tcW w:type="dxa" w:w="812"/>
            <w:vMerge w:val="restart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66" w:after="0"/>
              <w:ind w:left="0" w:right="0" w:firstLine="0"/>
              <w:jc w:val="center"/>
            </w:pPr>
            <w:r>
              <w:rPr>
                <w:w w:val="98.88814779428336"/>
                <w:rFonts w:ascii="CIDFont+F7" w:hAnsi="CIDFont+F7" w:eastAsia="CIDFont+F7"/>
                <w:b w:val="0"/>
                <w:i w:val="0"/>
                <w:color w:val="797979"/>
                <w:sz w:val="13"/>
              </w:rPr>
              <w:t>23,667</w:t>
            </w:r>
          </w:p>
          <w:p>
            <w:pPr>
              <w:autoSpaceDN w:val="0"/>
              <w:autoSpaceDE w:val="0"/>
              <w:widowControl/>
              <w:spacing w:line="144" w:lineRule="exact" w:before="424" w:after="0"/>
              <w:ind w:left="0" w:right="0" w:firstLine="0"/>
              <w:jc w:val="center"/>
            </w:pPr>
            <w:r>
              <w:rPr>
                <w:w w:val="98.88814779428336"/>
                <w:rFonts w:ascii="CIDFont+F7" w:hAnsi="CIDFont+F7" w:eastAsia="CIDFont+F7"/>
                <w:b w:val="0"/>
                <w:i w:val="0"/>
                <w:color w:val="797979"/>
                <w:sz w:val="13"/>
              </w:rPr>
              <w:t>34,399</w:t>
            </w:r>
          </w:p>
          <w:p>
            <w:pPr>
              <w:autoSpaceDN w:val="0"/>
              <w:autoSpaceDE w:val="0"/>
              <w:widowControl/>
              <w:spacing w:line="144" w:lineRule="exact" w:before="552" w:after="0"/>
              <w:ind w:left="0" w:right="0" w:firstLine="0"/>
              <w:jc w:val="center"/>
            </w:pPr>
            <w:r>
              <w:rPr>
                <w:w w:val="98.88814779428336"/>
                <w:rFonts w:ascii="CIDFont+F7" w:hAnsi="CIDFont+F7" w:eastAsia="CIDFont+F7"/>
                <w:b w:val="0"/>
                <w:i w:val="0"/>
                <w:color w:val="797979"/>
                <w:sz w:val="13"/>
              </w:rPr>
              <w:t>15,989</w:t>
            </w:r>
          </w:p>
        </w:tc>
        <w:tc>
          <w:tcPr>
            <w:tcW w:type="dxa" w:w="922"/>
            <w:vMerge w:val="restart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66" w:after="0"/>
              <w:ind w:left="0" w:right="0" w:firstLine="0"/>
              <w:jc w:val="center"/>
            </w:pPr>
            <w:r>
              <w:rPr>
                <w:w w:val="98.88814779428336"/>
                <w:rFonts w:ascii="CIDFont+F7" w:hAnsi="CIDFont+F7" w:eastAsia="CIDFont+F7"/>
                <w:b w:val="0"/>
                <w:i w:val="0"/>
                <w:color w:val="797979"/>
                <w:sz w:val="13"/>
              </w:rPr>
              <w:t>8,401</w:t>
            </w:r>
          </w:p>
          <w:p>
            <w:pPr>
              <w:autoSpaceDN w:val="0"/>
              <w:autoSpaceDE w:val="0"/>
              <w:widowControl/>
              <w:spacing w:line="144" w:lineRule="exact" w:before="424" w:after="0"/>
              <w:ind w:left="0" w:right="0" w:firstLine="0"/>
              <w:jc w:val="center"/>
            </w:pPr>
            <w:r>
              <w:rPr>
                <w:w w:val="98.88814779428336"/>
                <w:rFonts w:ascii="CIDFont+F7" w:hAnsi="CIDFont+F7" w:eastAsia="CIDFont+F7"/>
                <w:b w:val="0"/>
                <w:i w:val="0"/>
                <w:color w:val="797979"/>
                <w:sz w:val="13"/>
              </w:rPr>
              <w:t>16,000</w:t>
            </w:r>
          </w:p>
          <w:p>
            <w:pPr>
              <w:autoSpaceDN w:val="0"/>
              <w:autoSpaceDE w:val="0"/>
              <w:widowControl/>
              <w:spacing w:line="144" w:lineRule="exact" w:before="552" w:after="0"/>
              <w:ind w:left="0" w:right="0" w:firstLine="0"/>
              <w:jc w:val="center"/>
            </w:pPr>
            <w:r>
              <w:rPr>
                <w:w w:val="98.88814779428336"/>
                <w:rFonts w:ascii="CIDFont+F7" w:hAnsi="CIDFont+F7" w:eastAsia="CIDFont+F7"/>
                <w:b w:val="0"/>
                <w:i w:val="0"/>
                <w:color w:val="797979"/>
                <w:sz w:val="13"/>
              </w:rPr>
              <w:t>2,134</w:t>
            </w:r>
          </w:p>
        </w:tc>
        <w:tc>
          <w:tcPr>
            <w:tcW w:type="dxa" w:w="986"/>
            <w:vMerge w:val="restart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66" w:after="0"/>
              <w:ind w:left="0" w:right="0" w:firstLine="0"/>
              <w:jc w:val="center"/>
            </w:pPr>
            <w:r>
              <w:rPr>
                <w:w w:val="98.88814779428336"/>
                <w:rFonts w:ascii="CIDFont+F7" w:hAnsi="CIDFont+F7" w:eastAsia="CIDFont+F7"/>
                <w:b w:val="0"/>
                <w:i w:val="0"/>
                <w:color w:val="797979"/>
                <w:sz w:val="13"/>
              </w:rPr>
              <w:t>8,089</w:t>
            </w:r>
          </w:p>
          <w:p>
            <w:pPr>
              <w:autoSpaceDN w:val="0"/>
              <w:autoSpaceDE w:val="0"/>
              <w:widowControl/>
              <w:spacing w:line="144" w:lineRule="exact" w:before="424" w:after="0"/>
              <w:ind w:left="0" w:right="0" w:firstLine="0"/>
              <w:jc w:val="center"/>
            </w:pPr>
            <w:r>
              <w:rPr>
                <w:w w:val="98.88814779428336"/>
                <w:rFonts w:ascii="CIDFont+F7" w:hAnsi="CIDFont+F7" w:eastAsia="CIDFont+F7"/>
                <w:b w:val="0"/>
                <w:i w:val="0"/>
                <w:color w:val="797979"/>
                <w:sz w:val="13"/>
              </w:rPr>
              <w:t>12,029</w:t>
            </w:r>
          </w:p>
          <w:p>
            <w:pPr>
              <w:autoSpaceDN w:val="0"/>
              <w:autoSpaceDE w:val="0"/>
              <w:widowControl/>
              <w:spacing w:line="144" w:lineRule="exact" w:before="552" w:after="0"/>
              <w:ind w:left="0" w:right="0" w:firstLine="0"/>
              <w:jc w:val="center"/>
            </w:pPr>
            <w:r>
              <w:rPr>
                <w:w w:val="98.88814779428336"/>
                <w:rFonts w:ascii="CIDFont+F7" w:hAnsi="CIDFont+F7" w:eastAsia="CIDFont+F7"/>
                <w:b w:val="0"/>
                <w:i w:val="0"/>
                <w:color w:val="797979"/>
                <w:sz w:val="13"/>
              </w:rPr>
              <w:t>13,855</w:t>
            </w:r>
          </w:p>
        </w:tc>
        <w:tc>
          <w:tcPr>
            <w:tcW w:type="dxa" w:w="556"/>
            <w:vMerge w:val="restart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66" w:after="0"/>
              <w:ind w:left="0" w:right="0" w:firstLine="0"/>
              <w:jc w:val="center"/>
            </w:pPr>
            <w:r>
              <w:rPr>
                <w:w w:val="98.88814779428336"/>
                <w:rFonts w:ascii="CIDFont+F7" w:hAnsi="CIDFont+F7" w:eastAsia="CIDFont+F7"/>
                <w:b w:val="0"/>
                <w:i w:val="0"/>
                <w:color w:val="00497B"/>
                <w:sz w:val="13"/>
              </w:rPr>
              <w:t>(C-E)</w:t>
            </w:r>
          </w:p>
          <w:p>
            <w:pPr>
              <w:autoSpaceDN w:val="0"/>
              <w:autoSpaceDE w:val="0"/>
              <w:widowControl/>
              <w:spacing w:line="144" w:lineRule="exact" w:before="424" w:after="0"/>
              <w:ind w:left="0" w:right="0" w:firstLine="0"/>
              <w:jc w:val="center"/>
            </w:pPr>
            <w:r>
              <w:rPr>
                <w:w w:val="98.88814779428336"/>
                <w:rFonts w:ascii="CIDFont+F7" w:hAnsi="CIDFont+F7" w:eastAsia="CIDFont+F7"/>
                <w:b w:val="0"/>
                <w:i w:val="0"/>
                <w:color w:val="00497B"/>
                <w:sz w:val="13"/>
              </w:rPr>
              <w:t>(B+C-E)</w:t>
            </w:r>
          </w:p>
          <w:p>
            <w:pPr>
              <w:autoSpaceDN w:val="0"/>
              <w:autoSpaceDE w:val="0"/>
              <w:widowControl/>
              <w:spacing w:line="144" w:lineRule="exact" w:before="552" w:after="0"/>
              <w:ind w:left="0" w:right="0" w:firstLine="0"/>
              <w:jc w:val="center"/>
            </w:pPr>
            <w:r>
              <w:rPr>
                <w:w w:val="98.88814779428336"/>
                <w:rFonts w:ascii="CIDFont+F7" w:hAnsi="CIDFont+F7" w:eastAsia="CIDFont+F7"/>
                <w:b w:val="0"/>
                <w:i w:val="0"/>
                <w:color w:val="00497B"/>
                <w:sz w:val="13"/>
              </w:rPr>
              <w:t>(D-E)</w:t>
            </w:r>
          </w:p>
        </w:tc>
      </w:tr>
      <w:tr>
        <w:trPr>
          <w:trHeight w:hRule="exact" w:val="750"/>
        </w:trPr>
        <w:tc>
          <w:tcPr>
            <w:tcW w:type="dxa" w:w="1221"/>
            <w:vMerge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</w:tcPr>
          <w:p/>
        </w:tc>
        <w:tc>
          <w:tcPr>
            <w:tcW w:type="dxa" w:w="1221"/>
            <w:vMerge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</w:tcPr>
          <w:p/>
        </w:tc>
        <w:tc>
          <w:tcPr>
            <w:tcW w:type="dxa" w:w="954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84" w:after="0"/>
              <w:ind w:left="0" w:right="0" w:firstLine="0"/>
              <w:jc w:val="center"/>
            </w:pPr>
            <w:r>
              <w:rPr>
                <w:w w:val="98.88814779428336"/>
                <w:rFonts w:ascii="CIDFont+F7" w:hAnsi="CIDFont+F7" w:eastAsia="CIDFont+F7"/>
                <w:b w:val="0"/>
                <w:i w:val="0"/>
                <w:color w:val="797979"/>
                <w:sz w:val="13"/>
              </w:rPr>
              <w:t>5,194</w:t>
            </w:r>
          </w:p>
        </w:tc>
        <w:tc>
          <w:tcPr>
            <w:tcW w:type="dxa" w:w="1221"/>
            <w:vMerge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</w:tcPr>
          <w:p/>
        </w:tc>
        <w:tc>
          <w:tcPr>
            <w:tcW w:type="dxa" w:w="1221"/>
            <w:vMerge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</w:tcPr>
          <w:p/>
        </w:tc>
        <w:tc>
          <w:tcPr>
            <w:tcW w:type="dxa" w:w="1221"/>
            <w:vMerge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</w:tcPr>
          <w:p/>
        </w:tc>
        <w:tc>
          <w:tcPr>
            <w:tcW w:type="dxa" w:w="1221"/>
            <w:vMerge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</w:tcPr>
          <w:p/>
        </w:tc>
        <w:tc>
          <w:tcPr>
            <w:tcW w:type="dxa" w:w="1221"/>
            <w:vMerge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</w:tcPr>
          <w:p/>
        </w:tc>
      </w:tr>
      <w:tr>
        <w:trPr>
          <w:trHeight w:hRule="exact" w:val="430"/>
        </w:trPr>
        <w:tc>
          <w:tcPr>
            <w:tcW w:type="dxa" w:w="2518"/>
            <w:tcBorders>
              <w:start w:sz="3.0" w:val="single" w:color="#000000"/>
              <w:top w:sz="3.0" w:val="single" w:color="#000000"/>
              <w:end w:sz="3.0" w:val="single" w:color="#000000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26" w:right="0" w:firstLine="0"/>
              <w:jc w:val="left"/>
            </w:pPr>
            <w:r>
              <w:rPr>
                <w:rFonts w:ascii="CIDFont+F11" w:hAnsi="CIDFont+F11" w:eastAsia="CIDFont+F11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942"/>
            <w:tcBorders>
              <w:start w:sz="3.0" w:val="single" w:color="#000000"/>
              <w:top w:sz="3.0" w:val="single" w:color="#000000"/>
              <w:end w:sz="3.0" w:val="single" w:color="#000000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0" w:right="0" w:firstLine="0"/>
              <w:jc w:val="center"/>
            </w:pPr>
            <w:r>
              <w:rPr>
                <w:rFonts w:ascii="CIDFont+F11" w:hAnsi="CIDFont+F11" w:eastAsia="CIDFont+F11"/>
                <w:b/>
                <w:i w:val="0"/>
                <w:color w:val="000000"/>
                <w:sz w:val="16"/>
              </w:rPr>
              <w:t>$17,926</w:t>
            </w:r>
          </w:p>
        </w:tc>
        <w:tc>
          <w:tcPr>
            <w:tcW w:type="dxa" w:w="954"/>
            <w:tcBorders>
              <w:start w:sz="3.0" w:val="single" w:color="#000000"/>
              <w:top w:sz="3.0" w:val="single" w:color="#000000"/>
              <w:end w:sz="3.0" w:val="single" w:color="#000000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0" w:right="0" w:firstLine="0"/>
              <w:jc w:val="center"/>
            </w:pPr>
            <w:r>
              <w:rPr>
                <w:rFonts w:ascii="CIDFont+F11" w:hAnsi="CIDFont+F11" w:eastAsia="CIDFont+F11"/>
                <w:b/>
                <w:i w:val="0"/>
                <w:color w:val="000000"/>
                <w:sz w:val="16"/>
              </w:rPr>
              <w:t>$12,376</w:t>
            </w:r>
          </w:p>
        </w:tc>
        <w:tc>
          <w:tcPr>
            <w:tcW w:type="dxa" w:w="782"/>
            <w:tcBorders>
              <w:start w:sz="3.0" w:val="single" w:color="#000000"/>
              <w:top w:sz="3.0" w:val="single" w:color="#000000"/>
              <w:end w:sz="3.0" w:val="single" w:color="#000000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0" w:right="0" w:firstLine="0"/>
              <w:jc w:val="center"/>
            </w:pPr>
            <w:r>
              <w:rPr>
                <w:rFonts w:ascii="CIDFont+F11" w:hAnsi="CIDFont+F11" w:eastAsia="CIDFont+F11"/>
                <w:b/>
                <w:i w:val="0"/>
                <w:color w:val="000000"/>
                <w:sz w:val="16"/>
              </w:rPr>
              <w:t>$43,753</w:t>
            </w:r>
          </w:p>
        </w:tc>
        <w:tc>
          <w:tcPr>
            <w:tcW w:type="dxa" w:w="812"/>
            <w:tcBorders>
              <w:start w:sz="3.0" w:val="single" w:color="#000000"/>
              <w:top w:sz="3.0" w:val="single" w:color="#000000"/>
              <w:end w:sz="3.0" w:val="single" w:color="#000000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0" w:right="0" w:firstLine="0"/>
              <w:jc w:val="center"/>
            </w:pPr>
            <w:r>
              <w:rPr>
                <w:rFonts w:ascii="CIDFont+F11" w:hAnsi="CIDFont+F11" w:eastAsia="CIDFont+F11"/>
                <w:b/>
                <w:i w:val="0"/>
                <w:color w:val="000000"/>
                <w:sz w:val="16"/>
              </w:rPr>
              <w:t>$74,055</w:t>
            </w:r>
          </w:p>
        </w:tc>
        <w:tc>
          <w:tcPr>
            <w:tcW w:type="dxa" w:w="922"/>
            <w:tcBorders>
              <w:start w:sz="3.0" w:val="single" w:color="#000000"/>
              <w:top w:sz="3.0" w:val="single" w:color="#000000"/>
              <w:end w:sz="3.0" w:val="single" w:color="#000000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0" w:right="0" w:firstLine="0"/>
              <w:jc w:val="center"/>
            </w:pPr>
            <w:r>
              <w:rPr>
                <w:rFonts w:ascii="CIDFont+F11" w:hAnsi="CIDFont+F11" w:eastAsia="CIDFont+F11"/>
                <w:b/>
                <w:i w:val="0"/>
                <w:color w:val="000000"/>
                <w:sz w:val="16"/>
              </w:rPr>
              <w:t>$26,535</w:t>
            </w:r>
          </w:p>
        </w:tc>
        <w:tc>
          <w:tcPr>
            <w:tcW w:type="dxa" w:w="986"/>
            <w:tcBorders>
              <w:start w:sz="3.0" w:val="single" w:color="#000000"/>
              <w:top w:sz="3.0" w:val="single" w:color="#000000"/>
              <w:end w:sz="3.0" w:val="single" w:color="#000000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0" w:right="0" w:firstLine="0"/>
              <w:jc w:val="center"/>
            </w:pPr>
            <w:r>
              <w:rPr>
                <w:rFonts w:ascii="CIDFont+F11" w:hAnsi="CIDFont+F11" w:eastAsia="CIDFont+F11"/>
                <w:b/>
                <w:i w:val="0"/>
                <w:color w:val="000000"/>
                <w:sz w:val="16"/>
              </w:rPr>
              <w:t>$33,973</w:t>
            </w:r>
          </w:p>
        </w:tc>
        <w:tc>
          <w:tcPr>
            <w:tcW w:type="dxa" w:w="556"/>
            <w:tcBorders>
              <w:start w:sz="3.0" w:val="single" w:color="#000000"/>
              <w:top w:sz="3.0" w:val="single" w:color="#000000"/>
              <w:end w:sz="3.0" w:val="single" w:color="#000000"/>
            </w:tcBorders>
            <w:shd w:fill="dfdfd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04" w:lineRule="exact" w:before="5952" w:after="0"/>
        <w:ind w:left="432" w:right="0" w:firstLine="0"/>
        <w:jc w:val="left"/>
      </w:pPr>
      <w:r>
        <w:rPr>
          <w:w w:val="105.08066813151042"/>
          <w:rFonts w:ascii="CIDFont+F8" w:hAnsi="CIDFont+F8" w:eastAsia="CIDFont+F8"/>
          <w:b w:val="0"/>
          <w:i/>
          <w:color w:val="000000"/>
          <w:sz w:val="9"/>
        </w:rPr>
        <w:t xml:space="preserve">___________________________________________________________ </w:t>
      </w:r>
    </w:p>
    <w:p>
      <w:pPr>
        <w:autoSpaceDN w:val="0"/>
        <w:autoSpaceDE w:val="0"/>
        <w:widowControl/>
        <w:spacing w:line="188" w:lineRule="exact" w:before="58" w:after="0"/>
        <w:ind w:left="432" w:right="706" w:firstLine="0"/>
        <w:jc w:val="both"/>
      </w:pPr>
      <w:r>
        <w:rPr>
          <w:w w:val="105.08066813151042"/>
          <w:rFonts w:ascii="CIDFont+F8" w:hAnsi="CIDFont+F8" w:eastAsia="CIDFont+F8"/>
          <w:b w:val="0"/>
          <w:i/>
          <w:color w:val="000000"/>
          <w:sz w:val="9"/>
        </w:rPr>
        <w:t xml:space="preserve">18 </w:t>
      </w:r>
      <w:r>
        <w:rPr>
          <w:w w:val="101.32767813546317"/>
          <w:rFonts w:ascii="CIDFont+F8" w:hAnsi="CIDFont+F8" w:eastAsia="CIDFont+F8"/>
          <w:b w:val="0"/>
          <w:i/>
          <w:color w:val="000000"/>
          <w:sz w:val="14"/>
        </w:rPr>
        <w:t xml:space="preserve">Excludes cash in DP Balance Accounts, funds held in escrow on behalf of ICSID and DPs contributions to be applied to trust funds </w:t>
      </w:r>
      <w:r>
        <w:rPr>
          <w:w w:val="101.32767813546317"/>
          <w:rFonts w:ascii="CIDFont+F8" w:hAnsi="CIDFont+F8" w:eastAsia="CIDFont+F8"/>
          <w:b w:val="0"/>
          <w:i/>
          <w:color w:val="000000"/>
          <w:sz w:val="14"/>
        </w:rPr>
        <w:t>pending receipt of signed agreements, and balances in administration accounts (IBRD/IFC), totally amounting to $1,329m</w:t>
      </w:r>
      <w:r>
        <w:rPr>
          <w:w w:val="101.32767813546317"/>
          <w:rFonts w:ascii="CIDFont+F8" w:hAnsi="CIDFont+F8" w:eastAsia="CIDFont+F8"/>
          <w:b w:val="0"/>
          <w:i/>
          <w:color w:val="FF0000"/>
          <w:sz w:val="14"/>
        </w:rPr>
        <w:t xml:space="preserve">. </w:t>
      </w:r>
      <w:r>
        <w:rPr>
          <w:w w:val="101.32767813546317"/>
          <w:rFonts w:ascii="CIDFont+F8" w:hAnsi="CIDFont+F8" w:eastAsia="CIDFont+F8"/>
          <w:b w:val="0"/>
          <w:i/>
          <w:color w:val="000000"/>
          <w:sz w:val="14"/>
        </w:rPr>
        <w:t xml:space="preserve">RE Activities in </w:t>
      </w:r>
      <w:r>
        <w:rPr>
          <w:w w:val="101.32767813546317"/>
          <w:rFonts w:ascii="CIDFont+F8" w:hAnsi="CIDFont+F8" w:eastAsia="CIDFont+F8"/>
          <w:b w:val="0"/>
          <w:i/>
          <w:color w:val="000000"/>
          <w:sz w:val="14"/>
        </w:rPr>
        <w:t xml:space="preserve">Pend status and RE Activities GFRs in pipeline (including corresponding fee) are not considered. </w:t>
      </w:r>
    </w:p>
    <w:p>
      <w:pPr>
        <w:autoSpaceDN w:val="0"/>
        <w:autoSpaceDE w:val="0"/>
        <w:widowControl/>
        <w:spacing w:line="228" w:lineRule="exact" w:before="192" w:after="0"/>
        <w:ind w:left="0" w:right="810" w:firstLine="0"/>
        <w:jc w:val="right"/>
      </w:pP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22 </w:t>
      </w:r>
    </w:p>
    <w:p>
      <w:pPr>
        <w:autoSpaceDN w:val="0"/>
        <w:autoSpaceDE w:val="0"/>
        <w:widowControl/>
        <w:spacing w:line="148" w:lineRule="exact" w:before="188" w:after="0"/>
        <w:ind w:left="432" w:right="0" w:firstLine="0"/>
        <w:jc w:val="left"/>
      </w:pPr>
      <w:r>
        <w:rPr>
          <w:w w:val="101.3277530670166"/>
          <w:rFonts w:ascii="CIDFont+F2" w:hAnsi="CIDFont+F2" w:eastAsia="CIDFont+F2"/>
          <w:b w:val="0"/>
          <w:i w:val="0"/>
          <w:color w:val="FFFFFF"/>
          <w:sz w:val="12"/>
        </w:rPr>
        <w:t>1</w:t>
      </w:r>
    </w:p>
    <w:p>
      <w:pPr>
        <w:sectPr>
          <w:pgSz w:w="12240" w:h="15840"/>
          <w:pgMar w:top="356" w:right="1032" w:bottom="4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174" w:lineRule="exact" w:before="0" w:after="0"/>
        <w:ind w:left="5974" w:right="720" w:hanging="2120"/>
        <w:jc w:val="left"/>
      </w:pPr>
      <w:r>
        <w:rPr>
          <w:w w:val="101.33335930960519"/>
          <w:rFonts w:ascii="CIDFont+F1" w:hAnsi="CIDFont+F1" w:eastAsia="CIDFont+F1"/>
          <w:b w:val="0"/>
          <w:i/>
          <w:color w:val="000000"/>
          <w:sz w:val="14"/>
        </w:rPr>
        <w:t xml:space="preserve">Trust Fund Financial Information Summary for fiscal years ended June 30, 2024 and 2023 </w:t>
      </w:r>
      <w:r>
        <w:rPr>
          <w:w w:val="101.33335930960519"/>
          <w:rFonts w:ascii="CIDFont+F1" w:hAnsi="CIDFont+F1" w:eastAsia="CIDFont+F1"/>
          <w:b w:val="0"/>
          <w:i/>
          <w:color w:val="000000"/>
          <w:sz w:val="14"/>
        </w:rPr>
        <w:t xml:space="preserve">All amounts in USD millions, unless otherwise noted </w:t>
      </w:r>
    </w:p>
    <w:p>
      <w:pPr>
        <w:autoSpaceDN w:val="0"/>
        <w:autoSpaceDE w:val="0"/>
        <w:widowControl/>
        <w:spacing w:line="252" w:lineRule="exact" w:before="172" w:after="0"/>
        <w:ind w:left="622" w:right="0" w:firstLine="0"/>
        <w:jc w:val="left"/>
      </w:pPr>
      <w:r>
        <w:rPr>
          <w:w w:val="98.65285782586962"/>
          <w:rFonts w:ascii="CIDFont+F2" w:hAnsi="CIDFont+F2" w:eastAsia="CIDFont+F2"/>
          <w:b w:val="0"/>
          <w:i w:val="0"/>
          <w:color w:val="00497B"/>
          <w:sz w:val="21"/>
        </w:rPr>
        <w:t xml:space="preserve">Investments </w:t>
      </w:r>
    </w:p>
    <w:p>
      <w:pPr>
        <w:autoSpaceDN w:val="0"/>
        <w:autoSpaceDE w:val="0"/>
        <w:widowControl/>
        <w:spacing w:line="300" w:lineRule="exact" w:before="240" w:after="0"/>
        <w:ind w:left="500" w:right="0" w:firstLine="0"/>
        <w:jc w:val="left"/>
      </w:pPr>
      <w:r>
        <w:rPr>
          <w:w w:val="101.33307530329778"/>
          <w:rFonts w:ascii="CIDFont+F5" w:hAnsi="CIDFont+F5" w:eastAsia="CIDFont+F5"/>
          <w:b/>
          <w:i w:val="0"/>
          <w:color w:val="1F497D"/>
          <w:sz w:val="26"/>
        </w:rPr>
        <w:t xml:space="preserve"> Cash and Investments</w:t>
      </w:r>
    </w:p>
    <w:p>
      <w:pPr>
        <w:autoSpaceDN w:val="0"/>
        <w:autoSpaceDE w:val="0"/>
        <w:widowControl/>
        <w:spacing w:line="240" w:lineRule="auto" w:before="232" w:after="0"/>
        <w:ind w:left="4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59000" cy="351789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351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exact" w:before="200" w:after="0"/>
        <w:ind w:left="602" w:right="756" w:firstLine="0"/>
        <w:jc w:val="both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Cash received from DPs contributions, loans from DPs and proceeds from the issuance of bonds (for IFFIM) are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managed by IBRD’s Treasury, which manages a commingled investment portfolio (the Pool) for all funds that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are administered by the Bank Group entities. The Pool also includes funds held in ICSID's escrow accounts. IBRD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maintains all assets underlying the trust funds’ fund balances separate and apart from the assets of the World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Bank Group. IBRD, on behalf of the World Bank Group, invests the funds in liquid financial instruments such as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government and agency obligations, time deposits, money-market securities and asset-backed securities, as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well as swaps and a range of other derivative instruments. Additionally, the pool may also include equity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securities. The investment composition within the pool is based on the investment horizons and cash flow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profiles of the trust fund programs. Net investment income earned by the Pool is allocated to each trust fund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based on its share of cash and investments in the Pool. </w:t>
      </w:r>
    </w:p>
    <w:p>
      <w:pPr>
        <w:autoSpaceDN w:val="0"/>
        <w:autoSpaceDE w:val="0"/>
        <w:widowControl/>
        <w:spacing w:line="240" w:lineRule="auto" w:before="218" w:after="0"/>
        <w:ind w:left="5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93690" cy="84709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847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2" w:lineRule="exact" w:before="256" w:after="0"/>
        <w:ind w:left="602" w:right="0" w:firstLine="0"/>
        <w:jc w:val="left"/>
      </w:pPr>
      <w:r>
        <w:rPr>
          <w:rFonts w:ascii="CIDFont+F5" w:hAnsi="CIDFont+F5" w:eastAsia="CIDFont+F5"/>
          <w:b/>
          <w:i w:val="0"/>
          <w:color w:val="00497B"/>
          <w:sz w:val="17"/>
        </w:rPr>
        <w:t xml:space="preserve">Cash and Investments in DP Balance Accounts </w:t>
      </w:r>
    </w:p>
    <w:p>
      <w:pPr>
        <w:autoSpaceDN w:val="0"/>
        <w:autoSpaceDE w:val="0"/>
        <w:widowControl/>
        <w:spacing w:line="264" w:lineRule="exact" w:before="214" w:after="0"/>
        <w:ind w:left="602" w:right="708" w:firstLine="0"/>
        <w:jc w:val="both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DP balance accounts are established to hold unused funds from closed trust funds, investment income earned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on active trust fund balances, or on a temporary basis, subject to separate agreement, funds pending the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establishment of another trust fund. The funds in a DP balance accounts may only be returned to the DPs or </w:t>
      </w: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transferred to other trust funds as a contribution from DPs. </w:t>
      </w:r>
    </w:p>
    <w:p>
      <w:pPr>
        <w:autoSpaceDN w:val="0"/>
        <w:autoSpaceDE w:val="0"/>
        <w:widowControl/>
        <w:spacing w:line="240" w:lineRule="auto" w:before="296" w:after="0"/>
        <w:ind w:left="6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46700" cy="1963419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1963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06" w:lineRule="exact" w:before="442" w:after="0"/>
        <w:ind w:left="432" w:right="0" w:firstLine="0"/>
        <w:jc w:val="left"/>
      </w:pPr>
      <w:r>
        <w:rPr>
          <w:w w:val="105.08649614122179"/>
          <w:rFonts w:ascii="CIDFont+F8" w:hAnsi="CIDFont+F8" w:eastAsia="CIDFont+F8"/>
          <w:b w:val="0"/>
          <w:i/>
          <w:color w:val="000000"/>
          <w:sz w:val="9"/>
        </w:rPr>
        <w:t xml:space="preserve">___________________________________________________________ </w:t>
      </w:r>
    </w:p>
    <w:p>
      <w:pPr>
        <w:autoSpaceDN w:val="0"/>
        <w:autoSpaceDE w:val="0"/>
        <w:widowControl/>
        <w:spacing w:line="186" w:lineRule="exact" w:before="58" w:after="0"/>
        <w:ind w:left="432" w:right="576" w:firstLine="0"/>
        <w:jc w:val="left"/>
      </w:pPr>
      <w:r>
        <w:rPr>
          <w:w w:val="105.08649614122179"/>
          <w:rFonts w:ascii="CIDFont+F7" w:hAnsi="CIDFont+F7" w:eastAsia="CIDFont+F7"/>
          <w:b w:val="0"/>
          <w:i w:val="0"/>
          <w:color w:val="000000"/>
          <w:sz w:val="9"/>
        </w:rPr>
        <w:t>19</w:t>
      </w:r>
      <w:r>
        <w:rPr>
          <w:w w:val="101.33335930960519"/>
          <w:rFonts w:ascii="CIDFont+F8" w:hAnsi="CIDFont+F8" w:eastAsia="CIDFont+F8"/>
          <w:b w:val="0"/>
          <w:i/>
          <w:color w:val="000000"/>
          <w:sz w:val="14"/>
        </w:rPr>
        <w:t xml:space="preserve">Primarily represents funds held in escrow on behalf of ICSID and DPs contributions to be applied to trust funds pending receipt of signed </w:t>
      </w:r>
      <w:r>
        <w:rPr>
          <w:w w:val="101.33335930960519"/>
          <w:rFonts w:ascii="CIDFont+F8" w:hAnsi="CIDFont+F8" w:eastAsia="CIDFont+F8"/>
          <w:b w:val="0"/>
          <w:i/>
          <w:color w:val="000000"/>
          <w:sz w:val="14"/>
        </w:rPr>
        <w:t xml:space="preserve">agreements, and balances on administration accounts (IBRD/IFC). </w:t>
      </w:r>
    </w:p>
    <w:p>
      <w:pPr>
        <w:autoSpaceDN w:val="0"/>
        <w:autoSpaceDE w:val="0"/>
        <w:widowControl/>
        <w:spacing w:line="184" w:lineRule="exact" w:before="58" w:after="0"/>
        <w:ind w:left="432" w:right="576" w:firstLine="0"/>
        <w:jc w:val="left"/>
      </w:pPr>
      <w:r>
        <w:rPr>
          <w:w w:val="105.08649614122179"/>
          <w:rFonts w:ascii="CIDFont+F8" w:hAnsi="CIDFont+F8" w:eastAsia="CIDFont+F8"/>
          <w:b w:val="0"/>
          <w:i/>
          <w:color w:val="000000"/>
          <w:sz w:val="9"/>
        </w:rPr>
        <w:t xml:space="preserve">20 </w:t>
      </w:r>
      <w:r>
        <w:rPr>
          <w:w w:val="101.33335930960519"/>
          <w:rFonts w:ascii="CIDFont+F8" w:hAnsi="CIDFont+F8" w:eastAsia="CIDFont+F8"/>
          <w:b w:val="0"/>
          <w:i/>
          <w:color w:val="000000"/>
          <w:sz w:val="14"/>
        </w:rPr>
        <w:t xml:space="preserve">Others includes balance accounts for Sovereign countries other than the top 5, WBG, multilateral development banks, United Nations </w:t>
      </w:r>
      <w:r>
        <w:rPr>
          <w:w w:val="101.33335930960519"/>
          <w:rFonts w:ascii="CIDFont+F8" w:hAnsi="CIDFont+F8" w:eastAsia="CIDFont+F8"/>
          <w:b w:val="0"/>
          <w:i/>
          <w:color w:val="000000"/>
          <w:sz w:val="14"/>
        </w:rPr>
        <w:t xml:space="preserve">agencies, and public and private institutions. Multi-donor holding accounts have also been grouped under others. </w:t>
      </w:r>
    </w:p>
    <w:p>
      <w:pPr>
        <w:autoSpaceDN w:val="0"/>
        <w:autoSpaceDE w:val="0"/>
        <w:widowControl/>
        <w:spacing w:line="228" w:lineRule="exact" w:before="698" w:after="0"/>
        <w:ind w:left="0" w:right="812" w:firstLine="0"/>
        <w:jc w:val="right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23 </w:t>
      </w:r>
    </w:p>
    <w:p>
      <w:pPr>
        <w:autoSpaceDN w:val="0"/>
        <w:autoSpaceDE w:val="0"/>
        <w:widowControl/>
        <w:spacing w:line="148" w:lineRule="exact" w:before="186" w:after="0"/>
        <w:ind w:left="432" w:right="0" w:firstLine="0"/>
        <w:jc w:val="left"/>
      </w:pPr>
      <w:r>
        <w:rPr>
          <w:w w:val="101.3333797454834"/>
          <w:rFonts w:ascii="CIDFont+F2" w:hAnsi="CIDFont+F2" w:eastAsia="CIDFont+F2"/>
          <w:b w:val="0"/>
          <w:i w:val="0"/>
          <w:color w:val="FFFFFF"/>
          <w:sz w:val="12"/>
        </w:rPr>
        <w:t>1</w:t>
      </w:r>
    </w:p>
    <w:p>
      <w:pPr>
        <w:sectPr>
          <w:pgSz w:w="12240" w:h="15840"/>
          <w:pgMar w:top="358" w:right="1028" w:bottom="4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174" w:lineRule="exact" w:before="0" w:after="0"/>
        <w:ind w:left="5974" w:right="576" w:hanging="2120"/>
        <w:jc w:val="left"/>
      </w:pPr>
      <w:r>
        <w:rPr>
          <w:w w:val="101.33335930960519"/>
          <w:rFonts w:ascii="CIDFont+F1" w:hAnsi="CIDFont+F1" w:eastAsia="CIDFont+F1"/>
          <w:b w:val="0"/>
          <w:i/>
          <w:color w:val="000000"/>
          <w:sz w:val="14"/>
        </w:rPr>
        <w:t xml:space="preserve">Trust Fund Financial Information Summary for fiscal years ended June 30, 2024 and 2023 </w:t>
      </w:r>
      <w:r>
        <w:rPr>
          <w:w w:val="101.33335930960519"/>
          <w:rFonts w:ascii="CIDFont+F1" w:hAnsi="CIDFont+F1" w:eastAsia="CIDFont+F1"/>
          <w:b w:val="0"/>
          <w:i/>
          <w:color w:val="000000"/>
          <w:sz w:val="14"/>
        </w:rPr>
        <w:t xml:space="preserve">All amounts in USD millions, unless otherwise noted </w:t>
      </w:r>
    </w:p>
    <w:p>
      <w:pPr>
        <w:autoSpaceDN w:val="0"/>
        <w:autoSpaceDE w:val="0"/>
        <w:widowControl/>
        <w:spacing w:line="252" w:lineRule="exact" w:before="172" w:after="0"/>
        <w:ind w:left="622" w:right="0" w:firstLine="0"/>
        <w:jc w:val="left"/>
      </w:pPr>
      <w:r>
        <w:rPr>
          <w:w w:val="98.65285782586962"/>
          <w:rFonts w:ascii="CIDFont+F2" w:hAnsi="CIDFont+F2" w:eastAsia="CIDFont+F2"/>
          <w:b w:val="0"/>
          <w:i w:val="0"/>
          <w:color w:val="00497B"/>
          <w:sz w:val="21"/>
        </w:rPr>
        <w:t xml:space="preserve">Investments </w:t>
      </w:r>
    </w:p>
    <w:p>
      <w:pPr>
        <w:autoSpaceDN w:val="0"/>
        <w:autoSpaceDE w:val="0"/>
        <w:widowControl/>
        <w:spacing w:line="298" w:lineRule="exact" w:before="152" w:after="0"/>
        <w:ind w:left="622" w:right="0" w:firstLine="0"/>
        <w:jc w:val="left"/>
      </w:pPr>
      <w:r>
        <w:rPr>
          <w:w w:val="101.33307530329778"/>
          <w:rFonts w:ascii="CIDFont+F5" w:hAnsi="CIDFont+F5" w:eastAsia="CIDFont+F5"/>
          <w:b/>
          <w:i w:val="0"/>
          <w:color w:val="00497B"/>
          <w:sz w:val="26"/>
        </w:rPr>
        <w:t xml:space="preserve">Cash and Investments (cont’d) </w:t>
      </w:r>
    </w:p>
    <w:p>
      <w:pPr>
        <w:autoSpaceDN w:val="0"/>
        <w:autoSpaceDE w:val="0"/>
        <w:widowControl/>
        <w:spacing w:line="192" w:lineRule="exact" w:before="266" w:after="0"/>
        <w:ind w:left="622" w:right="0" w:firstLine="0"/>
        <w:jc w:val="left"/>
      </w:pPr>
      <w:r>
        <w:rPr>
          <w:rFonts w:ascii="CIDFont+F5" w:hAnsi="CIDFont+F5" w:eastAsia="CIDFont+F5"/>
          <w:b/>
          <w:i w:val="0"/>
          <w:color w:val="00497B"/>
          <w:sz w:val="17"/>
        </w:rPr>
        <w:t xml:space="preserve">Investment Income </w:t>
      </w:r>
    </w:p>
    <w:p>
      <w:pPr>
        <w:autoSpaceDN w:val="0"/>
        <w:autoSpaceDE w:val="0"/>
        <w:widowControl/>
        <w:spacing w:line="240" w:lineRule="auto" w:before="26" w:after="0"/>
        <w:ind w:left="6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337050" cy="129158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1291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6" w:after="0"/>
        <w:ind w:left="6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870450" cy="307086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307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6" w:after="0"/>
        <w:ind w:left="17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018280" cy="245237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18280" cy="2452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74" w:after="0"/>
        <w:ind w:left="432" w:right="0" w:firstLine="0"/>
        <w:jc w:val="left"/>
      </w:pPr>
      <w:r>
        <w:rPr>
          <w:w w:val="105.08649614122179"/>
          <w:rFonts w:ascii="CIDFont+F7" w:hAnsi="CIDFont+F7" w:eastAsia="CIDFont+F7"/>
          <w:b w:val="0"/>
          <w:i w:val="0"/>
          <w:color w:val="000000"/>
          <w:sz w:val="9"/>
        </w:rPr>
        <w:t>21</w:t>
      </w:r>
      <w:r>
        <w:rPr>
          <w:w w:val="101.33335930960519"/>
          <w:rFonts w:ascii="CIDFont+F8" w:hAnsi="CIDFont+F8" w:eastAsia="CIDFont+F8"/>
          <w:b w:val="0"/>
          <w:i/>
          <w:color w:val="000000"/>
          <w:sz w:val="14"/>
        </w:rPr>
        <w:t>Refers to the return in excess of the benchmarks determined by the WBG Treasury before deducting any investment management fee.</w:t>
      </w:r>
    </w:p>
    <w:p>
      <w:pPr>
        <w:autoSpaceDN w:val="0"/>
        <w:autoSpaceDE w:val="0"/>
        <w:widowControl/>
        <w:spacing w:line="228" w:lineRule="exact" w:before="258" w:after="0"/>
        <w:ind w:left="0" w:right="590" w:firstLine="0"/>
        <w:jc w:val="right"/>
      </w:pPr>
      <w:r>
        <w:rPr>
          <w:w w:val="98.37079299123663"/>
          <w:rFonts w:ascii="CIDFont+F2" w:hAnsi="CIDFont+F2" w:eastAsia="CIDFont+F2"/>
          <w:b w:val="0"/>
          <w:i w:val="0"/>
          <w:color w:val="000000"/>
          <w:sz w:val="19"/>
        </w:rPr>
        <w:t xml:space="preserve">24 </w:t>
      </w:r>
    </w:p>
    <w:p>
      <w:pPr>
        <w:autoSpaceDN w:val="0"/>
        <w:autoSpaceDE w:val="0"/>
        <w:widowControl/>
        <w:spacing w:line="148" w:lineRule="exact" w:before="186" w:after="0"/>
        <w:ind w:left="432" w:right="0" w:firstLine="0"/>
        <w:jc w:val="left"/>
      </w:pPr>
      <w:r>
        <w:rPr>
          <w:w w:val="101.3333797454834"/>
          <w:rFonts w:ascii="CIDFont+F2" w:hAnsi="CIDFont+F2" w:eastAsia="CIDFont+F2"/>
          <w:b w:val="0"/>
          <w:i w:val="0"/>
          <w:color w:val="FFFFFF"/>
          <w:sz w:val="12"/>
        </w:rPr>
        <w:t>1</w:t>
      </w:r>
    </w:p>
    <w:p>
      <w:pPr>
        <w:sectPr>
          <w:pgSz w:w="12240" w:h="15840"/>
          <w:pgMar w:top="358" w:right="1250" w:bottom="4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174" w:lineRule="exact" w:before="0" w:after="0"/>
        <w:ind w:left="5974" w:right="288" w:hanging="2120"/>
        <w:jc w:val="left"/>
      </w:pPr>
      <w:r>
        <w:rPr>
          <w:w w:val="101.32767813546317"/>
          <w:rFonts w:ascii="CIDFont+F1" w:hAnsi="CIDFont+F1" w:eastAsia="CIDFont+F1"/>
          <w:b w:val="0"/>
          <w:i/>
          <w:color w:val="000000"/>
          <w:sz w:val="14"/>
        </w:rPr>
        <w:t xml:space="preserve">Trust Fund Financial Information Summary for fiscal years ended June 30, 2024 and 2023 </w:t>
      </w:r>
      <w:r>
        <w:rPr>
          <w:w w:val="101.32767813546317"/>
          <w:rFonts w:ascii="CIDFont+F1" w:hAnsi="CIDFont+F1" w:eastAsia="CIDFont+F1"/>
          <w:b w:val="0"/>
          <w:i/>
          <w:color w:val="000000"/>
          <w:sz w:val="14"/>
        </w:rPr>
        <w:t xml:space="preserve">All amounts in USD millions, unless otherwise noted </w:t>
      </w:r>
    </w:p>
    <w:p>
      <w:pPr>
        <w:autoSpaceDN w:val="0"/>
        <w:autoSpaceDE w:val="0"/>
        <w:widowControl/>
        <w:spacing w:line="254" w:lineRule="exact" w:before="170" w:after="0"/>
        <w:ind w:left="432" w:right="0" w:firstLine="0"/>
        <w:jc w:val="left"/>
      </w:pPr>
      <w:r>
        <w:rPr>
          <w:w w:val="98.6471448625837"/>
          <w:rFonts w:ascii="CIDFont+F2" w:hAnsi="CIDFont+F2" w:eastAsia="CIDFont+F2"/>
          <w:b w:val="0"/>
          <w:i w:val="0"/>
          <w:color w:val="00497B"/>
          <w:sz w:val="21"/>
        </w:rPr>
        <w:t>Investments</w:t>
      </w:r>
    </w:p>
    <w:p>
      <w:pPr>
        <w:autoSpaceDN w:val="0"/>
        <w:autoSpaceDE w:val="0"/>
        <w:widowControl/>
        <w:spacing w:line="298" w:lineRule="exact" w:before="162" w:after="0"/>
        <w:ind w:left="432" w:right="0" w:firstLine="0"/>
        <w:jc w:val="left"/>
      </w:pPr>
      <w:r>
        <w:rPr>
          <w:w w:val="101.32788144625151"/>
          <w:rFonts w:ascii="CIDFont+F5" w:hAnsi="CIDFont+F5" w:eastAsia="CIDFont+F5"/>
          <w:b/>
          <w:i w:val="0"/>
          <w:color w:val="00497B"/>
          <w:sz w:val="26"/>
        </w:rPr>
        <w:t xml:space="preserve">Cash and Investments (cont’d) </w:t>
      </w:r>
    </w:p>
    <w:p>
      <w:pPr>
        <w:autoSpaceDN w:val="0"/>
        <w:autoSpaceDE w:val="0"/>
        <w:widowControl/>
        <w:spacing w:line="240" w:lineRule="auto" w:before="3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16550" cy="342265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3422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exact" w:before="470" w:after="0"/>
        <w:ind w:left="432" w:right="0" w:firstLine="0"/>
        <w:jc w:val="left"/>
      </w:pPr>
      <w:r>
        <w:rPr>
          <w:w w:val="98.36526168020147"/>
          <w:rFonts w:ascii="CIDFont+F3" w:hAnsi="CIDFont+F3" w:eastAsia="CIDFont+F3"/>
          <w:b/>
          <w:i w:val="0"/>
          <w:color w:val="00538F"/>
          <w:sz w:val="19"/>
        </w:rPr>
        <w:t xml:space="preserve">Investment Composition </w:t>
      </w:r>
    </w:p>
    <w:p>
      <w:pPr>
        <w:autoSpaceDN w:val="0"/>
        <w:autoSpaceDE w:val="0"/>
        <w:widowControl/>
        <w:spacing w:line="240" w:lineRule="auto" w:before="244" w:after="0"/>
        <w:ind w:left="4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187950" cy="203835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2038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4" w:lineRule="exact" w:before="672" w:after="0"/>
        <w:ind w:left="432" w:right="0" w:firstLine="0"/>
        <w:jc w:val="left"/>
      </w:pPr>
      <w:r>
        <w:rPr>
          <w:rFonts w:ascii="CIDFont+F2" w:hAnsi="CIDFont+F2" w:eastAsia="CIDFont+F2"/>
          <w:b w:val="0"/>
          <w:i w:val="0"/>
          <w:color w:val="000000"/>
          <w:sz w:val="15"/>
        </w:rPr>
        <w:t xml:space="preserve">___________________________________________ </w:t>
      </w:r>
    </w:p>
    <w:p>
      <w:pPr>
        <w:autoSpaceDN w:val="0"/>
        <w:autoSpaceDE w:val="0"/>
        <w:widowControl/>
        <w:spacing w:line="164" w:lineRule="exact" w:before="28" w:after="0"/>
        <w:ind w:left="432" w:right="0" w:firstLine="0"/>
        <w:jc w:val="left"/>
      </w:pPr>
      <w:r>
        <w:rPr>
          <w:w w:val="105.08066813151042"/>
          <w:rFonts w:ascii="CIDFont+F8" w:hAnsi="CIDFont+F8" w:eastAsia="CIDFont+F8"/>
          <w:b w:val="0"/>
          <w:i/>
          <w:color w:val="000000"/>
          <w:sz w:val="9"/>
        </w:rPr>
        <w:t>22</w:t>
      </w:r>
      <w:r>
        <w:rPr>
          <w:w w:val="101.32767813546317"/>
          <w:rFonts w:ascii="CIDFont+F8" w:hAnsi="CIDFont+F8" w:eastAsia="CIDFont+F8"/>
          <w:b w:val="0"/>
          <w:i/>
          <w:color w:val="000000"/>
          <w:sz w:val="14"/>
        </w:rPr>
        <w:t xml:space="preserve"> Negative amounts in MM/Cash are due to excess payable position over receivable position as of June 30, 2024 and June 30, 2023. </w:t>
      </w:r>
    </w:p>
    <w:p>
      <w:pPr>
        <w:autoSpaceDN w:val="0"/>
        <w:autoSpaceDE w:val="0"/>
        <w:widowControl/>
        <w:spacing w:line="228" w:lineRule="exact" w:before="1480" w:after="0"/>
        <w:ind w:left="0" w:right="402" w:firstLine="0"/>
        <w:jc w:val="right"/>
      </w:pP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25 </w:t>
      </w:r>
    </w:p>
    <w:p>
      <w:pPr>
        <w:autoSpaceDN w:val="0"/>
        <w:autoSpaceDE w:val="0"/>
        <w:widowControl/>
        <w:spacing w:line="148" w:lineRule="exact" w:before="188" w:after="0"/>
        <w:ind w:left="432" w:right="0" w:firstLine="0"/>
        <w:jc w:val="left"/>
      </w:pPr>
      <w:r>
        <w:rPr>
          <w:w w:val="101.3277530670166"/>
          <w:rFonts w:ascii="CIDFont+F2" w:hAnsi="CIDFont+F2" w:eastAsia="CIDFont+F2"/>
          <w:b w:val="0"/>
          <w:i w:val="0"/>
          <w:color w:val="FFFFFF"/>
          <w:sz w:val="12"/>
        </w:rPr>
        <w:t>1</w:t>
      </w:r>
    </w:p>
    <w:p>
      <w:pPr>
        <w:sectPr>
          <w:pgSz w:w="12240" w:h="15840"/>
          <w:pgMar w:top="356" w:right="1440" w:bottom="4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174" w:lineRule="exact" w:before="0" w:after="0"/>
        <w:ind w:left="5974" w:right="288" w:hanging="2120"/>
        <w:jc w:val="left"/>
      </w:pPr>
      <w:r>
        <w:rPr>
          <w:w w:val="101.32767813546317"/>
          <w:rFonts w:ascii="CIDFont+F1" w:hAnsi="CIDFont+F1" w:eastAsia="CIDFont+F1"/>
          <w:b w:val="0"/>
          <w:i/>
          <w:color w:val="000000"/>
          <w:sz w:val="14"/>
        </w:rPr>
        <w:t xml:space="preserve">Trust Fund Financial Information Summary for fiscal years ended June 30, 2024 and 2023 </w:t>
      </w:r>
      <w:r>
        <w:rPr>
          <w:w w:val="101.32767813546317"/>
          <w:rFonts w:ascii="CIDFont+F1" w:hAnsi="CIDFont+F1" w:eastAsia="CIDFont+F1"/>
          <w:b w:val="0"/>
          <w:i/>
          <w:color w:val="000000"/>
          <w:sz w:val="14"/>
        </w:rPr>
        <w:t xml:space="preserve">All amounts in USD millions, unless otherwise noted </w:t>
      </w:r>
    </w:p>
    <w:p>
      <w:pPr>
        <w:autoSpaceDN w:val="0"/>
        <w:autoSpaceDE w:val="0"/>
        <w:widowControl/>
        <w:spacing w:line="254" w:lineRule="exact" w:before="170" w:after="0"/>
        <w:ind w:left="518" w:right="0" w:firstLine="0"/>
        <w:jc w:val="left"/>
      </w:pPr>
      <w:r>
        <w:rPr>
          <w:w w:val="98.6471448625837"/>
          <w:rFonts w:ascii="CIDFont+F2" w:hAnsi="CIDFont+F2" w:eastAsia="CIDFont+F2"/>
          <w:b w:val="0"/>
          <w:i w:val="0"/>
          <w:color w:val="00497B"/>
          <w:sz w:val="21"/>
        </w:rPr>
        <w:t xml:space="preserve">Cost Recovery </w:t>
      </w:r>
    </w:p>
    <w:p>
      <w:pPr>
        <w:autoSpaceDN w:val="0"/>
        <w:autoSpaceDE w:val="0"/>
        <w:widowControl/>
        <w:spacing w:line="230" w:lineRule="exact" w:before="244" w:after="0"/>
        <w:ind w:left="518" w:right="432" w:firstLine="0"/>
        <w:jc w:val="left"/>
      </w:pPr>
      <w:r>
        <w:rPr>
          <w:w w:val="101.32788144625151"/>
          <w:rFonts w:ascii="CIDFont+F5" w:hAnsi="CIDFont+F5" w:eastAsia="CIDFont+F5"/>
          <w:b/>
          <w:i w:val="0"/>
          <w:color w:val="00497B"/>
          <w:sz w:val="26"/>
        </w:rPr>
        <w:t xml:space="preserve">Cost Recovery </w:t>
      </w:r>
      <w:r>
        <w:br/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WBG charges administrative fees, pursuant to administrative agreements with DPs to assist in the defrayment </w:t>
      </w:r>
    </w:p>
    <w:p>
      <w:pPr>
        <w:autoSpaceDN w:val="0"/>
        <w:autoSpaceDE w:val="0"/>
        <w:widowControl/>
        <w:spacing w:line="228" w:lineRule="exact" w:before="36" w:after="52"/>
        <w:ind w:left="518" w:right="0" w:firstLine="0"/>
        <w:jc w:val="left"/>
      </w:pP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of the costs incurred for the administration of trust funds.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3120"/>
        <w:gridCol w:w="3120"/>
        <w:gridCol w:w="3120"/>
      </w:tblGrid>
      <w:tr>
        <w:trPr>
          <w:trHeight w:hRule="exact" w:val="316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2" w:after="0"/>
              <w:ind w:left="0" w:right="464" w:firstLine="0"/>
              <w:jc w:val="right"/>
            </w:pPr>
            <w:r>
              <w:rPr>
                <w:rFonts w:ascii="CIDFont+F2" w:hAnsi="CIDFont+F2" w:eastAsia="CIDFont+F2"/>
                <w:b w:val="0"/>
                <w:i w:val="0"/>
                <w:color w:val="00497B"/>
                <w:sz w:val="17"/>
              </w:rPr>
              <w:t>2024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9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635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2" w:after="0"/>
              <w:ind w:left="596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00497B"/>
                <w:sz w:val="17"/>
              </w:rPr>
              <w:t>2023</w:t>
            </w:r>
          </w:p>
        </w:tc>
      </w:tr>
      <w:tr>
        <w:trPr>
          <w:trHeight w:hRule="exact" w:val="4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74" w:after="0"/>
              <w:ind w:left="0" w:right="398" w:firstLine="0"/>
              <w:jc w:val="right"/>
            </w:pPr>
            <w:r>
              <w:rPr>
                <w:rFonts w:ascii="CIDFont+F2" w:hAnsi="CIDFont+F2" w:eastAsia="CIDFont+F2"/>
                <w:b w:val="0"/>
                <w:i w:val="0"/>
                <w:color w:val="00497B"/>
                <w:sz w:val="27"/>
              </w:rPr>
              <w:t>$282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74" w:after="0"/>
              <w:ind w:left="440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00497B"/>
                <w:sz w:val="27"/>
              </w:rPr>
              <w:t>$219</w:t>
            </w:r>
          </w:p>
        </w:tc>
      </w:tr>
    </w:tbl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8.0000000000001" w:type="dxa"/>
      </w:tblPr>
      <w:tblGrid>
        <w:gridCol w:w="3120"/>
        <w:gridCol w:w="3120"/>
        <w:gridCol w:w="3120"/>
      </w:tblGrid>
      <w:tr>
        <w:trPr>
          <w:trHeight w:hRule="exact" w:val="240"/>
        </w:trPr>
        <w:tc>
          <w:tcPr>
            <w:tcW w:type="dxa" w:w="425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497B"/>
                <w:sz w:val="17"/>
              </w:rPr>
              <w:t>Description</w:t>
            </w:r>
          </w:p>
        </w:tc>
        <w:tc>
          <w:tcPr>
            <w:tcW w:type="dxa" w:w="1364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497B"/>
                <w:sz w:val="17"/>
              </w:rPr>
              <w:t xml:space="preserve"> 2024</w:t>
            </w:r>
          </w:p>
        </w:tc>
        <w:tc>
          <w:tcPr>
            <w:tcW w:type="dxa" w:w="125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497B"/>
                <w:sz w:val="17"/>
              </w:rPr>
              <w:t xml:space="preserve"> 2023</w:t>
            </w:r>
          </w:p>
        </w:tc>
      </w:tr>
      <w:tr>
        <w:trPr>
          <w:trHeight w:hRule="exact" w:val="520"/>
        </w:trPr>
        <w:tc>
          <w:tcPr>
            <w:tcW w:type="dxa" w:w="425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0" w:after="0"/>
              <w:ind w:left="16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>Administrative Fees and Expenses</w:t>
            </w:r>
          </w:p>
        </w:tc>
        <w:tc>
          <w:tcPr>
            <w:tcW w:type="dxa" w:w="1364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>194</w:t>
            </w:r>
          </w:p>
        </w:tc>
        <w:tc>
          <w:tcPr>
            <w:tcW w:type="dxa" w:w="125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>127</w:t>
            </w:r>
          </w:p>
        </w:tc>
      </w:tr>
      <w:tr>
        <w:trPr>
          <w:trHeight w:hRule="exact" w:val="564"/>
        </w:trPr>
        <w:tc>
          <w:tcPr>
            <w:tcW w:type="dxa" w:w="425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6" w:after="0"/>
              <w:ind w:left="16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>Indirects charges on Personnel Cost</w:t>
            </w:r>
          </w:p>
        </w:tc>
        <w:tc>
          <w:tcPr>
            <w:tcW w:type="dxa" w:w="1364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>88</w:t>
            </w:r>
          </w:p>
        </w:tc>
        <w:tc>
          <w:tcPr>
            <w:tcW w:type="dxa" w:w="125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>92</w:t>
            </w:r>
          </w:p>
        </w:tc>
      </w:tr>
      <w:tr>
        <w:trPr>
          <w:trHeight w:hRule="exact" w:val="379"/>
        </w:trPr>
        <w:tc>
          <w:tcPr>
            <w:tcW w:type="dxa" w:w="425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2" w:after="0"/>
              <w:ind w:left="36" w:right="0" w:firstLine="0"/>
              <w:jc w:val="left"/>
            </w:pPr>
            <w:r>
              <w:rPr>
                <w:rFonts w:ascii="CIDFont+F3" w:hAnsi="CIDFont+F3" w:eastAsia="CIDFont+F3"/>
                <w:b/>
                <w:i w:val="0"/>
                <w:color w:val="393E2D"/>
                <w:sz w:val="17"/>
              </w:rPr>
              <w:t>Total Cost Recovery</w:t>
            </w:r>
          </w:p>
        </w:tc>
        <w:tc>
          <w:tcPr>
            <w:tcW w:type="dxa" w:w="1364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2" w:after="0"/>
              <w:ind w:left="0" w:right="0" w:firstLine="0"/>
              <w:jc w:val="center"/>
            </w:pPr>
            <w:r>
              <w:rPr>
                <w:rFonts w:ascii="CIDFont+F3" w:hAnsi="CIDFont+F3" w:eastAsia="CIDFont+F3"/>
                <w:b/>
                <w:i w:val="0"/>
                <w:color w:val="393E2D"/>
                <w:sz w:val="17"/>
              </w:rPr>
              <w:t>$282</w:t>
            </w:r>
          </w:p>
        </w:tc>
        <w:tc>
          <w:tcPr>
            <w:tcW w:type="dxa" w:w="125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2" w:after="0"/>
              <w:ind w:left="0" w:right="0" w:firstLine="0"/>
              <w:jc w:val="center"/>
            </w:pPr>
            <w:r>
              <w:rPr>
                <w:rFonts w:ascii="CIDFont+F3" w:hAnsi="CIDFont+F3" w:eastAsia="CIDFont+F3"/>
                <w:b/>
                <w:i w:val="0"/>
                <w:color w:val="393E2D"/>
                <w:sz w:val="17"/>
              </w:rPr>
              <w:t>$219</w:t>
            </w:r>
          </w:p>
        </w:tc>
      </w:tr>
    </w:tbl>
    <w:p>
      <w:pPr>
        <w:autoSpaceDN w:val="0"/>
        <w:autoSpaceDE w:val="0"/>
        <w:widowControl/>
        <w:spacing w:line="228" w:lineRule="exact" w:before="306" w:after="34"/>
        <w:ind w:left="432" w:right="0" w:firstLine="0"/>
        <w:jc w:val="left"/>
      </w:pPr>
      <w:r>
        <w:rPr>
          <w:w w:val="98.36526168020147"/>
          <w:rFonts w:ascii="CIDFont+F3" w:hAnsi="CIDFont+F3" w:eastAsia="CIDFont+F3"/>
          <w:b/>
          <w:i w:val="0"/>
          <w:color w:val="00538F"/>
          <w:sz w:val="19"/>
        </w:rPr>
        <w:t xml:space="preserve">Administrative Fee &amp; Expenses Composition: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8.0000000000001" w:type="dxa"/>
      </w:tblPr>
      <w:tblGrid>
        <w:gridCol w:w="3120"/>
        <w:gridCol w:w="3120"/>
        <w:gridCol w:w="3120"/>
      </w:tblGrid>
      <w:tr>
        <w:trPr>
          <w:trHeight w:hRule="exact" w:val="283"/>
        </w:trPr>
        <w:tc>
          <w:tcPr>
            <w:tcW w:type="dxa" w:w="425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8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497B"/>
                <w:sz w:val="17"/>
              </w:rPr>
              <w:t>Description</w:t>
            </w:r>
          </w:p>
        </w:tc>
        <w:tc>
          <w:tcPr>
            <w:tcW w:type="dxa" w:w="136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8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497B"/>
                <w:sz w:val="17"/>
              </w:rPr>
              <w:t xml:space="preserve"> 2024</w:t>
            </w:r>
          </w:p>
        </w:tc>
        <w:tc>
          <w:tcPr>
            <w:tcW w:type="dxa" w:w="125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8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497B"/>
                <w:sz w:val="17"/>
              </w:rPr>
              <w:t xml:space="preserve"> 2023</w:t>
            </w:r>
          </w:p>
        </w:tc>
      </w:tr>
      <w:tr>
        <w:trPr>
          <w:trHeight w:hRule="exact" w:val="563"/>
        </w:trPr>
        <w:tc>
          <w:tcPr>
            <w:tcW w:type="dxa" w:w="425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>Fees charged as a percentage of grant commitments</w:t>
            </w:r>
          </w:p>
        </w:tc>
        <w:tc>
          <w:tcPr>
            <w:tcW w:type="dxa" w:w="136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>102</w:t>
            </w:r>
          </w:p>
        </w:tc>
        <w:tc>
          <w:tcPr>
            <w:tcW w:type="dxa" w:w="125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>63</w:t>
            </w:r>
          </w:p>
        </w:tc>
      </w:tr>
      <w:tr>
        <w:trPr>
          <w:trHeight w:hRule="exact" w:val="565"/>
        </w:trPr>
        <w:tc>
          <w:tcPr>
            <w:tcW w:type="dxa" w:w="425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6" w:after="0"/>
              <w:ind w:left="16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>Financial Intermediary funds - Billing</w:t>
            </w:r>
          </w:p>
        </w:tc>
        <w:tc>
          <w:tcPr>
            <w:tcW w:type="dxa" w:w="136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>23</w:t>
            </w:r>
          </w:p>
        </w:tc>
        <w:tc>
          <w:tcPr>
            <w:tcW w:type="dxa" w:w="125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>19</w:t>
            </w:r>
          </w:p>
        </w:tc>
      </w:tr>
      <w:tr>
        <w:trPr>
          <w:trHeight w:hRule="exact" w:val="564"/>
        </w:trPr>
        <w:tc>
          <w:tcPr>
            <w:tcW w:type="dxa" w:w="425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0" w:after="0"/>
              <w:ind w:left="162" w:right="576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 xml:space="preserve">Fee charged as a percentage of contributions </w:t>
            </w: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>received from donors</w:t>
            </w:r>
          </w:p>
        </w:tc>
        <w:tc>
          <w:tcPr>
            <w:tcW w:type="dxa" w:w="136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>25</w:t>
            </w:r>
          </w:p>
        </w:tc>
        <w:tc>
          <w:tcPr>
            <w:tcW w:type="dxa" w:w="125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>18</w:t>
            </w:r>
          </w:p>
        </w:tc>
      </w:tr>
      <w:tr>
        <w:trPr>
          <w:trHeight w:hRule="exact" w:val="548"/>
        </w:trPr>
        <w:tc>
          <w:tcPr>
            <w:tcW w:type="dxa" w:w="425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16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>FIF Secretariat fees</w:t>
            </w:r>
          </w:p>
        </w:tc>
        <w:tc>
          <w:tcPr>
            <w:tcW w:type="dxa" w:w="136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>21</w:t>
            </w:r>
          </w:p>
        </w:tc>
        <w:tc>
          <w:tcPr>
            <w:tcW w:type="dxa" w:w="125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>13</w:t>
            </w:r>
          </w:p>
        </w:tc>
      </w:tr>
      <w:tr>
        <w:trPr>
          <w:trHeight w:hRule="exact" w:val="550"/>
        </w:trPr>
        <w:tc>
          <w:tcPr>
            <w:tcW w:type="dxa" w:w="425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2" w:after="0"/>
              <w:ind w:left="16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 xml:space="preserve">Fee charged as a percentage on disbursements of BE </w:t>
            </w: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>activities</w:t>
            </w:r>
          </w:p>
        </w:tc>
        <w:tc>
          <w:tcPr>
            <w:tcW w:type="dxa" w:w="136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>17</w:t>
            </w:r>
          </w:p>
        </w:tc>
        <w:tc>
          <w:tcPr>
            <w:tcW w:type="dxa" w:w="125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>8</w:t>
            </w:r>
          </w:p>
        </w:tc>
      </w:tr>
      <w:tr>
        <w:trPr>
          <w:trHeight w:hRule="exact" w:val="550"/>
        </w:trPr>
        <w:tc>
          <w:tcPr>
            <w:tcW w:type="dxa" w:w="425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8.00000000000011" w:type="dxa"/>
            </w:tblPr>
            <w:tblGrid>
              <w:gridCol w:w="2129"/>
              <w:gridCol w:w="2129"/>
            </w:tblGrid>
            <w:tr>
              <w:trPr>
                <w:trHeight w:hRule="exact" w:val="350"/>
              </w:trPr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8" w:lineRule="exact" w:before="102" w:after="0"/>
                    <w:ind w:left="84" w:right="0" w:firstLine="0"/>
                    <w:jc w:val="left"/>
                  </w:pPr>
                  <w:r>
                    <w:rPr>
                      <w:rFonts w:ascii="CIDFont+F2" w:hAnsi="CIDFont+F2" w:eastAsia="CIDFont+F2"/>
                      <w:b w:val="0"/>
                      <w:i w:val="0"/>
                      <w:color w:val="636363"/>
                      <w:sz w:val="17"/>
                    </w:rPr>
                    <w:t xml:space="preserve">Other fees </w:t>
                  </w:r>
                </w:p>
              </w:tc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60" w:after="0"/>
                    <w:ind w:left="10" w:right="0" w:firstLine="0"/>
                    <w:jc w:val="left"/>
                  </w:pPr>
                  <w:r>
                    <w:rPr>
                      <w:w w:val="102.50648151744495"/>
                      <w:rFonts w:ascii="CIDFont+F2" w:hAnsi="CIDFont+F2" w:eastAsia="CIDFont+F2"/>
                      <w:b w:val="0"/>
                      <w:i w:val="0"/>
                      <w:color w:val="636363"/>
                      <w:sz w:val="11"/>
                    </w:rPr>
                    <w:t>23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6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>6</w:t>
            </w:r>
          </w:p>
        </w:tc>
        <w:tc>
          <w:tcPr>
            <w:tcW w:type="dxa" w:w="125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>6</w:t>
            </w:r>
          </w:p>
        </w:tc>
      </w:tr>
      <w:tr>
        <w:trPr>
          <w:trHeight w:hRule="exact" w:val="281"/>
        </w:trPr>
        <w:tc>
          <w:tcPr>
            <w:tcW w:type="dxa" w:w="425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2" w:after="0"/>
              <w:ind w:left="36" w:right="0" w:firstLine="0"/>
              <w:jc w:val="left"/>
            </w:pPr>
            <w:r>
              <w:rPr>
                <w:rFonts w:ascii="CIDFont+F3" w:hAnsi="CIDFont+F3" w:eastAsia="CIDFont+F3"/>
                <w:b/>
                <w:i w:val="0"/>
                <w:color w:val="393E2D"/>
                <w:sz w:val="17"/>
              </w:rPr>
              <w:t>Total Administrative Fees and Expenses</w:t>
            </w:r>
          </w:p>
        </w:tc>
        <w:tc>
          <w:tcPr>
            <w:tcW w:type="dxa" w:w="136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2" w:after="0"/>
              <w:ind w:left="0" w:right="0" w:firstLine="0"/>
              <w:jc w:val="center"/>
            </w:pPr>
            <w:r>
              <w:rPr>
                <w:rFonts w:ascii="CIDFont+F3" w:hAnsi="CIDFont+F3" w:eastAsia="CIDFont+F3"/>
                <w:b/>
                <w:i w:val="0"/>
                <w:color w:val="393E2D"/>
                <w:sz w:val="17"/>
              </w:rPr>
              <w:t>$194</w:t>
            </w:r>
          </w:p>
        </w:tc>
        <w:tc>
          <w:tcPr>
            <w:tcW w:type="dxa" w:w="125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2" w:after="0"/>
              <w:ind w:left="0" w:right="0" w:firstLine="0"/>
              <w:jc w:val="center"/>
            </w:pPr>
            <w:r>
              <w:rPr>
                <w:rFonts w:ascii="CIDFont+F3" w:hAnsi="CIDFont+F3" w:eastAsia="CIDFont+F3"/>
                <w:b/>
                <w:i w:val="0"/>
                <w:color w:val="393E2D"/>
                <w:sz w:val="17"/>
              </w:rPr>
              <w:t>$127</w:t>
            </w:r>
          </w:p>
        </w:tc>
      </w:tr>
    </w:tbl>
    <w:p>
      <w:pPr>
        <w:autoSpaceDN w:val="0"/>
        <w:autoSpaceDE w:val="0"/>
        <w:widowControl/>
        <w:spacing w:line="228" w:lineRule="exact" w:before="302" w:after="0"/>
        <w:ind w:left="432" w:right="0" w:firstLine="0"/>
        <w:jc w:val="left"/>
      </w:pPr>
      <w:r>
        <w:rPr>
          <w:w w:val="98.36526168020147"/>
          <w:rFonts w:ascii="CIDFont+F3" w:hAnsi="CIDFont+F3" w:eastAsia="CIDFont+F3"/>
          <w:b/>
          <w:i w:val="0"/>
          <w:color w:val="00538F"/>
          <w:sz w:val="19"/>
        </w:rPr>
        <w:t>Indirect charges on Personnel Cost Composition</w:t>
      </w:r>
      <w:r>
        <w:rPr>
          <w:w w:val="98.36526168020147"/>
          <w:rFonts w:ascii="CIDFont+F3" w:hAnsi="CIDFont+F3" w:eastAsia="CIDFont+F3"/>
          <w:b/>
          <w:i w:val="0"/>
          <w:color w:val="000000"/>
          <w:sz w:val="19"/>
        </w:rPr>
        <w:t xml:space="preserve">: </w:t>
      </w:r>
    </w:p>
    <w:p>
      <w:pPr>
        <w:autoSpaceDN w:val="0"/>
        <w:autoSpaceDE w:val="0"/>
        <w:widowControl/>
        <w:spacing w:line="228" w:lineRule="exact" w:before="36" w:after="232"/>
        <w:ind w:left="432" w:right="432" w:firstLine="0"/>
        <w:jc w:val="both"/>
      </w:pP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For BE activities, the computation of personnel costs (Staff costs, Short-Term Consultants/ Temporary Costs 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(STC/STT) and Extended Term Consultants/Temporary costs (ETC/ETT) includes an allocation of indirect costs, 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charged in accordance with Bank policies and procedures.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8.0000000000001" w:type="dxa"/>
      </w:tblPr>
      <w:tblGrid>
        <w:gridCol w:w="3120"/>
        <w:gridCol w:w="3120"/>
        <w:gridCol w:w="3120"/>
      </w:tblGrid>
      <w:tr>
        <w:trPr>
          <w:trHeight w:hRule="exact" w:val="280"/>
        </w:trPr>
        <w:tc>
          <w:tcPr>
            <w:tcW w:type="dxa" w:w="425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497B"/>
                <w:sz w:val="17"/>
              </w:rPr>
              <w:t>Description</w:t>
            </w:r>
          </w:p>
        </w:tc>
        <w:tc>
          <w:tcPr>
            <w:tcW w:type="dxa" w:w="1364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497B"/>
                <w:sz w:val="17"/>
              </w:rPr>
              <w:t xml:space="preserve"> 2024</w:t>
            </w:r>
          </w:p>
        </w:tc>
        <w:tc>
          <w:tcPr>
            <w:tcW w:type="dxa" w:w="125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497B"/>
                <w:sz w:val="17"/>
              </w:rPr>
              <w:t xml:space="preserve"> 2023</w:t>
            </w:r>
          </w:p>
        </w:tc>
      </w:tr>
      <w:tr>
        <w:trPr>
          <w:trHeight w:hRule="exact" w:val="563"/>
        </w:trPr>
        <w:tc>
          <w:tcPr>
            <w:tcW w:type="dxa" w:w="425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76" w:after="0"/>
              <w:ind w:left="16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>Staff costs</w:t>
            </w:r>
          </w:p>
        </w:tc>
        <w:tc>
          <w:tcPr>
            <w:tcW w:type="dxa" w:w="1364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7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>53</w:t>
            </w:r>
          </w:p>
        </w:tc>
        <w:tc>
          <w:tcPr>
            <w:tcW w:type="dxa" w:w="125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7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>55</w:t>
            </w:r>
          </w:p>
        </w:tc>
      </w:tr>
      <w:tr>
        <w:trPr>
          <w:trHeight w:hRule="exact" w:val="550"/>
        </w:trPr>
        <w:tc>
          <w:tcPr>
            <w:tcW w:type="dxa" w:w="425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16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>Short Term Consultants/Temporary</w:t>
            </w:r>
          </w:p>
        </w:tc>
        <w:tc>
          <w:tcPr>
            <w:tcW w:type="dxa" w:w="1364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>31</w:t>
            </w:r>
          </w:p>
        </w:tc>
        <w:tc>
          <w:tcPr>
            <w:tcW w:type="dxa" w:w="125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>33</w:t>
            </w:r>
          </w:p>
        </w:tc>
      </w:tr>
      <w:tr>
        <w:trPr>
          <w:trHeight w:hRule="exact" w:val="550"/>
        </w:trPr>
        <w:tc>
          <w:tcPr>
            <w:tcW w:type="dxa" w:w="425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162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>Extended Term Consultants/Temporary</w:t>
            </w:r>
          </w:p>
        </w:tc>
        <w:tc>
          <w:tcPr>
            <w:tcW w:type="dxa" w:w="1364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>4</w:t>
            </w:r>
          </w:p>
        </w:tc>
        <w:tc>
          <w:tcPr>
            <w:tcW w:type="dxa" w:w="125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dde6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636363"/>
                <w:sz w:val="17"/>
              </w:rPr>
              <w:t>4</w:t>
            </w:r>
          </w:p>
        </w:tc>
      </w:tr>
      <w:tr>
        <w:trPr>
          <w:trHeight w:hRule="exact" w:val="280"/>
        </w:trPr>
        <w:tc>
          <w:tcPr>
            <w:tcW w:type="dxa" w:w="4258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2" w:after="0"/>
              <w:ind w:left="36" w:right="0" w:firstLine="0"/>
              <w:jc w:val="left"/>
            </w:pPr>
            <w:r>
              <w:rPr>
                <w:rFonts w:ascii="CIDFont+F3" w:hAnsi="CIDFont+F3" w:eastAsia="CIDFont+F3"/>
                <w:b/>
                <w:i w:val="0"/>
                <w:color w:val="393E2D"/>
                <w:sz w:val="17"/>
              </w:rPr>
              <w:t>Total Indirects charges on Personnel Cost</w:t>
            </w:r>
          </w:p>
        </w:tc>
        <w:tc>
          <w:tcPr>
            <w:tcW w:type="dxa" w:w="1364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2" w:after="0"/>
              <w:ind w:left="0" w:right="0" w:firstLine="0"/>
              <w:jc w:val="center"/>
            </w:pPr>
            <w:r>
              <w:rPr>
                <w:rFonts w:ascii="CIDFont+F3" w:hAnsi="CIDFont+F3" w:eastAsia="CIDFont+F3"/>
                <w:b/>
                <w:i w:val="0"/>
                <w:color w:val="393E2D"/>
                <w:sz w:val="17"/>
              </w:rPr>
              <w:t>$88</w:t>
            </w:r>
          </w:p>
        </w:tc>
        <w:tc>
          <w:tcPr>
            <w:tcW w:type="dxa" w:w="1256"/>
            <w:tcBorders>
              <w:start w:sz="3.0" w:val="single" w:color="#000000"/>
              <w:top w:sz="3.0" w:val="single" w:color="#000000"/>
              <w:end w:sz="3.0" w:val="single" w:color="#000000"/>
              <w:bottom w:sz="3.0" w:val="single" w:color="#000000"/>
            </w:tcBorders>
            <w:shd w:fill="ebeb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2" w:after="0"/>
              <w:ind w:left="0" w:right="0" w:firstLine="0"/>
              <w:jc w:val="center"/>
            </w:pPr>
            <w:r>
              <w:rPr>
                <w:rFonts w:ascii="CIDFont+F3" w:hAnsi="CIDFont+F3" w:eastAsia="CIDFont+F3"/>
                <w:b/>
                <w:i w:val="0"/>
                <w:color w:val="393E2D"/>
                <w:sz w:val="17"/>
              </w:rPr>
              <w:t>$92</w:t>
            </w:r>
          </w:p>
        </w:tc>
      </w:tr>
    </w:tbl>
    <w:p>
      <w:pPr>
        <w:autoSpaceDN w:val="0"/>
        <w:autoSpaceDE w:val="0"/>
        <w:widowControl/>
        <w:spacing w:line="184" w:lineRule="exact" w:before="242" w:after="0"/>
        <w:ind w:left="432" w:right="0" w:firstLine="0"/>
        <w:jc w:val="left"/>
      </w:pPr>
      <w:r>
        <w:rPr>
          <w:rFonts w:ascii="CIDFont+F2" w:hAnsi="CIDFont+F2" w:eastAsia="CIDFont+F2"/>
          <w:b w:val="0"/>
          <w:i w:val="0"/>
          <w:color w:val="000000"/>
          <w:sz w:val="15"/>
        </w:rPr>
        <w:t xml:space="preserve">__________________________________________ </w:t>
      </w:r>
    </w:p>
    <w:p>
      <w:pPr>
        <w:autoSpaceDN w:val="0"/>
        <w:autoSpaceDE w:val="0"/>
        <w:widowControl/>
        <w:spacing w:line="162" w:lineRule="exact" w:before="218" w:after="0"/>
        <w:ind w:left="432" w:right="0" w:firstLine="0"/>
        <w:jc w:val="left"/>
      </w:pPr>
      <w:r>
        <w:rPr>
          <w:w w:val="105.08066813151042"/>
          <w:rFonts w:ascii="CIDFont+F8" w:hAnsi="CIDFont+F8" w:eastAsia="CIDFont+F8"/>
          <w:b w:val="0"/>
          <w:i/>
          <w:color w:val="000000"/>
          <w:sz w:val="9"/>
        </w:rPr>
        <w:t>23</w:t>
      </w:r>
      <w:r>
        <w:rPr>
          <w:w w:val="101.32767813546317"/>
          <w:rFonts w:ascii="CIDFont+F8" w:hAnsi="CIDFont+F8" w:eastAsia="CIDFont+F8"/>
          <w:b w:val="0"/>
          <w:i/>
          <w:color w:val="000000"/>
          <w:sz w:val="14"/>
        </w:rPr>
        <w:t xml:space="preserve"> Other fees include any special arrangements and manual fee recovery.</w:t>
      </w:r>
    </w:p>
    <w:p>
      <w:pPr>
        <w:autoSpaceDN w:val="0"/>
        <w:autoSpaceDE w:val="0"/>
        <w:widowControl/>
        <w:spacing w:line="228" w:lineRule="exact" w:before="296" w:after="0"/>
        <w:ind w:left="0" w:right="402" w:firstLine="0"/>
        <w:jc w:val="right"/>
      </w:pP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26 </w:t>
      </w:r>
    </w:p>
    <w:p>
      <w:pPr>
        <w:autoSpaceDN w:val="0"/>
        <w:autoSpaceDE w:val="0"/>
        <w:widowControl/>
        <w:spacing w:line="148" w:lineRule="exact" w:before="188" w:after="0"/>
        <w:ind w:left="432" w:right="0" w:firstLine="0"/>
        <w:jc w:val="left"/>
      </w:pPr>
      <w:r>
        <w:rPr>
          <w:w w:val="101.3277530670166"/>
          <w:rFonts w:ascii="CIDFont+F2" w:hAnsi="CIDFont+F2" w:eastAsia="CIDFont+F2"/>
          <w:b w:val="0"/>
          <w:i w:val="0"/>
          <w:color w:val="FFFFFF"/>
          <w:sz w:val="12"/>
        </w:rPr>
        <w:t>1</w:t>
      </w:r>
    </w:p>
    <w:sectPr w:rsidR="00FC693F" w:rsidRPr="0006063C" w:rsidSect="00034616">
      <w:pgSz w:w="12240" w:h="15840"/>
      <w:pgMar w:top="356" w:right="1440" w:bottom="436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