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9220" cy="786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78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4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MINUTES OF THE INTERNATIONAL COMPARISON PROGRAM</w:t>
      </w:r>
    </w:p>
    <w:p>
      <w:pPr>
        <w:autoSpaceDN w:val="0"/>
        <w:autoSpaceDE w:val="0"/>
        <w:widowControl/>
        <w:spacing w:line="274" w:lineRule="auto" w:before="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TECHNICAL ADVISORY GROUP </w:t>
      </w:r>
    </w:p>
    <w:p>
      <w:pPr>
        <w:autoSpaceDN w:val="0"/>
        <w:autoSpaceDE w:val="0"/>
        <w:widowControl/>
        <w:spacing w:line="274" w:lineRule="auto" w:before="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MARCH 7-8, 2025 </w:t>
      </w:r>
    </w:p>
    <w:p>
      <w:pPr>
        <w:autoSpaceDN w:val="0"/>
        <w:autoSpaceDE w:val="0"/>
        <w:widowControl/>
        <w:spacing w:line="274" w:lineRule="auto" w:before="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New York - Hybrid </w:t>
      </w:r>
    </w:p>
    <w:p>
      <w:pPr>
        <w:autoSpaceDN w:val="0"/>
        <w:autoSpaceDE w:val="0"/>
        <w:widowControl/>
        <w:spacing w:line="271" w:lineRule="auto" w:before="47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Session I: Welcome and meeting objectives </w:t>
      </w:r>
    </w:p>
    <w:p>
      <w:pPr>
        <w:autoSpaceDN w:val="0"/>
        <w:autoSpaceDE w:val="0"/>
        <w:widowControl/>
        <w:spacing w:line="252" w:lineRule="auto" w:before="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Technical Advisory Group (TAG) of the International Comparison Program (ICP) held a hybrid meeting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March 7-8, 2025, in New York City, USA. </w:t>
      </w:r>
    </w:p>
    <w:p>
      <w:pPr>
        <w:autoSpaceDN w:val="0"/>
        <w:autoSpaceDE w:val="0"/>
        <w:widowControl/>
        <w:spacing w:line="245" w:lineRule="auto" w:before="1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main objectives of the meeting were to inform the Group of the publication of the ICP 2021 cycle results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dissemination activities, to provide an update on the progress with the implementation of the ICP 2024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 and to discuss issues related to the methodology for the estimation of purchasing power parities (PPPs),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per the meeting agenda provided in Annex 1. In attendance were the TAG Co-chairs, members,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observers, representatives from the Regional Implementing Agencies, and staff from the World Bank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Office, which serves as TAG secretariat, as listed in Annex 2. The public meeting documents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presentations are available on the ICP website. </w:t>
      </w:r>
    </w:p>
    <w:p>
      <w:pPr>
        <w:autoSpaceDN w:val="0"/>
        <w:autoSpaceDE w:val="0"/>
        <w:widowControl/>
        <w:spacing w:line="245" w:lineRule="auto" w:before="1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Paul Schreyer welcomed Professor Prasada Rao as the Co-Chair of the TAG, and introduced Rudrani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Bhattacharya (National Institute of Public Finance and Policy, India) as a new member. Schreyer noted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while the ICP 2021 results were widely recognized by the policy and research community, the ICP 2024 cycle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already underway. He informed the Group of the side event to the United Nation Statistical Commission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held on February 24, 2025, entitled “Carrying forward the legacy of the International Comparison Program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(ICP)” which featured a diverse panel of prominent speakers and served as a platform to publicize the work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ICP to the wider international statistics community. He then informed the Group about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Governing Board meeting, held in New York on March 2, 2025. Professor Rao expressed his gratitude for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role of Co-Chair, and honored the memory of the late Professor Alan Heston by sharing a personal anecdote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about their first encounter. He also emphasized the importance of the meeting in shaping the future of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methodology. </w:t>
      </w:r>
    </w:p>
    <w:p>
      <w:pPr>
        <w:autoSpaceDN w:val="0"/>
        <w:autoSpaceDE w:val="0"/>
        <w:widowControl/>
        <w:spacing w:line="274" w:lineRule="auto" w:before="55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Session II: Update on the ICP 2021 Cycle </w:t>
      </w:r>
    </w:p>
    <w:p>
      <w:pPr>
        <w:autoSpaceDN w:val="0"/>
        <w:autoSpaceDE w:val="0"/>
        <w:widowControl/>
        <w:spacing w:line="274" w:lineRule="auto" w:before="80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1.</w:t>
      </w:r>
      <w:r>
        <w:rPr>
          <w:rFonts w:ascii="Calibri" w:hAnsi="Calibri" w:eastAsia="Calibri"/>
          <w:b/>
          <w:i w:val="0"/>
          <w:color w:val="000000"/>
          <w:sz w:val="22"/>
        </w:rPr>
        <w:t>Global office update</w:t>
      </w:r>
    </w:p>
    <w:p>
      <w:pPr>
        <w:autoSpaceDN w:val="0"/>
        <w:autoSpaceDE w:val="0"/>
        <w:widowControl/>
        <w:spacing w:line="245" w:lineRule="auto" w:before="86" w:after="74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Marko Rissanen, World Bank, presented an update on the publication and dissemination of the ICP 2021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results, with an emphasis on the reception and key uses so far. He then presented the ICP 2024 cycle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 roadmap, program participation and risk assessment, before concluding with a discussion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the ICP governance and coordination activities. It was noted that: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856"/>
        <w:gridCol w:w="4856"/>
      </w:tblGrid>
      <w:tr>
        <w:trPr>
          <w:trHeight w:hRule="exact" w:val="65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9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Despite serious challenges faced during the 2021 cycle such as the COVID-19 pandemic and conflicts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Ukraine and the Middle East, ICP stakeholders demonstrated strong resilience mainly due to the </w:t>
            </w:r>
          </w:p>
        </w:tc>
      </w:tr>
    </w:tbl>
    <w:p>
      <w:pPr>
        <w:autoSpaceDN w:val="0"/>
        <w:autoSpaceDE w:val="0"/>
        <w:widowControl/>
        <w:spacing w:line="264" w:lineRule="auto" w:before="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2240" w:h="15840"/>
          <w:pgMar w:top="784" w:right="1228" w:bottom="48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259" w:lineRule="auto" w:before="0" w:after="58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relentless work by national and regional agencies. A total of 176 economies participated and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2021 global results were published in May 2024.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856"/>
        <w:gridCol w:w="4856"/>
      </w:tblGrid>
      <w:tr>
        <w:trPr>
          <w:trHeight w:hRule="exact" w:val="1168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244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99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157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99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41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99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70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9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8" w:after="0"/>
              <w:ind w:left="160" w:right="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Building on the efforts made during the ICP 2017 cycle to improve replicability and transparency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results, the ICP 2021 cycle continued the efforts, in particularly through the work of the Computation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Task Team, and further standardized the ICP PPP estimation methodology by (i) including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Commonwealth and Independent States (CIS) region as a core region in the global linking procedure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(ii) introducing a “hybrid” approach to the estimation of housing PPPs in the Asia and Pacific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region based on the standard ICP methodology. Simulations based on the ICP 2021 data showed,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general, limited impact of these changes on the overall estimates. In addition, new headings (for both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participating and non-participating economies) were included in the estimation process and made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available in the published results, as well as extrapolated PPPs for the years 2022 and 2023. </w:t>
            </w:r>
          </w:p>
          <w:p>
            <w:pPr>
              <w:autoSpaceDN w:val="0"/>
              <w:autoSpaceDE w:val="0"/>
              <w:widowControl/>
              <w:spacing w:line="259" w:lineRule="auto" w:before="116" w:after="0"/>
              <w:ind w:left="160" w:right="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wealth of information published from both the global office and regional agencies in the form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reports, data visualizations and blogs attracted significant media interest, with major publications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such as the Economist and the Financial Times as well as world-renowned economists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commentators reporting on the findings. This is testament to the growing interest in the use of PPPs. </w:t>
            </w:r>
          </w:p>
          <w:p>
            <w:pPr>
              <w:autoSpaceDN w:val="0"/>
              <w:autoSpaceDE w:val="0"/>
              <w:widowControl/>
              <w:spacing w:line="259" w:lineRule="auto" w:before="114" w:after="0"/>
              <w:ind w:left="160" w:right="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analytical and operational applications of PPPs continue to expand. Key uses within the World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Bank include the estimation of global poverty lines and the prosperity measure. Further, ICP 2021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PPPs are used to estimate Cost and Affordability of a Healthy Diet as published in “The State of Food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Security and Nutrition in the World 2024”. Finally, evaluation is underway for the adoption of PPPs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World Bank Income Classification of world economies as well as in the estimates of total wealth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 published in “The Changing Wealth of Nations” report. </w:t>
            </w:r>
          </w:p>
          <w:p>
            <w:pPr>
              <w:autoSpaceDN w:val="0"/>
              <w:autoSpaceDE w:val="0"/>
              <w:widowControl/>
              <w:spacing w:line="259" w:lineRule="auto" w:before="114" w:after="0"/>
              <w:ind w:left="160" w:right="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collection of price surveys for the ICP 2024 cycle is underway and will continue throughout 2025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based on an updated global core item list and regional item list. National accounts data is expected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be collected in the years 2025 and 2026, and the publication of 2024 PPPs is scheduled for the first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quarter of 2027. </w:t>
            </w:r>
          </w:p>
          <w:p>
            <w:pPr>
              <w:autoSpaceDN w:val="0"/>
              <w:autoSpaceDE w:val="0"/>
              <w:widowControl/>
              <w:spacing w:line="259" w:lineRule="auto" w:before="116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Participation is expected to expand to cover more economies in almost all regions, with the Pacific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Islands Community actively seeking to include its members in the global comparison. </w:t>
            </w:r>
          </w:p>
          <w:p>
            <w:pPr>
              <w:autoSpaceDN w:val="0"/>
              <w:autoSpaceDE w:val="0"/>
              <w:widowControl/>
              <w:spacing w:line="259" w:lineRule="auto" w:before="114" w:after="0"/>
              <w:ind w:left="160" w:right="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new modern cloud- and SMDX-based system for the collection and validation of price data and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production of PPPs has been introduced in both the Latin American and Caribbean and Western Asia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ICP regions, based on the Eurostat PPP production system which was made available for other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regional agencies to use. </w:t>
            </w:r>
          </w:p>
          <w:p>
            <w:pPr>
              <w:autoSpaceDN w:val="0"/>
              <w:autoSpaceDE w:val="0"/>
              <w:widowControl/>
              <w:spacing w:line="259" w:lineRule="auto" w:before="116" w:after="0"/>
              <w:ind w:left="16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main risks to the ICP 2024 cycle include financial stability and access to funds, operational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challenges arising from competing priorities at the national and regional level, and participation risks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due to geopolitical instability. </w:t>
            </w:r>
          </w:p>
          <w:p>
            <w:pPr>
              <w:autoSpaceDN w:val="0"/>
              <w:autoSpaceDE w:val="0"/>
              <w:widowControl/>
              <w:spacing w:line="259" w:lineRule="auto" w:before="112" w:after="0"/>
              <w:ind w:left="160" w:right="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Recent and future governance and coordination activities included; (i) submission of the global ICP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report for 2024 to the 56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session of the United Nations Statistical Commission (UNSC); (ii)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adoption of the System of National Accounts 2025 by the UNSC, which includes a chapter on ICP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PPPs; (iii) the meeting of the ICP Governing Board in March 2025; and (iv) updates related to previous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TAG and IACG meetings. </w:t>
            </w:r>
          </w:p>
        </w:tc>
      </w:tr>
    </w:tbl>
    <w:p>
      <w:pPr>
        <w:autoSpaceDN w:val="0"/>
        <w:autoSpaceDE w:val="0"/>
        <w:widowControl/>
        <w:spacing w:line="247" w:lineRule="auto" w:before="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discussion the importance of conveying the value of PPPs to participating economies to ensure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sustainability of the program and overcoming the funding challenges was agreed to be of paramount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importance. </w:t>
      </w:r>
    </w:p>
    <w:p>
      <w:pPr>
        <w:autoSpaceDN w:val="0"/>
        <w:autoSpaceDE w:val="0"/>
        <w:widowControl/>
        <w:spacing w:line="264" w:lineRule="auto" w:before="19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582" w:right="1228" w:bottom="48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2.</w:t>
      </w:r>
      <w:r>
        <w:rPr>
          <w:rFonts w:ascii="Calibri" w:hAnsi="Calibri" w:eastAsia="Calibri"/>
          <w:b/>
          <w:i w:val="0"/>
          <w:color w:val="000000"/>
          <w:sz w:val="22"/>
        </w:rPr>
        <w:t>Regional updates</w:t>
      </w:r>
    </w:p>
    <w:p>
      <w:pPr>
        <w:autoSpaceDN w:val="0"/>
        <w:autoSpaceDE w:val="0"/>
        <w:widowControl/>
        <w:spacing w:line="252" w:lineRule="auto" w:before="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Representatives from each Regional Implementing Agency (RIA) provided brief updates on the concluding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activities of the ICP 2021 cycle and on the implementation status of the ICP 2024 cycle. </w:t>
      </w:r>
    </w:p>
    <w:p>
      <w:pPr>
        <w:autoSpaceDN w:val="0"/>
        <w:autoSpaceDE w:val="0"/>
        <w:widowControl/>
        <w:spacing w:line="264" w:lineRule="auto" w:before="1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Africa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auto" w:before="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Gregoire Mboya de Loubassou, African Development Bank (AfDB), presented the status of ICP 2024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 in the Africa region. </w:t>
      </w:r>
    </w:p>
    <w:p>
      <w:pPr>
        <w:autoSpaceDN w:val="0"/>
        <w:autoSpaceDE w:val="0"/>
        <w:widowControl/>
        <w:spacing w:line="245" w:lineRule="auto" w:before="1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same fifty-two economies are expected to participate in the ICP 2024 cycle, with the possible inclusion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Eritrea and Libya in the future. The implementation of the cycle is underway and the regional item lists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have been revised considering the experience drawn from the previous cycle. Budget constraints, staff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turnover, and proximity between the two cycles are identified as the main challenges for the implementation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cycle. In addition, rebasing of GDP is expected in a number of participating economies. </w:t>
      </w:r>
    </w:p>
    <w:p>
      <w:pPr>
        <w:autoSpaceDN w:val="0"/>
        <w:autoSpaceDE w:val="0"/>
        <w:widowControl/>
        <w:spacing w:line="262" w:lineRule="auto" w:before="1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Asia and the Pacific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auto" w:before="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Kaushal Joshi, Asian Development Bank (ADB), presented the dissemination activities of the ICP 2021 results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the status of ICP 2024 cycle implementation in the Asia and Pacific region. </w:t>
      </w:r>
    </w:p>
    <w:p>
      <w:pPr>
        <w:autoSpaceDN w:val="0"/>
        <w:autoSpaceDE w:val="0"/>
        <w:widowControl/>
        <w:spacing w:line="245" w:lineRule="auto" w:before="1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2021 results, including revised 2017 estimates, were finalized in April 2024 and were endorsed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Regional Advisory Board and Heads of National Implementing Agencies. Results for twenty-one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participating economies were published on the ADB website and database, and a regional report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released in August 2024. </w:t>
      </w:r>
    </w:p>
    <w:p>
      <w:pPr>
        <w:autoSpaceDN w:val="0"/>
        <w:autoSpaceDE w:val="0"/>
        <w:widowControl/>
        <w:spacing w:line="245" w:lineRule="auto" w:before="1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same twenty-one economies are participating in the ICP 2024 cycle, with the addition of Timor-Leste.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product lists and operational guidelines for ICP surveys have been revised and finalized for the ICP 2024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cycle. The ICP Asia Pacific Software Suite (ICP APSS) was updated based on feedback from the ICP 2021 cycle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other software tools are under development such as an online survey tool to update the ICP item lists,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computer-assisted personal interview (CAPI) tool for household consumption (HHC) data collection, and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web-scraping tool. The price data collection began in Q1 of 2024 and is expected to last until Q4 2025, while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national accounts compilation will continue until Q2 2026. Data validation is underway, and a number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workshops have already been held. The initial feedback on the Construction and Machinery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Equipment surveys is that products available locally are different from the ones based on the Eurostat/OECD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list. The new COICOP classification and annual PPP production is being discussed, with the support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Eurostat, OECD and the ICP Global Office. </w:t>
      </w:r>
    </w:p>
    <w:p>
      <w:pPr>
        <w:autoSpaceDN w:val="0"/>
        <w:autoSpaceDE w:val="0"/>
        <w:widowControl/>
        <w:spacing w:line="264" w:lineRule="auto" w:before="1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Commonwealth of Independent States (CIS)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auto" w:before="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Andrey Kosarev, Interstate Statistical Committee of the Commonwealth of Independent States (CIS-Stat),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presented the status of ICP 2024 implementation and dissemination of the ICP 2021 results in the CIS region. </w:t>
      </w:r>
    </w:p>
    <w:p>
      <w:pPr>
        <w:autoSpaceDN w:val="0"/>
        <w:autoSpaceDE w:val="0"/>
        <w:widowControl/>
        <w:spacing w:line="245" w:lineRule="auto" w:before="1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2021 results were approved and adopted by the Economic Council and published as a report in both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English and Russian, in October 2024. Despite the methodological challenge related to the change of linking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 of the region, the results showed overall stability, as highlighted by the simulations provided by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Office. </w:t>
      </w:r>
    </w:p>
    <w:p>
      <w:pPr>
        <w:autoSpaceDN w:val="0"/>
        <w:autoSpaceDE w:val="0"/>
        <w:widowControl/>
        <w:spacing w:line="245" w:lineRule="auto" w:before="13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current ICP 2024 cycle is underway both in terms of data collection and data validation workshops.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cycle, constructions PPPs will be estimated following the global ICP approach, instead of the previous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approach. CIS-Stat is exploring the adoption of annual PPP production following the rolling survey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approach, but resources and funding constraints are a challenge, as highlighted by a statement from Belarus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the matter. Member economies have expressed concerns about discrepancies with official figures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sources used for the extrapolation of PPPs as published in the WB World Development Indicators (WDI) </w:t>
      </w:r>
    </w:p>
    <w:p>
      <w:pPr>
        <w:autoSpaceDN w:val="0"/>
        <w:autoSpaceDE w:val="0"/>
        <w:widowControl/>
        <w:spacing w:line="264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sectPr>
          <w:pgSz w:w="12240" w:h="15840"/>
          <w:pgMar w:top="580" w:right="1228" w:bottom="48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IMF databases. Finally, CIS-Stat will hold a statistical conference in September 2025 as a forum for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exchange in Uzbekistan. </w:t>
      </w:r>
    </w:p>
    <w:p>
      <w:pPr>
        <w:autoSpaceDN w:val="0"/>
        <w:autoSpaceDE w:val="0"/>
        <w:widowControl/>
        <w:spacing w:line="262" w:lineRule="auto" w:before="1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Eurostat–OECD PPP Program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7" w:lineRule="auto" w:before="9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Jarmilla Botev, OECD, presented the ICP 2021 results dissemination and the status of ICP 2024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 by the Eurostat-OECD PPP Programme. ICP 2021 results were published via press release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May 30, 2024, followed by social media posts on different platforms. </w:t>
      </w:r>
    </w:p>
    <w:p>
      <w:pPr>
        <w:autoSpaceDN w:val="0"/>
        <w:autoSpaceDE w:val="0"/>
        <w:widowControl/>
        <w:spacing w:line="245" w:lineRule="auto" w:before="1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total of forty-nine economies (including Kosovo at the household consumption level) are expected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participate in the ICP 2024 cycle as part of Eurostat-OECD PPP Programme. Additionally, Georgia, Ukraine,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Moldova will also participate in the ICP 2024 cycle, with their results being linked to the Eurostat-OECD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PPPs. The United Kingdom will rejoin the Eurostat program. Peru is an accession candidate to the OECD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work has begun to integrate the country in the Eurostat-OECD Programme. However, for the ICP 2024 cycle,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Peru will remain in the ICP Latin America and Caribbean region coordinated by ECLAC. The ICP 2024 cycle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integrated into the regular Eurostat-OECD PPP rolling survey program, with the exception of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construction survey, which is a special survey, and has been finalized in 2024. The implementation of COICOP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2018 represents the main challenge and it was confirmed the new classification will be in place by December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2025. </w:t>
      </w:r>
    </w:p>
    <w:p>
      <w:pPr>
        <w:autoSpaceDN w:val="0"/>
        <w:autoSpaceDE w:val="0"/>
        <w:widowControl/>
        <w:spacing w:line="264" w:lineRule="auto" w:before="1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Latin America and the Caribbean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7" w:lineRule="auto" w:before="9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Lady Infante Ortega, United Nations Economic Commission for Latin America and the Caribbean (UN-ECLAC),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presented the ICP 2021 results dissemination and the status of ICP 2024 implementation in the Latin America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the Caribbean region. </w:t>
      </w:r>
    </w:p>
    <w:p>
      <w:pPr>
        <w:autoSpaceDN w:val="0"/>
        <w:autoSpaceDE w:val="0"/>
        <w:widowControl/>
        <w:spacing w:line="252" w:lineRule="auto" w:before="1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results of the ICP 2021 cycle were published on May 30, 2024. The dissemination included the CEPALSTAT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database and ECLAC Yearbook, while the final report is currently being edited. </w:t>
      </w:r>
    </w:p>
    <w:p>
      <w:pPr>
        <w:autoSpaceDN w:val="0"/>
        <w:autoSpaceDE w:val="0"/>
        <w:widowControl/>
        <w:spacing w:line="245" w:lineRule="auto" w:before="1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total of thirty-five economies in the region have committed to participate in the ICP 2024 cycle, including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potentially Venezuela and Haiti, both of which did not participate in the previous cycle. Operational materials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have been distributed to national implementing agencies, including translations into Spanish.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Communication between the Regional Coordinator and the participating economies has also improved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introduction of an ICP repository where all operational materials and guidelines are shared.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collection started in Q2 2024 and is expected to last until the end of 2025. Validation workshops will be held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June and July 2025. </w:t>
      </w:r>
    </w:p>
    <w:p>
      <w:pPr>
        <w:autoSpaceDN w:val="0"/>
        <w:autoSpaceDE w:val="0"/>
        <w:widowControl/>
        <w:spacing w:line="264" w:lineRule="auto" w:before="134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Western Asia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7" w:lineRule="auto" w:before="9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Majed Skaini, United Nations Economic and Social Commission for Western Asia (UN-ESCWA), presented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dissemination activities for ICP 2021 results and the status of ICP 2024 implementation in the Western Asia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region. </w:t>
      </w:r>
    </w:p>
    <w:p>
      <w:pPr>
        <w:autoSpaceDN w:val="0"/>
        <w:autoSpaceDE w:val="0"/>
        <w:widowControl/>
        <w:spacing w:line="247" w:lineRule="auto" w:before="1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comprehensive report of the latest ICP cycle including the 2023 estimates and detailed country profiles </w:t>
      </w:r>
      <w:r>
        <w:rPr>
          <w:rFonts w:ascii="Calibri" w:hAnsi="Calibri" w:eastAsia="Calibri"/>
          <w:b w:val="0"/>
          <w:i w:val="0"/>
          <w:color w:val="000000"/>
          <w:sz w:val="22"/>
        </w:rPr>
        <w:t>was released on March 3, 2025, and presented at a side event of the 56</w:t>
      </w:r>
      <w:r>
        <w:rPr>
          <w:rFonts w:ascii="Calibri" w:hAnsi="Calibri" w:eastAsia="Calibri"/>
          <w:b w:val="0"/>
          <w:i w:val="0"/>
          <w:color w:val="000000"/>
          <w:sz w:val="14"/>
        </w:rPr>
        <w:t>th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session of the UNSC. The event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promoted the use of PPPs among senior country officials highlighting their applications in decision making. </w:t>
      </w:r>
    </w:p>
    <w:p>
      <w:pPr>
        <w:autoSpaceDN w:val="0"/>
        <w:autoSpaceDE w:val="0"/>
        <w:widowControl/>
        <w:spacing w:line="245" w:lineRule="auto" w:before="1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region continues to produce annual PPPs, collecting data every year following a regular schedule.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quarterly collection of HHC prices in 2024 has been completed, and three countries have fully integrated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into their administrative data collection. A regional validation workshop will be held in June 2025. A new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SDMX and cloud-based tool for PPP production has been piloted in the region. </w:t>
      </w:r>
    </w:p>
    <w:p>
      <w:pPr>
        <w:autoSpaceDN w:val="0"/>
        <w:autoSpaceDE w:val="0"/>
        <w:widowControl/>
        <w:spacing w:line="252" w:lineRule="auto" w:before="1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summarizing the session, the Chair emphasized the importance of timely and frequent releases to increase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visibility and value of the Program. </w:t>
      </w:r>
    </w:p>
    <w:p>
      <w:pPr>
        <w:autoSpaceDN w:val="0"/>
        <w:autoSpaceDE w:val="0"/>
        <w:widowControl/>
        <w:spacing w:line="264" w:lineRule="auto" w:before="30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2240" w:h="15840"/>
          <w:pgMar w:top="582" w:right="1228" w:bottom="48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Session III: Short- and Long-Term Research and Development Agenda </w:t>
      </w:r>
    </w:p>
    <w:p>
      <w:pPr>
        <w:autoSpaceDN w:val="0"/>
        <w:autoSpaceDE w:val="0"/>
        <w:widowControl/>
        <w:spacing w:line="274" w:lineRule="auto" w:before="80" w:after="0"/>
        <w:ind w:left="3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1.</w:t>
      </w:r>
      <w:r>
        <w:rPr>
          <w:rFonts w:ascii="Calibri" w:hAnsi="Calibri" w:eastAsia="Calibri"/>
          <w:b/>
          <w:i w:val="0"/>
          <w:color w:val="000000"/>
          <w:sz w:val="22"/>
        </w:rPr>
        <w:t>Research Topics Emerging from the Previous ICP Cycles</w:t>
      </w:r>
    </w:p>
    <w:p>
      <w:pPr>
        <w:autoSpaceDN w:val="0"/>
        <w:autoSpaceDE w:val="0"/>
        <w:widowControl/>
        <w:spacing w:line="247" w:lineRule="auto" w:before="84" w:after="46"/>
        <w:ind w:left="2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Dr. Giovanni Tonutti and Yuri Dikhanov, World Bank, presented an overview of the key issues related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current PPP estimation methodology that emerged in the previous cycles. The Group was asked to consider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how these should be addressed during the current cycle: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.9999999999999" w:type="dxa"/>
      </w:tblPr>
      <w:tblGrid>
        <w:gridCol w:w="4857"/>
        <w:gridCol w:w="4857"/>
      </w:tblGrid>
      <w:tr>
        <w:trPr>
          <w:trHeight w:hRule="exact" w:val="1085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708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215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215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215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238" w:lineRule="auto" w:before="157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9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6" w:after="0"/>
              <w:ind w:left="160" w:right="10" w:firstLine="0"/>
              <w:jc w:val="both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Treatment of dual participation economies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 The presence of five economies participating in both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Africa and Western Asia regional comparisons leads to an inherent tradeoff between harmonization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regional fixity of final estimates, in both benchmark and interim years. </w:t>
            </w:r>
          </w:p>
          <w:p>
            <w:pPr>
              <w:autoSpaceDN w:val="0"/>
              <w:autoSpaceDE w:val="0"/>
              <w:widowControl/>
              <w:spacing w:line="259" w:lineRule="auto" w:before="116" w:after="0"/>
              <w:ind w:left="160" w:right="8" w:firstLine="0"/>
              <w:jc w:val="both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Productivity adjustment factors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 The current approach to adjust PPPs of government compensation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by different levels of productivity relies on external data on capital stock and employment from Penn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World Tables. This data source is not updated in synchronization with the ICP cycles, resulting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discrepancies in the availability and timeliness of the data. Moreover, selected temporal variations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data poses challenges for the application of productivity adjustment factors. Two potential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alternative approaches were presented in the form of i) clustering economies into income-based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groups and applying productivity adjustments accordingly, and ii) rounding up the PAFs to a certain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degree (i.e. one decimal space), and/or imposing a range to their maximum and minimum levels. </w:t>
            </w:r>
          </w:p>
          <w:p>
            <w:pPr>
              <w:autoSpaceDN w:val="0"/>
              <w:autoSpaceDE w:val="0"/>
              <w:widowControl/>
              <w:spacing w:line="259" w:lineRule="auto" w:before="116" w:after="0"/>
              <w:ind w:left="160" w:right="8" w:firstLine="0"/>
              <w:jc w:val="both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Subsidized prices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 To ensure consistency between prices and expenditures, the ICP requires data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based on “purchasers’ prices”. These prices are defined as the amounts paid by buyers, including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discounts, surcharges, rebates, and, in certain cases, invoiced service charges or voluntary gratuities.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some countries, selected essential goods are subsidized to varying degrees for different portions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the population that meet specific criteria. This makes it challenging to ensure the consistency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price collection and expenditure compilation, as well as consistency across countries, for those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specific items. The TAG was asked to provide further advice to ensure consistency of both prices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expenditures. </w:t>
            </w:r>
          </w:p>
          <w:p>
            <w:pPr>
              <w:autoSpaceDN w:val="0"/>
              <w:autoSpaceDE w:val="0"/>
              <w:widowControl/>
              <w:spacing w:line="259" w:lineRule="auto" w:before="114" w:after="0"/>
              <w:ind w:left="160" w:right="8" w:firstLine="0"/>
              <w:jc w:val="both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Global linking procedure of private education PPPs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 Eurostat-OECD economies follow an output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approach for the estimation of private education PPPs and thus do not price items under the basic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heading for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private education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 The current methodology for producing global linking factors for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private education involves adjusting linking factors estimated for other regions with a scalar obtained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from the aggregate heading production of education services. The proposed simplification is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estimate private education PPPs as reference PPP of the basic heading compensation of employees,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under government education services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which would streamline the computational procedure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improve standardization. </w:t>
            </w:r>
          </w:p>
          <w:p>
            <w:pPr>
              <w:autoSpaceDN w:val="0"/>
              <w:autoSpaceDE w:val="0"/>
              <w:widowControl/>
              <w:spacing w:line="259" w:lineRule="auto" w:before="114" w:after="0"/>
              <w:ind w:left="160" w:right="10" w:firstLine="0"/>
              <w:jc w:val="both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Construction Wages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ratios of real construction wages to GDP and real construction wages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productivity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 estimated in the ICP 2021 cycle show global heterogeneity, with values for certain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economies identified as potential anomalies. The potential drivers for such heterogeneity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identified in the construction wage prices as collected in the construction surveys and, partly,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national accounts. Additional data validation and potential application of productivity adjustment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factors to construction wages were discussed. </w:t>
            </w:r>
          </w:p>
          <w:p>
            <w:pPr>
              <w:autoSpaceDN w:val="0"/>
              <w:autoSpaceDE w:val="0"/>
              <w:widowControl/>
              <w:spacing w:line="262" w:lineRule="auto" w:before="114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Reference PPPs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review of the current approach to ensure complete harmonization between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regional and global approaches to the computation of reference PPPs was recommended. 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discussion, the need for more flexibility to capture discounted prices even when they are not available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year-round was emphasized. Fluctuations in prices are expected to smooth if prices are collected on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monthly basis, and discounted items might be harder to exclude as the use of alternative data sources like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2240" w:h="15840"/>
          <w:pgMar w:top="580" w:right="1228" w:bottom="484" w:left="12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scanner or web-scraping data becomes prevalent. On this topic, subsidies were also discussed, as they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akin to discounts, but subsidized prices may not be available to everyone. It was noted that it is important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maintain consistency with the national accounts in the treatment of both discounts and subsidies. In relation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construction wages, it was noted that the analysis presented was somewhat flawed due to the potentially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inappropriate application of GDP-level PPPs to total wage volumes. However, it was also recognized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there were challenges with the current analysis arising from mixing different sources. As a general point, it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noted again that construction remains a ‘comparison resistant’ area. </w:t>
      </w:r>
    </w:p>
    <w:p>
      <w:pPr>
        <w:autoSpaceDN w:val="0"/>
        <w:autoSpaceDE w:val="0"/>
        <w:widowControl/>
        <w:spacing w:line="247" w:lineRule="auto" w:before="1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conclusion, the Chair noted the relevance and salience of all the issues presented and the need to prioritize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them in order to address them in a timely manner ahead of the computation of 2024 regional and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PPPs. </w:t>
      </w:r>
    </w:p>
    <w:p>
      <w:pPr>
        <w:autoSpaceDN w:val="0"/>
        <w:autoSpaceDE w:val="0"/>
        <w:widowControl/>
        <w:spacing w:line="274" w:lineRule="auto" w:before="130" w:after="0"/>
        <w:ind w:left="3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2.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Forthcoming Research Topics </w:t>
      </w:r>
    </w:p>
    <w:p>
      <w:pPr>
        <w:autoSpaceDN w:val="0"/>
        <w:autoSpaceDE w:val="0"/>
        <w:widowControl/>
        <w:spacing w:line="252" w:lineRule="auto" w:before="84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Prasada Rao provided a broad vision for the ICP research agenda, referencing the UNSC's recommendations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identifying key areas for methodological development and improvement. </w:t>
      </w:r>
    </w:p>
    <w:p>
      <w:pPr>
        <w:autoSpaceDN w:val="0"/>
        <w:autoSpaceDE w:val="0"/>
        <w:widowControl/>
        <w:spacing w:line="245" w:lineRule="auto" w:before="13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 provided historical background, referring to the ICP 2011 cycle when the Commission issued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recommendations for ensuring stability between ICP rounds and increasing the frequency of cycles.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Methodological stability for the ICP 2017 cycle and subsequent cycles was deemed the priority, however, key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areas of improvement were also identified for immediate, medium, and longer terms methodological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development. </w:t>
      </w:r>
    </w:p>
    <w:p>
      <w:pPr>
        <w:autoSpaceDN w:val="0"/>
        <w:autoSpaceDE w:val="0"/>
        <w:widowControl/>
        <w:spacing w:line="245" w:lineRule="auto" w:before="13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the immediate research agenda items, such as the treatment of dwelling services, productivity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adjustment factors, measures and reliability of PPPs and data access policy, Rao noted that most issues have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been addressed, although there is still room for improvement. The one immediate topic yet to be completed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 the advocacy paper, where the uses of ICP data can be advocated at the country level. In 2021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Office published a “visual guide to using data from the ICP” that explores different ICP data uses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policy making, but further efforts </w:t>
      </w:r>
      <w:r>
        <w:rPr>
          <w:rFonts w:ascii="Calibri" w:hAnsi="Calibri" w:eastAsia="Calibri"/>
          <w:b w:val="0"/>
          <w:i w:val="0"/>
          <w:color w:val="323130"/>
          <w:sz w:val="22"/>
        </w:rPr>
        <w:t>to promote the use of PPPs among participating economies was envisaged.</w:t>
      </w:r>
    </w:p>
    <w:p>
      <w:pPr>
        <w:autoSpaceDN w:val="0"/>
        <w:autoSpaceDE w:val="0"/>
        <w:widowControl/>
        <w:spacing w:line="245" w:lineRule="auto" w:before="13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Regarding medium-to-long-term research agenda items, Professor Rao identified two strands: (i) treatment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comparison resistant services, such as dwelling services, health and education and (ii) strengthening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participation of National Statistical Offices through CPI-ICP integration, sub-national PPPs and capacity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building. For the first strand, one possible research avenue is the adoption of an output approach to health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education PPPs, in a similar fashion to the current Eurostat-OECD approach. In relation to the second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strand, it was recognized that this is an ongoing process and there have been advances at the regional level,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the major next step identified in the estimation of annual PPPs. </w:t>
      </w:r>
    </w:p>
    <w:p>
      <w:pPr>
        <w:autoSpaceDN w:val="0"/>
        <w:autoSpaceDE w:val="0"/>
        <w:widowControl/>
        <w:spacing w:line="245" w:lineRule="auto" w:before="1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for ongoing research items, three branches were identified, in line with the topics and discussions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 TAG meeting: (i) quality adjustments and the extension of the SPD approach; (ii) exploring alternative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sources of price data; (iii) estimation of PPPs for imports and exports. The first and second branches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interlinked, in the way that alternative data sources such as scanner data and web scraping may allow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identification of additional product characteristics and allow the comparison of multiple items at a detailed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level. The third branch refers to the research developed by Robert Feenstra on estimating imports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exports PPPs, which was presented Session V of this TAG meeting. Other research topics include revisiting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approaches to health and education, potentially, construction revising regional groupings and reference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countries. Lastly, Professor Rao emphasized the need for a dynamic and evolving ICP program, suggesting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target date for a combined methodological update, as appropriate. </w:t>
      </w:r>
    </w:p>
    <w:p>
      <w:pPr>
        <w:autoSpaceDN w:val="0"/>
        <w:autoSpaceDE w:val="0"/>
        <w:widowControl/>
        <w:spacing w:line="245" w:lineRule="auto" w:before="1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discussion it was noted how the new System of National Accounts (SNA) 2025 as adopted by the UNSC will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need to be implemented in the ICP structure, with countries committing to adopting the new system by 2030,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it was identified as a potential target date by which to introduce further methodological developments,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appropriate. Additionally, the ICP classification will also need to be adapted to the new COICOP 2018. The </w:t>
      </w:r>
    </w:p>
    <w:p>
      <w:pPr>
        <w:autoSpaceDN w:val="0"/>
        <w:autoSpaceDE w:val="0"/>
        <w:widowControl/>
        <w:spacing w:line="264" w:lineRule="auto" w:before="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sectPr>
          <w:pgSz w:w="12240" w:h="15840"/>
          <w:pgMar w:top="582" w:right="1228" w:bottom="48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TAG recognized the relevance of considering quality adjustments in the output approach for measuring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health and education components of GDP while being aware of the challenges this approach might face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relation to quality of available data. The TAG also discussed proposals to review the current linking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procedures and consider alternative methods, including the use of geometric averages and the potential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selective linking based on data quality were put forward. The suggestion of revising ICP country groupings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while also taking into account the fixity requirements within ICP regions, was also discussed. </w:t>
      </w:r>
    </w:p>
    <w:p>
      <w:pPr>
        <w:autoSpaceDN w:val="0"/>
        <w:autoSpaceDE w:val="0"/>
        <w:widowControl/>
        <w:spacing w:line="245" w:lineRule="auto" w:before="1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Finally, the significant achievements of the TAG were acknowledged, particularly in establishing a robust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comparison methodology since the ICP 2011 cycle. These efforts have contributed to strengthening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credibility of the ICP and providing the intellectual foundation for the current model of global price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comparisons. Therefore, the benefits of pursuing further methodological changes should be carefully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weighed against the advantages of maintaining a stable comparison framework. In this context, establishing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longer-term research agenda—focusing on major areas such as health, education, and alternative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sources—was considered crucial. </w:t>
      </w:r>
    </w:p>
    <w:p>
      <w:pPr>
        <w:autoSpaceDN w:val="0"/>
        <w:autoSpaceDE w:val="0"/>
        <w:widowControl/>
        <w:spacing w:line="247" w:lineRule="auto" w:before="1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conclusion, the Chair suggested drafting a document setting out the future research agenda to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discussed and approved at the next meeting of the Group, as well as the establishment of dedicated task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forces for different topics. </w:t>
      </w:r>
    </w:p>
    <w:p>
      <w:pPr>
        <w:autoSpaceDN w:val="0"/>
        <w:autoSpaceDE w:val="0"/>
        <w:widowControl/>
        <w:spacing w:line="271" w:lineRule="auto" w:before="56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Session IV: TAG Functioning and Terms of Reference for Task Forces </w:t>
      </w:r>
    </w:p>
    <w:p>
      <w:pPr>
        <w:autoSpaceDN w:val="0"/>
        <w:autoSpaceDE w:val="0"/>
        <w:widowControl/>
        <w:spacing w:line="274" w:lineRule="auto" w:before="80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1.</w:t>
      </w:r>
      <w:r>
        <w:rPr>
          <w:rFonts w:ascii="Calibri" w:hAnsi="Calibri" w:eastAsia="Calibri"/>
          <w:b/>
          <w:i w:val="0"/>
          <w:color w:val="000000"/>
          <w:sz w:val="22"/>
        </w:rPr>
        <w:t>TAG Composition and Terms of Reference</w:t>
      </w:r>
    </w:p>
    <w:p>
      <w:pPr>
        <w:autoSpaceDN w:val="0"/>
        <w:autoSpaceDE w:val="0"/>
        <w:widowControl/>
        <w:spacing w:line="245" w:lineRule="auto" w:before="8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The Co-Chairs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discussed the composition of the TAG, noting the need for rejuvenation by bringing in new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members and observers.  They proposed expanding the Group to an additional two or three new members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drafting a list of potential observers who could contribute over the longer term. The need for diversity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skills, including expertise in index numbers, prices, national accounts, and new data sources,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highlighted as well as the importance of geographic and gender diversity in the TAG composition. Professor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Rao discussed the possibility of including IMF officials in the TAG, given their role in statistical capacity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building and as primary users of the data. </w:t>
      </w:r>
    </w:p>
    <w:p>
      <w:pPr>
        <w:autoSpaceDN w:val="0"/>
        <w:autoSpaceDE w:val="0"/>
        <w:widowControl/>
        <w:spacing w:line="245" w:lineRule="auto" w:before="1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In discussion the need 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attract younger academics and professionals to TAG was stressed, suggesting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their interest in new data sources could be leveraged to involve them in the ICP work. It was suggested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organize a workshop or conference on the use of alternative data sources for price comparisons, which could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help attract a new generation of experts in the field. </w:t>
      </w:r>
    </w:p>
    <w:p>
      <w:pPr>
        <w:autoSpaceDN w:val="0"/>
        <w:autoSpaceDE w:val="0"/>
        <w:widowControl/>
        <w:spacing w:line="245" w:lineRule="auto" w:before="1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summary, the Chair expressed the need to expand the pool of members of the Group, while recognizing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often the incentives of academia are not aligned with those of policy advising. He endorsed the idea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organizing a conference to recruit future Group members, while inviting attendees to think of other ways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contributions to the ICP could be complementary to further a career path in academia. </w:t>
      </w:r>
    </w:p>
    <w:p>
      <w:pPr>
        <w:autoSpaceDN w:val="0"/>
        <w:autoSpaceDE w:val="0"/>
        <w:widowControl/>
        <w:spacing w:line="274" w:lineRule="auto" w:before="132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2.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Terms of Reference for a Task Force on Annual PPP Production </w:t>
      </w:r>
    </w:p>
    <w:p>
      <w:pPr>
        <w:autoSpaceDN w:val="0"/>
        <w:autoSpaceDE w:val="0"/>
        <w:widowControl/>
        <w:spacing w:line="245" w:lineRule="auto" w:before="8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Marko Rissanen, World Bank, presented the suggested Terms of Reference for a Task Force on annual PPP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compilation. He noted how the ICP has embarked on a trajectory of increasing the frequency of global PPP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estimates to address the need for more frequent and up-to-date figures by users. The presence of different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extrapolated estimates for the most recent years in various international databases generates confusion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risks undermining the credibility of the program. This calls for the need to leverage the wealth of data already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available, the annual estimates produced by some regional agencies, and the latest estimation techniques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produce annual global PPPs. </w:t>
      </w:r>
    </w:p>
    <w:p>
      <w:pPr>
        <w:autoSpaceDN w:val="0"/>
        <w:autoSpaceDE w:val="0"/>
        <w:widowControl/>
        <w:spacing w:line="264" w:lineRule="auto" w:before="60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p>
      <w:pPr>
        <w:sectPr>
          <w:pgSz w:w="12240" w:h="15840"/>
          <w:pgMar w:top="582" w:right="1228" w:bottom="48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" w:right="0" w:hanging="2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 identified several challenges with moving to an annual PPP production, including the need to manage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burden on countries, maintain data quality and consistency, and address timeliness of data releases.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benefits and opportunities that could be unlocked include better utilization of data collected in non-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benchmark years, a reduced reliance on high-level extrapolations, and improved planning and stability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ICP. It was further emphasized that the rolling survey approach is intended to reduce the resource burden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countries by spreading the price collection over a longer period. </w:t>
      </w:r>
    </w:p>
    <w:p>
      <w:pPr>
        <w:autoSpaceDN w:val="0"/>
        <w:autoSpaceDE w:val="0"/>
        <w:widowControl/>
        <w:spacing w:line="245" w:lineRule="auto" w:before="134" w:after="0"/>
        <w:ind w:left="2" w:right="20" w:hanging="2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this end, forming a Task Force to develop approaches for estimating annual PPPs at the regional and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levels was proposed. The Task Force would include members from TAG, regional implementing agencies,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national statistical offices (NSOs). This approach aims to ensure practical and implementable solutions.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two-year timeline for the Task Force to develop and present its findings was suggested. The Task Force would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produce a report outlining the proposed approaches for annual PPP production. </w:t>
      </w:r>
    </w:p>
    <w:p>
      <w:pPr>
        <w:autoSpaceDN w:val="0"/>
        <w:autoSpaceDE w:val="0"/>
        <w:widowControl/>
        <w:spacing w:line="245" w:lineRule="auto" w:before="1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discussion it was noted the importance of NSOs’ buy-in to annual PPPs and the establishment of clear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timelines and frameworks for data collection, while allowing for flexibility for each region to develop 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optimal approach. Finally, the need to balance a Task Force composition that was able to work effectively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while guaranteeing wide representation and involvement of representatives from participating economies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discussed. </w:t>
      </w:r>
    </w:p>
    <w:p>
      <w:pPr>
        <w:autoSpaceDN w:val="0"/>
        <w:autoSpaceDE w:val="0"/>
        <w:widowControl/>
        <w:spacing w:line="252" w:lineRule="auto" w:before="134" w:after="0"/>
        <w:ind w:left="0" w:right="0" w:firstLine="2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conclusion, TAG recommended the establishment of a Task Force on strategies for the implementation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annual PPPs with an emphasis on operational aspects and a strong involvement from NSOs. </w:t>
      </w:r>
    </w:p>
    <w:p>
      <w:pPr>
        <w:autoSpaceDN w:val="0"/>
        <w:autoSpaceDE w:val="0"/>
        <w:widowControl/>
        <w:spacing w:line="274" w:lineRule="auto" w:before="130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3.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Terms of Reference for a Task Force on ICP Classification Update </w:t>
      </w:r>
    </w:p>
    <w:p>
      <w:pPr>
        <w:autoSpaceDN w:val="0"/>
        <w:autoSpaceDE w:val="0"/>
        <w:widowControl/>
        <w:spacing w:line="245" w:lineRule="auto" w:before="8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Inyoung Song, World Bank, presented the need to update the ICP classification to align with the new COICOP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2018 and SNA 2025. She noted how adopting the COICOP 2018 classification would lead to further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harmonization between ICP and national CPI lists, streamlining the process of data collection for participating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countries. The update would involve major revisions to the classification structure, impacting expenditure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estimation, price collection, and PPP calculations. This includes aligning with the more detailed COICOP 2018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subclass level. </w:t>
      </w:r>
    </w:p>
    <w:p>
      <w:pPr>
        <w:autoSpaceDN w:val="0"/>
        <w:autoSpaceDE w:val="0"/>
        <w:widowControl/>
        <w:spacing w:line="245" w:lineRule="auto" w:before="1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Operational steps required for the update, including scenario testing, assessing feasibility, and developing </w:t>
      </w:r>
      <w:r>
        <w:rPr>
          <w:rFonts w:ascii="Calibri" w:hAnsi="Calibri" w:eastAsia="Calibri"/>
          <w:b w:val="0"/>
          <w:i w:val="0"/>
          <w:color w:val="000000"/>
          <w:sz w:val="22"/>
        </w:rPr>
        <w:t>guidelines and documentation for implementation were further highlighted.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She emphasized the importance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considering the timelines of countries adopting COICOP 2018 and SNA 2025 to ensure a smooth transition.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Forming a Task Force to assess the impact of COICOP and SNA updates would be necessary in order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develop an updated ICP classification and ensure a smooth transition. The Task Force would include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international, regional, and national experts and would develop a timeline and implementation strategy. </w:t>
      </w:r>
    </w:p>
    <w:p>
      <w:pPr>
        <w:autoSpaceDN w:val="0"/>
        <w:autoSpaceDE w:val="0"/>
        <w:widowControl/>
        <w:spacing w:line="247" w:lineRule="auto" w:before="1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the discussion it was noticed how the adoption of the new classification will not necessarily affect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product list, but rather the grouping of basic headings and further aggregates. In addition, it was noted how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ICP purposes, the new SNA will likely have a limited impact. </w:t>
      </w:r>
    </w:p>
    <w:p>
      <w:pPr>
        <w:autoSpaceDN w:val="0"/>
        <w:autoSpaceDE w:val="0"/>
        <w:widowControl/>
        <w:spacing w:line="247" w:lineRule="auto" w:before="13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conclusion the Group endorsed the proposal of establishing a Task Force for the adoption of the new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COICOP classification and SNA, while inviting to consider whether a revision of the product list would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beneficial. </w:t>
      </w:r>
    </w:p>
    <w:p>
      <w:pPr>
        <w:autoSpaceDN w:val="0"/>
        <w:autoSpaceDE w:val="0"/>
        <w:widowControl/>
        <w:spacing w:line="274" w:lineRule="auto" w:before="55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Session V: Current Research </w:t>
      </w:r>
    </w:p>
    <w:p>
      <w:pPr>
        <w:autoSpaceDN w:val="0"/>
        <w:autoSpaceDE w:val="0"/>
        <w:widowControl/>
        <w:spacing w:line="274" w:lineRule="auto" w:before="80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1.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The Treatment of Import and Export Prices in International Comparisons </w:t>
      </w:r>
    </w:p>
    <w:p>
      <w:pPr>
        <w:autoSpaceDN w:val="0"/>
        <w:autoSpaceDE w:val="0"/>
        <w:widowControl/>
        <w:spacing w:line="247" w:lineRule="auto" w:before="8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Professor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Robert Feenstra, University of California-Davis and Professor Alberto Cavallo, Harvard University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presented research on assessing different methods for the estimation of PPPs for imports and exports. It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compared the use of nominal exchange rates vs quality-adjusted unit values for estimating PPPs and the use </w:t>
      </w:r>
    </w:p>
    <w:p>
      <w:pPr>
        <w:autoSpaceDN w:val="0"/>
        <w:autoSpaceDE w:val="0"/>
        <w:widowControl/>
        <w:spacing w:line="264" w:lineRule="auto" w:before="1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sectPr>
          <w:pgSz w:w="12240" w:h="15840"/>
          <w:pgMar w:top="582" w:right="1228" w:bottom="48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Artificial Intelligence (AI) technologies to source import prices and identify the country of origin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products. </w:t>
      </w:r>
    </w:p>
    <w:p>
      <w:pPr>
        <w:autoSpaceDN w:val="0"/>
        <w:autoSpaceDE w:val="0"/>
        <w:widowControl/>
        <w:spacing w:line="245" w:lineRule="auto" w:before="132" w:after="0"/>
        <w:ind w:left="2" w:right="22" w:hanging="2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Professor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Feenstra presented the empirical findings of an analysis aimed at simplifying the current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methodology used by the Penn World Tables for estimating imports and exports PPPs. The results showed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how the use of nominal exchange rates, which is the current ICP methodological approach, while introducing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small systematic downward bias in the estimation of price levels, provides close estimates to the measure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real GDP on the output side and constitutes the preferred method going forward. </w:t>
      </w:r>
    </w:p>
    <w:p>
      <w:pPr>
        <w:autoSpaceDN w:val="0"/>
        <w:autoSpaceDE w:val="0"/>
        <w:widowControl/>
        <w:spacing w:line="245" w:lineRule="auto" w:before="132" w:after="0"/>
        <w:ind w:left="2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Professor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Cavallo discussed the potential of AI technologies, such as ChatGPT, to enhance price collection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classification. He presented the findings of his research testing the ability of Large Language Models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(LLMs) to identify whether a good is imported and the country of origin. The findings highlight how modern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search models can determine whether a product is domestic or imported with approximately 80% accuracy.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Predicting the specific country of origin is more challenging, with the interactive version of ChatGPT achieving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approximately 70% accuracy. </w:t>
      </w:r>
    </w:p>
    <w:p>
      <w:pPr>
        <w:autoSpaceDN w:val="0"/>
        <w:autoSpaceDE w:val="0"/>
        <w:widowControl/>
        <w:spacing w:line="247" w:lineRule="auto" w:before="132" w:after="0"/>
        <w:ind w:left="0" w:right="22" w:firstLine="2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ensuing discussion centered on the potential uses of LLMs and their limitations in official price statistics.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While the tendency of the existing models to “hallucinate” undermines their reliability, their future potential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should be considered for tasks of triangulation of information and data validation. </w:t>
      </w:r>
    </w:p>
    <w:p>
      <w:pPr>
        <w:autoSpaceDN w:val="0"/>
        <w:autoSpaceDE w:val="0"/>
        <w:widowControl/>
        <w:spacing w:line="247" w:lineRule="auto" w:before="136" w:after="0"/>
        <w:ind w:left="2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conclusion TAG recognized the relevance of this research, both in relation to some of the immediate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questions the ICP methodology is facing as well as more long-term developments such as the use of AI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technology for price collection and validation. </w:t>
      </w:r>
    </w:p>
    <w:p>
      <w:pPr>
        <w:autoSpaceDN w:val="0"/>
        <w:tabs>
          <w:tab w:pos="722" w:val="left"/>
        </w:tabs>
        <w:autoSpaceDE w:val="0"/>
        <w:widowControl/>
        <w:spacing w:line="254" w:lineRule="auto" w:before="132" w:after="0"/>
        <w:ind w:left="3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2.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 Survey Based Approach to Adjustment for Quality Differences in Services in International Price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Comparisons </w:t>
      </w:r>
    </w:p>
    <w:p>
      <w:pPr>
        <w:autoSpaceDN w:val="0"/>
        <w:autoSpaceDE w:val="0"/>
        <w:widowControl/>
        <w:spacing w:line="247" w:lineRule="auto" w:before="86" w:after="0"/>
        <w:ind w:left="2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Professor Naohito Abe, Hitotsubashi University, presented a research paper written in collaboration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Professor Kyoji Fukao, Dr. Kenta Ikeuchi and Professor D.S. Prasada Rao, on the topic of price adjustments </w:t>
      </w:r>
      <w:r>
        <w:rPr>
          <w:rFonts w:ascii="Calibri" w:hAnsi="Calibri" w:eastAsia="Calibri"/>
          <w:b w:val="0"/>
          <w:i w:val="0"/>
          <w:color w:val="000000"/>
          <w:sz w:val="22"/>
        </w:rPr>
        <w:t>for quality differences in services.</w:t>
      </w:r>
    </w:p>
    <w:p>
      <w:pPr>
        <w:autoSpaceDN w:val="0"/>
        <w:autoSpaceDE w:val="0"/>
        <w:widowControl/>
        <w:spacing w:line="245" w:lineRule="auto" w:before="132" w:after="0"/>
        <w:ind w:left="2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main premise of this research is that quality differences in services are not accurately captured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current ICP methodology, since it is very difficult to identify services of same quality in different countries.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Although the ICP item structured product description (SPDs) detail a number of characteristics that must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observed, there are certain aspects that are either subjective or difficult to quantify. </w:t>
      </w:r>
    </w:p>
    <w:p>
      <w:pPr>
        <w:autoSpaceDN w:val="0"/>
        <w:autoSpaceDE w:val="0"/>
        <w:widowControl/>
        <w:spacing w:line="245" w:lineRule="auto" w:before="13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address the issues, the authors surveyed a group of people from the United States who had lived in Japan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 group of from Japan who had lived in the United States. The survey questioned how much more, 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how much less, the participants would pay for a service in their respective home countries, if it were of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similar quality to those found in the country visited. This allowed researchers to obtain a measure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quality differences between each country for a variety of services, based on their marginal willingness to pay.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account for the selection bias on utilizing a particular service, the authors used the Heckman’s selection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model. The results found the estimated effect of quality difference is about 9% between the two countries. </w:t>
      </w:r>
    </w:p>
    <w:p>
      <w:pPr>
        <w:autoSpaceDN w:val="0"/>
        <w:autoSpaceDE w:val="0"/>
        <w:widowControl/>
        <w:spacing w:line="252" w:lineRule="auto" w:before="1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discussed future research possibilities, suggesting adding China as potential third country in service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quality comparisons, as well as refining the ICP SPDs, by adding or improving the existing item specifications. </w:t>
      </w:r>
    </w:p>
    <w:p>
      <w:pPr>
        <w:autoSpaceDN w:val="0"/>
        <w:autoSpaceDE w:val="0"/>
        <w:widowControl/>
        <w:spacing w:line="274" w:lineRule="auto" w:before="130" w:after="0"/>
        <w:ind w:left="3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3.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Treatment of Scanner (Transaction) Data in the European Comparison Programme (ECP) </w:t>
      </w:r>
    </w:p>
    <w:p>
      <w:pPr>
        <w:autoSpaceDN w:val="0"/>
        <w:autoSpaceDE w:val="0"/>
        <w:widowControl/>
        <w:spacing w:line="252" w:lineRule="auto" w:before="84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Mihai Iulian Gheorghe, Eurostat, presented the regional experience using scanner data in the European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Comparison Programme (ECP). </w:t>
      </w:r>
    </w:p>
    <w:p>
      <w:pPr>
        <w:autoSpaceDN w:val="0"/>
        <w:autoSpaceDE w:val="0"/>
        <w:widowControl/>
        <w:spacing w:line="252" w:lineRule="auto" w:before="1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Scanner data is generated by point-of-sales terminals in shops and provides information at the level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barcode or, more correctly, Global Trade Item Number (GTIN). Currently, 18 countries are using scanner data </w:t>
      </w:r>
    </w:p>
    <w:p>
      <w:pPr>
        <w:autoSpaceDN w:val="0"/>
        <w:autoSpaceDE w:val="0"/>
        <w:widowControl/>
        <w:spacing w:line="264" w:lineRule="auto" w:before="2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p>
      <w:pPr>
        <w:sectPr>
          <w:pgSz w:w="12240" w:h="15840"/>
          <w:pgMar w:top="582" w:right="1226" w:bottom="48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2" w:right="0" w:hanging="2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four are testing their application. The use of scanner data is regulated to ensure data transparency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allow for price validation. </w:t>
      </w:r>
    </w:p>
    <w:p>
      <w:pPr>
        <w:autoSpaceDN w:val="0"/>
        <w:autoSpaceDE w:val="0"/>
        <w:widowControl/>
        <w:spacing w:line="245" w:lineRule="auto" w:before="13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reporting of scanner data can be made in two ways: option A) Average price for each GTIN per shop chain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 item (including weights within PPP item); option B: Weighted average price for each PPP item. As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price weighting, this can also be done by two methods: method 1) weights are available on GTIN level -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dynamic weighting; method 2) weights are available on the level of the shop chain - fixed weighting. The use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scanner data can also be accompanied by traditional price collection, but at the item level it is preferred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choose either one source or another. From Eurostat member countries’ experience, the use of scanner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is more effective than traditional price collection at capturing discounted prices, which results in lower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prices for scanner data when compared to traditional price collection. </w:t>
      </w:r>
    </w:p>
    <w:p>
      <w:pPr>
        <w:autoSpaceDN w:val="0"/>
        <w:autoSpaceDE w:val="0"/>
        <w:widowControl/>
        <w:spacing w:line="245" w:lineRule="auto" w:before="1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Considering the challenges and lessons learned, it was noted that the use of transaction data initially does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 necessarily lead to lower workload, since different suppliers may have different data structures, and it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necessary to identify and link GTINs to PPP survey items. Additionally, scanner data lacks details on item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definitions and discounts, and requires traditional price collection to continue in parallel. </w:t>
      </w:r>
    </w:p>
    <w:p>
      <w:pPr>
        <w:autoSpaceDN w:val="0"/>
        <w:autoSpaceDE w:val="0"/>
        <w:widowControl/>
        <w:spacing w:line="247" w:lineRule="auto" w:before="130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acknowledged these developments in price data collection, recognizing the importance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modernizing data collection and sources. Additionally, it was noted that the use of AI may facilitate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identification and linking of GTIN codes to ICP items. </w:t>
      </w:r>
    </w:p>
    <w:p>
      <w:pPr>
        <w:autoSpaceDN w:val="0"/>
        <w:autoSpaceDE w:val="0"/>
        <w:widowControl/>
        <w:spacing w:line="274" w:lineRule="auto" w:before="132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4.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Treatment of Negative Expenditures in ICP </w:t>
      </w:r>
    </w:p>
    <w:p>
      <w:pPr>
        <w:autoSpaceDN w:val="0"/>
        <w:autoSpaceDE w:val="0"/>
        <w:widowControl/>
        <w:spacing w:line="252" w:lineRule="auto" w:before="82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Sergey Sergeev, an independent expert, presented the findings of research on the treatment of basic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headings with negative expenditure within the PPP aggregation procedures. </w:t>
      </w:r>
    </w:p>
    <w:p>
      <w:pPr>
        <w:autoSpaceDN w:val="0"/>
        <w:autoSpaceDE w:val="0"/>
        <w:widowControl/>
        <w:spacing w:line="245" w:lineRule="auto" w:before="1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current ICP computation methodology assumes that price data contains only positive values while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and quantity data contain only non-negative values (either positive or zero values). However,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GDP expenditures contain several headings where negative expenditure can occur such as: “Balance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Exports and Imports”, “Change in inventories”, “Net purchases abroad” and “Acquisitions less disposals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valuables”. While cases that affected computation were very limited in the previous ICP exercises, this does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 mean that negative expenditure values have no impact in the calculation of PPPs. </w:t>
      </w:r>
    </w:p>
    <w:p>
      <w:pPr>
        <w:autoSpaceDN w:val="0"/>
        <w:autoSpaceDE w:val="0"/>
        <w:widowControl/>
        <w:spacing w:line="245" w:lineRule="auto" w:before="1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mitigate the effects of negative headings, two approaches were attempted in the past: i) use of selective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EKS procedure and ii) use of Tornqvist index for bilateral PPPs instead of Fisher PPPs. However, both methods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 only applicable for the EKS aggregation method. A possible procedure to overcome the issue would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utilize absolute nominal values (for the PPP calculation only) instead of actual nominal values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data. This approach is consistent with the theory of the calculation of average indices and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applicable not only for the EKS but for other aggregation methods as well. </w:t>
      </w:r>
    </w:p>
    <w:p>
      <w:pPr>
        <w:autoSpaceDN w:val="0"/>
        <w:autoSpaceDE w:val="0"/>
        <w:widowControl/>
        <w:spacing w:line="245" w:lineRule="auto" w:before="1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noted that the use of absolute nominal values appears to be an improvised approach lacking a clear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theoretical basis, and the discussion focused on alternative treatments for “net exports,” as it is the most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affected category. Nevertheless, the case was also made that PPP calculations assume non-negative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expenditures and hopefully distortions caused by negative expenditures are somewhat minimal. It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suggested to continue research on this topic in the future. </w:t>
      </w:r>
    </w:p>
    <w:p>
      <w:pPr>
        <w:autoSpaceDN w:val="0"/>
        <w:autoSpaceDE w:val="0"/>
        <w:widowControl/>
        <w:spacing w:line="274" w:lineRule="auto" w:before="128" w:after="0"/>
        <w:ind w:left="3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5.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Fine Tuning Global Linking Procedures </w:t>
      </w:r>
    </w:p>
    <w:p>
      <w:pPr>
        <w:autoSpaceDN w:val="0"/>
        <w:autoSpaceDE w:val="0"/>
        <w:widowControl/>
        <w:spacing w:line="264" w:lineRule="auto" w:before="86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Robert Hill, University of Graz, presented his research paper on Alternative Global Linking Methods. </w:t>
      </w:r>
    </w:p>
    <w:p>
      <w:pPr>
        <w:autoSpaceDN w:val="0"/>
        <w:autoSpaceDE w:val="0"/>
        <w:widowControl/>
        <w:spacing w:line="245" w:lineRule="auto" w:before="1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current methods for linking ICP regions at the global level are: i) Region-Product Dummy (RPD) at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basic heading level and ii) Country Approach with Redistribution (CAR) at the aggregate level. The paper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proposes a third approach that would be applicable at both the basic heading and the aggregate levels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may be referred as “Geometric Average linking”. </w:t>
      </w:r>
    </w:p>
    <w:p>
      <w:pPr>
        <w:autoSpaceDN w:val="0"/>
        <w:autoSpaceDE w:val="0"/>
        <w:widowControl/>
        <w:spacing w:line="264" w:lineRule="auto" w:before="1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10</w:t>
      </w:r>
    </w:p>
    <w:p>
      <w:pPr>
        <w:sectPr>
          <w:pgSz w:w="12240" w:h="15840"/>
          <w:pgMar w:top="582" w:right="1228" w:bottom="48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advantages of Geometric-Averaging are that it treats all regions symmetrically and its logarithmic least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squares property makes it a natural extension of GEKS. However, it is still the case that regions with a higher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number of countries have a larger impact in determining the shadow prices on the product dummies. At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aggregate level, Geometric-Averaging alters the unfixed GEKS indices by the logarithmic least squares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amount necessary to make them satisfy within-region fixity. This is different from the CAR method, where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shares of the regions are the same as in the unfixed global comparison. </w:t>
      </w:r>
    </w:p>
    <w:p>
      <w:pPr>
        <w:autoSpaceDN w:val="0"/>
        <w:autoSpaceDE w:val="0"/>
        <w:widowControl/>
        <w:spacing w:line="245" w:lineRule="auto" w:before="1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topics for future consideration, it was noted that the problem with GEKS is that it uses bilateral Fishers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between all possible pairs of countries, which is not necessarily desirable if the data quality of some countries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 less reliable. As an alternative, deleting some of the weakest bilateral pairs or replacing them with chained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indices, may provide better results. </w:t>
      </w:r>
    </w:p>
    <w:p>
      <w:pPr>
        <w:autoSpaceDN w:val="0"/>
        <w:autoSpaceDE w:val="0"/>
        <w:widowControl/>
        <w:spacing w:line="252" w:lineRule="auto" w:before="1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Following on the same issue, Yuri Dikhanov, World Bank, presented the findings of his paper written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collaboration with Erwin Diewert, on the topic of “Similarity Linking vs. Multilateral Indices in ICP”. </w:t>
      </w:r>
    </w:p>
    <w:p>
      <w:pPr>
        <w:autoSpaceDN w:val="0"/>
        <w:autoSpaceDE w:val="0"/>
        <w:widowControl/>
        <w:spacing w:line="247" w:lineRule="auto" w:before="1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this paper the authors compute two “Minimum Spanning Trees” (MSTs) based on two different similarity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indexes. From these calculations it was observed that MSTs and, consequently, MST-linked indices, are highly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dependent on the similarity measure used and may result in significantly different PPPs. </w:t>
      </w:r>
    </w:p>
    <w:p>
      <w:pPr>
        <w:autoSpaceDN w:val="0"/>
        <w:autoSpaceDE w:val="0"/>
        <w:widowControl/>
        <w:spacing w:line="245" w:lineRule="auto" w:before="1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Secondly, the paper compares the results of the CAR method and PPPs from the unrestricted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aggregations with 154 countries. The authors observe significant deviations, especially between the Caves,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Christensen and Diewert (CCD) index (one-stage) and the Éltető - Köves - Szulc (EKS) index (one-stage). As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linking factors, it was found that the differences between indexes were not significant, concluding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choice for the base country in each region is solid. </w:t>
      </w:r>
    </w:p>
    <w:p>
      <w:pPr>
        <w:autoSpaceDN w:val="0"/>
        <w:autoSpaceDE w:val="0"/>
        <w:widowControl/>
        <w:spacing w:line="247" w:lineRule="auto" w:before="2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Lastly, the authors compare the MSTs to CCD and GEKS. It was observed that the MST-linked Törnqvist indices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based can differ systematically from each other while deviating further away from the CCD index on average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more than the GEKS. </w:t>
      </w:r>
    </w:p>
    <w:p>
      <w:pPr>
        <w:autoSpaceDN w:val="0"/>
        <w:autoSpaceDE w:val="0"/>
        <w:widowControl/>
        <w:spacing w:line="245" w:lineRule="auto" w:before="1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Continuing on the topic of fine-tunning global linking procedures, Professor Prasada Rao, presented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proposal from the late Professor Alan Heston. Based on his suggestion, global PPPs would be estimated by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CPD, using global core item (GCI) prices only. Fixity would be maintained by combining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expenditures and the GCI price levels and non-GCI BHs PLs and expenditures in an EKS aggregation yields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country price levels and GDPs in a common reference currency. Fixity can then be achieved in each region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distributing the regional total among the countries according to their regional results. </w:t>
      </w:r>
    </w:p>
    <w:p>
      <w:pPr>
        <w:autoSpaceDN w:val="0"/>
        <w:autoSpaceDE w:val="0"/>
        <w:widowControl/>
        <w:spacing w:line="245" w:lineRule="auto" w:before="1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discussed each presentation separately, but the arguments and conclusions are intertwined given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all papers address the same core issue of regional linking. On the issue of regional symmetry, it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noted that larger regions having a larger impact on global PPPs is not necessarily a distortion and may be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fact a desirable outcome. The main principle under debate is whether all regions should be treated as equal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parts, regardless of the number of participating economies under each ICP region or should all participating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economies be treated as equals, acknowledging that ICP regions which have larger number of participating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economies will have a greater impact on global results. Moreover, the current approach of using regional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 lists allows each ICP region to produce regional PPPs that are more representative of their own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consumption patterns: basing the global comparison on global core items alone would reduce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representativity. It was also noted that while there can be advantages in choosing one method over another,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methodological consistency and maturity of the ICP achieved in recent cycles has enhanced the credibility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uses of global PPPs. Therefore, while further methodological research is necessary, any changes must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carefully considered. </w:t>
      </w:r>
    </w:p>
    <w:p>
      <w:pPr>
        <w:autoSpaceDN w:val="0"/>
        <w:autoSpaceDE w:val="0"/>
        <w:widowControl/>
        <w:spacing w:line="264" w:lineRule="auto" w:before="90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11</w:t>
      </w:r>
    </w:p>
    <w:p>
      <w:pPr>
        <w:sectPr>
          <w:pgSz w:w="12240" w:h="15840"/>
          <w:pgMar w:top="582" w:right="1228" w:bottom="48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6.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Improving Reliability of Price Comparisons </w:t>
      </w:r>
    </w:p>
    <w:p>
      <w:pPr>
        <w:autoSpaceDN w:val="0"/>
        <w:autoSpaceDE w:val="0"/>
        <w:widowControl/>
        <w:spacing w:line="252" w:lineRule="auto" w:before="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Professor Erwin Diewert, University of British Columbia and University of New South Wales, presented 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paper on Basic Heading PPPs and the Lack of Matching Problem. </w:t>
      </w:r>
    </w:p>
    <w:p>
      <w:pPr>
        <w:autoSpaceDN w:val="0"/>
        <w:autoSpaceDE w:val="0"/>
        <w:widowControl/>
        <w:spacing w:line="245" w:lineRule="auto" w:before="134" w:after="0"/>
        <w:ind w:left="2" w:right="20" w:hanging="2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paper analyses three alternative methods for the calculation of basic heading PPPs at the global level: i)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Country Product Dummy Method; ii) The Jevons “Star” Country Method and iii) the Jevons-GEKS Method.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all these methods, missing item prices affects the outcome of basic heading PPPs. The “lack of matching”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problem occurs when a large portion of items within a basic heading is not priced by two or more regions,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affects the reliability of PPPs. The paper showcases this issue by presenting several examples taken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the ICP 2017 cycle. </w:t>
      </w:r>
    </w:p>
    <w:p>
      <w:pPr>
        <w:autoSpaceDN w:val="0"/>
        <w:autoSpaceDE w:val="0"/>
        <w:widowControl/>
        <w:spacing w:line="247" w:lineRule="auto" w:before="13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 alternative solution would be through similarity linking, choosing five pairs of countries between the five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regions with the highest matching price data between them. The problem is that determining which pairs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countries would be optimal for interregional linking is a difficult task. </w:t>
      </w:r>
    </w:p>
    <w:p>
      <w:pPr>
        <w:autoSpaceDN w:val="0"/>
        <w:autoSpaceDE w:val="0"/>
        <w:widowControl/>
        <w:spacing w:line="247" w:lineRule="auto" w:before="13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Yuri Dikhanov, World Bank, presented a paper under the title “Fisher versus Törnqvist when Relative Price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Changes are Large” and the foundation paper “Range of possible results for certain classes of superlative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price indices” which establishes how superlative indices are different from each other. </w:t>
      </w:r>
    </w:p>
    <w:p>
      <w:pPr>
        <w:autoSpaceDN w:val="0"/>
        <w:autoSpaceDE w:val="0"/>
        <w:widowControl/>
        <w:spacing w:line="247" w:lineRule="auto" w:before="1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paper argues that the basic aggregation method used in the ICP (the Fisher-based GEKS) is unstable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face of price and expenditure volatility and proposes using the Törnqvist-based CCD (Caves, Christensen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Diewert) index instead. The paper analyses both spatial and temporal indices. </w:t>
      </w:r>
    </w:p>
    <w:p>
      <w:pPr>
        <w:autoSpaceDN w:val="0"/>
        <w:autoSpaceDE w:val="0"/>
        <w:widowControl/>
        <w:spacing w:line="245" w:lineRule="auto" w:before="1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temporal analyses, three types of indices are considered: (i) multilateral, or GEKS (multilateral Fisher)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CCD (multilateral Törnqvist), (ii) direct, or 2023/1990 direct estimates using only two years, and (iii) chained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indices. These indices are used on two aggregation scopes: (i) over all items, and (ii) over all items without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fast-moving technology items. The fast-moving technology items are the temporal proxies for volatile items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present in the ICP. The results reveal that the chained Törnqvist index has the lowest discrepancies between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two aggregation scopes. The paper proceeds to simulate effects of price shocks on indices, showing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price shock always has a larger effect on Fisher compared to Törnqvist indices. </w:t>
      </w:r>
    </w:p>
    <w:p>
      <w:pPr>
        <w:autoSpaceDN w:val="0"/>
        <w:autoSpaceDE w:val="0"/>
        <w:widowControl/>
        <w:spacing w:line="245" w:lineRule="auto" w:before="1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spatial analysis, the ratio between Fisher and Törnqvist indices is found to be even higher than temporal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analysis. In addition, the GEKS and CCD PPP ratios were also compared for the ICP 2021 results and found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significant differences for some countries. The paper suggest that the Törnqvist-based CCD index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preferrable to the Fisher-based GEKS index under the condition of strong price and expenditure shocks. </w:t>
      </w:r>
    </w:p>
    <w:p>
      <w:pPr>
        <w:autoSpaceDN w:val="0"/>
        <w:autoSpaceDE w:val="0"/>
        <w:widowControl/>
        <w:spacing w:line="245" w:lineRule="auto" w:before="1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TAG discussed each presentation separately, but the main arguments and conclusions between these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topics naturally overlap. On the issue of missing prices, while they may have adverse effects on PPPs,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alternative of pricing every item regardless of its representativeness, introduces other biases. Finding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middle ground, where most but not all items are priced, is probably the best option to ensure a meaningful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comparison. On the topic of similarity linking as an alternative to the current global linking approach, the TAG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considered that would be a step back towards the former ring linking approach. Regarding the use of different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indices, it was noted that the main discrepancies in spatial comparisons are attributable to certain regions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may require further investigation. </w:t>
      </w:r>
    </w:p>
    <w:p>
      <w:pPr>
        <w:autoSpaceDN w:val="0"/>
        <w:autoSpaceDE w:val="0"/>
        <w:widowControl/>
        <w:spacing w:line="274" w:lineRule="auto" w:before="1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Session VI: Any Other Business </w:t>
      </w:r>
    </w:p>
    <w:p>
      <w:pPr>
        <w:autoSpaceDN w:val="0"/>
        <w:autoSpaceDE w:val="0"/>
        <w:widowControl/>
        <w:spacing w:line="245" w:lineRule="auto" w:before="8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Inyoung Song, World Bank, informed the TAG that the ICP Global Office is suggesting publishing a series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ICP blogs on the World Bank Data Blog platform, including potentially a blog focusing on the role of the TAG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within the ICP. The TAG welcomed these initiatives and suggested exploring synergies with existing expert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groups and conferences on international comparisons. </w:t>
      </w:r>
    </w:p>
    <w:p>
      <w:pPr>
        <w:autoSpaceDN w:val="0"/>
        <w:autoSpaceDE w:val="0"/>
        <w:widowControl/>
        <w:spacing w:line="264" w:lineRule="auto" w:before="5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12</w:t>
      </w:r>
    </w:p>
    <w:p>
      <w:pPr>
        <w:sectPr>
          <w:pgSz w:w="12240" w:h="15840"/>
          <w:pgMar w:top="580" w:right="1228" w:bottom="48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80489" cy="786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489" cy="78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3" w:lineRule="auto" w:before="264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International Comparison Program (ICP) </w:t>
      </w:r>
      <w:r>
        <w:rPr>
          <w:rFonts w:ascii="Calibri" w:hAnsi="Calibri" w:eastAsia="Calibri"/>
          <w:b/>
          <w:i w:val="0"/>
          <w:color w:val="000000"/>
          <w:sz w:val="32"/>
        </w:rPr>
        <w:t xml:space="preserve">TECHNICAL ADVISORY GROUP (TAG)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Hybrid Meeting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March 7-8, 2025 </w:t>
      </w:r>
    </w:p>
    <w:p>
      <w:pPr>
        <w:autoSpaceDN w:val="0"/>
        <w:tabs>
          <w:tab w:pos="28" w:val="left"/>
          <w:tab w:pos="2188" w:val="left"/>
          <w:tab w:pos="2982" w:val="left"/>
          <w:tab w:pos="3412" w:val="left"/>
          <w:tab w:pos="4336" w:val="left"/>
        </w:tabs>
        <w:autoSpaceDE w:val="0"/>
        <w:widowControl/>
        <w:spacing w:line="470" w:lineRule="auto" w:before="414" w:after="170"/>
        <w:ind w:left="0" w:right="1584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Bamboo Room, Ease 1345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1345 6th Ave, New York, NY 10105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Agenda </w:t>
      </w:r>
      <w:r>
        <w:br/>
      </w:r>
      <w:r>
        <w:rPr>
          <w:rFonts w:ascii="Calibri" w:hAnsi="Calibri" w:eastAsia="Calibri"/>
          <w:b/>
          <w:i w:val="0"/>
          <w:color w:val="FFFFFF"/>
          <w:sz w:val="22"/>
        </w:rPr>
        <w:t xml:space="preserve"> DAY 1: Friday, March 7, 2025 | Chair: Paul SCHREYER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SESSION I: Welcome and Opening Remarks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09:00 – 09:15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Welcome and Opening Remarks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[TAG Co-Chairs, World Bank]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SESSION II: Update on the ICP 2021 and 2024 Cycles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18"/>
        <w:gridCol w:w="4718"/>
      </w:tblGrid>
      <w:tr>
        <w:trPr>
          <w:trHeight w:hRule="exact" w:val="68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09:15 – 10:15 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4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Update on the ICP 2021 and 2024 Cycles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[World Bank and ICP Regional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Implementing Agencies] </w:t>
            </w:r>
          </w:p>
        </w:tc>
      </w:tr>
    </w:tbl>
    <w:p>
      <w:pPr>
        <w:autoSpaceDN w:val="0"/>
        <w:autoSpaceDE w:val="0"/>
        <w:widowControl/>
        <w:spacing w:line="274" w:lineRule="auto" w:before="184" w:after="17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 SESSION III: Short- and Long-Term Research and Development Agenda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18"/>
        <w:gridCol w:w="4718"/>
      </w:tblGrid>
      <w:tr>
        <w:trPr>
          <w:trHeight w:hRule="exact" w:val="191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7" w:lineRule="auto" w:before="60" w:after="0"/>
              <w:ind w:left="20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10:30 – 11:15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11:15 – 12:00 </w:t>
            </w:r>
          </w:p>
          <w:p>
            <w:pPr>
              <w:autoSpaceDN w:val="0"/>
              <w:autoSpaceDE w:val="0"/>
              <w:widowControl/>
              <w:spacing w:line="274" w:lineRule="auto" w:before="39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12:00 – 12:30 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7" w:lineRule="auto" w:before="60" w:after="0"/>
              <w:ind w:left="460" w:right="86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Research Topics Emerging from the Previous ICP Cycles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[World Bank]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Forthcoming Research Topics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[Prasada Rao] </w:t>
            </w:r>
          </w:p>
          <w:p>
            <w:pPr>
              <w:autoSpaceDN w:val="0"/>
              <w:autoSpaceDE w:val="0"/>
              <w:widowControl/>
              <w:spacing w:line="250" w:lineRule="auto" w:before="390" w:after="0"/>
              <w:ind w:left="4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Setting Up a Short- and Long-Term Research and Development Agenda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[Co-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Chairs and TAG] </w:t>
            </w:r>
          </w:p>
        </w:tc>
      </w:tr>
    </w:tbl>
    <w:p>
      <w:pPr>
        <w:autoSpaceDN w:val="0"/>
        <w:tabs>
          <w:tab w:pos="28" w:val="left"/>
          <w:tab w:pos="2188" w:val="left"/>
        </w:tabs>
        <w:autoSpaceDE w:val="0"/>
        <w:widowControl/>
        <w:spacing w:line="377" w:lineRule="auto" w:before="188" w:after="0"/>
        <w:ind w:left="0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 SESSION IV: TAG Functioning and Terms of Refence for Task Forces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14:00 – 14:15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TAG Composition and Terms of Reference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[TAG Co-Chairs] </w:t>
      </w:r>
    </w:p>
    <w:p>
      <w:pPr>
        <w:autoSpaceDN w:val="0"/>
        <w:autoSpaceDE w:val="0"/>
        <w:widowControl/>
        <w:spacing w:line="264" w:lineRule="auto" w:before="1184" w:after="0"/>
        <w:ind w:left="0" w:right="45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13</w:t>
      </w:r>
    </w:p>
    <w:p>
      <w:pPr>
        <w:sectPr>
          <w:pgSz w:w="12240" w:h="15840"/>
          <w:pgMar w:top="590" w:right="1392" w:bottom="48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2188" w:val="left"/>
        </w:tabs>
        <w:autoSpaceDE w:val="0"/>
        <w:widowControl/>
        <w:spacing w:line="274" w:lineRule="auto" w:before="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14:15 – 15:00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Terms of Reference for a Task Force on Annual PPP Production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[World Bank]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3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15:00 – 15:45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Terms of Reference for a Task Force on ICP Classification Update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[World Bank] </w:t>
      </w:r>
    </w:p>
    <w:p>
      <w:pPr>
        <w:autoSpaceDN w:val="0"/>
        <w:autoSpaceDE w:val="0"/>
        <w:widowControl/>
        <w:spacing w:line="274" w:lineRule="auto" w:before="230" w:after="178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 SESSION V: Current Research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18"/>
        <w:gridCol w:w="4718"/>
      </w:tblGrid>
      <w:tr>
        <w:trPr>
          <w:trHeight w:hRule="exact" w:val="68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16:00 – 17:00 </w:t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0" w:after="0"/>
              <w:ind w:left="4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The Treatment of Import and Export Prices in International Comparisons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[Rob Feenstra] </w:t>
            </w:r>
          </w:p>
        </w:tc>
      </w:tr>
    </w:tbl>
    <w:p>
      <w:pPr>
        <w:autoSpaceDN w:val="0"/>
        <w:autoSpaceDE w:val="0"/>
        <w:widowControl/>
        <w:spacing w:line="274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FFFFFF"/>
          <w:sz w:val="22"/>
        </w:rPr>
        <w:t xml:space="preserve"> DAY 2: Saturday, March 8, 2025 | Chair: Prasada RAO </w:t>
      </w:r>
    </w:p>
    <w:p>
      <w:pPr>
        <w:autoSpaceDN w:val="0"/>
        <w:autoSpaceDE w:val="0"/>
        <w:widowControl/>
        <w:spacing w:line="274" w:lineRule="auto" w:before="388" w:after="17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 SESSION V: Current Research (Cont’d)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45"/>
        <w:gridCol w:w="3145"/>
        <w:gridCol w:w="3145"/>
      </w:tblGrid>
      <w:tr>
        <w:trPr>
          <w:trHeight w:hRule="exact" w:val="2660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09:45 </w:t>
            </w:r>
          </w:p>
          <w:p>
            <w:pPr>
              <w:autoSpaceDN w:val="0"/>
              <w:autoSpaceDE w:val="0"/>
              <w:widowControl/>
              <w:spacing w:line="274" w:lineRule="auto" w:before="498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09:45 – 10:30 </w:t>
            </w:r>
          </w:p>
          <w:p>
            <w:pPr>
              <w:autoSpaceDN w:val="0"/>
              <w:autoSpaceDE w:val="0"/>
              <w:widowControl/>
              <w:spacing w:line="274" w:lineRule="auto" w:before="50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10:45 – 11:30 </w:t>
            </w:r>
          </w:p>
          <w:p>
            <w:pPr>
              <w:autoSpaceDN w:val="0"/>
              <w:autoSpaceDE w:val="0"/>
              <w:widowControl/>
              <w:spacing w:line="274" w:lineRule="auto" w:before="39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11:30 – 12:30 </w:t>
            </w:r>
          </w:p>
          <w:p>
            <w:pPr>
              <w:autoSpaceDN w:val="0"/>
              <w:autoSpaceDE w:val="0"/>
              <w:widowControl/>
              <w:spacing w:line="274" w:lineRule="auto" w:before="1036" w:after="0"/>
              <w:ind w:left="2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14:00 – 15:00 </w:t>
            </w:r>
          </w:p>
        </w:tc>
        <w:tc>
          <w:tcPr>
            <w:tcW w:type="dxa" w:w="7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4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 Survey Based Approach to Adjustment for Quality Differences in Services in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International Price Comparisons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[Naohito Abe and Prasada Rao] </w:t>
            </w:r>
          </w:p>
          <w:p>
            <w:pPr>
              <w:autoSpaceDN w:val="0"/>
              <w:autoSpaceDE w:val="0"/>
              <w:widowControl/>
              <w:spacing w:line="257" w:lineRule="auto" w:before="228" w:after="0"/>
              <w:ind w:left="460" w:right="72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Treatment of Scanner (Transaction) Data in the European Comparison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Program (ECP)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[Eurostat] </w:t>
            </w:r>
          </w:p>
          <w:p>
            <w:pPr>
              <w:autoSpaceDN w:val="0"/>
              <w:autoSpaceDE w:val="0"/>
              <w:widowControl/>
              <w:spacing w:line="274" w:lineRule="auto" w:before="230" w:after="0"/>
              <w:ind w:left="4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Treatment of Negative Expenditures in ICP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[Prasada Rao and Sergey Sergeev] </w:t>
            </w:r>
          </w:p>
          <w:p>
            <w:pPr>
              <w:autoSpaceDN w:val="0"/>
              <w:autoSpaceDE w:val="0"/>
              <w:widowControl/>
              <w:spacing w:line="274" w:lineRule="auto" w:before="376" w:after="0"/>
              <w:ind w:left="4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Fine Tuning Global Linking Procedures </w:t>
            </w:r>
          </w:p>
        </w:tc>
      </w:tr>
      <w:tr>
        <w:trPr>
          <w:trHeight w:hRule="exact" w:val="530"/>
        </w:trPr>
        <w:tc>
          <w:tcPr>
            <w:tcW w:type="dxa" w:w="3145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432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26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Alternative Global Linking Methods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[Robert Hill]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Similarity Linking Within and Between Regions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[Erwin Diewert and Yuri </w:t>
            </w:r>
          </w:p>
        </w:tc>
      </w:tr>
      <w:tr>
        <w:trPr>
          <w:trHeight w:hRule="exact" w:val="1074"/>
        </w:trPr>
        <w:tc>
          <w:tcPr>
            <w:tcW w:type="dxa" w:w="3145"/>
            <w:vMerge/>
            <w:tcBorders/>
          </w:tcPr>
          <w:p/>
        </w:tc>
        <w:tc>
          <w:tcPr>
            <w:tcW w:type="dxa" w:w="7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0" w:val="left"/>
                <w:tab w:pos="822" w:val="left"/>
              </w:tabs>
              <w:autoSpaceDE w:val="0"/>
              <w:widowControl/>
              <w:spacing w:line="326" w:lineRule="auto" w:before="0" w:after="0"/>
              <w:ind w:left="460" w:right="86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Dikhanov]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Improving Reliability of Price Comparisons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Basic Heading PPPs and Sparsity of Price Tableaus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[Erwin Diewert] </w:t>
            </w:r>
          </w:p>
        </w:tc>
      </w:tr>
      <w:tr>
        <w:trPr>
          <w:trHeight w:hRule="exact" w:val="342"/>
        </w:trPr>
        <w:tc>
          <w:tcPr>
            <w:tcW w:type="dxa" w:w="3145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Alternative Basic Heading PPP Aggregation Methods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[Yuri Dikhanov] </w:t>
            </w:r>
          </w:p>
        </w:tc>
      </w:tr>
    </w:tbl>
    <w:p>
      <w:pPr>
        <w:autoSpaceDN w:val="0"/>
        <w:autoSpaceDE w:val="0"/>
        <w:widowControl/>
        <w:spacing w:line="274" w:lineRule="auto" w:before="1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 SESSION VI: Closing </w:t>
      </w:r>
    </w:p>
    <w:p>
      <w:pPr>
        <w:autoSpaceDN w:val="0"/>
        <w:tabs>
          <w:tab w:pos="2188" w:val="left"/>
        </w:tabs>
        <w:autoSpaceDE w:val="0"/>
        <w:widowControl/>
        <w:spacing w:line="274" w:lineRule="auto" w:before="22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15:00 – 15:15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Any Other Business and Closing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[TAG Co-Chairs] </w:t>
      </w:r>
    </w:p>
    <w:p>
      <w:pPr>
        <w:autoSpaceDN w:val="0"/>
        <w:autoSpaceDE w:val="0"/>
        <w:widowControl/>
        <w:spacing w:line="264" w:lineRule="auto" w:before="4076" w:after="0"/>
        <w:ind w:left="0" w:right="45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14</w:t>
      </w:r>
    </w:p>
    <w:p>
      <w:pPr>
        <w:sectPr>
          <w:pgSz w:w="12240" w:h="15840"/>
          <w:pgMar w:top="560" w:right="1392" w:bottom="48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Annex 2: List of Participants</w:t>
      </w:r>
    </w:p>
    <w:p>
      <w:pPr>
        <w:autoSpaceDN w:val="0"/>
        <w:autoSpaceDE w:val="0"/>
        <w:widowControl/>
        <w:spacing w:line="274" w:lineRule="auto" w:before="288" w:after="12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ICP Technical Advisory Group members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.9999999999999" w:type="dxa"/>
      </w:tblPr>
      <w:tblGrid>
        <w:gridCol w:w="4681"/>
        <w:gridCol w:w="4681"/>
      </w:tblGrid>
      <w:tr>
        <w:trPr>
          <w:trHeight w:hRule="exact" w:val="224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" w:after="0"/>
              <w:ind w:left="200" w:right="1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40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Paul Schreyer, Economic Statistics Center of Excellence (ESCoE), TAG Co-Chair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D.S. Prasada Rao, University of Queensland, TAG Co-Chair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W. Erwin Diewert, University of British Columbia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Mary O’Mahony, King's Business School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Xianchun Xu, Tsinghua University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Robert C. Feenstra, University of California, Davis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Paul Konijn, Statistical Office of the European Union (Eurostat)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Nada Hamadeh, former ICP Global Lead </w:t>
            </w:r>
          </w:p>
        </w:tc>
      </w:tr>
    </w:tbl>
    <w:p>
      <w:pPr>
        <w:autoSpaceDN w:val="0"/>
        <w:autoSpaceDE w:val="0"/>
        <w:widowControl/>
        <w:spacing w:line="274" w:lineRule="auto" w:before="240" w:after="1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ICP experts, guest speakers, and observers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.9999999999999" w:type="dxa"/>
      </w:tblPr>
      <w:tblGrid>
        <w:gridCol w:w="4681"/>
        <w:gridCol w:w="4681"/>
      </w:tblGrid>
      <w:tr>
        <w:trPr>
          <w:trHeight w:hRule="exact" w:val="252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2" w:after="0"/>
              <w:ind w:left="200" w:right="1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0" w:right="259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Robert Hill, University of Graz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Sergey Sergeev, Independent Expert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Yang Wang, Tsinghua University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Naohito Abe, Hitotsubashi University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Alberto Cavallo, Harvard University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Miriam Steurer, University of Graz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Reza Hajargasht, Griffith University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Wanqi Liu, Tsinghua University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Did we have a IMF rep?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74" w:lineRule="auto" w:before="290" w:after="1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ICP Inter-Agency Coordination Group (IACG)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.9999999999999" w:type="dxa"/>
      </w:tblPr>
      <w:tblGrid>
        <w:gridCol w:w="4681"/>
        <w:gridCol w:w="4681"/>
      </w:tblGrid>
      <w:tr>
        <w:trPr>
          <w:trHeight w:hRule="exact" w:val="278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200" w:right="1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</w:p>
          <w:p>
            <w:pPr>
              <w:autoSpaceDN w:val="0"/>
              <w:autoSpaceDE w:val="0"/>
              <w:widowControl/>
              <w:spacing w:line="264" w:lineRule="auto" w:before="240" w:after="0"/>
              <w:ind w:left="200" w:right="1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</w:p>
          <w:p>
            <w:pPr>
              <w:autoSpaceDN w:val="0"/>
              <w:autoSpaceDE w:val="0"/>
              <w:widowControl/>
              <w:spacing w:line="266" w:lineRule="auto" w:before="240" w:after="0"/>
              <w:ind w:left="144" w:right="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3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African Development Bank (AfDB): Gregoire Mboya De Loubassou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Asian Development Bank (ADB): Kaushal Joshi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Interstate Statistical Committee of the Commonwealth of Independent States (CIS-STAT):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Andrey Kosarev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Statistical Office of the European Union (Eurostat): Mihai Iulian Gheorghe, Hakam Jayyousi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Organization for Economic Co-operation and Development (OECD): Jarmila Botev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United Nations Economic Commission for Latin America and the Caribbean (UN-ECLAC):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Ernestina Brigida Perez Ardiles, Lady Infante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United Nations Economic Commission for Western Asia (UN-ESCWA): Majed Skaini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International Monetary Fund: Brian Graf </w:t>
            </w:r>
          </w:p>
        </w:tc>
      </w:tr>
    </w:tbl>
    <w:p>
      <w:pPr>
        <w:autoSpaceDN w:val="0"/>
        <w:autoSpaceDE w:val="0"/>
        <w:widowControl/>
        <w:spacing w:line="274" w:lineRule="auto" w:before="240" w:after="1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World Bank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.9999999999999" w:type="dxa"/>
      </w:tblPr>
      <w:tblGrid>
        <w:gridCol w:w="4681"/>
        <w:gridCol w:w="4681"/>
      </w:tblGrid>
      <w:tr>
        <w:trPr>
          <w:trHeight w:hRule="exact" w:val="251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" w:after="0"/>
              <w:ind w:left="200" w:right="1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0" w:right="244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Marko Rissanen , World Bank Group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Yan Bai, World Bank Group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Rui Costa, World Bank Group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Yuri Dikhanov, World Bank Group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Nancy Kebe, World Bank Group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Maurice Nsabimana, World Bank Group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Inyoung Song, World Bank Group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Giovanni Tonutti, World Bank Group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Mizuki Yamanaka, World Bank Group </w:t>
            </w:r>
          </w:p>
        </w:tc>
      </w:tr>
    </w:tbl>
    <w:p>
      <w:pPr>
        <w:autoSpaceDN w:val="0"/>
        <w:autoSpaceDE w:val="0"/>
        <w:widowControl/>
        <w:spacing w:line="264" w:lineRule="auto" w:before="40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</w:t>
      </w:r>
    </w:p>
    <w:sectPr w:rsidR="00FC693F" w:rsidRPr="0006063C" w:rsidSect="00034616">
      <w:pgSz w:w="12240" w:h="15840"/>
      <w:pgMar w:top="710" w:right="1440" w:bottom="490" w:left="14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