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8879" cy="72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879" cy="7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7" w:lineRule="auto" w:before="248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MINUTES OF THE INTERNATIONAL COMPARISON PROGRAM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INTER-AGENCY COORDINATION GROUP MEETING </w:t>
      </w:r>
    </w:p>
    <w:p>
      <w:pPr>
        <w:autoSpaceDN w:val="0"/>
        <w:autoSpaceDE w:val="0"/>
        <w:widowControl/>
        <w:spacing w:line="274" w:lineRule="auto" w:before="22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OCTOBER 31 – NOVEMBER 3, 2023 </w:t>
      </w:r>
    </w:p>
    <w:p>
      <w:pPr>
        <w:autoSpaceDN w:val="0"/>
        <w:autoSpaceDE w:val="0"/>
        <w:widowControl/>
        <w:spacing w:line="274" w:lineRule="auto" w:before="2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Hybrid Meeting </w:t>
      </w:r>
    </w:p>
    <w:p>
      <w:pPr>
        <w:autoSpaceDN w:val="0"/>
        <w:autoSpaceDE w:val="0"/>
        <w:widowControl/>
        <w:spacing w:line="274" w:lineRule="auto" w:before="500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Welcome and meeting objectives </w:t>
      </w:r>
    </w:p>
    <w:p>
      <w:pPr>
        <w:autoSpaceDN w:val="0"/>
        <w:autoSpaceDE w:val="0"/>
        <w:widowControl/>
        <w:spacing w:line="247" w:lineRule="auto" w:before="2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meeting of the International Comparison Program (ICP) Inter-Agency Coordination Group (IACG)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held from October 31 to November 3, 2023, both virtually and in person in Washington, DC, at the World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Bank headquarters. </w:t>
      </w:r>
    </w:p>
    <w:p>
      <w:pPr>
        <w:autoSpaceDN w:val="0"/>
        <w:autoSpaceDE w:val="0"/>
        <w:widowControl/>
        <w:spacing w:line="247" w:lineRule="auto" w:before="2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main objectives of the meeting were to discuss regional and global updates, review the ICP 2021 cycle </w:t>
      </w:r>
      <w:r>
        <w:rPr>
          <w:rFonts w:ascii="Calibri" w:hAnsi="Calibri" w:eastAsia="Calibri"/>
          <w:b w:val="0"/>
          <w:i w:val="0"/>
          <w:color w:val="000000"/>
          <w:sz w:val="22"/>
        </w:rPr>
        <w:t>data, and plans for the release of final results and the ICP 2024 cycle. The meeting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parti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cipants are listed </w:t>
      </w:r>
      <w:r>
        <w:rPr>
          <w:rFonts w:ascii="Calibri" w:hAnsi="Calibri" w:eastAsia="Calibri"/>
          <w:b w:val="0"/>
          <w:i w:val="0"/>
          <w:color w:val="000000"/>
          <w:sz w:val="22"/>
        </w:rPr>
        <w:t>in Annex 2. In addition, the meeting agenda and public presentations are available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4471c4"/>
          <w:rFonts w:ascii="Calibri" w:hAnsi="Calibri" w:eastAsia="Calibri"/>
          <w:b w:val="0"/>
          <w:i w:val="0"/>
          <w:color w:val="4472C4"/>
          <w:sz w:val="22"/>
        </w:rPr>
        <w:hyperlink r:id="rId10" w:history="1">
          <w:r>
            <w:rPr>
              <w:rStyle w:val="Hyperlink"/>
            </w:rPr>
            <w:t>here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Marko Rissanen, World Bank, opened the meeting by welcoming the attendees to the meeting. He noted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the 2021 cycle was in its last stages and that delays to the program due to COVID-19, the war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Ukraine, and the crisis in the Middle East had meant that the original 2023 release of results had been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postponed until early 2024. He cited the quality and coverage of the data submitted to date and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harmonization of data from dual participating economies as issues to be resolved and noted that draft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results would be discussed by the Technical Advisory Group (TAG) at its meeting the following week. 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presented the agenda for the meeting and invited the ICP Regional Implementing Agencies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representatives to share regional updates covering participation in the 2021 cycle, the implementation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status of the program - including the survey status, expenditure compilation status, data and metadata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submission and validation, metadata questionnaire submission status, regional purchasing power parity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(PPP) estimation status – and workshops, meetings, outreach activities, and announcements. </w:t>
      </w:r>
    </w:p>
    <w:p>
      <w:pPr>
        <w:autoSpaceDN w:val="0"/>
        <w:autoSpaceDE w:val="0"/>
        <w:widowControl/>
        <w:spacing w:line="274" w:lineRule="auto" w:before="508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Regional updates on the ICP 2021 cycle implementation </w:t>
      </w:r>
    </w:p>
    <w:p>
      <w:pPr>
        <w:autoSpaceDN w:val="0"/>
        <w:autoSpaceDE w:val="0"/>
        <w:widowControl/>
        <w:spacing w:line="245" w:lineRule="auto" w:before="232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Africa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Gregoire Mboya de Loubassou, African Development Bank (AfDB),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1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status of the ICP 2021 </w:t>
      </w:r>
      <w:r>
        <w:rPr>
          <w:rFonts w:ascii="Calibri" w:hAnsi="Calibri" w:eastAsia="Calibri"/>
          <w:b w:val="0"/>
          <w:i w:val="0"/>
          <w:color w:val="000000"/>
          <w:sz w:val="22"/>
        </w:rPr>
        <w:t>cycle in the Africa region, which provided information on the survey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s and expe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nditure compilation status,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data and metadata submission and validation status, the PPP estimation status, and forthcoming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activities and meetings. Fifty-two economies are participating in the ICP 2021 cycle with capacity-building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efforts in South Sudan and Somalia, resulting in their participation as an additional two economies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compared with the 2017 cycle. Technical assistance has also been extended to Libya and Eritrea. Surveys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were conducted from July 2022 to March 2023, following an assessment of the impact of COVID-19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processes and data collection. On expenditure data compilation, it was noted that 38 countries had </w:t>
      </w:r>
    </w:p>
    <w:p>
      <w:pPr>
        <w:autoSpaceDN w:val="0"/>
        <w:autoSpaceDE w:val="0"/>
        <w:widowControl/>
        <w:spacing w:line="262" w:lineRule="auto" w:before="38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2240" w:h="15840"/>
          <w:pgMar w:top="720" w:right="1370" w:bottom="51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rebased from SNA 1993 to 2008 and that some countries were still using SNA 1993 and SNA 1968.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Validation of data is being finalized as of November 2023.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Two regional data validation workshops were held in January and June 2023, in Kigali, Rwanda.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Furthermore, AfDB met with the United Nations Human Settlements Programme (UN-Habitat) in April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2023 to discuss the quality of data on housing and with United Nations Economic Commission for Africa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(UNECA) and the African Union (AU) to discuss national accounts expenditures. Regional webinars on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quality survey framework were also held in January 2023, June 2023, and September 2023 for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participating economies. In September 2023, AfDB and the World Bank jointly provided training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consulting for the computation of provincial/city-level PPPs in South Africa in collaboration with Statistics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South Africa and price statisticians and household survey specialists attended the workshop. In terms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collection, computer-assisted personal interview (CAPI) tools, web scraping, and Big Data techniques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were used in some economies to price selected items for the surveys on household consumption,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machinery and equipment, and construction. Preparations for the ICP 2024 cycle are underway, with item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lists due to be finalized by end-January 2024.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Asia and the Pacific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Criselda De Dios, Asian Development Bank (ADB),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4471c4"/>
          <w:rFonts w:ascii="Calibri" w:hAnsi="Calibri" w:eastAsia="Calibri"/>
          <w:b w:val="0"/>
          <w:i w:val="0"/>
          <w:color w:val="4472C4"/>
          <w:sz w:val="22"/>
        </w:rPr>
        <w:hyperlink r:id="rId12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status of the ICP 2021 cycle in the Asia </w:t>
      </w:r>
      <w:r>
        <w:rPr>
          <w:rFonts w:ascii="Calibri" w:hAnsi="Calibri" w:eastAsia="Calibri"/>
          <w:b w:val="0"/>
          <w:i w:val="0"/>
          <w:color w:val="000000"/>
          <w:sz w:val="22"/>
        </w:rPr>
        <w:t>and the Pacific region. Twenty-one economies ar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e participat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ing in the ICP 2021 cycle. Most economies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conducted price surveys in 2021. Surveys in some economies were delayed due to COVID-19, with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collection period extended until Q4, 2022 to accommodate the completion of surveys in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economies. For prices collected in periods outside the reference year 2021, a standard method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extrapolation was utilized, employing tools developed by ADB to facilitate this process. Price survey data,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national accounts expenditure data, and required metadata questionnaires have been submitted by most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 as of November 2023, and the data validation process is in its final stages. Bilateral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engagement with economies is ongoing to address specific data quality issues.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series of regional training and data validation workshops have been conducted by ADB throughout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cycle. Preliminary regional PPPs for the revised 2017 and 2021 results have been computed. Also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noteworthy is the ADB methodological research to develop a hybrid approach for estimating PPPs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dwelling services. This approach utilizes data collected from rental and volume approaches and has been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endorsed by the ICP TAG. ADB also organized an Experts Group meeting and a meeting of the Regional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Advisory Board in October 2023 to review data quality and regional ICP 2021 preliminary results and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discuss estimation methods, including the new methodology for housing. A technical evaluation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review workshop is scheduled for November 2023 with participating economies to discuss the preliminary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results for ICP 2021 and preparatory activities for the ICP 2024 cycle. ADB has sought feedback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the draft household survey regional product list for 2024 ICP cycle from the region’s economies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through an online tool (developed by ADB). The product list is targeted to be finalized in mid-December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2023 after regional discussions in a regional workshop planned for November 2023.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terms of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 xml:space="preserve">outreach, the regional ICP </w:t>
          </w:r>
        </w:hyperlink>
      </w:r>
      <w:r>
        <w:rPr>
          <w:u w:val="single" w:color="4471c4"/>
          <w:rFonts w:ascii="Calibri" w:hAnsi="Calibri" w:eastAsia="Calibri"/>
          <w:b w:val="0"/>
          <w:i w:val="0"/>
          <w:color w:val="4472C4"/>
          <w:sz w:val="22"/>
        </w:rPr>
        <w:hyperlink r:id="rId13" w:history="1">
          <w:r>
            <w:rPr>
              <w:rStyle w:val="Hyperlink"/>
            </w:rPr>
            <w:t>microsite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is co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ntinually updated. ADB’s statistical flagship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publication -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“</w:t>
          </w:r>
        </w:hyperlink>
      </w:r>
      <w:r>
        <w:rPr>
          <w:u w:val="single" w:color="4471c4"/>
          <w:rFonts w:ascii="Calibri" w:hAnsi="Calibri" w:eastAsia="Calibri"/>
          <w:b w:val="0"/>
          <w:i w:val="0"/>
          <w:color w:val="4472C4"/>
          <w:sz w:val="22"/>
        </w:rPr>
        <w:hyperlink r:id="rId13" w:history="1">
          <w:r>
            <w:rPr>
              <w:rStyle w:val="Hyperlink"/>
            </w:rPr>
            <w:t>Key Indicators for Asia and t</w:t>
          </w:r>
        </w:hyperlink>
      </w:r>
      <w:r>
        <w:rPr>
          <w:u w:val="single" w:color="4471c4"/>
          <w:rFonts w:ascii="Calibri" w:hAnsi="Calibri" w:eastAsia="Calibri"/>
          <w:b w:val="0"/>
          <w:i w:val="0"/>
          <w:color w:val="4472C4"/>
          <w:sz w:val="22"/>
        </w:rPr>
        <w:hyperlink r:id="rId13" w:history="1">
          <w:r>
            <w:rPr>
              <w:rStyle w:val="Hyperlink"/>
            </w:rPr>
            <w:t xml:space="preserve">he Pacific </w:t>
          </w:r>
        </w:hyperlink>
      </w:r>
      <w:r>
        <w:rPr>
          <w:u w:val="single" w:color="4471c4"/>
          <w:rFonts w:ascii="Calibri" w:hAnsi="Calibri" w:eastAsia="Calibri"/>
          <w:b w:val="0"/>
          <w:i w:val="0"/>
          <w:color w:val="4472C4"/>
          <w:sz w:val="22"/>
        </w:rPr>
        <w:hyperlink r:id="rId13" w:history="1">
          <w:r>
            <w:rPr>
              <w:rStyle w:val="Hyperlink"/>
            </w:rPr>
            <w:t>2023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” -  includes an extensive section on the ICP in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region, hi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 xml:space="preserve">ghlighting the critical role that participating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 play in implementing the program.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release of the regional ICP 2021 report is tentatively scheduled for April 2024, and the regional results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database will be disseminated through the ADB website, social media platforms, and other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dissemination events. ADB will also encourage participating economies to develop brief country reports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organize their own dissemination events. </w:t>
      </w: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Commonwealth of Independent States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62" w:lineRule="auto" w:before="18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710" w:right="137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Andre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4" w:history="1">
          <w:r>
            <w:rPr>
              <w:rStyle w:val="Hyperlink"/>
            </w:rPr>
            <w:t>y Kosarev, 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he Interstate Statistical Committee of the Commonwealth of Independent States (CIS-</w:t>
      </w:r>
      <w:r>
        <w:rPr>
          <w:rFonts w:ascii="Calibri" w:hAnsi="Calibri" w:eastAsia="Calibri"/>
          <w:b w:val="0"/>
          <w:i w:val="0"/>
          <w:color w:val="000000"/>
          <w:sz w:val="22"/>
        </w:rPr>
        <w:t>STAT),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4471c4"/>
          <w:rFonts w:ascii="Calibri" w:hAnsi="Calibri" w:eastAsia="Calibri"/>
          <w:b w:val="0"/>
          <w:i w:val="0"/>
          <w:color w:val="4472C4"/>
          <w:sz w:val="22"/>
        </w:rPr>
        <w:hyperlink r:id="rId14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status of the ICP 2021 cycle in the CIS region. Nine economies are participating in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IC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4" w:history="1">
          <w:r>
            <w:rPr>
              <w:rStyle w:val="Hyperlink"/>
            </w:rPr>
            <w:t>P 2021 cycl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e. CIS-STAT is providing support to Turkmenistan in anticipation of its participation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future ICP cycles. The majority of the ICP 2021 cycle price surveys were completed in 2021, with validation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 the regional level completed and data submitted to the Global Office in 2023. The survey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construction was provided using two approaches: the regional Resource and Technological Models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 (RTM) approach and the ICP construction and civil engineering approach. The validation of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the RTM approach was completed in April 2023; data validation on construction and civil engineering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underway as of November 2023. Metadata questionnaires were submitted in May 2023 to the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Office. Regional PPPs have been computed for all survey categories, and PPPs for national accounts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expenditures will be finalized by the end of 2023. 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regional workshop was held in June 2023 to review expenditure and price data, proposals for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2024 cycle household consumption items list, and approaches to estimating annual PPPs. Furthermore,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technical assistance meetings were held with ICP staff in the Kyrgyz Republic and Tajikistan in September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2023, and high-level bilateral meetings with the national statistics offices of Uzbekistan and Azerbaijan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were conducted in July and August 2023, respectively, to discuss the long-term strategy for the ICP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region. At a May 2023 meeting in Kazakhstan, the Council of Heads of CIS national statistical offices </w:t>
      </w:r>
      <w:r>
        <w:rPr>
          <w:rFonts w:ascii="Calibri" w:hAnsi="Calibri" w:eastAsia="Calibri"/>
          <w:b w:val="0"/>
          <w:i w:val="0"/>
          <w:color w:val="000000"/>
          <w:sz w:val="22"/>
        </w:rPr>
        <w:t>approved the ICP 2021 cycle status, and the commencement of the ICP 2024 cycle was given. At a follow-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up meeting of the Council in Russia in September 2023, it was agreed that annual PPPs at the level of GDP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actual individual consumption will be published, and the introduction of rolling surveys was discussed.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scheduled November 2023 meeting in Uzbekistan will focus on preparations for the ICP 2024 cycle.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regards to outreach, ICP learning exercises provided for students at the Higher School of Economics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Lomonosov Moscow State University are currently taking place and will continue to be developed further.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Eurostat–OECD PPP Program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Mihai-Iulian Gheorghe, Eurostat, and Sophie Bournot, OECD,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hyperlink r:id="rId15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status of the Eurostat-OECD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 Program. Forty-eight economies are participating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>Eurostat-O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ECD PPP programme for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2021 cycle. Of those, 36 are coordinated by Eurostat, while twelve economies are coordinated by OECD.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Georgia and Ukraine are participating in the ICP 2021 cycle and are linked to the global comparison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through the Eurostat comparison. Russia is not participating in the OECD comparison for the ICP 2021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cycle. Surveys for the ICP 2021 cycle were integrated into the established Eurostat and OECD’s regular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programme to produce annual PPP estimates. A specific ICP survey on construction was conducted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eleven Eurostat economies, the United States of America, Ukraine, and Georgia. Validation of outstanding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will be completed by the end of November 2023. Selected metadata will be submitted to the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Office by early 2024. Annual PPPs and expenditures have been submitted to the Global Office for most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economies, while 2017 and 2021 estimates are available for Ukraine and Georgia. Data for 2020 and 2021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will be revised in December 2023. Data for 2019 for non-European economies will be recalculated due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correction to PPPs for health.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Eurostat country meetings for the consumer goods surveys were held in March and September 2023.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OECD participants met in May 2023, and a joint Eurostat-OECD PPP workshop took place in May 2023.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Eurostat PPP Working Group meeting took place in November 2023, and attendees discussed a draft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Commission Regulation regarding an adjustment to the list of basic headings used for PPPs, which will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adopted in 2024 to implement the new COICOP 2018. In terms of outreach, in March 2023, GDP PPP flash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estimates for 2022 for the EU Member States were released by Eurostat, while GDP PPP estimates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OECD economies were released by the OECD. A complete set of preliminary GDP PPPs for 2022, as well as </w:t>
      </w:r>
    </w:p>
    <w:p>
      <w:pPr>
        <w:autoSpaceDN w:val="0"/>
        <w:autoSpaceDE w:val="0"/>
        <w:widowControl/>
        <w:spacing w:line="262" w:lineRule="auto" w:before="4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710" w:right="137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PPPs for household consumption and actual individual consumption, will be released in December 2023.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revised Eurostat-OECD Methodological Manual on PPPs will be published by the end of 2023. </w:t>
      </w:r>
    </w:p>
    <w:p>
      <w:pPr>
        <w:autoSpaceDN w:val="0"/>
        <w:autoSpaceDE w:val="0"/>
        <w:widowControl/>
        <w:spacing w:line="262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Latin America and the Caribbean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Claudia de 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6" w:history="1">
          <w:r>
            <w:rPr>
              <w:rStyle w:val="Hyperlink"/>
            </w:rPr>
            <w:t>amino Ferr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ario, United Nations Economic Commission for Latin America and the Caribbean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(UN-ECLAC), </w:t>
      </w:r>
      <w:r>
        <w:rPr>
          <w:u w:val="single" w:color="4471c4"/>
          <w:rFonts w:ascii="Calibri" w:hAnsi="Calibri" w:eastAsia="Calibri"/>
          <w:b w:val="0"/>
          <w:i w:val="0"/>
          <w:color w:val="4472C4"/>
          <w:sz w:val="22"/>
        </w:rPr>
        <w:hyperlink r:id="rId16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status of the ICP 2021 cycle in Latin America and the Caribbean region. Thirty-</w:t>
      </w:r>
      <w:r>
        <w:rPr>
          <w:rFonts w:ascii="Calibri" w:hAnsi="Calibri" w:eastAsia="Calibri"/>
          <w:b w:val="0"/>
          <w:i w:val="0"/>
          <w:color w:val="000000"/>
          <w:sz w:val="22"/>
        </w:rPr>
        <w:t>two econom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6" w:history="1">
          <w:r>
            <w:rPr>
              <w:rStyle w:val="Hyperlink"/>
            </w:rPr>
            <w:t>ies are part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icipating in the 2021 cycle, consisting of thirteen from Latin America and nineteen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the Caribbean. The majority of household consumption price surveys were conducted in 2021,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although some surveys were conducted in 2019 and 2020, and data subsequently extrapolated to 2021.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Regarding non-household surveys, these were also conducted in 2021, but in some economies, price </w:t>
      </w:r>
      <w:r>
        <w:rPr>
          <w:rFonts w:ascii="Calibri" w:hAnsi="Calibri" w:eastAsia="Calibri"/>
          <w:b w:val="0"/>
          <w:i w:val="0"/>
          <w:color w:val="000000"/>
          <w:sz w:val="22"/>
        </w:rPr>
        <w:t>collection was extended into 2022 and 2023 due to staffing and resource impacts arising from the COVID-</w:t>
      </w:r>
      <w:r>
        <w:rPr>
          <w:rFonts w:ascii="Calibri" w:hAnsi="Calibri" w:eastAsia="Calibri"/>
          <w:b w:val="0"/>
          <w:i w:val="0"/>
          <w:color w:val="000000"/>
          <w:sz w:val="22"/>
        </w:rPr>
        <w:t>19 pandemic. As of November 2023, some economies are yet to submit a complete set of data for non-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household surveys and national accounts expenditures. Preliminary PPP estimates at the basic heading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 have been computed for household surveys, private education surveys, and housing rental surveys.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incorporation of validated data from non-household surveys and expenditures is underway. At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same time, the revision of 2017 results is also underway. </w:t>
      </w:r>
    </w:p>
    <w:p>
      <w:pPr>
        <w:autoSpaceDN w:val="0"/>
        <w:autoSpaceDE w:val="0"/>
        <w:widowControl/>
        <w:spacing w:line="245" w:lineRule="auto" w:before="2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UN-ECLAC has been contacting countries bilaterally to gather the missing data points and address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issues detected during regional and global validation efforts. Preparations for the ICP 2024 cycle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underway, with a survey of economies on items to be included or excluded. The revised ICP 2024 item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lists will be used to address challenges encountered by some economies in pricing sufficient items per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basic heading. In April 2023, UN-ECLAC and UN-ESCWA organized a joint Webinar on Prices, under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title “Innovation and integration of statistical operations (DA14)”. During the period between July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December of 2023, additional technical meetings on data validation have taken place. With regards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outreach, a presentation on the status of the ICP 2021 cycle and the use made of ICP results and their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relevance to policymaking was provided at the September 2023 Statistical Conference of the Americas.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similar presentation was provided at a National Accounts Regional Seminar in October 2023. </w:t>
      </w:r>
    </w:p>
    <w:p>
      <w:pPr>
        <w:autoSpaceDN w:val="0"/>
        <w:autoSpaceDE w:val="0"/>
        <w:widowControl/>
        <w:spacing w:line="264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Western Asia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Majed Skaini, United Nations Economic and Social Commission for Western Asia (UN-ESCWA),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4471c4"/>
          <w:rFonts w:ascii="Calibri" w:hAnsi="Calibri" w:eastAsia="Calibri"/>
          <w:b w:val="0"/>
          <w:i w:val="0"/>
          <w:color w:val="4472C4"/>
          <w:sz w:val="22"/>
        </w:rPr>
        <w:hyperlink r:id="rId17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4472C4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status of the ICP 2021 cycle in the Western Asia region. Sixteen economies are participa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7" w:history="1">
          <w:r>
            <w:rPr>
              <w:rStyle w:val="Hyperlink"/>
            </w:rPr>
            <w:t xml:space="preserve">ting in the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program. Data was primarily collected in 2021, with some economies extending collection into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2022 and data being backcasted to 2021 using detailed-level CPIs. Some of the non-household surveys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being collected on an annual basis. Updates were made at the end of October 2023 after review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collaboration with the AfDB for consistency in dual participating economies’ data, and assessment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outstanding issues with some economies. Expenditure data was received from most economies, while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UN-ESCWA provided estimates for missing economies. Data validation and verification will be finalized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2023. Revised regional annual PPPs for 2017 to 2020, preliminary PPPs for 2021 and 2022, and forecasted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PPPs for 2023 will be computed in November 2023, with a final time series computed and released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December 2023. </w:t>
      </w:r>
    </w:p>
    <w:p>
      <w:pPr>
        <w:autoSpaceDN w:val="0"/>
        <w:autoSpaceDE w:val="0"/>
        <w:widowControl/>
        <w:spacing w:line="245" w:lineRule="auto" w:before="2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terms of regional activities, UN-ESCWA conducted a regional webinar in April 2023 titled “Prices: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innovation and integration of statistical operations” focusing on the integration of the ICP with consumer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price index (CPI) and the introduction of innovative data collection tools and sources. UN-ESCWA also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conducted a regional workshop in May 2023 to discuss the revision of household and non-household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 price surveys, and validation and treatment of 2021 and 2022 price data for the computation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PPPs. Another meeting will be held in December 2023 on the impact of PPP and price fluctuations on </w:t>
      </w:r>
    </w:p>
    <w:p>
      <w:pPr>
        <w:autoSpaceDN w:val="0"/>
        <w:autoSpaceDE w:val="0"/>
        <w:widowControl/>
        <w:spacing w:line="262" w:lineRule="auto" w:before="1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2240" w:h="15840"/>
          <w:pgMar w:top="710" w:right="137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socioeconomic indicators and Sustainable Development Goals (SDGs), and the release of regional PPP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results. Subnational PPP estimates were computed for the Sultanate of Oman at the household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 level for the year 2022 for eleven governorates. Preparations for the ICP 2024 cycle will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commence in 2024. Libya and Yemen are expected to participate in discussions, while other potential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participants are planned to be included. </w:t>
      </w:r>
    </w:p>
    <w:p>
      <w:pPr>
        <w:autoSpaceDN w:val="0"/>
        <w:autoSpaceDE w:val="0"/>
        <w:widowControl/>
        <w:spacing w:line="274" w:lineRule="auto" w:before="2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Global updates on the ICP 2021 cycle implementation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The ICP Global Office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8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updates on the ICP 2021 cycle implementation, covering country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participation; overall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8" w:history="1">
          <w:r>
            <w:rPr>
              <w:rStyle w:val="Hyperlink"/>
            </w:rPr>
            <w:t>timeline; g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overnance activities; operational activities and data submission status;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risks; and outreach and uses. It was noted that: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number of participating economies for the ICP 2021 cycle is consistent with previous cycles.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0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regions faced various challenges arising from COVID-19, the war in Ukraine, and the crisis in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Middle East. These challenges resulted in delays to surveys, data submissions, processing,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quality assurance, and calculations. To address these challenges, ICP IACG had recommended that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release of the results be delayed until Q1, 2024. </w:t>
      </w:r>
    </w:p>
    <w:p>
      <w:pPr>
        <w:autoSpaceDN w:val="0"/>
        <w:autoSpaceDE w:val="0"/>
        <w:widowControl/>
        <w:spacing w:line="245" w:lineRule="auto" w:before="0" w:after="0"/>
        <w:ind w:left="720" w:right="20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Household consumption data have been submitted for all regions, while non-household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 data are broadly submitted. The share of Global Core List items priced by countries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generally high. Data validation is still ongoing in some regions. An analysis of submitted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identified problematic basic headings that warranted further validation.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0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Efforts to further improve the replicability and transparency of ICP results in the current 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 benefitted from investments made in the 2017 cycle, ongoing use of enhanced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streamlined data processing, and independent PPP estimation by three experts and an advisor. </w:t>
      </w:r>
    </w:p>
    <w:p>
      <w:pPr>
        <w:autoSpaceDN w:val="0"/>
        <w:autoSpaceDE w:val="0"/>
        <w:widowControl/>
        <w:spacing w:line="252" w:lineRule="auto" w:before="0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Furthermore, two World Bank data blogs on PPP calculations had been published since the 2017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cycle. </w:t>
      </w:r>
    </w:p>
    <w:p>
      <w:pPr>
        <w:autoSpaceDN w:val="0"/>
        <w:autoSpaceDE w:val="0"/>
        <w:widowControl/>
        <w:spacing w:line="245" w:lineRule="auto" w:before="0" w:after="0"/>
        <w:ind w:left="720" w:right="20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Risks to the cycle and its results had necessitated the following mitigation activities. On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quality, enhanced validation efforts were adopted; on the timeliness of results, a revised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publication schedule was adopted alongside close monitoring of the production schedule; and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comparability, TAG technical guidance on linking the Commonwealth of Independent States (CIS) </w:t>
      </w:r>
      <w:r>
        <w:rPr>
          <w:rFonts w:ascii="Calibri" w:hAnsi="Calibri" w:eastAsia="Calibri"/>
          <w:b w:val="0"/>
          <w:i w:val="0"/>
          <w:color w:val="000000"/>
          <w:sz w:val="22"/>
        </w:rPr>
        <w:t>region, and an assessment of the impact on ICP 2021 results is sought.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0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Regarding governance activities since the previous TAG meeting, the United Nations Statistical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Commission (UNSC) had reviewed the 2023 ICP report, which was submitted “for information”. </w:t>
      </w:r>
    </w:p>
    <w:p>
      <w:pPr>
        <w:autoSpaceDN w:val="0"/>
        <w:autoSpaceDE w:val="0"/>
        <w:widowControl/>
        <w:spacing w:line="245" w:lineRule="auto" w:before="0" w:after="0"/>
        <w:ind w:left="72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report was submitted “for discussion” for the March 2024 session. Furthermore,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Governing Board met in February 2023 and noted progress made with the ICP 2021 cycle, despite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COVID-19 pandemic and the war in Ukraine, and the need to identify a new approach to link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CIS region; the need to approach the national implementing agencies on completing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2021 cycle activities in a timely manner and to begin preparations for the ICP 2024 cycle; the need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identify sustained funding for the program and to strengthen advocacy efforts; and the current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anticipated uses of PPPs. The IACG convened in May 2023 and discussed the ICP 2021 cycle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implementation, reviewed data, planning for the 2023/4 governance activities and ICP 2021 cycle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release, and planning for the ICP 2024 cycle.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0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Potential new uses of ICP data include: (i) the use of PPPs in the World Bank’s income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classifications, and (ii) the use of PPPs in a new indicator aimed at monitoring shared prosperity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using the concept of the prosperity gap. </w:t>
      </w:r>
    </w:p>
    <w:p>
      <w:pPr>
        <w:autoSpaceDN w:val="0"/>
        <w:autoSpaceDE w:val="0"/>
        <w:widowControl/>
        <w:spacing w:line="262" w:lineRule="auto" w:before="1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2240" w:h="15840"/>
          <w:pgMar w:top="710" w:right="137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Household consumption price and importance data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52" w:lineRule="auto" w:before="2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the global validation findings for the household consumption survey price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data, noting the improvements made over the last six months, namely the higher number of priced items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the Global Core List and the lower variation coefficients at the basic heading and item levels.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price validation session was based on the analysis of box-plot graphs, derived from the Quaranta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Tables (QTs) computed based on the latest available data provided by the RIAs. The box-plot graphs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visualize the following information from the QTs: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BH graphs: BH CVs; Country price level indexes (PLIs) and related regional averages and regional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spreads; and Country CVs. </w:t>
      </w:r>
    </w:p>
    <w:p>
      <w:pPr>
        <w:autoSpaceDN w:val="0"/>
        <w:tabs>
          <w:tab w:pos="720" w:val="left"/>
        </w:tabs>
        <w:autoSpaceDE w:val="0"/>
        <w:widowControl/>
        <w:spacing w:line="259" w:lineRule="auto" w:before="8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4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 graphs: Item CVs, country average prices in US dollars, and regional averages and regional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spreads; world average prices in US dollars; and country PPP-ratios.</w:t>
      </w:r>
      <w:r>
        <w:rPr>
          <w:rFonts w:ascii="Calibri" w:hAnsi="Calibri" w:eastAsia="Calibri"/>
          <w:b w:val="0"/>
          <w:i w:val="0"/>
          <w:color w:val="000000"/>
          <w:sz w:val="14"/>
          <w:u w:val="single"/>
        </w:rPr>
        <w:t>1</w:t>
      </w:r>
      <w:r>
        <w:rPr>
          <w:rFonts w:ascii="Calibri" w:hAnsi="Calibri" w:eastAsia="Calibri"/>
          <w:b w:val="0"/>
          <w:i w:val="0"/>
          <w:color w:val="000000"/>
          <w:sz w:val="14"/>
        </w:rPr>
        <w:t xml:space="preserve"> </w:t>
      </w:r>
    </w:p>
    <w:p>
      <w:pPr>
        <w:autoSpaceDN w:val="0"/>
        <w:autoSpaceDE w:val="0"/>
        <w:widowControl/>
        <w:spacing w:line="247" w:lineRule="auto" w:before="26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main issues were identified for each item, specifying the countries where prices might need to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verified and possibly corrected. Potential causes for these price discrepancies were also noted wherever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possible, and suggestions for improvement were discussed.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Regarding the assignment of important indicators at the item level, the ICP Global Office presented 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assessment of the situation in all regions. The overall share of important items in each region is in line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previous ICP cycles, although some discrepancies remain within countries of the same region.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Global Office shared a set of recommendations to assist RIAs and national coordinators in determining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whether an item should be deemed as important. </w:t>
      </w:r>
    </w:p>
    <w:p>
      <w:pPr>
        <w:autoSpaceDN w:val="0"/>
        <w:autoSpaceDE w:val="0"/>
        <w:widowControl/>
        <w:spacing w:line="252" w:lineRule="auto" w:before="242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RIAs acknowledged these findings and will continue to work on improving the data quality until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final submission of the ICP 2021 cycle. </w:t>
      </w:r>
    </w:p>
    <w:p>
      <w:pPr>
        <w:autoSpaceDN w:val="0"/>
        <w:autoSpaceDE w:val="0"/>
        <w:widowControl/>
        <w:spacing w:line="274" w:lineRule="auto" w:before="2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Housing prices and volumes </w:t>
      </w:r>
    </w:p>
    <w:p>
      <w:pPr>
        <w:autoSpaceDN w:val="0"/>
        <w:autoSpaceDE w:val="0"/>
        <w:widowControl/>
        <w:spacing w:line="259" w:lineRule="auto" w:before="2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the submission status and quality of the housing rents and volume data,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well as available validation summary notes and Excel-based tools. The validation of rental prices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>observed in both annual rents per m</w:t>
      </w:r>
      <w:r>
        <w:rPr>
          <w:rFonts w:ascii="Calibri" w:hAnsi="Calibri" w:eastAsia="Calibri"/>
          <w:b w:val="0"/>
          <w:i w:val="0"/>
          <w:color w:val="000000"/>
          <w:sz w:val="14"/>
        </w:rPr>
        <w:t xml:space="preserve">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per dwelling, as they both provide usable means to validate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data. Furthermore, the GDP per capita was used as a metric to assess whether rental price data seems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plausible given the income level of the country. It was noted that, for some countries with low-income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levels, rental prices are high as the existing rental market is targeted at higher-income individuals. It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>again stressed that annual rents should be submitted per m</w:t>
      </w:r>
      <w:r>
        <w:rPr>
          <w:rFonts w:ascii="Calibri" w:hAnsi="Calibri" w:eastAsia="Calibri"/>
          <w:b w:val="0"/>
          <w:i w:val="0"/>
          <w:color w:val="000000"/>
          <w:sz w:val="14"/>
        </w:rPr>
        <w:t>2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On volume data, several checks were made,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comparing 2021 to 2017 data, additivity checks, the ratio of formal dwellings over total housing,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dwellings per population checks.  RIAs will conduct the final round of data review with countries based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findings from the global data quality review and submit the finalized data by the end of December. </w:t>
      </w:r>
    </w:p>
    <w:p>
      <w:pPr>
        <w:autoSpaceDN w:val="0"/>
        <w:autoSpaceDE w:val="0"/>
        <w:widowControl/>
        <w:spacing w:line="269" w:lineRule="auto" w:before="135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4"/>
        </w:rPr>
        <w:t>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ICP Operational Guide chapter 14 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9" w:history="1">
          <w:r>
            <w:rPr>
              <w:rStyle w:val="Hyperlink"/>
            </w:rPr>
            <w:t>“</w:t>
          </w:r>
        </w:hyperlink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0"/>
        </w:rPr>
        <w:hyperlink r:id="rId19" w:history="1">
          <w:r>
            <w:rPr>
              <w:rStyle w:val="Hyperlink"/>
            </w:rPr>
            <w:t>Validation Tables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9" w:history="1">
          <w:r>
            <w:rPr>
              <w:rStyle w:val="Hyperlink"/>
            </w:rPr>
            <w:t>”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provides a comprehensive account of the QTs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>Dikhanov Tables (DTs), and interpretation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9" w:history="1">
          <w:r>
            <w:rPr>
              <w:rStyle w:val="Hyperlink"/>
            </w:rPr>
            <w:t xml:space="preserve"> of PPP-Ratios and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CPD-residuals, which both measure the patterns of </w:t>
      </w:r>
      <w:r>
        <w:rPr>
          <w:rFonts w:ascii="Calibri" w:hAnsi="Calibri" w:eastAsia="Calibri"/>
          <w:b w:val="0"/>
          <w:i w:val="0"/>
          <w:color w:val="000000"/>
          <w:sz w:val="20"/>
        </w:rPr>
        <w:t>relative prices for the different items within the heading being analyzed.</w:t>
      </w:r>
    </w:p>
    <w:p>
      <w:pPr>
        <w:autoSpaceDN w:val="0"/>
        <w:autoSpaceDE w:val="0"/>
        <w:widowControl/>
        <w:spacing w:line="262" w:lineRule="auto" w:before="29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2240" w:h="15840"/>
          <w:pgMar w:top="710" w:right="137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Private Education </w:t>
      </w:r>
    </w:p>
    <w:p>
      <w:pPr>
        <w:autoSpaceDN w:val="0"/>
        <w:autoSpaceDE w:val="0"/>
        <w:widowControl/>
        <w:spacing w:line="262" w:lineRule="auto" w:before="2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the validation findings for private education, highlighting outlier cases </w:t>
      </w: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instances where tuition costs for one item are exceedingly high, or low, relative to other items from </w:t>
      </w: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same country, as demonstrated by the PPP-Index. RIAs will conduct the final round of data review </w:t>
      </w: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countries based on the findings from the global data quality review and submit the finalized data by </w:t>
      </w: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end of December. </w:t>
      </w:r>
    </w:p>
    <w:p>
      <w:pPr>
        <w:autoSpaceDN w:val="0"/>
        <w:autoSpaceDE w:val="0"/>
        <w:widowControl/>
        <w:spacing w:line="274" w:lineRule="auto" w:before="2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Government compensation and productivity adjustment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the submission status of the government compensation data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provided a detailed review of the data quality. It was noted that all the regions have submitted data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survey with sufficient item coverage, and data quality was improved in spite of the addition of two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regions compared to the previous data review. During the session, dispersions of compensation within </w:t>
      </w:r>
      <w:r>
        <w:rPr>
          <w:rFonts w:ascii="Calibri" w:hAnsi="Calibri" w:eastAsia="Calibri"/>
          <w:b w:val="0"/>
          <w:i w:val="0"/>
          <w:color w:val="000000"/>
          <w:sz w:val="22"/>
        </w:rPr>
        <w:t>and across regions, the consistency of data for related occupations, and the level of compensation vis-à-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vis the average income of each country were reviewed to ensure data quality and consistency across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regions. Though data were mostly of good quality and in semi-final status, some countries still had not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submitted data, and some potential errors were observed for further review and correction. Finally,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procedures for the application of productivity adjustment were reviewed. </w:t>
      </w:r>
    </w:p>
    <w:p>
      <w:pPr>
        <w:autoSpaceDN w:val="0"/>
        <w:autoSpaceDE w:val="0"/>
        <w:widowControl/>
        <w:spacing w:line="247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All validation materials were circulated after the meeting. RIAs will conduct the final round of data review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countries based on the findings from the global data quality review and submit the finalized data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end of December. </w:t>
      </w:r>
    </w:p>
    <w:p>
      <w:pPr>
        <w:autoSpaceDN w:val="0"/>
        <w:autoSpaceDE w:val="0"/>
        <w:widowControl/>
        <w:spacing w:line="274" w:lineRule="auto" w:before="2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Machinery and equipment and construction </w:t>
      </w:r>
    </w:p>
    <w:p>
      <w:pPr>
        <w:autoSpaceDN w:val="0"/>
        <w:autoSpaceDE w:val="0"/>
        <w:widowControl/>
        <w:spacing w:line="247" w:lineRule="auto" w:before="2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provided a review of prices collected for the machinery and equipment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construction surveys. The ICP Global Office identified the key issues to be addressed by each RIA, and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validation materials were circulated after the meeting.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machinery and equipment, since most global items are specified by brand and model, the price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differences should be limited. However, tariffs, transportation, and other costs may also contribute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price differences between countries, as well as limited availability of these items in some countries. It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>also noted that in some countries, regional brands and models may have been priced as brand and model-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specified items, and it should thus be corrected.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construction, some of the observed discrepancies may be attributed to the wrong unit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measurement in materials, hired equipment, and wages. Lastly, for both these surveys, some items may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 priced in US dollars or other foreign currencies, and it needs to be confirmed if all prices are in local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currency. RIAs will conduct the final round of data review with countries based on the findings from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data quality review and submit the finalized data by the end of December. </w:t>
      </w:r>
    </w:p>
    <w:p>
      <w:pPr>
        <w:autoSpaceDN w:val="0"/>
        <w:autoSpaceDE w:val="0"/>
        <w:widowControl/>
        <w:spacing w:line="274" w:lineRule="auto" w:before="25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2017-2021 National Accounts expenditures </w:t>
      </w:r>
    </w:p>
    <w:p>
      <w:pPr>
        <w:autoSpaceDN w:val="0"/>
        <w:autoSpaceDE w:val="0"/>
        <w:widowControl/>
        <w:spacing w:line="252" w:lineRule="auto" w:before="2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the status of national accounts data submissions and provided findings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a detailed review of expenditure data, including intra- and inter-country validation, time- series </w:t>
      </w:r>
    </w:p>
    <w:p>
      <w:pPr>
        <w:autoSpaceDN w:val="0"/>
        <w:autoSpaceDE w:val="0"/>
        <w:widowControl/>
        <w:spacing w:line="262" w:lineRule="auto" w:before="5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sectPr>
          <w:pgSz w:w="12240" w:h="15840"/>
          <w:pgMar w:top="710" w:right="137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validation, inter-regional consistency, the effects of the pandemic on expenditure patterns, and the status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revision of 2017 expenditures.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All participating countries submitted detailed expenditure weights for the ICP benchmark years, 2017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2021. The majority of countries also covered data for interim years. The review of data showed that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reflects changes in expenditures due to the pandemic and geopolitical situation between the two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benchmark years, though the degree of impacts observed varies across countries. Even though data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generally in good status and semi-final for many countries, some countries had much less coverage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lower levels of aggregation compared to the ICP 2017 cycle, and a few countries still need to undergo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basic validation. The importance of having consistent coverage and estimates over time to avoid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unnecessary changes in weights for lower levels of aggregation was emphasized, while changes due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pandemic need to be carefully reviewed and reflected to measure the economic status accurately. It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also noted that metadata questionnaires need to be submitted along with the final data, as it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important to record country-specific metadata for the pandemic period to retain information on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special data treatments for transparency purposes. </w:t>
      </w:r>
    </w:p>
    <w:p>
      <w:pPr>
        <w:autoSpaceDN w:val="0"/>
        <w:autoSpaceDE w:val="0"/>
        <w:widowControl/>
        <w:spacing w:line="245" w:lineRule="auto" w:before="2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All global and regional validation materials were circulated after the meeting. RIAs will conduct the final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round of data review with countries based on the findings from the global data quality review and submit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finalized data and metadata questionnaires by the end of December. Global office and RIAs agree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have ad-hoc meetings on a need basis before the final submission date. </w:t>
      </w:r>
    </w:p>
    <w:p>
      <w:pPr>
        <w:autoSpaceDN w:val="0"/>
        <w:autoSpaceDE w:val="0"/>
        <w:widowControl/>
        <w:spacing w:line="274" w:lineRule="auto" w:before="2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2017-2021 Population and market exchange rates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provided a review of the auxiliary data required for the ICP, including population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market exchange rates. Data are to be reported in units instead of multiples. In addition, consistency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reported prices, market exchange rates, and expenditure data needs to be ensured. Regional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submissions should also include sufficient metadata on population and market exchange rates, which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allow for assessing any potential observed differences between different data sources. The potential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challenges with the data, ranging from currency redenomination to parallel exchange rate activities, were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also noted. Implementing agencies will monitor situations with potential issues for any potential impact. </w:t>
      </w:r>
    </w:p>
    <w:p>
      <w:pPr>
        <w:autoSpaceDN w:val="0"/>
        <w:autoSpaceDE w:val="0"/>
        <w:widowControl/>
        <w:spacing w:line="274" w:lineRule="auto" w:before="2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Planning for the 2023/4 governance activities and ICP 2021 cycle release at regional and global levels</w:t>
      </w:r>
    </w:p>
    <w:p>
      <w:pPr>
        <w:autoSpaceDN w:val="0"/>
        <w:autoSpaceDE w:val="0"/>
        <w:widowControl/>
        <w:spacing w:line="252" w:lineRule="auto" w:before="2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Marko Rissanen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0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plans for meetings and communications with the governance bodies and plans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the release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0" w:history="1">
          <w:r>
            <w:rPr>
              <w:rStyle w:val="Hyperlink"/>
            </w:rPr>
            <w:t xml:space="preserve">of ICP 2021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 results. </w:t>
      </w:r>
    </w:p>
    <w:p>
      <w:pPr>
        <w:autoSpaceDN w:val="0"/>
        <w:autoSpaceDE w:val="0"/>
        <w:widowControl/>
        <w:spacing w:line="252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was agreed that the deadline for regional ICP 2021 cycle data submissions (revised ICP 2017 data,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2021 data, and 2018-2020 timeseries data) is by end-December 2023.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was established that the Governing Board (GB) should be updated with the current status of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>2021 cycle and the challenges faced by national statistical offices via a report by email ahead of the in-</w:t>
      </w:r>
      <w:r>
        <w:rPr>
          <w:rFonts w:ascii="Calibri" w:hAnsi="Calibri" w:eastAsia="Calibri"/>
          <w:b w:val="0"/>
          <w:i w:val="0"/>
          <w:color w:val="000000"/>
          <w:sz w:val="22"/>
        </w:rPr>
        <w:t>person pre-UNSC GB meeting in February. Clarification on the ma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1" w:history="1">
          <w:r>
            <w:rPr>
              <w:rStyle w:val="Hyperlink"/>
            </w:rPr>
            <w:t xml:space="preserve">ke-up of a new ICP 2024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GB with regard </w:t>
      </w:r>
      <w:r>
        <w:rPr>
          <w:rFonts w:ascii="Calibri" w:hAnsi="Calibri" w:eastAsia="Calibri"/>
          <w:b w:val="0"/>
          <w:i w:val="0"/>
          <w:color w:val="000000"/>
          <w:sz w:val="22"/>
        </w:rPr>
        <w:t>to national representation from the regions was sought, and 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4471c4"/>
          <w:rFonts w:ascii="Calibri" w:hAnsi="Calibri" w:eastAsia="Calibri"/>
          <w:b w:val="0"/>
          <w:i w:val="0"/>
          <w:color w:val="4472C4"/>
          <w:sz w:val="22"/>
        </w:rPr>
        <w:hyperlink r:id="rId21" w:history="1">
          <w:r>
            <w:rPr>
              <w:rStyle w:val="Hyperlink"/>
            </w:rPr>
            <w:t>Governance Framework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circulated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address this. </w:t>
      </w:r>
    </w:p>
    <w:p>
      <w:pPr>
        <w:autoSpaceDN w:val="0"/>
        <w:autoSpaceDE w:val="0"/>
        <w:widowControl/>
        <w:spacing w:line="247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 report to the 55</w:t>
      </w:r>
      <w:r>
        <w:rPr>
          <w:rFonts w:ascii="Calibri" w:hAnsi="Calibri" w:eastAsia="Calibri"/>
          <w:b w:val="0"/>
          <w:i w:val="0"/>
          <w:color w:val="000000"/>
          <w:sz w:val="14"/>
        </w:rPr>
        <w:t>th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session of the UNSC needs to be submitted by November 27, 2023.  Regions will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asked to review their regional paragraphs in the next week to meet this timetable. The UNSC global report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will emphasize the inadequate resources and funding. </w:t>
      </w:r>
    </w:p>
    <w:p>
      <w:pPr>
        <w:autoSpaceDN w:val="0"/>
        <w:autoSpaceDE w:val="0"/>
        <w:widowControl/>
        <w:spacing w:line="262" w:lineRule="auto" w:before="1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sectPr>
          <w:pgSz w:w="12240" w:h="15840"/>
          <w:pgMar w:top="710" w:right="137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for the planned release of the ICP 2021 cycle results, the initial global data release of results via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databases with World Bank press releases will precede the global report by some weeks as the latter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requires editing and proofreading. Regions reported that their data releases that reference the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dataset will largely coincide with the Global Office release, with reports addressing analyses,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methodology, and changes to the program following at a later date. A number of in-person launch events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 also planned. </w:t>
      </w:r>
    </w:p>
    <w:p>
      <w:pPr>
        <w:autoSpaceDN w:val="0"/>
        <w:autoSpaceDE w:val="0"/>
        <w:widowControl/>
        <w:spacing w:line="274" w:lineRule="auto" w:before="2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Planning for the ICP 2024 cycle </w:t>
      </w:r>
    </w:p>
    <w:p>
      <w:pPr>
        <w:autoSpaceDN w:val="0"/>
        <w:autoSpaceDE w:val="0"/>
        <w:widowControl/>
        <w:spacing w:line="262" w:lineRule="auto" w:before="2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preparation for the ICP 2024 cycle, the ICP Global Office presented the ICP 2024 pre-survey item lists,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are expected to be finalized by the end of 2023. </w:t>
      </w:r>
    </w:p>
    <w:p>
      <w:pPr>
        <w:autoSpaceDN w:val="0"/>
        <w:autoSpaceDE w:val="0"/>
        <w:widowControl/>
        <w:spacing w:line="259" w:lineRule="auto" w:before="28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2024 item list for Household Consumption includes approximately 100 new items, which is 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increase from the 636 global core list items of ICP 2021. However, it was noted that all of these new items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already exist as regional items in at least two or more regions. However, it was noted that further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harmonization is required to ensure gross-regional comparability. Furthermore, while ICP regions are not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expected to price all items on the global core list, they are encouraged to include as many global core list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items as possible within the regional item lists. The inclusion of additional global items also seeks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increase the representativity of the global core list, by adopting items that are considered important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across various regions of the world. The RIAs were invited to review these items, in particular for those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BHs that were more difficult to price within the respective region, and to suggest improvements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alternatives where needed. </w:t>
      </w:r>
    </w:p>
    <w:p>
      <w:pPr>
        <w:autoSpaceDN w:val="0"/>
        <w:autoSpaceDE w:val="0"/>
        <w:widowControl/>
        <w:spacing w:line="259" w:lineRule="auto" w:before="28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2024 item lists for Housing Rentals, Private Education, Government Compensation,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Construction were also revised, but changes are mostly related to minor improvements in item definitions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 few additional items. However, the ICP 2024 Machinery and Equipment survey had a more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significant update, as several items were removed and new items were introduced, reflecting the changes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the types of investment goods that have been in higher demand in recent years. The RIAs were invited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review these items and make any additional suggestions necessary. </w:t>
      </w:r>
    </w:p>
    <w:p>
      <w:pPr>
        <w:autoSpaceDN w:val="0"/>
        <w:autoSpaceDE w:val="0"/>
        <w:widowControl/>
        <w:spacing w:line="259" w:lineRule="auto" w:before="28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Subsequently, the Global Office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2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changes introduced by the new Classification of Individual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Consumption According to Pur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2" w:history="1">
          <w:r>
            <w:rPr>
              <w:rStyle w:val="Hyperlink"/>
            </w:rPr>
            <w:t>pose (COIC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OP) 2018. It was noted that while the main structure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COICOP stays the same, some changes in various classifications can affect the current ICP classification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 start adopting the new COICOP. RIAs reported that many countries have already adopted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COICOP 2018 for CPI purposes or are in the process of adopting it soon. The ICP Global Office and Regional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Implementing Agencies agreed to monitor countries’ progress in adopting the COICOP 2018, look for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changes needed for the ICP classification, and continue the conversation in future IACG meetings. </w:t>
      </w:r>
    </w:p>
    <w:p>
      <w:pPr>
        <w:autoSpaceDN w:val="0"/>
        <w:autoSpaceDE w:val="0"/>
        <w:widowControl/>
        <w:spacing w:line="262" w:lineRule="auto" w:before="25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p>
      <w:pPr>
        <w:sectPr>
          <w:pgSz w:w="12240" w:h="15840"/>
          <w:pgMar w:top="710" w:right="137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4" w:lineRule="auto" w:before="0" w:after="17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Annex 1: Meeting Agenda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5"/>
        <w:gridCol w:w="3145"/>
        <w:gridCol w:w="3145"/>
      </w:tblGrid>
      <w:tr>
        <w:trPr>
          <w:trHeight w:hRule="exact" w:val="372"/>
        </w:trPr>
        <w:tc>
          <w:tcPr>
            <w:tcW w:type="dxa" w:w="94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1: TUESDAY, OCTOBER 31, 2023 </w:t>
            </w:r>
          </w:p>
        </w:tc>
      </w:tr>
      <w:tr>
        <w:trPr>
          <w:trHeight w:hRule="exact" w:val="692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09:00 – 09:10</w:t>
            </w:r>
          </w:p>
        </w:tc>
        <w:tc>
          <w:tcPr>
            <w:tcW w:type="dxa" w:w="8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68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Opening remarks </w:t>
            </w:r>
          </w:p>
        </w:tc>
      </w:tr>
      <w:tr>
        <w:trPr>
          <w:trHeight w:hRule="exact" w:val="456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09:10– 10:30</w:t>
            </w:r>
          </w:p>
        </w:tc>
        <w:tc>
          <w:tcPr>
            <w:tcW w:type="dxa" w:w="8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0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Regional updates on the ICP 2021 cycle implementation </w:t>
            </w:r>
          </w:p>
        </w:tc>
      </w:tr>
      <w:tr>
        <w:trPr>
          <w:trHeight w:hRule="exact" w:val="284"/>
        </w:trPr>
        <w:tc>
          <w:tcPr>
            <w:tcW w:type="dxa" w:w="2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Country participation status </w:t>
            </w:r>
          </w:p>
        </w:tc>
      </w:tr>
      <w:tr>
        <w:trPr>
          <w:trHeight w:hRule="exact" w:val="280"/>
        </w:trPr>
        <w:tc>
          <w:tcPr>
            <w:tcW w:type="dxa" w:w="2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Implementation status </w:t>
            </w:r>
          </w:p>
        </w:tc>
      </w:tr>
      <w:tr>
        <w:trPr>
          <w:trHeight w:hRule="exact" w:val="1740"/>
        </w:trPr>
        <w:tc>
          <w:tcPr>
            <w:tcW w:type="dxa" w:w="2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4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0" w:val="left"/>
              </w:tabs>
              <w:autoSpaceDE w:val="0"/>
              <w:widowControl/>
              <w:spacing w:line="259" w:lineRule="auto" w:before="0" w:after="0"/>
              <w:ind w:left="260" w:right="1008" w:firstLine="0"/>
              <w:jc w:val="left"/>
            </w:pP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Survey status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Expenditure compilation status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and metadata submission and validation status </w:t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Metadata questionnaire submission status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PPP estimation status (2021, 2017, timeseries)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Recent and forthcoming workshops and meetings </w:t>
            </w:r>
          </w:p>
        </w:tc>
      </w:tr>
      <w:tr>
        <w:trPr>
          <w:trHeight w:hRule="exact" w:val="440"/>
        </w:trPr>
        <w:tc>
          <w:tcPr>
            <w:tcW w:type="dxa" w:w="2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Outreach activities and announcements </w:t>
            </w:r>
          </w:p>
        </w:tc>
      </w:tr>
      <w:tr>
        <w:trPr>
          <w:trHeight w:hRule="exact" w:val="5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10:30 – 10:45 </w:t>
            </w:r>
          </w:p>
        </w:tc>
        <w:tc>
          <w:tcPr>
            <w:tcW w:type="dxa" w:w="8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Break </w:t>
            </w:r>
          </w:p>
        </w:tc>
      </w:tr>
      <w:tr>
        <w:trPr>
          <w:trHeight w:hRule="exact" w:val="5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10:45 – 12:00 </w:t>
            </w:r>
          </w:p>
        </w:tc>
        <w:tc>
          <w:tcPr>
            <w:tcW w:type="dxa" w:w="8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4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Regional updates on the ICP 2021 cycle implementation (Cont'd) </w:t>
            </w:r>
          </w:p>
        </w:tc>
      </w:tr>
      <w:tr>
        <w:trPr>
          <w:trHeight w:hRule="exact" w:val="5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12:00 – 13:00 </w:t>
            </w:r>
          </w:p>
        </w:tc>
        <w:tc>
          <w:tcPr>
            <w:tcW w:type="dxa" w:w="8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4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Lunch </w:t>
            </w:r>
          </w:p>
        </w:tc>
      </w:tr>
      <w:tr>
        <w:trPr>
          <w:trHeight w:hRule="exact" w:val="44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13:00 – 14:00</w:t>
            </w:r>
          </w:p>
        </w:tc>
        <w:tc>
          <w:tcPr>
            <w:tcW w:type="dxa" w:w="8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4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Global updates on the ICP 2021 cycle implementation </w:t>
            </w:r>
          </w:p>
        </w:tc>
      </w:tr>
      <w:tr>
        <w:trPr>
          <w:trHeight w:hRule="exact" w:val="280"/>
        </w:trPr>
        <w:tc>
          <w:tcPr>
            <w:tcW w:type="dxa" w:w="2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Overall ICP 2021 cycle timetable and production roadmap </w:t>
            </w:r>
          </w:p>
        </w:tc>
      </w:tr>
      <w:tr>
        <w:trPr>
          <w:trHeight w:hRule="exact" w:val="280"/>
        </w:trPr>
        <w:tc>
          <w:tcPr>
            <w:tcW w:type="dxa" w:w="2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submission and validation status </w:t>
            </w:r>
          </w:p>
        </w:tc>
      </w:tr>
      <w:tr>
        <w:trPr>
          <w:trHeight w:hRule="exact" w:val="300"/>
        </w:trPr>
        <w:tc>
          <w:tcPr>
            <w:tcW w:type="dxa" w:w="2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Risk assessment </w:t>
            </w:r>
          </w:p>
        </w:tc>
      </w:tr>
      <w:tr>
        <w:trPr>
          <w:trHeight w:hRule="exact" w:val="440"/>
        </w:trPr>
        <w:tc>
          <w:tcPr>
            <w:tcW w:type="dxa" w:w="2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Outreach activities and announcement </w:t>
            </w:r>
          </w:p>
        </w:tc>
      </w:tr>
      <w:tr>
        <w:trPr>
          <w:trHeight w:hRule="exact" w:val="5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14:00 – 14:45</w:t>
            </w:r>
          </w:p>
        </w:tc>
        <w:tc>
          <w:tcPr>
            <w:tcW w:type="dxa" w:w="8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0" w:after="0"/>
              <w:ind w:left="8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Household consumption price and importance data </w:t>
            </w:r>
          </w:p>
        </w:tc>
      </w:tr>
      <w:tr>
        <w:trPr>
          <w:trHeight w:hRule="exact" w:val="56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14:45 – 15:00 </w:t>
            </w:r>
          </w:p>
        </w:tc>
        <w:tc>
          <w:tcPr>
            <w:tcW w:type="dxa" w:w="8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8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Break </w:t>
            </w:r>
          </w:p>
        </w:tc>
      </w:tr>
      <w:tr>
        <w:trPr>
          <w:trHeight w:hRule="exact" w:val="524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15:00 – 17:00 </w:t>
            </w:r>
          </w:p>
        </w:tc>
        <w:tc>
          <w:tcPr>
            <w:tcW w:type="dxa" w:w="8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8" w:after="0"/>
              <w:ind w:left="8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Household consumption price and importance data 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372"/>
        </w:trPr>
        <w:tc>
          <w:tcPr>
            <w:tcW w:type="dxa" w:w="9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2: WEDNESDAY, NOVEMBER 1, 2023 </w:t>
            </w:r>
          </w:p>
        </w:tc>
      </w:tr>
      <w:tr>
        <w:trPr>
          <w:trHeight w:hRule="exact" w:val="708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10:30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68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Housing prices and volumes </w:t>
            </w:r>
          </w:p>
        </w:tc>
      </w:tr>
      <w:tr>
        <w:trPr>
          <w:trHeight w:hRule="exact" w:val="56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10:30 – 10:45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2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Break </w:t>
            </w:r>
          </w:p>
        </w:tc>
      </w:tr>
      <w:tr>
        <w:trPr>
          <w:trHeight w:hRule="exact" w:val="60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10:45 – 11:30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8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Private education </w:t>
            </w:r>
          </w:p>
        </w:tc>
      </w:tr>
      <w:tr>
        <w:trPr>
          <w:trHeight w:hRule="exact" w:val="506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11:30 – 12:00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8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Government compensation and productivity adjustment </w:t>
            </w:r>
          </w:p>
        </w:tc>
      </w:tr>
    </w:tbl>
    <w:p>
      <w:pPr>
        <w:autoSpaceDN w:val="0"/>
        <w:autoSpaceDE w:val="0"/>
        <w:widowControl/>
        <w:spacing w:line="262" w:lineRule="auto" w:before="31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p>
      <w:pPr>
        <w:sectPr>
          <w:pgSz w:w="12240" w:h="15840"/>
          <w:pgMar w:top="710" w:right="1392" w:bottom="51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2188" w:val="left"/>
        </w:tabs>
        <w:autoSpaceDE w:val="0"/>
        <w:widowControl/>
        <w:spacing w:line="264" w:lineRule="auto" w:before="0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12:00 – 13:00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Lunch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8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13:00 – 14:00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Government compensation and productivity (cont’d)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7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14:00 – 15:30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Machinery and equipment </w:t>
      </w:r>
    </w:p>
    <w:p>
      <w:pPr>
        <w:autoSpaceDN w:val="0"/>
        <w:tabs>
          <w:tab w:pos="2188" w:val="left"/>
        </w:tabs>
        <w:autoSpaceDE w:val="0"/>
        <w:widowControl/>
        <w:spacing w:line="264" w:lineRule="auto" w:before="27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15:30 – 15:45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Break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80" w:after="214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15:45 – 17:00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Construction and civil engineering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70"/>
        </w:trPr>
        <w:tc>
          <w:tcPr>
            <w:tcW w:type="dxa" w:w="9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3: THURSDAY, NOVEMBER 2, 2023 </w:t>
            </w:r>
          </w:p>
        </w:tc>
      </w:tr>
      <w:tr>
        <w:trPr>
          <w:trHeight w:hRule="exact" w:val="712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10:30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68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2017-2021 National accounts expenditures </w:t>
            </w:r>
          </w:p>
        </w:tc>
      </w:tr>
      <w:tr>
        <w:trPr>
          <w:trHeight w:hRule="exact" w:val="56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10:30 – 10:45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0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Break </w:t>
            </w:r>
          </w:p>
        </w:tc>
      </w:tr>
      <w:tr>
        <w:trPr>
          <w:trHeight w:hRule="exact" w:val="5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10:45 – 11:15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6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2017-2021 National accounts expenditures (cont’d) </w:t>
            </w:r>
          </w:p>
        </w:tc>
      </w:tr>
      <w:tr>
        <w:trPr>
          <w:trHeight w:hRule="exact" w:val="60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11:15 – 12:00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6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2017-2021 Population and market exchange rates </w:t>
            </w:r>
          </w:p>
        </w:tc>
      </w:tr>
      <w:tr>
        <w:trPr>
          <w:trHeight w:hRule="exact" w:val="56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12:00 – 13:00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Lunch </w:t>
            </w:r>
          </w:p>
        </w:tc>
      </w:tr>
      <w:tr>
        <w:trPr>
          <w:trHeight w:hRule="exact" w:val="5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13:00 – 14:00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6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2017-2021 timeseries data (PPPs, CPIs, deflators) </w:t>
            </w:r>
          </w:p>
        </w:tc>
      </w:tr>
      <w:tr>
        <w:trPr>
          <w:trHeight w:hRule="exact" w:val="5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14:00 – 14:15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Break </w:t>
            </w:r>
          </w:p>
        </w:tc>
      </w:tr>
      <w:tr>
        <w:trPr>
          <w:trHeight w:hRule="exact" w:val="5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4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14:15-15:30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4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reviews (cont’d) </w:t>
            </w:r>
          </w:p>
        </w:tc>
      </w:tr>
      <w:tr>
        <w:trPr>
          <w:trHeight w:hRule="exact" w:val="5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15:30 – 15:45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Break </w:t>
            </w:r>
          </w:p>
        </w:tc>
      </w:tr>
      <w:tr>
        <w:trPr>
          <w:trHeight w:hRule="exact" w:val="52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15:45 – 17:00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4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 (cont’d) 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372"/>
        </w:trPr>
        <w:tc>
          <w:tcPr>
            <w:tcW w:type="dxa" w:w="94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4: FRIDAY, NOVEMBER 3, 2023 </w:t>
            </w:r>
          </w:p>
        </w:tc>
      </w:tr>
      <w:tr>
        <w:trPr>
          <w:trHeight w:hRule="exact" w:val="556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09:00 – 10:30</w:t>
            </w:r>
          </w:p>
        </w:tc>
        <w:tc>
          <w:tcPr>
            <w:tcW w:type="dxa" w:w="8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50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Planning for the 2023/4 governance activities and ICP 2021 cycle release at </w:t>
            </w:r>
          </w:p>
        </w:tc>
      </w:tr>
      <w:tr>
        <w:trPr>
          <w:trHeight w:hRule="exact" w:val="440"/>
        </w:trPr>
        <w:tc>
          <w:tcPr>
            <w:tcW w:type="dxa" w:w="94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" w:after="0"/>
              <w:ind w:left="218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regional and global levels </w:t>
            </w:r>
          </w:p>
        </w:tc>
      </w:tr>
      <w:tr>
        <w:trPr>
          <w:trHeight w:hRule="exact" w:val="5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10:30 – 10:45 </w:t>
            </w:r>
          </w:p>
        </w:tc>
        <w:tc>
          <w:tcPr>
            <w:tcW w:type="dxa" w:w="8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Break </w:t>
            </w:r>
          </w:p>
        </w:tc>
      </w:tr>
      <w:tr>
        <w:trPr>
          <w:trHeight w:hRule="exact" w:val="44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10:45 – 12:00 </w:t>
            </w:r>
          </w:p>
        </w:tc>
        <w:tc>
          <w:tcPr>
            <w:tcW w:type="dxa" w:w="8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2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Planning for the ICP 2024 cycle </w:t>
            </w:r>
          </w:p>
        </w:tc>
      </w:tr>
      <w:tr>
        <w:trPr>
          <w:trHeight w:hRule="exact" w:val="280"/>
        </w:trPr>
        <w:tc>
          <w:tcPr>
            <w:tcW w:type="dxa" w:w="2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Timetable </w:t>
            </w:r>
          </w:p>
        </w:tc>
      </w:tr>
      <w:tr>
        <w:trPr>
          <w:trHeight w:hRule="exact" w:val="440"/>
        </w:trPr>
        <w:tc>
          <w:tcPr>
            <w:tcW w:type="dxa" w:w="2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Operational materials </w:t>
            </w:r>
          </w:p>
        </w:tc>
      </w:tr>
      <w:tr>
        <w:trPr>
          <w:trHeight w:hRule="exact" w:val="50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12:00 – 13:00 </w:t>
            </w:r>
          </w:p>
        </w:tc>
        <w:tc>
          <w:tcPr>
            <w:tcW w:type="dxa" w:w="8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4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Lunch </w:t>
            </w:r>
          </w:p>
        </w:tc>
      </w:tr>
    </w:tbl>
    <w:p>
      <w:pPr>
        <w:autoSpaceDN w:val="0"/>
        <w:autoSpaceDE w:val="0"/>
        <w:widowControl/>
        <w:spacing w:line="262" w:lineRule="auto" w:before="28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p>
      <w:pPr>
        <w:sectPr>
          <w:pgSz w:w="12240" w:h="15840"/>
          <w:pgMar w:top="710" w:right="1370" w:bottom="51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0"/>
        <w:gridCol w:w="3120"/>
        <w:gridCol w:w="3120"/>
      </w:tblGrid>
      <w:tr>
        <w:trPr>
          <w:trHeight w:hRule="exact" w:val="290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13:00 – 14:00 </w:t>
            </w:r>
          </w:p>
          <w:p>
            <w:pPr>
              <w:autoSpaceDN w:val="0"/>
              <w:autoSpaceDE w:val="0"/>
              <w:widowControl/>
              <w:spacing w:line="264" w:lineRule="auto" w:before="8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14:00 – 14:15 </w:t>
            </w:r>
          </w:p>
          <w:p>
            <w:pPr>
              <w:autoSpaceDN w:val="0"/>
              <w:autoSpaceDE w:val="0"/>
              <w:widowControl/>
              <w:spacing w:line="274" w:lineRule="auto" w:before="2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14:15 – 16:30 </w:t>
            </w:r>
          </w:p>
          <w:p>
            <w:pPr>
              <w:autoSpaceDN w:val="0"/>
              <w:autoSpaceDE w:val="0"/>
              <w:widowControl/>
              <w:spacing w:line="274" w:lineRule="auto" w:before="2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16:30 – 17:00 </w:t>
            </w:r>
          </w:p>
        </w:tc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4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Planning for the ICP 2024 cycle </w:t>
            </w:r>
          </w:p>
        </w:tc>
      </w:tr>
      <w:tr>
        <w:trPr>
          <w:trHeight w:hRule="exact" w:val="280"/>
        </w:trPr>
        <w:tc>
          <w:tcPr>
            <w:tcW w:type="dxa" w:w="3120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Timetable </w:t>
            </w:r>
          </w:p>
        </w:tc>
      </w:tr>
      <w:tr>
        <w:trPr>
          <w:trHeight w:hRule="exact" w:val="440"/>
        </w:trPr>
        <w:tc>
          <w:tcPr>
            <w:tcW w:type="dxa" w:w="3120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Operational materials </w:t>
            </w:r>
          </w:p>
        </w:tc>
      </w:tr>
      <w:tr>
        <w:trPr>
          <w:trHeight w:hRule="exact" w:val="1674"/>
        </w:trPr>
        <w:tc>
          <w:tcPr>
            <w:tcW w:type="dxa" w:w="3120"/>
            <w:vMerge/>
            <w:tcBorders/>
          </w:tcPr>
          <w:p/>
        </w:tc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auto" w:before="152" w:after="0"/>
              <w:ind w:left="4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Break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Planning for an approach to produce annual ICP results and forecasts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Any other business and closing </w:t>
            </w:r>
          </w:p>
        </w:tc>
      </w:tr>
    </w:tbl>
    <w:p>
      <w:pPr>
        <w:autoSpaceDN w:val="0"/>
        <w:autoSpaceDE w:val="0"/>
        <w:widowControl/>
        <w:spacing w:line="262" w:lineRule="auto" w:before="101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</w:p>
    <w:p>
      <w:pPr>
        <w:sectPr>
          <w:pgSz w:w="12240" w:h="15840"/>
          <w:pgMar w:top="856" w:right="144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Annex 2: List of participants </w:t>
      </w: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African Development Bank (AfDB)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Ben Paul Mungyereza (by videoconference)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4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Gregoire Mboya de Loubassou (in-person)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Charles Sessede (by videoconference)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Symphorien Ndang Tabo (by videoconference) </w:t>
      </w:r>
    </w:p>
    <w:p>
      <w:pPr>
        <w:autoSpaceDN w:val="0"/>
        <w:autoSpaceDE w:val="0"/>
        <w:widowControl/>
        <w:spacing w:line="262" w:lineRule="auto" w:before="2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Asian Development Bank (ADB)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Kaushal Joshi (in-person)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Criselda H. De Dios (in-person) </w:t>
      </w:r>
    </w:p>
    <w:p>
      <w:pPr>
        <w:autoSpaceDN w:val="0"/>
        <w:autoSpaceDE w:val="0"/>
        <w:widowControl/>
        <w:spacing w:line="262" w:lineRule="auto" w:before="2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Interstate Statistical Committee of the Commonwealth of Independent States (CIS-STAT)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Andrey Kosarev (by videoconference)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Valerica Accibas (by videoconference) </w:t>
      </w:r>
    </w:p>
    <w:p>
      <w:pPr>
        <w:autoSpaceDN w:val="0"/>
        <w:autoSpaceDE w:val="0"/>
        <w:widowControl/>
        <w:spacing w:line="262" w:lineRule="auto" w:before="2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Organisation for Economic Co-operation and Development (OECD)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Daniel Sanchez Serra (by videoconference)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Sophie Bournot (by videoconference) </w:t>
      </w:r>
    </w:p>
    <w:p>
      <w:pPr>
        <w:autoSpaceDN w:val="0"/>
        <w:autoSpaceDE w:val="0"/>
        <w:widowControl/>
        <w:spacing w:line="262" w:lineRule="auto" w:before="2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Statistical Office of the European Communities (Eurostat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Mihai-Iulian Gheorghe (by videoconference)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Eleonora-Maria Dumitrascu (by videoconference) </w:t>
      </w:r>
    </w:p>
    <w:p>
      <w:pPr>
        <w:autoSpaceDN w:val="0"/>
        <w:autoSpaceDE w:val="0"/>
        <w:widowControl/>
        <w:spacing w:line="262" w:lineRule="auto" w:before="2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United Nations Economic Commission for Latin America and the Caribbean (UN-ECLAC)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Claudia de Camino Ferrario (in-person)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Lady Infante (by videoconference)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Ernestina Perez (by videoconference) </w:t>
      </w:r>
    </w:p>
    <w:p>
      <w:pPr>
        <w:autoSpaceDN w:val="0"/>
        <w:autoSpaceDE w:val="0"/>
        <w:widowControl/>
        <w:spacing w:line="262" w:lineRule="auto" w:before="2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United Nations Economic and Social Commission for Western Asia (UN-ESCWA)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Majed Skaini (in-person)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Sadim Sbeiti (by videoconference) </w:t>
      </w:r>
    </w:p>
    <w:p>
      <w:pPr>
        <w:autoSpaceDN w:val="0"/>
        <w:autoSpaceDE w:val="0"/>
        <w:widowControl/>
        <w:spacing w:line="262" w:lineRule="auto" w:before="2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International Monetary Fund (IMF)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Brian Graf (by videoconference) </w:t>
      </w:r>
    </w:p>
    <w:p>
      <w:pPr>
        <w:autoSpaceDN w:val="0"/>
        <w:autoSpaceDE w:val="0"/>
        <w:widowControl/>
        <w:spacing w:line="264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World Bank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Marko Rissanen (in-person)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8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Yan Bai (in-person)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Rui Costa (in-person)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4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Yuri Dikhanov (in-person)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8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Nancy Kebe (in-person) </w:t>
      </w:r>
    </w:p>
    <w:p>
      <w:pPr>
        <w:autoSpaceDN w:val="0"/>
        <w:tabs>
          <w:tab w:pos="718" w:val="left"/>
        </w:tabs>
        <w:autoSpaceDE w:val="0"/>
        <w:widowControl/>
        <w:spacing w:line="262" w:lineRule="auto" w:before="6" w:after="0"/>
        <w:ind w:left="35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Maurice Nsabimana (in-person) </w:t>
      </w:r>
    </w:p>
    <w:p>
      <w:pPr>
        <w:autoSpaceDN w:val="0"/>
        <w:tabs>
          <w:tab w:pos="718" w:val="left"/>
        </w:tabs>
        <w:autoSpaceDE w:val="0"/>
        <w:widowControl/>
        <w:spacing w:line="262" w:lineRule="auto" w:before="8" w:after="0"/>
        <w:ind w:left="35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Edie Purdie (in-person) </w:t>
      </w:r>
    </w:p>
    <w:p>
      <w:pPr>
        <w:autoSpaceDN w:val="0"/>
        <w:tabs>
          <w:tab w:pos="718" w:val="left"/>
        </w:tabs>
        <w:autoSpaceDE w:val="0"/>
        <w:widowControl/>
        <w:spacing w:line="262" w:lineRule="auto" w:before="6" w:after="0"/>
        <w:ind w:left="35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Inyoung Song (in-person) </w:t>
      </w:r>
    </w:p>
    <w:p>
      <w:pPr>
        <w:autoSpaceDN w:val="0"/>
        <w:autoSpaceDE w:val="0"/>
        <w:widowControl/>
        <w:spacing w:line="262" w:lineRule="auto" w:before="37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</w:p>
    <w:p>
      <w:pPr>
        <w:sectPr>
          <w:pgSz w:w="12240" w:h="15840"/>
          <w:pgMar w:top="710" w:right="144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Giovanni Tonutti (in-person)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Mizuki Yamanaka (in-person) </w:t>
      </w:r>
    </w:p>
    <w:p>
      <w:pPr>
        <w:autoSpaceDN w:val="0"/>
        <w:tabs>
          <w:tab w:pos="720" w:val="left"/>
        </w:tabs>
        <w:autoSpaceDE w:val="0"/>
        <w:widowControl/>
        <w:spacing w:line="262" w:lineRule="auto" w:before="4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Sergey Sergeev (by videoconference) for parallel computations </w:t>
      </w:r>
    </w:p>
    <w:p>
      <w:pPr>
        <w:autoSpaceDN w:val="0"/>
        <w:autoSpaceDE w:val="0"/>
        <w:widowControl/>
        <w:spacing w:line="262" w:lineRule="auto" w:before="1219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 </w:t>
      </w:r>
    </w:p>
    <w:sectPr w:rsidR="00FC693F" w:rsidRPr="0006063C" w:rsidSect="00034616">
      <w:pgSz w:w="12240" w:h="15840"/>
      <w:pgMar w:top="718" w:right="1440" w:bottom="51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worldbank.org/en/programs/icp/brief/iacg-oct-2023" TargetMode="External"/><Relationship Id="rId11" Type="http://schemas.openxmlformats.org/officeDocument/2006/relationships/hyperlink" Target="https://thedocs.worldbank.org/en/doc/77defc7205f8344e8695b2d1e0b8a366-0050022024/original/AFDB-ICP-2021-IACG08-2023-10-31-2.pdf" TargetMode="External"/><Relationship Id="rId12" Type="http://schemas.openxmlformats.org/officeDocument/2006/relationships/hyperlink" Target="https://thedocs.worldbank.org/en/doc/c8991e13703aa3b9d06e7fe89dfe6372-0050022023/original/ASI-ICP-2021-IACG08-2023-10-29.pdf" TargetMode="External"/><Relationship Id="rId13" Type="http://schemas.openxmlformats.org/officeDocument/2006/relationships/hyperlink" Target="https://www.adb.org/publications/series/key-indicators-for-asia-and-the-pacific" TargetMode="External"/><Relationship Id="rId14" Type="http://schemas.openxmlformats.org/officeDocument/2006/relationships/hyperlink" Target="https://thedocs.worldbank.org/en/doc/e4040d8ee96af1ca920bf69b5401a140-0050022023/original/CIS-ICP-2021-IACG08-2023-10-31.pdf" TargetMode="External"/><Relationship Id="rId15" Type="http://schemas.openxmlformats.org/officeDocument/2006/relationships/hyperlink" Target="https://thedocs.worldbank.org/en/doc/08fa38673d938089df1ee62cbbbad2a0-0050022023/original/EUO-ICP-2021-IACG08.pdf" TargetMode="External"/><Relationship Id="rId16" Type="http://schemas.openxmlformats.org/officeDocument/2006/relationships/hyperlink" Target="https://thedocs.worldbank.org/en/doc/a1f4cbc6510936a4aa744f7a60d5ea23-0050022023/original/LAC-ICP-2021-IACG08-2023-10-31.pdf" TargetMode="External"/><Relationship Id="rId17" Type="http://schemas.openxmlformats.org/officeDocument/2006/relationships/hyperlink" Target="https://thedocs.worldbank.org/en/doc/f39aecdae09e9c870f7b5150a68291ff-0050022023/original/WAS-ICP-2021-IACG08-2023-10-31.pdf" TargetMode="External"/><Relationship Id="rId18" Type="http://schemas.openxmlformats.org/officeDocument/2006/relationships/hyperlink" Target="https://thedocs.worldbank.org/en/doc/071c0b4f0106be330743ec7b2c315706-0050022024/original/ICP-IACG08-Global-Update.pdf" TargetMode="External"/><Relationship Id="rId19" Type="http://schemas.openxmlformats.org/officeDocument/2006/relationships/hyperlink" Target="https://pubdocs.worldbank.org/en/843651487094174411/OG-ch14.pdf" TargetMode="External"/><Relationship Id="rId20" Type="http://schemas.openxmlformats.org/officeDocument/2006/relationships/hyperlink" Target="https://thedocs.worldbank.org/en/doc/a88ff23482b144ad0e4c1a1af3f25eb5-0050022023/original/2023-governance-and-ICP-2021-cycle-release.pdf" TargetMode="External"/><Relationship Id="rId21" Type="http://schemas.openxmlformats.org/officeDocument/2006/relationships/hyperlink" Target="https://thedocs.worldbank.org/en/doc/255521487200449880-0050022017/original/ICPGB01DocGovernanceFrameworkFinal.pdf" TargetMode="External"/><Relationship Id="rId22" Type="http://schemas.openxmlformats.org/officeDocument/2006/relationships/hyperlink" Target="https://thedocs.worldbank.org/en/doc/0f1585184bca0f601e6e9d2a073c846a-0050022023/original/AOB-COCIOP-2018-and-IC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