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98879" cy="723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879" cy="72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4" w:lineRule="auto" w:before="61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MINUTES OF THE INTERNATIONAL COMPARISON PROGRAM </w:t>
      </w:r>
    </w:p>
    <w:p>
      <w:pPr>
        <w:autoSpaceDN w:val="0"/>
        <w:autoSpaceDE w:val="0"/>
        <w:widowControl/>
        <w:spacing w:line="274" w:lineRule="auto" w:before="1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TECHNICAL ADVISORY GROUP </w:t>
      </w:r>
    </w:p>
    <w:p>
      <w:pPr>
        <w:autoSpaceDN w:val="0"/>
        <w:autoSpaceDE w:val="0"/>
        <w:widowControl/>
        <w:spacing w:line="274" w:lineRule="auto" w:before="14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NOVEMBER 6-7, 2023 </w:t>
      </w:r>
    </w:p>
    <w:p>
      <w:pPr>
        <w:autoSpaceDN w:val="0"/>
        <w:autoSpaceDE w:val="0"/>
        <w:widowControl/>
        <w:spacing w:line="274" w:lineRule="auto" w:before="1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Hybrid Meeting </w:t>
      </w:r>
    </w:p>
    <w:p>
      <w:pPr>
        <w:autoSpaceDN w:val="0"/>
        <w:autoSpaceDE w:val="0"/>
        <w:widowControl/>
        <w:spacing w:line="274" w:lineRule="auto" w:before="59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Welcome and meeting objectives </w:t>
      </w:r>
    </w:p>
    <w:p>
      <w:pPr>
        <w:autoSpaceDN w:val="0"/>
        <w:autoSpaceDE w:val="0"/>
        <w:widowControl/>
        <w:spacing w:line="259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Technical Advisory Group (TAG) of the International Comparison Program (ICP) held a hybrid meeting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on November 6-7, 2023. </w:t>
      </w:r>
    </w:p>
    <w:p>
      <w:pPr>
        <w:autoSpaceDN w:val="0"/>
        <w:autoSpaceDE w:val="0"/>
        <w:widowControl/>
        <w:spacing w:line="259" w:lineRule="auto" w:before="15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main objectives of the meeting were to update the Group on the progress with the implementation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the current ICP 2021 cycle, discuss the preliminary results of the 2021 cycle and the plans for the release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the results, provide updates on ICP Research Agenda items on “PPPs and Real Expenditures for Dwelling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Services”, “Fine Tuning Global Linking Procedures”, “Compilation of purchasing power parity (PPP) time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series”, and “Uses of PPPs for National and International Policy Making“, as per the meeting agenda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provided in Annex 1. In attendance were the TAG Chair, members, and observers, representatives from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Regional Implementing Agencies, and staff from the World Bank ICP Global Office, which serves 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TAG secretariat, and other World Bank staff, as listed in Annex 2. The public meeting documents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>presentations are available on the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hyperlink r:id="rId10" w:history="1">
          <w:r>
            <w:rPr>
              <w:rStyle w:val="Hyperlink"/>
            </w:rPr>
            <w:t>ICP website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.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9" w:lineRule="auto" w:before="15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Paul Schreyer, Chair, thanked Sir A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ngus Deaton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in absentia for his previous role as Chair and thanked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Global Office for the meeting’s preparations. He invited Haishan Fu, World Bank Chief Statistician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Director, Development Data Group, World Bank, to make opening remarks. She noted that the ICP 2021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cycle had faced many challenges and was now at a critical final stage, with results due to be published in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early 2024. She noted the passing of TAG member Michel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Mouyalo-Katoula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earlier this year, his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contribution to the ICP as a Global Manager, and his impact while working at the World Bank. She also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thanked Sir Angus Deaton and Nada Hamadeh in absentia for their contributions to the program through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former’s role as TAG Chair and the latter’s role as ICP Global Manager. She also noted the World Bank’s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initiative to pursue an evolution roadmap to become a more impactful institution, part of which was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through generating, using, and sharing data more systematically. </w:t>
      </w:r>
    </w:p>
    <w:p>
      <w:pPr>
        <w:autoSpaceDN w:val="0"/>
        <w:autoSpaceDE w:val="0"/>
        <w:widowControl/>
        <w:spacing w:line="274" w:lineRule="auto" w:before="59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Session I: Update on the ICP 2021 Cycle </w:t>
      </w:r>
    </w:p>
    <w:p>
      <w:pPr>
        <w:autoSpaceDN w:val="0"/>
        <w:autoSpaceDE w:val="0"/>
        <w:widowControl/>
        <w:spacing w:line="259" w:lineRule="auto" w:before="16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>Marko Rissanen, World Bank,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hyperlink r:id="rId11" w:history="1">
          <w:r>
            <w:rPr>
              <w:rStyle w:val="Hyperlink"/>
            </w:rPr>
            <w:t>presented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on the status of the cycle, covering the overall timeline, program </w:t>
      </w:r>
      <w:r>
        <w:rPr>
          <w:rFonts w:ascii="Calibri" w:hAnsi="Calibri" w:eastAsia="Calibri"/>
          <w:b w:val="0"/>
          <w:i w:val="0"/>
          <w:color w:val="000000"/>
          <w:sz w:val="22"/>
        </w:rPr>
        <w:t>participation, and survey sta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tus; data su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bmission and assessment status; an update on the replicability </w:t>
      </w:r>
    </w:p>
    <w:p>
      <w:pPr>
        <w:autoSpaceDN w:val="0"/>
        <w:autoSpaceDE w:val="0"/>
        <w:widowControl/>
        <w:spacing w:line="264" w:lineRule="auto" w:before="52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 </w:t>
      </w:r>
    </w:p>
    <w:p>
      <w:pPr>
        <w:sectPr>
          <w:pgSz w:w="12240" w:h="15840"/>
          <w:pgMar w:top="720" w:right="1368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62" w:lineRule="auto" w:before="0" w:after="94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transparency of ICP results; governance and coordination activities; and knowledge and outreach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activities and recent uses. It was noted that: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715"/>
        <w:gridCol w:w="4715"/>
      </w:tblGrid>
      <w:tr>
        <w:trPr>
          <w:trHeight w:hRule="exact" w:val="1864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5" w:lineRule="auto" w:before="6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8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number of participating economies for the ICP 2021 cycle is consistent with previous cycles. </w:t>
            </w:r>
          </w:p>
          <w:p>
            <w:pPr>
              <w:autoSpaceDN w:val="0"/>
              <w:autoSpaceDE w:val="0"/>
              <w:widowControl/>
              <w:spacing w:line="245" w:lineRule="auto" w:before="94" w:after="0"/>
              <w:ind w:left="140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regions faced various challenges arising from COVID-19, the war in Ukraine, and the crisis in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Middle East. These challenges resulted in delays to surveys, data submissions, processing,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quality assurance, and calculations. To address these challenges, the ICP Inter-Agency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Coordination Group (IACG) recommended that the release of the results be delayed until Q1,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2024. </w:t>
            </w:r>
          </w:p>
        </w:tc>
      </w:tr>
    </w:tbl>
    <w:p>
      <w:pPr>
        <w:autoSpaceDN w:val="0"/>
        <w:autoSpaceDE w:val="0"/>
        <w:widowControl/>
        <w:spacing w:line="245" w:lineRule="auto" w:before="46" w:after="48"/>
        <w:ind w:left="720" w:right="20" w:hanging="36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–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Household consumption data have been submitted for all regions, while non-household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consumption data are broadly submitted. The share of Global Core List items priced by countries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was generally high. Data validation is still ongoing in some regions. An analysis of submitted data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identified problematic basic headings that warranted further validation.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715"/>
        <w:gridCol w:w="4715"/>
      </w:tblGrid>
      <w:tr>
        <w:trPr>
          <w:trHeight w:hRule="exact" w:val="1462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8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0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Efforts to further improve the replicability and transparency of ICP results in the current 2021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cycle benefitted from investments made in the 2017 cycle, ongoing use of enhanced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streamlined data processing, and independent PPP estimation by three experts and an advisor.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Furthermore, two World Bank data blogs on PPP calculations had been published since the 2017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cycle. </w:t>
            </w:r>
          </w:p>
        </w:tc>
      </w:tr>
    </w:tbl>
    <w:p>
      <w:pPr>
        <w:autoSpaceDN w:val="0"/>
        <w:autoSpaceDE w:val="0"/>
        <w:widowControl/>
        <w:spacing w:line="245" w:lineRule="auto" w:before="46" w:after="46"/>
        <w:ind w:left="720" w:right="20" w:hanging="36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–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Risks to the cycle and its results had necessitated the following mitigation activities. On data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quality, enhanced validation efforts were adopted; on the timeliness of results, a revised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publication schedule was adopted alongside close monitoring of the production schedule; and 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comparability, TAG technical guidance on linking the Commonwealth of Independent States (CIS) </w:t>
      </w:r>
      <w:r>
        <w:rPr>
          <w:rFonts w:ascii="Calibri" w:hAnsi="Calibri" w:eastAsia="Calibri"/>
          <w:b w:val="0"/>
          <w:i w:val="0"/>
          <w:color w:val="000000"/>
          <w:sz w:val="22"/>
        </w:rPr>
        <w:t>region, and an assessment of the impact on ICP 2021 results was sought.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715"/>
        <w:gridCol w:w="4715"/>
      </w:tblGrid>
      <w:tr>
        <w:trPr>
          <w:trHeight w:hRule="exact" w:val="4014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–</w:t>
            </w:r>
          </w:p>
          <w:p>
            <w:pPr>
              <w:autoSpaceDN w:val="0"/>
              <w:autoSpaceDE w:val="0"/>
              <w:widowControl/>
              <w:spacing w:line="264" w:lineRule="auto" w:before="27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8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0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Regarding governance activities since the previous TAG meeting, the United Nations Statistical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Commission (UNSC) had reviewed the 2023 ICP report, which was submitted “for information”.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report submitted for the March 2024 session will be “for discussion”. Furthermore,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Governing Board met in February 2023 and noted progress made with the ICP 2021 cycle, despite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COVID-19 pandemic and the war in Ukraine, and the need to identify a new approach to link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CIS region; the need to approach the national implementing agencies on completing the ICP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2021 cycle activities in a timely manner and to begin preparations for the ICP 2024 cycle; the need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 identify sustained funding for the program and to strengthen advocacy efforts; and the current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and anticipated uses of PPPs. The IACG had convened in May 2023 and October 2023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discussed the ICP 2021 cycle implementation, reviewed data, planning for the 2023/4 governance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activities and ICP 2021 cycle release, and planning for the ICP 2024 cycle. </w:t>
            </w:r>
          </w:p>
          <w:p>
            <w:pPr>
              <w:autoSpaceDN w:val="0"/>
              <w:autoSpaceDE w:val="0"/>
              <w:widowControl/>
              <w:spacing w:line="247" w:lineRule="auto" w:before="92" w:after="0"/>
              <w:ind w:left="140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Potential new uses of ICP data include: (i) the use of PPPs in the World Bank’s income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classifications, and (ii) the use of PPPs in a new indicator aimed at monitoring shared prosperity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using the concept of the prosperity gap. </w:t>
            </w:r>
          </w:p>
        </w:tc>
      </w:tr>
    </w:tbl>
    <w:p>
      <w:pPr>
        <w:autoSpaceDN w:val="0"/>
        <w:autoSpaceDE w:val="0"/>
        <w:widowControl/>
        <w:spacing w:line="259" w:lineRule="auto" w:before="31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discussion, it was noted that the release of 2021 cycle results was likely to be towards the end of March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2024. On quality assurance, it was noted that further validation actions at all levels are needed before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thorough review of the preliminary results takes place. The TAG also asked if some quality measures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national accounts expenditures could be presented, similar to the commonly used metrics for price data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validation. </w:t>
      </w:r>
    </w:p>
    <w:p>
      <w:pPr>
        <w:autoSpaceDN w:val="0"/>
        <w:autoSpaceDE w:val="0"/>
        <w:widowControl/>
        <w:spacing w:line="264" w:lineRule="auto" w:before="66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 </w:t>
      </w:r>
    </w:p>
    <w:p>
      <w:pPr>
        <w:sectPr>
          <w:pgSz w:w="12240" w:h="15840"/>
          <w:pgMar w:top="710" w:right="1370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It was further noted that the regions and countries have started work to move to the new Classification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Individual Consumption According to Purpose (COICOP) 2018, and that the Group could discuss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Classification further under the </w:t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t>Any Other Business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session. In addition, Eurostat outlined regional plans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 adopting the COICOP 2018 classification. </w:t>
      </w:r>
    </w:p>
    <w:p>
      <w:pPr>
        <w:autoSpaceDN w:val="0"/>
        <w:autoSpaceDE w:val="0"/>
        <w:widowControl/>
        <w:spacing w:line="259" w:lineRule="auto" w:before="1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Lastly, the Global Office confirmed that the World Bank was charged with submitting the forthcoming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UNSC report, with input from the regions. </w:t>
      </w:r>
    </w:p>
    <w:p>
      <w:pPr>
        <w:autoSpaceDN w:val="0"/>
        <w:autoSpaceDE w:val="0"/>
        <w:widowControl/>
        <w:spacing w:line="259" w:lineRule="auto" w:before="15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summary, the Chair noted significant progress with the cycle despite geopolitical challenges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welcomed the replicability and transparency of the production of results scheduled to be published in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early 2024. He noted the outstanding risks at the national and regional levels which need to be addressed,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that the transition to COICOP 2018 will need to be reviewed at a later stage by TAG, as it will have </w:t>
      </w:r>
      <w:r>
        <w:rPr>
          <w:rFonts w:ascii="Calibri" w:hAnsi="Calibri" w:eastAsia="Calibri"/>
          <w:b w:val="0"/>
          <w:i w:val="0"/>
          <w:color w:val="000000"/>
          <w:sz w:val="22"/>
        </w:rPr>
        <w:t>implications for the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hyperlink r:id="rId12" w:history="1">
          <w:r>
            <w:rPr>
              <w:rStyle w:val="Hyperlink"/>
            </w:rPr>
            <w:t>ICP classification of final expenditure on GDP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2" w:history="1">
          <w:r>
            <w:rPr>
              <w:rStyle w:val="Hyperlink"/>
            </w:rPr>
            <w:t>.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He noted the potential use of PPPs in </w:t>
      </w:r>
      <w:r>
        <w:rPr>
          <w:rFonts w:ascii="Calibri" w:hAnsi="Calibri" w:eastAsia="Calibri"/>
          <w:b w:val="0"/>
          <w:i w:val="0"/>
          <w:color w:val="000000"/>
          <w:sz w:val="22"/>
        </w:rPr>
        <w:t>the World Bank inc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2" w:history="1">
          <w:r>
            <w:rPr>
              <w:rStyle w:val="Hyperlink"/>
            </w:rPr>
            <w:t>ome classification and poverty measures. The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Chair also noted an additional use of </w:t>
      </w:r>
      <w:r>
        <w:rPr>
          <w:rFonts w:ascii="Calibri" w:hAnsi="Calibri" w:eastAsia="Calibri"/>
          <w:b w:val="0"/>
          <w:i w:val="0"/>
          <w:color w:val="000000"/>
          <w:sz w:val="22"/>
        </w:rPr>
        <w:t>OECD PPPs as an input into 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hyperlink r:id="rId13" w:history="1">
          <w:r>
            <w:rPr>
              <w:rStyle w:val="Hyperlink"/>
            </w:rPr>
            <w:t>mechanism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 salary adjustments for a group of coordinated institutions,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including the OECD. </w:t>
      </w:r>
    </w:p>
    <w:p>
      <w:pPr>
        <w:autoSpaceDN w:val="0"/>
        <w:autoSpaceDE w:val="0"/>
        <w:widowControl/>
        <w:spacing w:line="271" w:lineRule="auto" w:before="60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Session II: ICP Research Agenda: PPPs and Real Expenditures for Dwelling Services in Asia </w:t>
      </w:r>
    </w:p>
    <w:p>
      <w:pPr>
        <w:autoSpaceDN w:val="0"/>
        <w:autoSpaceDE w:val="0"/>
        <w:widowControl/>
        <w:spacing w:line="259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Kaushal Joshi, Asian Development Bank (ABD), presented an update on the work carried out in Asia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Pacific on a hybrid approach to measuring housing. The hybrid approach uses both rental prices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housing volume data to compute regional housing PPPs. Historically, the region has faced several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challenges in comparing housing services. Despite the ADB’s efforts to implement the recommended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rental and quality approaches, results were implausible due to a wide heterogeneity and differences in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housing data estimation approaches within the region. Hence, the region adopted a “reference volume”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approach for the ICP 2005 and 2011 cycles. During the ICP 2017 cycle, ADB researched and developed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“hybrid” approach that uses data collected from both housing rentals and housing volume surveys.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approach was presented to the Regional Advisory Board and ICP TAG in 2019. Both bodies agreed to use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“reference volume” approach for the ICP 2017 cycle, while work on the new hybrid approach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continued. The new hybrid approach presented to TAG aims to use and combine the best of both rental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volume housing data and introduces quality adjustments to PPPs using an income-based adjustment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factor to better account for differentials in housing services quality between rich and poor economies. It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was noted that the new hybrid approach does not result in any major shifts in regional PPPs. </w:t>
      </w:r>
    </w:p>
    <w:p>
      <w:pPr>
        <w:autoSpaceDN w:val="0"/>
        <w:autoSpaceDE w:val="0"/>
        <w:widowControl/>
        <w:spacing w:line="259" w:lineRule="auto" w:before="15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discussion it was noted that the current housing approach used by Eurostat-OECD uses either rental 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volume approach for housing PPPs, which are then linked by a set of overlapping linking countries.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Group noted that the Asia and the Pacific region had faced challenges in past ICP cycles and had adopted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reference volume approach as a best alternate. The Group further noted that the new hybrid approach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is an improvement over the previous reference volume approach, that the new approach has been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thoroughly analyzed, and that the impact of the new approach is modest. Moreover, it was noted that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new approach utilized most ICP housing data and does not rely on external data, it is a reasonable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practical pragmatic approach. Lastly, it was stressed that the new approach is not a change of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methods, rather it is bringing the region in line with the ICP method. For possible future research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background, the Group suggested a few possible additional analyses such as using different indicators, </w:t>
      </w:r>
    </w:p>
    <w:p>
      <w:pPr>
        <w:autoSpaceDN w:val="0"/>
        <w:autoSpaceDE w:val="0"/>
        <w:widowControl/>
        <w:spacing w:line="264" w:lineRule="auto" w:before="53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 </w:t>
      </w:r>
    </w:p>
    <w:p>
      <w:pPr>
        <w:sectPr>
          <w:pgSz w:w="12240" w:h="15840"/>
          <w:pgMar w:top="710" w:right="1370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ensuring consistency with national accounts weights, and tentatively testing the new hybrid approach in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other regions. </w:t>
      </w:r>
    </w:p>
    <w:p>
      <w:pPr>
        <w:autoSpaceDN w:val="0"/>
        <w:autoSpaceDE w:val="0"/>
        <w:widowControl/>
        <w:spacing w:line="259" w:lineRule="auto" w:before="15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conclusion the TAG agreed that the hybrid approach improves upon the existing methodology and has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been sufficiently tested and proven robust enough for implementation. The TAG endorsed this new hybrid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approach to be used for the regional Housing PPPs in the Asia and the Pacific region and advised that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full justification and explanation of the method and its development be documented in the ADB 2021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report with a reference to the approach additionally included in the global report. </w:t>
      </w:r>
    </w:p>
    <w:p>
      <w:pPr>
        <w:autoSpaceDN w:val="0"/>
        <w:autoSpaceDE w:val="0"/>
        <w:widowControl/>
        <w:spacing w:line="271" w:lineRule="auto" w:before="60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Session III: Preliminary ICP 2021 cycle results </w:t>
      </w:r>
    </w:p>
    <w:p>
      <w:pPr>
        <w:autoSpaceDN w:val="0"/>
        <w:autoSpaceDE w:val="0"/>
        <w:widowControl/>
        <w:spacing w:line="262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Preliminary 2021 results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9" w:lineRule="auto" w:before="15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Marko Rissanen, World Bank,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hyperlink r:id="rId14" w:history="1">
          <w:r>
            <w:rPr>
              <w:rStyle w:val="Hyperlink"/>
            </w:rPr>
            <w:t>presented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preliminary ICP 2021 cycle results with a review of the global </w:t>
      </w:r>
      <w:r>
        <w:rPr>
          <w:rFonts w:ascii="Calibri" w:hAnsi="Calibri" w:eastAsia="Calibri"/>
          <w:b w:val="0"/>
          <w:i w:val="0"/>
          <w:color w:val="000000"/>
          <w:sz w:val="22"/>
        </w:rPr>
        <w:t>linking method, the treatmen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4" w:history="1">
          <w:r>
            <w:rPr>
              <w:rStyle w:val="Hyperlink"/>
            </w:rPr>
            <w:t>t for linkin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 the CIS region to the global comparison, the treatment for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housing linking, historical extrapolated ICP 2011 and ICP 2017 PPPs, a comparison of 2017 and 2021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national accounts deflators and CPIs, and a review of extrapolated ICP 2017 and ICP 2021 PPPs. The results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presented reflected very early data and it was noted that some regional data were still being validated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assessed and final regional data submissions are expected by end-2023. It was noted that final results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would be computed in parallel by Giovanni Tonutti, Sergey Sergeev, and Yuri Dikhanov for comparison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purposes, quality control, and transparency. </w:t>
      </w:r>
    </w:p>
    <w:p>
      <w:pPr>
        <w:autoSpaceDN w:val="0"/>
        <w:autoSpaceDE w:val="0"/>
        <w:widowControl/>
        <w:spacing w:line="259" w:lineRule="auto" w:before="15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discussion it was noted that highlighting oil exporting economies on the 2021/extrapolated ICP 2017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GDP PPPs comparison chart would be helpful, as oil exports are subject to fluctuations in market exchange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rates and may affect GDP PPPs. The Group discussed the potential impact of changes  in expenditure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shares on ICP results, and suggested that a narrative be established in response to potential questions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from users. It also noted that an annual production of ICP PPPs would produce more stable results over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time. </w:t>
      </w:r>
    </w:p>
    <w:p>
      <w:pPr>
        <w:autoSpaceDN w:val="0"/>
        <w:autoSpaceDE w:val="0"/>
        <w:widowControl/>
        <w:spacing w:line="259" w:lineRule="auto" w:before="15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summary the TAG noted that the comparison of preliminary results of the 2021 cycle with extrapolated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2017 results was reassuring. With regards to the new method of linking the CIS region directly to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global comparison, rather than through the method employed in previous cycles whereby the region was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linked through Russia’s participation in both the OECD and CIS comparisons, was a welcomed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normalization of the linking process. </w:t>
      </w:r>
    </w:p>
    <w:p>
      <w:pPr>
        <w:autoSpaceDN w:val="0"/>
        <w:autoSpaceDE w:val="0"/>
        <w:widowControl/>
        <w:spacing w:line="259" w:lineRule="auto" w:before="15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TAG is expected to review the full set of ICP 2021 cycle results, covering ICP 2021 results, revised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2017 results, and PPP timeseries, at its next meeting, including an assessment on the impact of ADB’s new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housing approach, inclusion of the CIS region as the sixth core region, and the impact of the differing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expenditure weights between the ICP 2017 and ICP 2021 due to the COVID-19 pandemic. </w:t>
      </w:r>
    </w:p>
    <w:p>
      <w:pPr>
        <w:autoSpaceDN w:val="0"/>
        <w:autoSpaceDE w:val="0"/>
        <w:widowControl/>
        <w:spacing w:line="264" w:lineRule="auto" w:before="1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Approach to produce revised 2017 results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9" w:lineRule="auto" w:before="15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Marko Rissanen, World Bank,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hyperlink r:id="rId15" w:history="1">
          <w:r>
            <w:rPr>
              <w:rStyle w:val="Hyperlink"/>
            </w:rPr>
            <w:t>presented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recap of the approach to produce revised benchmark results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a review of the currently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5" w:history="1">
          <w:r>
            <w:rPr>
              <w:rStyle w:val="Hyperlink"/>
            </w:rPr>
            <w:t>available re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gional results from Asia and the Pacific, CIS, and Eurostat-OECD.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Revised 2011 regional results were produced based on revised national accounts expenditures, while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global 2011 results were revised based on revised regional PPPs, national accounts expenditures,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finetuning of the linking approach. For the 2021 cycle, the TAG supported recalculating linking factors </w:t>
      </w:r>
    </w:p>
    <w:p>
      <w:pPr>
        <w:autoSpaceDN w:val="0"/>
        <w:autoSpaceDE w:val="0"/>
        <w:widowControl/>
        <w:spacing w:line="264" w:lineRule="auto" w:before="18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 </w:t>
      </w:r>
    </w:p>
    <w:p>
      <w:pPr>
        <w:sectPr>
          <w:pgSz w:w="12240" w:h="15840"/>
          <w:pgMar w:top="710" w:right="1370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when the previous ICP benchmark year results are revised as best practice, which would also allow for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updating the housing linking factors. However, it was stressed that, in principle, any underlying price data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should not be revised. </w:t>
      </w:r>
    </w:p>
    <w:p>
      <w:pPr>
        <w:autoSpaceDN w:val="0"/>
        <w:autoSpaceDE w:val="0"/>
        <w:widowControl/>
        <w:spacing w:line="259" w:lineRule="auto" w:before="154" w:after="0"/>
        <w:ind w:left="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TAG was asked whether the Asia and the Pacific regional PPPs per the new endorsed “hybrid”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approach to housing PPPs should be utilized for revised regional and global 2017 results. It was noted that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users may be wary of large revisions to historical data (original 2017 vs revised 2017), but that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incorporating the new method would result in fewer discrepancies between revised 2017 and 2021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results. In addition, ADB had also illustrated that the impact on results between the two methods was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modest. The TAG noted that changes to expenditure and population data would also play a role in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linking factors. On applying the new linking method for the CIS region for revised 2017 results, it was noted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that the data were not available and thus it would not be possible to incorporate the global core list linking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the CIS region retrospectively. In conclusion, the TAG recommended the use of the new hybrid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approach to housing in Asia and the Pacific in the calculation of the revised global 2017 results. </w:t>
      </w:r>
    </w:p>
    <w:p>
      <w:pPr>
        <w:autoSpaceDN w:val="0"/>
        <w:autoSpaceDE w:val="0"/>
        <w:widowControl/>
        <w:spacing w:line="262" w:lineRule="auto" w:before="154" w:after="0"/>
        <w:ind w:left="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Approach to produce 2017 – 2021 PPP time series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9" w:lineRule="auto" w:before="156" w:after="0"/>
        <w:ind w:left="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Giovanni Tonutti, World Bank,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hyperlink r:id="rId16" w:history="1">
          <w:r>
            <w:rPr>
              <w:rStyle w:val="Hyperlink"/>
            </w:rPr>
            <w:t>presented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 overview of the approach to be adopted for the current cycle </w:t>
      </w:r>
      <w:r>
        <w:rPr>
          <w:rFonts w:ascii="Calibri" w:hAnsi="Calibri" w:eastAsia="Calibri"/>
          <w:b w:val="0"/>
          <w:i w:val="0"/>
          <w:color w:val="000000"/>
          <w:sz w:val="22"/>
        </w:rPr>
        <w:t>for producing PPP time series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6" w:history="1">
          <w:r>
            <w:rPr>
              <w:rStyle w:val="Hyperlink"/>
            </w:rPr>
            <w:t xml:space="preserve"> estimates f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or the years 2017 to 2021. The proposed approach follows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>methodology developed by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hyperlink r:id="rId17" w:history="1">
          <w:r>
            <w:rPr>
              <w:rStyle w:val="Hyperlink"/>
            </w:rPr>
            <w:t>Inklaar and Rao (2019)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adopted for the estimation of global PPP time </w:t>
      </w:r>
      <w:r>
        <w:rPr>
          <w:rFonts w:ascii="Calibri" w:hAnsi="Calibri" w:eastAsia="Calibri"/>
          <w:b w:val="0"/>
          <w:i w:val="0"/>
          <w:color w:val="000000"/>
          <w:sz w:val="22"/>
        </w:rPr>
        <w:t>series for 2011 to 2017 duri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7" w:history="1">
          <w:r>
            <w:rPr>
              <w:rStyle w:val="Hyperlink"/>
            </w:rPr>
            <w:t>ng the ICP 2017 cycle res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ults calculation.  Two main challenges specific to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current cycle were noted, namely, the change in methodology for linking the CIS region in the global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comparison and the implications of the impact of COVID-19 on expenditures for interpolating missing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information. The presentation concluded on the progress made to improve the efficiency of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computational estimation processes. </w:t>
      </w:r>
    </w:p>
    <w:p>
      <w:pPr>
        <w:autoSpaceDN w:val="0"/>
        <w:autoSpaceDE w:val="0"/>
        <w:widowControl/>
        <w:spacing w:line="262" w:lineRule="auto" w:before="154" w:after="92"/>
        <w:ind w:left="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relation to the first challenge, three potential options were presented for the estimation of CIS PPPs in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interim years: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886" w:type="dxa"/>
      </w:tblPr>
      <w:tblGrid>
        <w:gridCol w:w="4716"/>
        <w:gridCol w:w="4716"/>
      </w:tblGrid>
      <w:tr>
        <w:trPr>
          <w:trHeight w:hRule="exact" w:val="2254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I.</w:t>
            </w:r>
          </w:p>
          <w:p>
            <w:pPr>
              <w:autoSpaceDN w:val="0"/>
              <w:autoSpaceDE w:val="0"/>
              <w:widowControl/>
              <w:spacing w:line="264" w:lineRule="auto" w:before="3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II.</w:t>
            </w:r>
          </w:p>
          <w:p>
            <w:pPr>
              <w:autoSpaceDN w:val="0"/>
              <w:autoSpaceDE w:val="0"/>
              <w:widowControl/>
              <w:spacing w:line="264" w:lineRule="auto" w:before="630" w:after="0"/>
              <w:ind w:left="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III.</w:t>
            </w:r>
          </w:p>
        </w:tc>
        <w:tc>
          <w:tcPr>
            <w:tcW w:type="dxa" w:w="8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0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 compute the geometric average between (i) the PPPs estimated by including CIS as one of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core regions and (ii) those obtained by linking CIS via Eurostat-OECD. </w:t>
            </w:r>
          </w:p>
          <w:p>
            <w:pPr>
              <w:autoSpaceDN w:val="0"/>
              <w:autoSpaceDE w:val="0"/>
              <w:widowControl/>
              <w:spacing w:line="247" w:lineRule="auto" w:before="94" w:after="0"/>
              <w:ind w:left="200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 compute the weighted, geometric average between (i) the PPPs estimates including CIS as one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of the core regions and (ii) those obtained by linking CIS via Eurostat-OECD. The weights are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linear function of the distance of each interim year to the two benchmark years. </w:t>
            </w:r>
          </w:p>
          <w:p>
            <w:pPr>
              <w:autoSpaceDN w:val="0"/>
              <w:autoSpaceDE w:val="0"/>
              <w:widowControl/>
              <w:spacing w:line="252" w:lineRule="auto" w:before="92" w:after="0"/>
              <w:ind w:left="198" w:right="0" w:firstLine="2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 compute EUO-linked estimates for the years 2017-2020, and rely on the benchmark estimates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 2021. </w:t>
            </w:r>
          </w:p>
        </w:tc>
      </w:tr>
    </w:tbl>
    <w:p>
      <w:pPr>
        <w:autoSpaceDN w:val="0"/>
        <w:autoSpaceDE w:val="0"/>
        <w:widowControl/>
        <w:spacing w:line="259" w:lineRule="auto" w:before="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TAG agreed to proceed with option II: estimating PPPs for CIS countries in the interim years by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applying a weighted geometric average of the PPP estimates obtained by linking the CIS as one of the core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global regions and of the PPP estimates obtained by linking the CIS countries to Eurostat-OECD via Russia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(as done for the ICP 2017 cycle). </w:t>
      </w:r>
    </w:p>
    <w:p>
      <w:pPr>
        <w:autoSpaceDN w:val="0"/>
        <w:autoSpaceDE w:val="0"/>
        <w:widowControl/>
        <w:spacing w:line="262" w:lineRule="auto" w:before="154" w:after="94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With regards to the second challenge, three potential options were presented for interpolating granular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expenditure information where missing in interim years: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1.99999999999989" w:type="dxa"/>
      </w:tblPr>
      <w:tblGrid>
        <w:gridCol w:w="4716"/>
        <w:gridCol w:w="4716"/>
      </w:tblGrid>
      <w:tr>
        <w:trPr>
          <w:trHeight w:hRule="exact" w:val="682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I.</w:t>
            </w:r>
          </w:p>
        </w:tc>
        <w:tc>
          <w:tcPr>
            <w:tcW w:type="dxa" w:w="8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0" w:after="0"/>
              <w:ind w:left="1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 maintain linear weights from 2017 and 2021, as employed for the 2011-2017 timeseries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estimation. </w:t>
            </w:r>
          </w:p>
        </w:tc>
      </w:tr>
    </w:tbl>
    <w:p>
      <w:pPr>
        <w:autoSpaceDN w:val="0"/>
        <w:autoSpaceDE w:val="0"/>
        <w:widowControl/>
        <w:spacing w:line="264" w:lineRule="auto" w:before="46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 </w:t>
      </w:r>
    </w:p>
    <w:p>
      <w:pPr>
        <w:sectPr>
          <w:pgSz w:w="12240" w:h="15840"/>
          <w:pgMar w:top="710" w:right="1370" w:bottom="490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715"/>
        <w:gridCol w:w="4715"/>
      </w:tblGrid>
      <w:tr>
        <w:trPr>
          <w:trHeight w:hRule="exact" w:val="1162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II.</w:t>
            </w:r>
          </w:p>
          <w:p>
            <w:pPr>
              <w:autoSpaceDN w:val="0"/>
              <w:autoSpaceDE w:val="0"/>
              <w:widowControl/>
              <w:spacing w:line="264" w:lineRule="auto" w:before="242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III.</w:t>
            </w:r>
          </w:p>
        </w:tc>
        <w:tc>
          <w:tcPr>
            <w:tcW w:type="dxa" w:w="8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80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 estimate non-linear weights in interim years, in order to approximate the expenditure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structure for interim year 2020 closer to 2021, and for interim years 2018 and 2019 closer to 2017.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 not estimate any weights and apply the 2021 expenditure structure to 2020, and the 2017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structure to 2018 and 2019. </w:t>
            </w:r>
          </w:p>
        </w:tc>
      </w:tr>
    </w:tbl>
    <w:p>
      <w:pPr>
        <w:autoSpaceDN w:val="0"/>
        <w:autoSpaceDE w:val="0"/>
        <w:widowControl/>
        <w:spacing w:line="259" w:lineRule="auto" w:before="20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TAG agreed to proceed with option III: applying the expenditure structure as reported in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benchmark year 2017 to the interim years 2018 and 2019, and to apply the expenditure structure 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reported in the benchmark year 2021 to the interim year 2020. </w:t>
      </w:r>
    </w:p>
    <w:p>
      <w:pPr>
        <w:autoSpaceDN w:val="0"/>
        <w:autoSpaceDE w:val="0"/>
        <w:widowControl/>
        <w:spacing w:line="262" w:lineRule="auto" w:before="1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Approach to produce ICP 2021 cycle non-benchmark country estimates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9" w:lineRule="auto" w:before="15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Mizuki Yamanaka, World Bank, </w:t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hyperlink r:id="rId18" w:history="1">
          <w:r>
            <w:rPr>
              <w:rStyle w:val="Hyperlink"/>
            </w:rPr>
            <w:t>presented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on plans for producing ICP 2021 results for non-benchmark </w:t>
      </w:r>
      <w:r>
        <w:rPr>
          <w:rFonts w:ascii="Calibri" w:hAnsi="Calibri" w:eastAsia="Calibri"/>
          <w:b w:val="0"/>
          <w:i w:val="0"/>
          <w:color w:val="000000"/>
          <w:sz w:val="22"/>
        </w:rPr>
        <w:t>countries. The presentation co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8" w:history="1">
          <w:r>
            <w:rPr>
              <w:rStyle w:val="Hyperlink"/>
            </w:rPr>
            <w:t xml:space="preserve">vered the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extension of non-benchmark imputation to include Actual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Individual Consumption (AIC) and the application of imputation, retro/extrapolation, or interpolation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economies with varying participation status. </w:t>
      </w:r>
    </w:p>
    <w:p>
      <w:pPr>
        <w:autoSpaceDN w:val="0"/>
        <w:autoSpaceDE w:val="0"/>
        <w:widowControl/>
        <w:spacing w:line="259" w:lineRule="auto" w:before="15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It was noted that the inclusion of AIC with ICP 2017 results was tested by including AIC in the model in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current method of seemingly unrelated regression (SUR) alongside Gross Domestic Product (GDP)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household consumption (HHC). The results demonstrated that the estimated AIC-level PPPs are in line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with those of GDP and HHC, and the inclusion of AIC in the SUR method had minimum impacts on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estimation of GDP and HHC estimation in comparison to the original estimation. Therefore, it was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suggested to include AIC in the imputation for ICP 2021 cycle. </w:t>
      </w:r>
    </w:p>
    <w:p>
      <w:pPr>
        <w:autoSpaceDN w:val="0"/>
        <w:autoSpaceDE w:val="0"/>
        <w:widowControl/>
        <w:spacing w:line="259" w:lineRule="auto" w:before="15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Furthermore, for countries with varying participation cycles over recent ICP cycles, specific cases where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inconsistency issues can possibly arise due to a change in estimation method were summarized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discussed to confirm the principle ICP 2021 approach for the specific cases. </w:t>
      </w:r>
    </w:p>
    <w:p>
      <w:pPr>
        <w:autoSpaceDN w:val="0"/>
        <w:autoSpaceDE w:val="0"/>
        <w:widowControl/>
        <w:spacing w:line="259" w:lineRule="auto" w:before="15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TAG endorsed the inclusion of AIC estimates for non-benchmark countries, noting their usefulness in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assessing the material well-being of households. The TAG confirmed the principle of respecting the most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recent benchmark data if it exists and employing imputation only where no benchmark data or no reliable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data for extrapolation exists. Therefore, for a country that is participating in the 2021 cycle but was not in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2017 cycle, 2021 results should be retropolated to 2017. Where 2011 was the most recent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participation cycle, as far as extrapolation factors such as the Consumer Price Index are regarded 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reliable, it needs to be extrapolated from 2011 benchmark data. However, where extrapolation factors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are assessed as unreliable, imputation would be considered. Furthermore, the length of period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extrapolation from the last benchmark year would need to be assessed carefully in each cycle to avoid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unreasonably long-term extrapolation. The availability of underlying data for extrapolation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imputation will be assessed for each case, and calculating results for 2017-2021 will be tested once final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benchmark data are available. The TAG will be consulted in case any further consideration is necessary. </w:t>
      </w:r>
    </w:p>
    <w:p>
      <w:pPr>
        <w:autoSpaceDN w:val="0"/>
        <w:autoSpaceDE w:val="0"/>
        <w:widowControl/>
        <w:spacing w:line="264" w:lineRule="auto" w:before="1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Plans for the ICP 2021 cycle release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9" w:lineRule="auto" w:before="15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Marko Rissanen, World Bank,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hyperlink r:id="rId19" w:history="1">
          <w:r>
            <w:rPr>
              <w:rStyle w:val="Hyperlink"/>
            </w:rPr>
            <w:t>presented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plans for the global release of the ICP 2021 cycle results which </w:t>
      </w:r>
      <w:r>
        <w:rPr>
          <w:rFonts w:ascii="Calibri" w:hAnsi="Calibri" w:eastAsia="Calibri"/>
          <w:b w:val="0"/>
          <w:i w:val="0"/>
          <w:color w:val="000000"/>
          <w:sz w:val="22"/>
        </w:rPr>
        <w:t>would comprise revised 2017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9" w:history="1">
          <w:r>
            <w:rPr>
              <w:rStyle w:val="Hyperlink"/>
            </w:rPr>
            <w:t xml:space="preserve"> PPPs, 202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 PPPs, and a 2018-2020 PPP time series. A new publication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heading of “Total Consumption Expenditure” – the sum of households and NPISH final consumption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expenditure and individual consumption expenditure by government and collective consumption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expenditure by government – was suggested, bringing the total number of published headings to 45. It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was also proposed to introduce a new indicator “Expenditure component share of AIC (AIC = 100%)”. </w:t>
      </w:r>
    </w:p>
    <w:p>
      <w:pPr>
        <w:autoSpaceDN w:val="0"/>
        <w:autoSpaceDE w:val="0"/>
        <w:widowControl/>
        <w:spacing w:line="264" w:lineRule="auto" w:before="22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 </w:t>
      </w:r>
    </w:p>
    <w:p>
      <w:pPr>
        <w:sectPr>
          <w:pgSz w:w="12240" w:h="15840"/>
          <w:pgMar w:top="710" w:right="1370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Furthermore, it was noted that the PPP timeseries for inter-benchmark years was published for six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headings: GDP; actual individual consumption; households and NPISH final consumption expenditure;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general government final consumption expenditure; gross fixed capital formation; and domestic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absorption. </w:t>
      </w:r>
    </w:p>
    <w:p>
      <w:pPr>
        <w:autoSpaceDN w:val="0"/>
        <w:autoSpaceDE w:val="0"/>
        <w:widowControl/>
        <w:spacing w:line="259" w:lineRule="auto" w:before="15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Lastly, it was proposed that the ICP 2021 global report focus on main results and analyses, methodology,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issues specific to the 2021 cycle and thus would be a more concise publication than that for the 2017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cycle, which included many data tables and appendices of program information, all of which will be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available online. </w:t>
      </w:r>
    </w:p>
    <w:p>
      <w:pPr>
        <w:autoSpaceDN w:val="0"/>
        <w:autoSpaceDE w:val="0"/>
        <w:widowControl/>
        <w:spacing w:line="259" w:lineRule="auto" w:before="15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Subsequently, the regional implementing agencies reported on their release plans. ADB noted that their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release plans will be similar to 2017 with the same publication levels and indicators as the global report,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with less emphasis on the history of the program and approaches than before. A chapter on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approach to housing PPPs will be included as will a discussion of the impact of COVID-19 on expenditure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shares. US dollar-based PPPs will also be included in ADB’s database. A meeting with regional economies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will be held before the release to share results. UN-ECLAC noted that a press release will be issued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coincide with the global release, and a workshop will be held at the end of quarter 1, 2024 to share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regional results. A report will be released during 2024. AfDB reported that its regional report will not cover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methodology or substantive background information, and will focus on data and analyses including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African trade market. A discussion of subnational PPPs produced for South Africa will also be included.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UN-ESCWA reported that it routinely publishes annual PPPs in December of each year, and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forthcoming release will include 2019 – 2021 PPPs and 2022-2023 PPP forecasts. After the global release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revised regional report will be issued and will reflect US dollar-based estimates. Eurostat will issue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press release referencing the global results, and the OECD will issue a press release, and potentially an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additional blog. </w:t>
      </w:r>
    </w:p>
    <w:p>
      <w:pPr>
        <w:autoSpaceDN w:val="0"/>
        <w:autoSpaceDE w:val="0"/>
        <w:widowControl/>
        <w:spacing w:line="259" w:lineRule="auto" w:before="15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TAG endorsed the new publication heading “Total Consumption Expenditure” and indicator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“Expenditure component share of AIC (AIC = 100%)” and welcomed a reduced global report with blogs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articles following the release focusing on specific analyses and subject areas. The final review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published details will be made at the forthcoming TAG meeting. </w:t>
      </w:r>
    </w:p>
    <w:p>
      <w:pPr>
        <w:autoSpaceDN w:val="0"/>
        <w:autoSpaceDE w:val="0"/>
        <w:widowControl/>
        <w:spacing w:line="274" w:lineRule="auto" w:before="60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Session IV: ICP Research Agenda (cont’d) </w:t>
      </w:r>
    </w:p>
    <w:p>
      <w:pPr>
        <w:autoSpaceDN w:val="0"/>
        <w:autoSpaceDE w:val="0"/>
        <w:widowControl/>
        <w:spacing w:line="262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Item 04: Fine Tuning Global Linking Procedures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62" w:lineRule="auto" w:before="1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Yuri Dikhanov, World Bank provided a presentation and document on fine tuning global linking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procedures. </w:t>
      </w:r>
    </w:p>
    <w:p>
      <w:pPr>
        <w:autoSpaceDN w:val="0"/>
        <w:autoSpaceDE w:val="0"/>
        <w:widowControl/>
        <w:spacing w:line="259" w:lineRule="auto" w:before="15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The paper</w:t>
      </w:r>
      <w:r>
        <w:rPr>
          <w:rFonts w:ascii="Calibri" w:hAnsi="Calibri" w:eastAsia="Calibri"/>
          <w:b w:val="0"/>
          <w:i w:val="0"/>
          <w:color w:val="000000"/>
          <w:sz w:val="14"/>
        </w:rPr>
        <w:t>1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was written as a continuation and a formal write-up of the presentation given at the previous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>TAG meeting on the same topic. The paper deals with the effects in regional linking arising from the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uneven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number of countries per region leading to “larger” regions having a disproportionate impact 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global comparison. Under the current methodology this results in Africa having three times more </w:t>
      </w:r>
      <w:r>
        <w:rPr>
          <w:rFonts w:ascii="Calibri" w:hAnsi="Calibri" w:eastAsia="Calibri"/>
          <w:b w:val="0"/>
          <w:i w:val="0"/>
          <w:color w:val="000000"/>
          <w:sz w:val="22"/>
        </w:rPr>
        <w:t>weight than Asia in the calculation of global PPPs, despite having a smaller share of global GDP.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paper </w:t>
      </w:r>
    </w:p>
    <w:p>
      <w:pPr>
        <w:autoSpaceDN w:val="0"/>
        <w:autoSpaceDE w:val="0"/>
        <w:widowControl/>
        <w:spacing w:line="262" w:lineRule="auto" w:before="6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3"/>
        </w:rPr>
        <w:t>1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“</w:t>
      </w:r>
      <w:r>
        <w:rPr>
          <w:rFonts w:ascii="Calibri" w:hAnsi="Calibri" w:eastAsia="Calibri"/>
          <w:b w:val="0"/>
          <w:i w:val="0"/>
          <w:color w:val="000000"/>
          <w:sz w:val="22"/>
        </w:rPr>
        <w:t>Improving the ICP inter-regional linking procedure”, Dikhanov (2023).</w:t>
      </w:r>
    </w:p>
    <w:p>
      <w:pPr>
        <w:autoSpaceDN w:val="0"/>
        <w:autoSpaceDE w:val="0"/>
        <w:widowControl/>
        <w:spacing w:line="264" w:lineRule="auto" w:before="15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 </w:t>
      </w:r>
    </w:p>
    <w:p>
      <w:pPr>
        <w:sectPr>
          <w:pgSz w:w="12240" w:h="15840"/>
          <w:pgMar w:top="710" w:right="1370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suggests an alternative method to address this issue</w:t>
      </w:r>
      <w:r>
        <w:rPr>
          <w:rFonts w:ascii="Calibri" w:hAnsi="Calibri" w:eastAsia="Calibri"/>
          <w:b w:val="0"/>
          <w:i w:val="0"/>
          <w:color w:val="000000"/>
          <w:sz w:val="22"/>
        </w:rPr>
        <w:t>, by using several index numbers which were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>introduced and formalized to minimize this effect. Several case studies were considered, and the best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>index number for this purpose was found to be the Geometric IDB [Ikle-Dikhanov-Balk] index, which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eliminates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disproportionate impact of regions with a higher number of countries. </w:t>
      </w:r>
    </w:p>
    <w:p>
      <w:pPr>
        <w:autoSpaceDN w:val="0"/>
        <w:autoSpaceDE w:val="0"/>
        <w:widowControl/>
        <w:spacing w:line="259" w:lineRule="auto" w:before="15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desirability of a neutral linking method is also not settled since, if global PPPs were calculated with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World as a single region, continents with more countries would naturally contribute more to the global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calculation, a reality also reflected in the current method. Nevertheless, the stability of global PPPs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lower impact of those particular basic headings that are difficult to compare are desirable properties,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which require further assessment. </w:t>
      </w:r>
    </w:p>
    <w:p>
      <w:pPr>
        <w:autoSpaceDN w:val="0"/>
        <w:autoSpaceDE w:val="0"/>
        <w:widowControl/>
        <w:spacing w:line="259" w:lineRule="auto" w:before="15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Overall, the TAG acknowledged the importance of refining the ICP methodology and suggested forming a </w:t>
      </w:r>
      <w:r>
        <w:rPr>
          <w:rFonts w:ascii="Calibri" w:hAnsi="Calibri" w:eastAsia="Calibri"/>
          <w:b w:val="0"/>
          <w:i w:val="0"/>
          <w:color w:val="000000"/>
          <w:sz w:val="22"/>
        </w:rPr>
        <w:t>dedicated Task Force to further discuss and advance the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hyperlink r:id="rId20" w:history="1">
          <w:r>
            <w:rPr>
              <w:rStyle w:val="Hyperlink"/>
            </w:rPr>
            <w:t>ICP Research Agenda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item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21" w:history="1">
          <w:r>
            <w:rPr>
              <w:rStyle w:val="Hyperlink"/>
            </w:rPr>
            <w:t>“</w:t>
          </w:r>
        </w:hyperlink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hyperlink r:id="rId21" w:history="1">
          <w:r>
            <w:rPr>
              <w:rStyle w:val="Hyperlink"/>
            </w:rPr>
            <w:t>04: Fine Tuning Global</w:t>
          </w:r>
        </w:hyperlink>
      </w:r>
      <w:r>
        <w:rPr>
          <w:rFonts w:ascii="Calibri" w:hAnsi="Calibri" w:eastAsia="Calibri"/>
          <w:b w:val="0"/>
          <w:i w:val="0"/>
          <w:color w:val="0563C1"/>
          <w:sz w:val="22"/>
        </w:rPr>
        <w:t xml:space="preserve"> </w:t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hyperlink r:id="rId21" w:history="1">
          <w:r>
            <w:rPr>
              <w:rStyle w:val="Hyperlink"/>
            </w:rPr>
            <w:t>Linking Procedures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”. The ICP Global Office will establish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20" w:history="1">
          <w:r>
            <w:rPr>
              <w:rStyle w:val="Hyperlink"/>
            </w:rPr>
            <w:t xml:space="preserve"> the Task Force for the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forth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21" w:history="1">
          <w:r>
            <w:rPr>
              <w:rStyle w:val="Hyperlink"/>
            </w:rPr>
            <w:t xml:space="preserve">coming ICP 2024 cycle. </w:t>
          </w:r>
        </w:hyperlink>
      </w:r>
    </w:p>
    <w:p>
      <w:pPr>
        <w:autoSpaceDN w:val="0"/>
        <w:autoSpaceDE w:val="0"/>
        <w:widowControl/>
        <w:spacing w:line="264" w:lineRule="auto" w:before="1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hyperlink r:id="rId21" w:history="1">
          <w:r>
            <w:rPr>
              <w:rStyle w:val="Hyperlink"/>
            </w:rPr>
            <w:t>Item 01: Compilatio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n of PPP Time Series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9" w:lineRule="auto" w:before="1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Marko Rissanen, World Bank,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hyperlink r:id="rId22" w:history="1">
          <w:r>
            <w:rPr>
              <w:rStyle w:val="Hyperlink"/>
            </w:rPr>
            <w:t>presented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on plans for the compilation of PPP time series and referenced </w:t>
      </w:r>
      <w:r>
        <w:rPr>
          <w:rFonts w:ascii="Calibri" w:hAnsi="Calibri" w:eastAsia="Calibri"/>
          <w:b w:val="0"/>
          <w:i w:val="0"/>
          <w:color w:val="000000"/>
          <w:sz w:val="22"/>
        </w:rPr>
        <w:t>the background to the initiat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22" w:history="1">
          <w:r>
            <w:rPr>
              <w:rStyle w:val="Hyperlink"/>
            </w:rPr>
            <w:t>ive through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 longstanding discussion by the TAG. The recent benefits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more frequent ICP comparisons were noted, in terms of stable methodology and national, regional,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global operations, and less reliance on extended extrapolations at aggregated level, which have resulted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more stable results and general acceptance by users of ICP results. At the same time, users today expect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more frequent and recent data, and thus it was suggested that the ICP should consider the production of </w:t>
      </w:r>
      <w:r>
        <w:rPr>
          <w:rFonts w:ascii="Calibri" w:hAnsi="Calibri" w:eastAsia="Calibri"/>
          <w:b w:val="0"/>
          <w:i w:val="0"/>
          <w:color w:val="000000"/>
          <w:sz w:val="22"/>
        </w:rPr>
        <w:t>annual PPPs at the global level. It was noted that annual PPPs are currently produced by the Eurostat-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OECD and Western Asia programs. An outline of possible approach to produce annual PPPs was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subsequently presented, with a note on the importance of ensuring the relevance and longevity of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ICP for coming years. </w:t>
      </w:r>
    </w:p>
    <w:p>
      <w:pPr>
        <w:autoSpaceDN w:val="0"/>
        <w:autoSpaceDE w:val="0"/>
        <w:widowControl/>
        <w:spacing w:line="259" w:lineRule="auto" w:before="15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TAG asked how GDP updates are currently incorporated, and it was noted that the World Bank’s </w:t>
      </w:r>
      <w:r>
        <w:rPr>
          <w:rFonts w:ascii="Calibri" w:hAnsi="Calibri" w:eastAsia="Calibri"/>
          <w:b w:val="0"/>
          <w:i/>
          <w:color w:val="000000"/>
          <w:sz w:val="22"/>
        </w:rPr>
        <w:t>World Development Indicators (WDI)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incorporates recent GDP updates frequently, but the ICP does not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incorporate new GDP estimates in its PPP calculations, aside of when revised benchmark results are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released. It was also discussed why the proposed the annual PPP approach had not been introduced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earlier. It was noted that that in principle and in theory there are no obstacles, but the limitation has been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maturity of the program and available resources. It was noted that the Eurostat-OECD approach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producing annual PPPs was based on the principle of spreading the workload evenly over the years,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which helped to ensure the sustainability of resources. The Western Asia approach to produce annual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regional PPPs was also discussed. Lastly, it was noted that a clear plan to produce annual PPPs should be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articulated, coupled with discussion on available resources. </w:t>
      </w:r>
    </w:p>
    <w:p>
      <w:pPr>
        <w:autoSpaceDN w:val="0"/>
        <w:autoSpaceDE w:val="0"/>
        <w:widowControl/>
        <w:spacing w:line="259" w:lineRule="auto" w:before="1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summary, the TAG supported plans to move to annual production. The Chair noted the successful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annual PPP production in the Eurostat-OECD Programme and in Western Asia. He also noted timeliness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frequent updates were important to users. While additional costs and capacity building may be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needed, the increased frequency may bring about improvements in institutional knowledge. Noting that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there would be different timetables and organizational challenges in achieving this across the regions,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>Chair welcomed the proposal to prepare a discussion paper. Lastly, the Chair acknowledged that longer-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term funding may be needed if annual PPPs are to be estimated in all ICP regions. </w:t>
      </w:r>
    </w:p>
    <w:p>
      <w:pPr>
        <w:autoSpaceDN w:val="0"/>
        <w:autoSpaceDE w:val="0"/>
        <w:widowControl/>
        <w:spacing w:line="264" w:lineRule="auto" w:before="58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 </w:t>
      </w:r>
    </w:p>
    <w:p>
      <w:pPr>
        <w:sectPr>
          <w:pgSz w:w="12240" w:h="15840"/>
          <w:pgMar w:top="710" w:right="1370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Session IV: New Uses and Applications of ICP PPPs and Data </w:t>
      </w:r>
    </w:p>
    <w:p>
      <w:pPr>
        <w:autoSpaceDN w:val="0"/>
        <w:autoSpaceDE w:val="0"/>
        <w:widowControl/>
        <w:spacing w:line="262" w:lineRule="auto" w:before="168" w:after="0"/>
        <w:ind w:left="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Update on using PPPs in World Bank income classifications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62" w:lineRule="auto" w:before="154" w:after="0"/>
        <w:ind w:left="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Catherine Van Rompaey, World Bank presented on the potential use of PPPs to update the World Bank’s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income classifications including progress since the report to the TAG at its previous meeting. </w:t>
      </w:r>
    </w:p>
    <w:p>
      <w:pPr>
        <w:autoSpaceDN w:val="0"/>
        <w:autoSpaceDE w:val="0"/>
        <w:widowControl/>
        <w:spacing w:line="259" w:lineRule="auto" w:before="156" w:after="0"/>
        <w:ind w:left="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It was noted that the current World Bank income classifications are based on market exchange rates,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while the World Bank’s support for using PPPs in country income classifications dates back 40 years.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However, PPPs have not been utilized thus far, as PPP calculations at the global level lacked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methodological stability and regularity to make it viable. With the current status of the ICP program, these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issues have been largely resolved, as the ICP has yielded PPP measures of improved quality and frequency,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anchored in regular ICP benchmarks. The resulting PPP-based GNI per capita measures would be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comparable and aligned with the World Bank’s measurement objectives. Therefore the PPP-based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method could be adopted to classify economies by income levels for both analytical and operational uses. </w:t>
      </w:r>
    </w:p>
    <w:p>
      <w:pPr>
        <w:autoSpaceDN w:val="0"/>
        <w:autoSpaceDE w:val="0"/>
        <w:widowControl/>
        <w:spacing w:line="259" w:lineRule="auto" w:before="154" w:after="0"/>
        <w:ind w:left="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It was noted that since the previous ICP TAG meeting, consultations with internal stakeholders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external partners had been conducted. Potential adoption of the new approach using PPPs and the timing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the implementation will be confirmed pending broader consultations within the World Bank. </w:t>
      </w:r>
    </w:p>
    <w:p>
      <w:pPr>
        <w:autoSpaceDN w:val="0"/>
        <w:autoSpaceDE w:val="0"/>
        <w:widowControl/>
        <w:spacing w:line="259" w:lineRule="auto" w:before="154" w:after="0"/>
        <w:ind w:left="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Subsequently, Prasada Rao was invited as a discussant and presented his response and suggestions for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revision of the threshold when new ICP benchmark results are released. He noted that except when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PPPs are extrapolated with relative-inflation measures, updating thresholds with the inflation of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reference country (US) does not accurately reflect the real growth of the countries in the classification.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numerical example exhibited the need for further adjustments to the thresholds accounting for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difference between inflation measures and changes in PPPs in different countries. It was pointed out that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it would require the identification of the group of countries that form the basis for updating a particular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threshold. Therefore, further work is necessary to fine-tune the PPP-based approach especially when new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ICP benchmark results are incorporated into the classification. Another practical approach would be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apply the same process when moving from the market exchange rate-based classifications to PPP-based,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namely, maintaining the number of countries in each category, and re-estimating the thresholds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accordingly. </w:t>
      </w:r>
    </w:p>
    <w:p>
      <w:pPr>
        <w:autoSpaceDN w:val="0"/>
        <w:autoSpaceDE w:val="0"/>
        <w:widowControl/>
        <w:spacing w:line="259" w:lineRule="auto" w:before="154" w:after="0"/>
        <w:ind w:left="0" w:right="22" w:firstLine="2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Acknowledging the recent progress, the TAG reconfirmed that the move to PPP-based classifications is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important to reflect the reality of economies within the global economy, and that its adoption would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improve the visibility of ICP data. The TAG also recognized the need for further testing and fine-tuning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methodology for the threshold update for benchmark replacement to identify pragmatic adjustment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mechanisms. </w:t>
      </w:r>
    </w:p>
    <w:p>
      <w:pPr>
        <w:autoSpaceDN w:val="0"/>
        <w:autoSpaceDE w:val="0"/>
        <w:widowControl/>
        <w:spacing w:line="271" w:lineRule="auto" w:before="602" w:after="0"/>
        <w:ind w:left="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Any other Business </w:t>
      </w:r>
    </w:p>
    <w:p>
      <w:pPr>
        <w:autoSpaceDN w:val="0"/>
        <w:autoSpaceDE w:val="0"/>
        <w:widowControl/>
        <w:spacing w:line="259" w:lineRule="auto" w:before="168" w:after="0"/>
        <w:ind w:left="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Per the request of the Chair, Inyoung Song, World Bank, </w:t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hyperlink r:id="rId23" w:history="1">
          <w:r>
            <w:rPr>
              <w:rStyle w:val="Hyperlink"/>
            </w:rPr>
            <w:t>presented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on the new COICOP 2018 classification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how it differs from the current  </w:t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hyperlink r:id="rId24" w:history="1">
          <w:r>
            <w:rPr>
              <w:rStyle w:val="Hyperlink"/>
            </w:rPr>
            <w:t xml:space="preserve">ICP Classification of </w:t>
          </w:r>
        </w:hyperlink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hyperlink r:id="rId23" w:history="1">
          <w:r>
            <w:rPr>
              <w:rStyle w:val="Hyperlink"/>
            </w:rPr>
            <w:t>Final Expen</w:t>
          </w:r>
        </w:hyperlink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hyperlink r:id="rId24" w:history="1">
          <w:r>
            <w:rPr>
              <w:rStyle w:val="Hyperlink"/>
            </w:rPr>
            <w:t>diture on GDP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24" w:history="1">
          <w:r>
            <w:rPr>
              <w:rStyle w:val="Hyperlink"/>
            </w:rPr>
            <w:t>.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It was noted that many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countries have already adopted or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24" w:history="1">
          <w:r>
            <w:rPr>
              <w:rStyle w:val="Hyperlink"/>
            </w:rPr>
            <w:t>are initiating a transition to COICOP 2018. The C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OICOP 2018 introduces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(i) a detailed Subclass, which is equivalent to the ICP Basic Heading level, (ii) a systematic separation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goods and services, and (iii) modernized goods and services. Furthermore, below the ICP Category Level, </w:t>
      </w:r>
    </w:p>
    <w:p>
      <w:pPr>
        <w:autoSpaceDN w:val="0"/>
        <w:autoSpaceDE w:val="0"/>
        <w:widowControl/>
        <w:spacing w:line="264" w:lineRule="auto" w:before="30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9 </w:t>
      </w:r>
    </w:p>
    <w:p>
      <w:pPr>
        <w:sectPr>
          <w:pgSz w:w="12240" w:h="15840"/>
          <w:pgMar w:top="710" w:right="1370" w:bottom="490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COICOP 2018 includes more headings in each classification level: this change and the overall revision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create challenges for matching COICOP 2018 and ICP Classification. The challenges include inconsistent </w:t>
      </w:r>
      <w:r>
        <w:rPr>
          <w:rFonts w:ascii="Calibri" w:hAnsi="Calibri" w:eastAsia="Calibri"/>
          <w:b w:val="0"/>
          <w:i w:val="0"/>
          <w:color w:val="000000"/>
          <w:sz w:val="22"/>
        </w:rPr>
        <w:t>merging and re-splitting of headings, new headings adding new items to be priced, and shifting lower-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level headings to different higher-level headings. The challenges not only affect priced item matching, but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also impacts national accounts expenditures. However, the benefits of having a single classification for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ICP, CPI, and National Accounts purposes were also highlighted. The presentation concluded that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Global Office would consult the regional implementing agencies, experts, and other organizations 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possible revisions of the ICP Classification. For the ICP 2024 cycle, it was noted that linking Eurostat-OECD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PPP results, which would follow the COICOP 2018 classification for selected years, with the rest of the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regions should be further investigated. </w:t>
      </w:r>
    </w:p>
    <w:p>
      <w:pPr>
        <w:autoSpaceDN w:val="0"/>
        <w:autoSpaceDE w:val="0"/>
        <w:widowControl/>
        <w:spacing w:line="262" w:lineRule="auto" w:before="1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TAG agreed that more work is needed to assess the extent of ICP Classification revision necessary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recommended that this agenda item be discussed at the next TAG meeting. </w:t>
      </w:r>
    </w:p>
    <w:p>
      <w:pPr>
        <w:autoSpaceDN w:val="0"/>
        <w:autoSpaceDE w:val="0"/>
        <w:widowControl/>
        <w:spacing w:line="262" w:lineRule="auto" w:before="1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TAG agreed to hold the next meeting in early 2024 with the focus on reviewing the ICP 2021 cycle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results. </w:t>
      </w:r>
    </w:p>
    <w:p>
      <w:pPr>
        <w:autoSpaceDN w:val="0"/>
        <w:autoSpaceDE w:val="0"/>
        <w:widowControl/>
        <w:spacing w:line="264" w:lineRule="auto" w:before="876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10 </w:t>
      </w:r>
    </w:p>
    <w:p>
      <w:pPr>
        <w:sectPr>
          <w:pgSz w:w="12240" w:h="15840"/>
          <w:pgMar w:top="710" w:right="1370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Annex 1: Meeting Agenda </w:t>
      </w:r>
    </w:p>
    <w:p>
      <w:pPr>
        <w:autoSpaceDN w:val="0"/>
        <w:autoSpaceDE w:val="0"/>
        <w:widowControl/>
        <w:spacing w:line="274" w:lineRule="auto" w:before="142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FFFFFF"/>
          <w:sz w:val="22"/>
        </w:rPr>
        <w:t xml:space="preserve">Day 1: Monday, November 6, 2023 </w:t>
      </w:r>
    </w:p>
    <w:p>
      <w:pPr>
        <w:autoSpaceDN w:val="0"/>
        <w:tabs>
          <w:tab w:pos="2188" w:val="left"/>
        </w:tabs>
        <w:autoSpaceDE w:val="0"/>
        <w:widowControl/>
        <w:spacing w:line="274" w:lineRule="auto" w:before="232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09:00 – 09:15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Welcome and opening remarks </w:t>
      </w:r>
    </w:p>
    <w:p>
      <w:pPr>
        <w:autoSpaceDN w:val="0"/>
        <w:autoSpaceDE w:val="0"/>
        <w:widowControl/>
        <w:spacing w:line="274" w:lineRule="auto" w:before="232" w:after="17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SESSION I: Update on the ICP 2021 cycle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145"/>
        <w:gridCol w:w="3145"/>
        <w:gridCol w:w="3145"/>
      </w:tblGrid>
      <w:tr>
        <w:trPr>
          <w:trHeight w:hRule="exact" w:val="440"/>
        </w:trPr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60" w:after="0"/>
              <w:ind w:left="2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09:15 – 10:30 </w:t>
            </w:r>
          </w:p>
          <w:p>
            <w:pPr>
              <w:autoSpaceDN w:val="0"/>
              <w:autoSpaceDE w:val="0"/>
              <w:widowControl/>
              <w:spacing w:line="274" w:lineRule="auto" w:before="14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44546A"/>
                <w:sz w:val="22"/>
              </w:rPr>
              <w:t xml:space="preserve">10:30 – 10:45 Break </w:t>
            </w:r>
          </w:p>
        </w:tc>
        <w:tc>
          <w:tcPr>
            <w:tcW w:type="dxa" w:w="6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60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Update on the ICP 2021 cycle </w:t>
            </w:r>
          </w:p>
        </w:tc>
      </w:tr>
      <w:tr>
        <w:trPr>
          <w:trHeight w:hRule="exact" w:val="356"/>
        </w:trPr>
        <w:tc>
          <w:tcPr>
            <w:tcW w:type="dxa" w:w="3145"/>
            <w:vMerge/>
            <w:tcBorders/>
          </w:tcPr>
          <w:p/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0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Overall timeline, participation, and survey status </w:t>
            </w:r>
          </w:p>
        </w:tc>
      </w:tr>
      <w:tr>
        <w:trPr>
          <w:trHeight w:hRule="exact" w:val="264"/>
        </w:trPr>
        <w:tc>
          <w:tcPr>
            <w:tcW w:type="dxa" w:w="3145"/>
            <w:vMerge/>
            <w:tcBorders/>
          </w:tcPr>
          <w:p/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Governance and coordination activities </w:t>
            </w:r>
          </w:p>
        </w:tc>
      </w:tr>
      <w:tr>
        <w:trPr>
          <w:trHeight w:hRule="exact" w:val="272"/>
        </w:trPr>
        <w:tc>
          <w:tcPr>
            <w:tcW w:type="dxa" w:w="3145"/>
            <w:vMerge/>
            <w:tcBorders/>
          </w:tcPr>
          <w:p/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Update on the replicability and transparency of ICP results </w:t>
            </w:r>
          </w:p>
        </w:tc>
      </w:tr>
      <w:tr>
        <w:trPr>
          <w:trHeight w:hRule="exact" w:val="268"/>
        </w:trPr>
        <w:tc>
          <w:tcPr>
            <w:tcW w:type="dxa" w:w="3145"/>
            <w:vMerge/>
            <w:tcBorders/>
          </w:tcPr>
          <w:p/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Data submission and assessment status </w:t>
            </w:r>
          </w:p>
        </w:tc>
      </w:tr>
      <w:tr>
        <w:trPr>
          <w:trHeight w:hRule="exact" w:val="620"/>
        </w:trPr>
        <w:tc>
          <w:tcPr>
            <w:tcW w:type="dxa" w:w="3145"/>
            <w:vMerge/>
            <w:tcBorders/>
          </w:tcPr>
          <w:p/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Knowledge and outreach activities and recent uses </w:t>
            </w:r>
          </w:p>
        </w:tc>
      </w:tr>
    </w:tbl>
    <w:p>
      <w:pPr>
        <w:autoSpaceDN w:val="0"/>
        <w:autoSpaceDE w:val="0"/>
        <w:widowControl/>
        <w:spacing w:line="274" w:lineRule="auto" w:before="82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SESSION II: ICP Research Agenda (First Session) </w:t>
      </w:r>
    </w:p>
    <w:p>
      <w:pPr>
        <w:autoSpaceDN w:val="0"/>
        <w:tabs>
          <w:tab w:pos="2188" w:val="left"/>
        </w:tabs>
        <w:autoSpaceDE w:val="0"/>
        <w:widowControl/>
        <w:spacing w:line="274" w:lineRule="auto" w:before="230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10:45– 11:45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Item 02: PPPs and Real Expenditures for Dwelling Services in Asia </w:t>
      </w:r>
    </w:p>
    <w:p>
      <w:pPr>
        <w:autoSpaceDN w:val="0"/>
        <w:autoSpaceDE w:val="0"/>
        <w:widowControl/>
        <w:spacing w:line="274" w:lineRule="auto" w:before="232" w:after="352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SESSION III: Preliminary ICP 2021 cycle results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145"/>
        <w:gridCol w:w="3145"/>
        <w:gridCol w:w="3145"/>
      </w:tblGrid>
      <w:tr>
        <w:trPr>
          <w:trHeight w:hRule="exact" w:val="424"/>
        </w:trPr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60" w:after="0"/>
              <w:ind w:left="2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11:45 – 12:30 </w:t>
            </w:r>
          </w:p>
          <w:p>
            <w:pPr>
              <w:autoSpaceDN w:val="0"/>
              <w:autoSpaceDE w:val="0"/>
              <w:widowControl/>
              <w:spacing w:line="367" w:lineRule="auto" w:before="1218" w:after="0"/>
              <w:ind w:left="20" w:right="428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44546A"/>
                <w:sz w:val="22"/>
              </w:rPr>
              <w:t xml:space="preserve">12:30 – 14:00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14:00 – 15:30 </w:t>
            </w:r>
            <w:r>
              <w:rPr>
                <w:rFonts w:ascii="Calibri" w:hAnsi="Calibri" w:eastAsia="Calibri"/>
                <w:b/>
                <w:i w:val="0"/>
                <w:color w:val="44546A"/>
                <w:sz w:val="22"/>
              </w:rPr>
              <w:t xml:space="preserve">15:30 – 15:45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15:45 – 17:00 </w:t>
            </w:r>
          </w:p>
        </w:tc>
        <w:tc>
          <w:tcPr>
            <w:tcW w:type="dxa" w:w="6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60" w:after="0"/>
              <w:ind w:left="4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Preliminary 2021 results </w:t>
            </w:r>
          </w:p>
        </w:tc>
      </w:tr>
      <w:tr>
        <w:trPr>
          <w:trHeight w:hRule="exact" w:val="370"/>
        </w:trPr>
        <w:tc>
          <w:tcPr>
            <w:tcW w:type="dxa" w:w="3145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6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6" w:after="0"/>
              <w:ind w:left="1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Approach </w:t>
            </w:r>
          </w:p>
        </w:tc>
      </w:tr>
      <w:tr>
        <w:trPr>
          <w:trHeight w:hRule="exact" w:val="268"/>
        </w:trPr>
        <w:tc>
          <w:tcPr>
            <w:tcW w:type="dxa" w:w="3145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Treatment of CIS-region linking </w:t>
            </w:r>
          </w:p>
        </w:tc>
      </w:tr>
      <w:tr>
        <w:trPr>
          <w:trHeight w:hRule="exact" w:val="262"/>
        </w:trPr>
        <w:tc>
          <w:tcPr>
            <w:tcW w:type="dxa" w:w="3145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Treatment of housing linking </w:t>
            </w:r>
          </w:p>
        </w:tc>
      </w:tr>
      <w:tr>
        <w:trPr>
          <w:trHeight w:hRule="exact" w:val="274"/>
        </w:trPr>
        <w:tc>
          <w:tcPr>
            <w:tcW w:type="dxa" w:w="3145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1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Results </w:t>
            </w:r>
          </w:p>
        </w:tc>
      </w:tr>
      <w:tr>
        <w:trPr>
          <w:trHeight w:hRule="exact" w:val="1700"/>
        </w:trPr>
        <w:tc>
          <w:tcPr>
            <w:tcW w:type="dxa" w:w="3145"/>
            <w:vMerge/>
            <w:tcBorders/>
          </w:tcPr>
          <w:p/>
        </w:tc>
        <w:tc>
          <w:tcPr>
            <w:tcW w:type="dxa" w:w="6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7" w:lineRule="auto" w:before="0" w:after="0"/>
              <w:ind w:left="460" w:right="158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44546A"/>
                <w:sz w:val="22"/>
              </w:rPr>
              <w:t xml:space="preserve">Lunch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Preliminary 2021 results (Cont'd)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44546A"/>
                <w:sz w:val="22"/>
              </w:rPr>
              <w:t xml:space="preserve">Break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Approach to produce revised 2017 results </w:t>
            </w:r>
          </w:p>
        </w:tc>
      </w:tr>
    </w:tbl>
    <w:p>
      <w:pPr>
        <w:autoSpaceDN w:val="0"/>
        <w:autoSpaceDE w:val="0"/>
        <w:widowControl/>
        <w:spacing w:line="274" w:lineRule="auto" w:before="86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FFFFFF"/>
          <w:sz w:val="22"/>
        </w:rPr>
        <w:t xml:space="preserve">Day 2: Tuesday, November 7, 2023 </w:t>
      </w:r>
    </w:p>
    <w:p>
      <w:pPr>
        <w:autoSpaceDN w:val="0"/>
        <w:autoSpaceDE w:val="0"/>
        <w:widowControl/>
        <w:spacing w:line="274" w:lineRule="auto" w:before="228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SESSION III: Preliminary ICP 2021 cycle results (Cont'd) </w:t>
      </w:r>
    </w:p>
    <w:p>
      <w:pPr>
        <w:autoSpaceDN w:val="0"/>
        <w:tabs>
          <w:tab w:pos="2188" w:val="left"/>
        </w:tabs>
        <w:autoSpaceDE w:val="0"/>
        <w:widowControl/>
        <w:spacing w:line="274" w:lineRule="auto" w:before="230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09:00 – 09:45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Approach to produce 2017 – 2021 PPP time series </w:t>
      </w:r>
    </w:p>
    <w:p>
      <w:pPr>
        <w:autoSpaceDN w:val="0"/>
        <w:tabs>
          <w:tab w:pos="2188" w:val="left"/>
        </w:tabs>
        <w:autoSpaceDE w:val="0"/>
        <w:widowControl/>
        <w:spacing w:line="274" w:lineRule="auto" w:before="232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09:45 – 10:30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Approach to produce ICP 2021 cycle non-benchmark country estimates </w:t>
      </w:r>
    </w:p>
    <w:p>
      <w:pPr>
        <w:autoSpaceDN w:val="0"/>
        <w:tabs>
          <w:tab w:pos="2188" w:val="left"/>
        </w:tabs>
        <w:autoSpaceDE w:val="0"/>
        <w:widowControl/>
        <w:spacing w:line="274" w:lineRule="auto" w:before="230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10:30 – 10:45 </w:t>
      </w:r>
      <w:r>
        <w:tab/>
      </w:r>
      <w:r>
        <w:rPr>
          <w:rFonts w:ascii="Calibri" w:hAnsi="Calibri" w:eastAsia="Calibri"/>
          <w:b/>
          <w:i w:val="0"/>
          <w:color w:val="1F4E79"/>
          <w:sz w:val="22"/>
        </w:rPr>
        <w:t xml:space="preserve">Break </w:t>
      </w:r>
    </w:p>
    <w:p>
      <w:pPr>
        <w:autoSpaceDN w:val="0"/>
        <w:tabs>
          <w:tab w:pos="2188" w:val="left"/>
        </w:tabs>
        <w:autoSpaceDE w:val="0"/>
        <w:widowControl/>
        <w:spacing w:line="274" w:lineRule="auto" w:before="230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10:45 – 12:30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Plans for the ICP 2021 cycle release </w:t>
      </w:r>
    </w:p>
    <w:p>
      <w:pPr>
        <w:autoSpaceDN w:val="0"/>
        <w:tabs>
          <w:tab w:pos="2188" w:val="left"/>
        </w:tabs>
        <w:autoSpaceDE w:val="0"/>
        <w:widowControl/>
        <w:spacing w:line="274" w:lineRule="auto" w:before="230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12:30 – 14:00 </w:t>
      </w:r>
      <w:r>
        <w:tab/>
      </w:r>
      <w:r>
        <w:rPr>
          <w:rFonts w:ascii="Calibri" w:hAnsi="Calibri" w:eastAsia="Calibri"/>
          <w:b/>
          <w:i w:val="0"/>
          <w:color w:val="1F4E79"/>
          <w:sz w:val="22"/>
        </w:rPr>
        <w:t xml:space="preserve">Lunch </w:t>
      </w:r>
    </w:p>
    <w:p>
      <w:pPr>
        <w:autoSpaceDN w:val="0"/>
        <w:autoSpaceDE w:val="0"/>
        <w:widowControl/>
        <w:spacing w:line="264" w:lineRule="auto" w:before="19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11 </w:t>
      </w:r>
    </w:p>
    <w:p>
      <w:pPr>
        <w:sectPr>
          <w:pgSz w:w="12240" w:h="15840"/>
          <w:pgMar w:top="710" w:right="1392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2188" w:val="left"/>
        </w:tabs>
        <w:autoSpaceDE w:val="0"/>
        <w:widowControl/>
        <w:spacing w:line="444" w:lineRule="auto" w:before="0" w:after="0"/>
        <w:ind w:left="28" w:right="172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SESSION IV: ICP Research Agenda (Second Session)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14:00 – 14:45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Item 04: Fine Tuning Global Linking Procedures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14:45 – 15:45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Item 01: Compilation of PPP Time Series </w:t>
      </w:r>
      <w:r>
        <w:br/>
      </w:r>
      <w:r>
        <w:rPr>
          <w:rFonts w:ascii="Calibri" w:hAnsi="Calibri" w:eastAsia="Calibri"/>
          <w:b/>
          <w:i w:val="0"/>
          <w:color w:val="1F4E79"/>
          <w:sz w:val="22"/>
        </w:rPr>
        <w:t xml:space="preserve">15:45 – 16:00 </w:t>
      </w:r>
      <w:r>
        <w:tab/>
      </w:r>
      <w:r>
        <w:rPr>
          <w:rFonts w:ascii="Calibri" w:hAnsi="Calibri" w:eastAsia="Calibri"/>
          <w:b/>
          <w:i w:val="0"/>
          <w:color w:val="1F4E79"/>
          <w:sz w:val="22"/>
        </w:rPr>
        <w:t xml:space="preserve">Break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SESSION V: New Uses and Applications of ICP PPPs and Data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16:00 – 16:45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Update on using PPPs in World Bank income classifications </w:t>
      </w:r>
    </w:p>
    <w:p>
      <w:pPr>
        <w:autoSpaceDN w:val="0"/>
        <w:tabs>
          <w:tab w:pos="2188" w:val="left"/>
        </w:tabs>
        <w:autoSpaceDE w:val="0"/>
        <w:widowControl/>
        <w:spacing w:line="377" w:lineRule="auto" w:before="410" w:after="0"/>
        <w:ind w:left="28" w:right="345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SESSION VI: Closing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16:45 – 17:00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Any other business and closing remarks </w:t>
      </w:r>
    </w:p>
    <w:p>
      <w:pPr>
        <w:autoSpaceDN w:val="0"/>
        <w:autoSpaceDE w:val="0"/>
        <w:widowControl/>
        <w:spacing w:line="264" w:lineRule="auto" w:before="889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12 </w:t>
      </w:r>
    </w:p>
    <w:p>
      <w:pPr>
        <w:sectPr>
          <w:pgSz w:w="12240" w:h="15840"/>
          <w:pgMar w:top="710" w:right="1392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Annex 2: List of Participants </w:t>
      </w:r>
    </w:p>
    <w:p>
      <w:pPr>
        <w:autoSpaceDN w:val="0"/>
        <w:autoSpaceDE w:val="0"/>
        <w:widowControl/>
        <w:spacing w:line="262" w:lineRule="auto" w:before="146" w:after="94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ICP Technical Advisory Group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715"/>
        <w:gridCol w:w="4715"/>
      </w:tblGrid>
      <w:tr>
        <w:trPr>
          <w:trHeight w:hRule="exact" w:val="176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0" w:after="0"/>
              <w:ind w:left="180" w:right="11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14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Paul Schreyer, Organization for Economic Cooperation and Development (OECD) (Chair)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Alan Heston, University of Pennsylvania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Prasada Rao, University of Queensland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Mary O’Mahony, King's Business School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Xianchun Xu, Tsinghua University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Robert Feenstra, University of California-Davis </w:t>
            </w:r>
          </w:p>
        </w:tc>
      </w:tr>
    </w:tbl>
    <w:p>
      <w:pPr>
        <w:autoSpaceDN w:val="0"/>
        <w:autoSpaceDE w:val="0"/>
        <w:widowControl/>
        <w:spacing w:line="264" w:lineRule="auto" w:before="364" w:after="9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ICP experts, guest speakers and observers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715"/>
        <w:gridCol w:w="4715"/>
      </w:tblGrid>
      <w:tr>
        <w:trPr>
          <w:trHeight w:hRule="exact" w:val="1224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180" w:right="11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7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140" w:right="144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Bettina Aten, United States Bureau of Economic Analysis (BEA)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Sergey Sergeev, Independent Expert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Wanqi Liu, Tsinghua University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Jialiang Yang, National Bureau of Statistics China</w:t>
            </w:r>
          </w:p>
        </w:tc>
      </w:tr>
    </w:tbl>
    <w:p>
      <w:pPr>
        <w:autoSpaceDN w:val="0"/>
        <w:autoSpaceDE w:val="0"/>
        <w:widowControl/>
        <w:spacing w:line="264" w:lineRule="auto" w:before="422" w:after="9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ICP Inter-Agency Coordination Group (IACG)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4715"/>
        <w:gridCol w:w="4715"/>
      </w:tblGrid>
      <w:tr>
        <w:trPr>
          <w:trHeight w:hRule="exact" w:val="5520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auto" w:before="60" w:after="0"/>
              <w:ind w:left="198" w:right="11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8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3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Gregoire Mboya De Loubassou, African Development Bank (AfDB)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Kaushal Joshi, Asian Development Bank (ADB)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Andrey Kosarev, Interstate Statistical Committee of the Commonwealth of Independent States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(CIS-STAT)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Valerica Accibas, Interstate Statistical Committee of the Commonwealth of Independent States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(CIS-STAT)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Paulus Konijn, Statistical Office of the European Union (Eurostat)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Sophie Bournot, Organization for Economic Co-operation and Development (OECD)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Annabelle Mourougane, Organization for Economic Co-operation and Development (OECD)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Claudia Andrea De Camino Ferrario, United Nations Economic Commission for Latin America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Caribbean (UN-ECLAC)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Lady Infante Ortega, United Nations Economic Commission for Latin America and the Caribbean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(UN-ECLAC)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Ernestina Brigida Perez Ardiles, United Nations Economic Commission for Latin America and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Caribbean (UN-ECLAC)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Gianna Lopez, United Nations Economic Commission for Latin America and the Caribbean (UN-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ECLAC)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Maria Alejandra Ovalle, United Nations Economic Commission for Latin America and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Caribbean (UN-ECLAC)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Majed Skaini, United Nations Economic and Social Commission for Western Asia (UN-ESCWA) </w:t>
            </w:r>
          </w:p>
        </w:tc>
      </w:tr>
    </w:tbl>
    <w:p>
      <w:pPr>
        <w:autoSpaceDN w:val="0"/>
        <w:autoSpaceDE w:val="0"/>
        <w:widowControl/>
        <w:spacing w:line="264" w:lineRule="auto" w:before="3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World Bank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152" w:after="0"/>
        <w:ind w:left="720" w:right="41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–         Haishan Fu, World Bank Group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–         Evis Rucaj, World Bank Group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–         Marko Rissanen, World Bank Group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–         Catherine Van Rompaey, World Bank Group </w:t>
      </w:r>
    </w:p>
    <w:p>
      <w:pPr>
        <w:autoSpaceDN w:val="0"/>
        <w:autoSpaceDE w:val="0"/>
        <w:widowControl/>
        <w:spacing w:line="264" w:lineRule="auto" w:before="3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13 </w:t>
      </w:r>
    </w:p>
    <w:p>
      <w:pPr>
        <w:sectPr>
          <w:pgSz w:w="12240" w:h="15840"/>
          <w:pgMar w:top="710" w:right="1370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720" w:right="446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–         Edie Purdie, World Bank Group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–         Eric Metreau, World Bank Group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–         Giovanni Tonutti, World Bank Group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–         Inyoung Song, World Bank Group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–         Maurice Nsabimana, World Bank Group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–         Mizuki Yamanaka, World Bank Group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–         Nancy Kebe, World Bank Group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–         Rui Costa, World Bank Group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–         Yan Bai, World Bank Group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–         Yuri Dikhanov, World Bank Group </w:t>
      </w:r>
    </w:p>
    <w:p>
      <w:pPr>
        <w:autoSpaceDN w:val="0"/>
        <w:autoSpaceDE w:val="0"/>
        <w:widowControl/>
        <w:spacing w:line="264" w:lineRule="auto" w:before="1043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14 </w:t>
      </w:r>
    </w:p>
    <w:sectPr w:rsidR="00FC693F" w:rsidRPr="0006063C" w:rsidSect="00034616">
      <w:pgSz w:w="12240" w:h="15840"/>
      <w:pgMar w:top="710" w:right="1440" w:bottom="49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worldbank.org/en/programs/icp/brief/tag-nov-2023" TargetMode="External"/><Relationship Id="rId11" Type="http://schemas.openxmlformats.org/officeDocument/2006/relationships/hyperlink" Target="https://thedocs.worldbank.org/en/doc/7d2dcdf0b7c873884f27db6777eaac3e-0050022023/original/S1-0-Update-on-the-ICP-2021-cycle-Nov-2023-PUBLIC.pdf" TargetMode="External"/><Relationship Id="rId12" Type="http://schemas.openxmlformats.org/officeDocument/2006/relationships/hyperlink" Target="https://pubdocs.worldbank.org/en/708531575560035925/pdf/ICP-Classification-description-2019-1205.pdf" TargetMode="External"/><Relationship Id="rId13" Type="http://schemas.openxmlformats.org/officeDocument/2006/relationships/hyperlink" Target="https://www.oecd.org/careers/Staff_Rules_en.pdf" TargetMode="External"/><Relationship Id="rId14" Type="http://schemas.openxmlformats.org/officeDocument/2006/relationships/hyperlink" Target="https://thedocs.worldbank.org/en/doc/c99b53cf9a6b6f57aa52c25da49af229-0050022023/original/S3-01-Rev-2-TAG2023-Results-2023-11-06-PUBLIC.pdf" TargetMode="External"/><Relationship Id="rId15" Type="http://schemas.openxmlformats.org/officeDocument/2006/relationships/hyperlink" Target="https://thedocs.worldbank.org/en/doc/e43998807db1c3beee55f95fc93ca561-0050022023/original/S3-2-Approach-to-produce-revised-2017-results-Nov-2023-PUBLIC.pdf" TargetMode="External"/><Relationship Id="rId16" Type="http://schemas.openxmlformats.org/officeDocument/2006/relationships/hyperlink" Target="https://thedocs.worldbank.org/en/doc/f15cfb2042bbf07ae57f1e8cab03aa8e-0050022023/original/S3-03-Approach-to-produce-2017-2021-PPP-time-series.pdf" TargetMode="External"/><Relationship Id="rId17" Type="http://schemas.openxmlformats.org/officeDocument/2006/relationships/hyperlink" Target="https://thedocs.worldbank.org/en/doc/388641574195538660-0050022019/original/ICPTAG04S4.01SDICPandAnnualCompilationofPPPsRaoandInklaar.pdf" TargetMode="External"/><Relationship Id="rId18" Type="http://schemas.openxmlformats.org/officeDocument/2006/relationships/hyperlink" Target="https://thedocs.worldbank.org/en/doc/06e782906b7c70677caed2d31a389631-0050022023/original/S3-04-ICP-2021-cycle-non-benchmark-country-estimates-Nov-2023-PUBLIC.pdf" TargetMode="External"/><Relationship Id="rId19" Type="http://schemas.openxmlformats.org/officeDocument/2006/relationships/hyperlink" Target="https://thedocs.worldbank.org/en/doc/44e8e05484e886c0070c8790ae0f2f24-0050022023/original/S3-5-Plans-for-the-ICP-2021-cycle-release-Nov-2023-PUBLIC.pdf" TargetMode="External"/><Relationship Id="rId20" Type="http://schemas.openxmlformats.org/officeDocument/2006/relationships/hyperlink" Target="https://www.worldbank.org/en/programs/icp/research#1" TargetMode="External"/><Relationship Id="rId21" Type="http://schemas.openxmlformats.org/officeDocument/2006/relationships/hyperlink" Target="https://www.worldbank.org/en/programs/icp/brief/ra04" TargetMode="External"/><Relationship Id="rId22" Type="http://schemas.openxmlformats.org/officeDocument/2006/relationships/hyperlink" Target="https://thedocs.worldbank.org/en/doc/cb77b297c97f6aab6e4abedee7fe3f32-0050022023/original/S4-03-ICPTAG-Compilation-of-PPP-Time-Series.pdf" TargetMode="External"/><Relationship Id="rId23" Type="http://schemas.openxmlformats.org/officeDocument/2006/relationships/hyperlink" Target="https://thedocs.worldbank.org/en/doc/0f1585184bca0f601e6e9d2a073c846a-0050022023/original/AOB-COCIOP-2018-and-ICP.pdf" TargetMode="External"/><Relationship Id="rId24" Type="http://schemas.openxmlformats.org/officeDocument/2006/relationships/hyperlink" Target="https://thedocs.worldbank.org/en/doc/708531575560035925-0050022019/original/ICPClassificationdescription2019120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